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gif" ContentType="image/gif"/>
  <Override PartName="/word/media/image5.gif" ContentType="image/gif"/>
  <Override PartName="/word/media/image1.gif" ContentType="image/gif"/>
  <Override PartName="/word/media/image2.gif" ContentType="image/gif"/>
  <Override PartName="/word/media/image3.gif" ContentType="image/gif"/>
  <Override PartName="/word/media/image4.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c03419e10vk.htm"/>
        <w:bookmarkStart w:id="1" w:name="ksc03419e10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Helvetica;Arial;sans-serif" w:hAnsi="Helvetica;Arial;sans-serif"/>
          <w:sz w:val="23"/>
        </w:rPr>
      </w:pPr>
      <w:r>
        <w:rPr>
          <w:rFonts w:ascii="Helvetica;Arial;sans-serif" w:hAnsi="Helvetica;Arial;sans-serif"/>
          <w:b/>
          <w:sz w:val="23"/>
        </w:rPr>
        <w:t>UNITED STATES SECURITIES AND EXCHANGE COMMISSION</w:t>
      </w:r>
      <w:r>
        <w:rPr>
          <w:rFonts w:ascii="Helvetica;Arial;sans-serif" w:hAnsi="Helvetica;Arial;sans-serif"/>
          <w:sz w:val="23"/>
        </w:rPr>
        <w:t xml:space="preserve"> </w:t>
      </w:r>
    </w:p>
    <w:p>
      <w:pPr>
        <w:pStyle w:val="TextBody"/>
        <w:spacing w:before="0" w:after="0"/>
        <w:jc w:val="center"/>
        <w:rPr>
          <w:rFonts w:ascii="Helvetica;Arial;sans-serif" w:hAnsi="Helvetica;Arial;sans-serif"/>
          <w:sz w:val="20"/>
        </w:rPr>
      </w:pPr>
      <w:r>
        <w:rPr>
          <w:rFonts w:ascii="Helvetica;Arial;sans-serif" w:hAnsi="Helvetica;Arial;sans-serif"/>
          <w:b/>
          <w:sz w:val="20"/>
        </w:rPr>
        <w:t>WASHINGTON, D.C. 20549</w:t>
      </w:r>
      <w:r>
        <w:rPr>
          <w:rFonts w:ascii="Helvetica;Arial;sans-serif" w:hAnsi="Helvetica;Arial;sans-serif"/>
          <w:sz w:val="20"/>
        </w:rPr>
        <w:t xml:space="preserve"> </w:t>
      </w:r>
    </w:p>
    <w:p>
      <w:pPr>
        <w:pStyle w:val="TextBody"/>
        <w:spacing w:before="240" w:after="283"/>
        <w:jc w:val="center"/>
        <w:rPr>
          <w:rFonts w:ascii="Helvetica;Arial;sans-serif" w:hAnsi="Helvetica;Arial;sans-serif"/>
          <w:sz w:val="30"/>
        </w:rPr>
      </w:pPr>
      <w:r>
        <w:rPr>
          <w:rFonts w:ascii="Helvetica;Arial;sans-serif" w:hAnsi="Helvetica;Arial;sans-serif"/>
          <w:b/>
          <w:sz w:val="30"/>
        </w:rPr>
        <w:t>FORM 10-K</w:t>
      </w:r>
      <w:r>
        <w:rPr>
          <w:rFonts w:ascii="Helvetica;Arial;sans-serif" w:hAnsi="Helvetica;Arial;sans-serif"/>
          <w:sz w:val="30"/>
        </w:rPr>
        <w:t xml:space="preserve"> </w:t>
      </w:r>
    </w:p>
    <w:tbl>
      <w:tblPr>
        <w:tblW w:w="5000" w:type="pct"/>
        <w:jc w:val="center"/>
        <w:tblInd w:w="0" w:type="dxa"/>
        <w:tblCellMar>
          <w:top w:w="0" w:type="dxa"/>
          <w:left w:w="0" w:type="dxa"/>
          <w:bottom w:w="0" w:type="dxa"/>
          <w:right w:w="0" w:type="dxa"/>
        </w:tblCellMar>
      </w:tblPr>
      <w:tblGrid>
        <w:gridCol w:w="712"/>
        <w:gridCol w:w="510"/>
        <w:gridCol w:w="8983"/>
      </w:tblGrid>
      <w:tr>
        <w:trPr/>
        <w:tc>
          <w:tcPr>
            <w:tcW w:w="712" w:type="dxa"/>
            <w:tcBorders/>
            <w:shd w:fill="auto" w:val="clear"/>
            <w:vAlign w:val="center"/>
          </w:tcPr>
          <w:p>
            <w:pPr>
              <w:pStyle w:val="TableContents"/>
              <w:spacing w:before="0" w:after="283"/>
              <w:rPr/>
            </w:pPr>
            <w:r>
              <w:rPr/>
              <w:t> </w:t>
            </w:r>
          </w:p>
        </w:tc>
        <w:tc>
          <w:tcPr>
            <w:tcW w:w="510"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2" w:type="dxa"/>
            <w:tcBorders/>
            <w:shd w:fill="auto" w:val="clear"/>
          </w:tcPr>
          <w:p>
            <w:pPr>
              <w:pStyle w:val="TableContents"/>
              <w:spacing w:before="0" w:after="283"/>
              <w:jc w:val="center"/>
              <w:rPr/>
            </w:pPr>
            <w:r>
              <w:rPr/>
              <w:t>☑</w:t>
            </w:r>
          </w:p>
        </w:tc>
        <w:tc>
          <w:tcPr>
            <w:tcW w:w="510"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ANNUAL REPORT PURSUANT TO SECTION 13 OR 15(d) OF THE SECURITIES EXCHANGE ACT OF 1934</w:t>
            </w:r>
          </w:p>
        </w:tc>
      </w:tr>
    </w:tbl>
    <w:p>
      <w:pPr>
        <w:pStyle w:val="TextBody"/>
        <w:spacing w:before="120" w:after="283"/>
        <w:jc w:val="left"/>
        <w:rPr>
          <w:rFonts w:ascii="Helvetica;Arial;sans-serif" w:hAnsi="Helvetica;Arial;sans-serif"/>
          <w:b/>
          <w:sz w:val="17"/>
        </w:rPr>
      </w:pPr>
      <w:r>
        <w:rPr>
          <w:rFonts w:ascii="Helvetica;Arial;sans-serif" w:hAnsi="Helvetica;Arial;sans-serif"/>
          <w:b/>
          <w:sz w:val="17"/>
        </w:rPr>
        <w:t xml:space="preserve">For the fiscal year ended December 31, 2005 </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rFonts w:ascii="Wingdings" w:hAnsi="Wingdings"/>
              </w:rPr>
            </w:pPr>
            <w:r>
              <w:rPr>
                <w:rFonts w:ascii="Wingdings" w:hAnsi="Wingdings"/>
              </w:rPr>
              <w:t>o</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240" w:after="283"/>
        <w:jc w:val="center"/>
        <w:rPr>
          <w:rFonts w:ascii="Helvetica;Arial;sans-serif" w:hAnsi="Helvetica;Arial;sans-serif"/>
          <w:b/>
          <w:sz w:val="17"/>
        </w:rPr>
      </w:pPr>
      <w:r>
        <w:rPr>
          <w:rFonts w:ascii="Helvetica;Arial;sans-serif" w:hAnsi="Helvetica;Arial;sans-serif"/>
          <w:b/>
          <w:sz w:val="17"/>
        </w:rPr>
        <w:t>Commission file number 0-15950</w:t>
      </w:r>
    </w:p>
    <w:p>
      <w:pPr>
        <w:pStyle w:val="TextBody"/>
        <w:spacing w:before="240" w:after="283"/>
        <w:jc w:val="center"/>
        <w:rPr>
          <w:rFonts w:ascii="Helvetica;Arial;sans-serif" w:hAnsi="Helvetica;Arial;sans-serif"/>
          <w:sz w:val="40"/>
        </w:rPr>
      </w:pPr>
      <w:r>
        <w:rPr>
          <w:rFonts w:ascii="Helvetica;Arial;sans-serif" w:hAnsi="Helvetica;Arial;sans-serif"/>
          <w:b/>
          <w:sz w:val="40"/>
        </w:rPr>
        <w:t>FIRST BUSEY CORPORATION</w:t>
      </w:r>
      <w:r>
        <w:rPr>
          <w:rFonts w:ascii="Helvetica;Arial;sans-serif" w:hAnsi="Helvetica;Arial;sans-serif"/>
          <w:sz w:val="40"/>
        </w:rPr>
        <w:t xml:space="preserve"> </w:t>
      </w:r>
    </w:p>
    <w:p>
      <w:pPr>
        <w:pStyle w:val="TextBody"/>
        <w:spacing w:before="0" w:after="0"/>
        <w:jc w:val="center"/>
        <w:rPr>
          <w:rFonts w:ascii="Helvetica;Arial;sans-serif" w:hAnsi="Helvetica;Arial;sans-serif"/>
          <w:sz w:val="17"/>
        </w:rPr>
      </w:pPr>
      <w:r>
        <w:rPr>
          <w:rFonts w:ascii="Helvetica;Arial;sans-serif" w:hAnsi="Helvetica;Arial;san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t xml:space="preserve">Nevada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37-1078406</w:t>
            </w:r>
          </w:p>
        </w:tc>
      </w:tr>
      <w:tr>
        <w:trPr/>
        <w:tc>
          <w:tcPr>
            <w:tcW w:w="4844" w:type="dxa"/>
            <w:tcBorders/>
            <w:shd w:fill="auto" w:val="clear"/>
          </w:tcPr>
          <w:p>
            <w:pPr>
              <w:pStyle w:val="TableContents"/>
              <w:spacing w:before="0" w:after="283"/>
              <w:jc w:val="center"/>
              <w:rPr/>
            </w:pPr>
            <w:r>
              <w:rPr/>
              <w:t xml:space="preserve">(State or other jurisdiction of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(I.R.S. Employer</w:t>
            </w:r>
          </w:p>
        </w:tc>
      </w:tr>
      <w:tr>
        <w:trPr/>
        <w:tc>
          <w:tcPr>
            <w:tcW w:w="4844" w:type="dxa"/>
            <w:tcBorders/>
            <w:shd w:fill="auto" w:val="clear"/>
          </w:tcPr>
          <w:p>
            <w:pPr>
              <w:pStyle w:val="TableContents"/>
              <w:spacing w:before="0" w:after="283"/>
              <w:jc w:val="center"/>
              <w:rPr/>
            </w:pPr>
            <w:r>
              <w:rPr/>
              <w:t xml:space="preserve">incorporation of organization)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Identification No.)</w:t>
            </w:r>
          </w:p>
        </w:tc>
      </w:tr>
    </w:tbl>
    <w:p>
      <w:pPr>
        <w:pStyle w:val="TextBody"/>
        <w:spacing w:before="240" w:after="283"/>
        <w:jc w:val="center"/>
        <w:rPr>
          <w:rFonts w:ascii="Helvetica;Arial;sans-serif" w:hAnsi="Helvetica;Arial;sans-serif"/>
          <w:sz w:val="17"/>
        </w:rPr>
      </w:pPr>
      <w:r>
        <w:rPr>
          <w:rFonts w:ascii="Helvetica;Arial;sans-serif" w:hAnsi="Helvetica;Arial;sans-serif"/>
          <w:sz w:val="17"/>
        </w:rPr>
        <w:t>201 West Main Street</w:t>
        <w:br/>
        <w:t>Urbana, IL 61801</w:t>
        <w:br/>
        <w:t>(Address of principal executive offices) (Zip Code)</w:t>
      </w:r>
    </w:p>
    <w:p>
      <w:pPr>
        <w:pStyle w:val="TextBody"/>
        <w:spacing w:before="240" w:after="283"/>
        <w:jc w:val="center"/>
        <w:rPr>
          <w:rFonts w:ascii="Helvetica;Arial;sans-serif" w:hAnsi="Helvetica;Arial;sans-serif"/>
          <w:sz w:val="17"/>
        </w:rPr>
      </w:pPr>
      <w:r>
        <w:rPr>
          <w:rFonts w:ascii="Helvetica;Arial;sans-serif" w:hAnsi="Helvetica;Arial;sans-serif"/>
          <w:sz w:val="17"/>
        </w:rPr>
        <w:t>Registrants telephone number, including area code (217) 365-4513</w:t>
      </w:r>
    </w:p>
    <w:p>
      <w:pPr>
        <w:pStyle w:val="TextBody"/>
        <w:spacing w:before="240" w:after="283"/>
        <w:jc w:val="center"/>
        <w:rPr>
          <w:rFonts w:ascii="Helvetica;Arial;sans-serif" w:hAnsi="Helvetica;Arial;sans-serif"/>
          <w:sz w:val="17"/>
        </w:rPr>
      </w:pPr>
      <w:r>
        <w:rPr>
          <w:rFonts w:ascii="Helvetica;Arial;sans-serif" w:hAnsi="Helvetica;Arial;sans-serif"/>
          <w:sz w:val="17"/>
        </w:rPr>
        <w:t>Securities registered pursuant to Section 12(b) of the Act: None</w:t>
      </w:r>
    </w:p>
    <w:p>
      <w:pPr>
        <w:pStyle w:val="TextBody"/>
        <w:spacing w:before="360" w:after="283"/>
        <w:jc w:val="center"/>
        <w:rPr>
          <w:rFonts w:ascii="Helvetica;Arial;sans-serif" w:hAnsi="Helvetica;Arial;sans-serif"/>
          <w:sz w:val="17"/>
        </w:rPr>
      </w:pPr>
      <w:r>
        <w:rPr>
          <w:rFonts w:ascii="Helvetica;Arial;sans-serif" w:hAnsi="Helvetica;Arial;sans-serif"/>
          <w:sz w:val="17"/>
        </w:rPr>
        <w:t xml:space="preserve">Securities registered pursuant to Section 12(g) of the Act: Common Stock, $.001 par value </w:t>
      </w:r>
    </w:p>
    <w:p>
      <w:pPr>
        <w:pStyle w:val="TextBody"/>
        <w:spacing w:before="120" w:after="283"/>
        <w:jc w:val="left"/>
        <w:rPr>
          <w:rFonts w:ascii="Helvetica;Arial;sans-serif" w:hAnsi="Helvetica;Arial;sans-serif"/>
          <w:sz w:val="17"/>
        </w:rPr>
      </w:pPr>
      <w:r>
        <w:rPr>
          <w:rFonts w:ascii="Helvetica;Arial;sans-serif" w:hAnsi="Helvetica;Arial;sans-serif"/>
          <w:sz w:val="17"/>
        </w:rPr>
        <w:t>Indicate by check mark if the registrant is a well-known seasoned issuer, as defined in Rule 405 of the Securities Act.</w:t>
        <w:br/>
        <w:t xml:space="preserve">Yes </w:t>
      </w:r>
      <w:r>
        <w:rPr>
          <w:rFonts w:ascii="Wingdings" w:hAnsi="Wingdings"/>
          <w:sz w:val="17"/>
        </w:rPr>
        <w:t>o</w:t>
      </w:r>
      <w:r>
        <w:rPr>
          <w:rFonts w:ascii="Helvetica;Arial;sans-serif" w:hAnsi="Helvetica;Arial;sans-serif"/>
          <w:sz w:val="17"/>
        </w:rPr>
        <w:t xml:space="preserve">           No ☑ </w:t>
      </w:r>
    </w:p>
    <w:p>
      <w:pPr>
        <w:pStyle w:val="TextBody"/>
        <w:spacing w:before="120" w:after="283"/>
        <w:jc w:val="left"/>
        <w:rPr>
          <w:rFonts w:ascii="Helvetica;Arial;sans-serif" w:hAnsi="Helvetica;Arial;sans-serif"/>
          <w:sz w:val="17"/>
        </w:rPr>
      </w:pPr>
      <w:r>
        <w:rPr>
          <w:rFonts w:ascii="Helvetica;Arial;sans-serif" w:hAnsi="Helvetica;Arial;sans-serif"/>
          <w:sz w:val="17"/>
        </w:rPr>
        <w:t>Indicate by check mark if the registrant is not required to file reports pursuant to Section 13 or Section 15(d) of the Exchange Act.</w:t>
        <w:br/>
        <w:t xml:space="preserve">Yes </w:t>
      </w:r>
      <w:r>
        <w:rPr>
          <w:rFonts w:ascii="Wingdings" w:hAnsi="Wingdings"/>
          <w:sz w:val="17"/>
        </w:rPr>
        <w:t>o</w:t>
      </w:r>
      <w:r>
        <w:rPr>
          <w:rFonts w:ascii="Helvetica;Arial;sans-serif" w:hAnsi="Helvetica;Arial;sans-serif"/>
          <w:sz w:val="17"/>
        </w:rPr>
        <w:t xml:space="preserve">           No ☑ </w:t>
      </w:r>
    </w:p>
    <w:p>
      <w:pPr>
        <w:pStyle w:val="TextBody"/>
        <w:spacing w:before="120" w:after="283"/>
        <w:jc w:val="left"/>
        <w:rPr>
          <w:rFonts w:ascii="Helvetica;Arial;sans-serif" w:hAnsi="Helvetica;Arial;sans-serif"/>
          <w:sz w:val="17"/>
        </w:rPr>
      </w:pPr>
      <w:r>
        <w:rPr>
          <w:rFonts w:ascii="Helvetica;Arial;sans-serif" w:hAnsi="Helvetica;Arial;sans-serif"/>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br/>
        <w:t xml:space="preserve">Yes ☑           No </w:t>
      </w:r>
      <w:r>
        <w:rPr>
          <w:rFonts w:ascii="Wingdings" w:hAnsi="Wingdings"/>
          <w:sz w:val="17"/>
        </w:rPr>
        <w:t>o</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Indicate by check mark if disclosure of delinquent filers pursuant to Item 405 Regulation S-K is not contained herein, and will not be contained to the best of Registrants knowledge, in definitive proxy or information statements incorporated by reference in Part III of this Form 10-K or any amendment to this Form 10-K. </w:t>
      </w:r>
      <w:r>
        <w:rPr>
          <w:rFonts w:ascii="Wingdings" w:hAnsi="Wingdings"/>
          <w:sz w:val="17"/>
        </w:rPr>
        <w:t>o</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Indicate by check mark whether registrant is a large accelerated filer, an accelerated filer, or a non-accelerated filer (as defined in Rule 12b-2 of the Act.).</w:t>
        <w:br/>
        <w:t xml:space="preserve">Large accelerated filer </w:t>
      </w:r>
      <w:r>
        <w:rPr>
          <w:rFonts w:ascii="Wingdings" w:hAnsi="Wingdings"/>
          <w:sz w:val="17"/>
        </w:rPr>
        <w:t>o</w:t>
      </w:r>
      <w:r>
        <w:rPr>
          <w:rFonts w:ascii="Helvetica;Arial;sans-serif" w:hAnsi="Helvetica;Arial;sans-serif"/>
          <w:sz w:val="17"/>
        </w:rPr>
        <w:t xml:space="preserve">            Accelerated filer ☑            Non-accelerated filer </w:t>
      </w:r>
      <w:r>
        <w:rPr>
          <w:rFonts w:ascii="Wingdings" w:hAnsi="Wingdings"/>
          <w:sz w:val="17"/>
        </w:rPr>
        <w:t>o</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Indicate by check mark whether the registrant is a shell company (as defined in Rule 12b-2 of the Act).</w:t>
        <w:br/>
        <w:t xml:space="preserve">Yes </w:t>
      </w:r>
      <w:r>
        <w:rPr>
          <w:rFonts w:ascii="Wingdings" w:hAnsi="Wingdings"/>
          <w:sz w:val="17"/>
        </w:rPr>
        <w:t>o</w:t>
      </w:r>
      <w:r>
        <w:rPr>
          <w:rFonts w:ascii="Helvetica;Arial;sans-serif" w:hAnsi="Helvetica;Arial;sans-serif"/>
          <w:sz w:val="17"/>
        </w:rPr>
        <w:t xml:space="preserve">            No ☑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aggregate market value of the voting and nonvoting Common Stock held by non-affiliates on June 30, 2005 was $270,217,161, determined using a per share closing price on that date of $19.31, as quoted on The Nasdaq Stock Market.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Indicate the number of shares outstanding of each of the Registrants classes of common stock, as of the latest practicable date. </w:t>
      </w:r>
    </w:p>
    <w:tbl>
      <w:tblPr>
        <w:tblW w:w="5000" w:type="pct"/>
        <w:jc w:val="center"/>
        <w:tblInd w:w="0" w:type="dxa"/>
        <w:tblCellMar>
          <w:top w:w="0" w:type="dxa"/>
          <w:left w:w="0" w:type="dxa"/>
          <w:bottom w:w="0" w:type="dxa"/>
          <w:right w:w="0" w:type="dxa"/>
        </w:tblCellMar>
      </w:tblPr>
      <w:tblGrid>
        <w:gridCol w:w="6893"/>
        <w:gridCol w:w="409"/>
        <w:gridCol w:w="2903"/>
      </w:tblGrid>
      <w:tr>
        <w:trPr/>
        <w:tc>
          <w:tcPr>
            <w:tcW w:w="6893"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903" w:type="dxa"/>
            <w:tcBorders/>
            <w:shd w:fill="auto" w:val="clear"/>
            <w:vAlign w:val="bottom"/>
          </w:tcPr>
          <w:p>
            <w:pPr>
              <w:pStyle w:val="TableContents"/>
              <w:spacing w:before="0" w:after="283"/>
              <w:rPr/>
            </w:pPr>
            <w:r>
              <w:rPr/>
              <w:t> </w:t>
            </w:r>
          </w:p>
        </w:tc>
      </w:tr>
      <w:tr>
        <w:trPr/>
        <w:tc>
          <w:tcPr>
            <w:tcW w:w="6893" w:type="dxa"/>
            <w:tcBorders>
              <w:bottom w:val="single" w:sz="2" w:space="0" w:color="000000"/>
            </w:tcBorders>
            <w:shd w:fill="auto" w:val="clear"/>
            <w:tcMar>
              <w:bottom w:w="28" w:type="dxa"/>
            </w:tcMar>
            <w:vAlign w:val="bottom"/>
          </w:tcPr>
          <w:p>
            <w:pPr>
              <w:pStyle w:val="TableContents"/>
              <w:spacing w:before="0" w:after="283"/>
              <w:jc w:val="left"/>
              <w:rPr/>
            </w:pPr>
            <w:r>
              <w:rPr/>
              <w:t>Class</w:t>
            </w:r>
          </w:p>
        </w:tc>
        <w:tc>
          <w:tcPr>
            <w:tcW w:w="409" w:type="dxa"/>
            <w:tcBorders/>
            <w:shd w:fill="auto" w:val="clear"/>
            <w:vAlign w:val="bottom"/>
          </w:tcPr>
          <w:p>
            <w:pPr>
              <w:pStyle w:val="TableContents"/>
              <w:spacing w:before="0" w:after="283"/>
              <w:rPr/>
            </w:pPr>
            <w:r>
              <w:rPr/>
              <w:t> </w:t>
            </w:r>
          </w:p>
        </w:tc>
        <w:tc>
          <w:tcPr>
            <w:tcW w:w="2903" w:type="dxa"/>
            <w:tcBorders>
              <w:bottom w:val="single" w:sz="2" w:space="0" w:color="000000"/>
            </w:tcBorders>
            <w:shd w:fill="auto" w:val="clear"/>
            <w:tcMar>
              <w:bottom w:w="28" w:type="dxa"/>
            </w:tcMar>
            <w:vAlign w:val="bottom"/>
          </w:tcPr>
          <w:p>
            <w:pPr>
              <w:pStyle w:val="TableContents"/>
              <w:spacing w:before="0" w:after="283"/>
              <w:jc w:val="center"/>
              <w:rPr/>
            </w:pPr>
            <w:r>
              <w:rPr/>
              <w:t>Outstanding at March 1, 2006</w:t>
            </w:r>
          </w:p>
        </w:tc>
      </w:tr>
      <w:tr>
        <w:trPr/>
        <w:tc>
          <w:tcPr>
            <w:tcW w:w="6893" w:type="dxa"/>
            <w:tcBorders/>
            <w:shd w:fill="auto" w:val="clear"/>
            <w:vAlign w:val="bottom"/>
          </w:tcPr>
          <w:p>
            <w:pPr>
              <w:pStyle w:val="TableContents"/>
              <w:spacing w:before="0" w:after="0"/>
              <w:ind w:left="225" w:right="0" w:hanging="225"/>
              <w:rPr/>
            </w:pPr>
            <w:r>
              <w:rPr/>
              <w:t>Common Stock, $.001 par value</w:t>
            </w:r>
          </w:p>
        </w:tc>
        <w:tc>
          <w:tcPr>
            <w:tcW w:w="409" w:type="dxa"/>
            <w:tcBorders/>
            <w:shd w:fill="auto" w:val="clear"/>
            <w:vAlign w:val="bottom"/>
          </w:tcPr>
          <w:p>
            <w:pPr>
              <w:pStyle w:val="TableContents"/>
              <w:spacing w:before="0" w:after="283"/>
              <w:rPr/>
            </w:pPr>
            <w:r>
              <w:rPr/>
              <w:t> </w:t>
            </w:r>
          </w:p>
        </w:tc>
        <w:tc>
          <w:tcPr>
            <w:tcW w:w="2903" w:type="dxa"/>
            <w:tcBorders/>
            <w:shd w:fill="auto" w:val="clear"/>
            <w:vAlign w:val="bottom"/>
          </w:tcPr>
          <w:p>
            <w:pPr>
              <w:pStyle w:val="TableContents"/>
              <w:spacing w:before="0" w:after="283"/>
              <w:jc w:val="center"/>
              <w:rPr/>
            </w:pPr>
            <w:r>
              <w:rPr/>
              <w:t>21,495,582</w:t>
            </w:r>
          </w:p>
        </w:tc>
      </w:tr>
    </w:tbl>
    <w:p>
      <w:pPr>
        <w:pStyle w:val="TextBody"/>
        <w:spacing w:before="360" w:after="283"/>
        <w:jc w:val="center"/>
        <w:rPr>
          <w:rFonts w:ascii="Helvetica;Arial;sans-serif" w:hAnsi="Helvetica;Arial;sans-serif"/>
          <w:sz w:val="17"/>
        </w:rPr>
      </w:pPr>
      <w:r>
        <w:rPr>
          <w:rFonts w:ascii="Helvetica;Arial;sans-serif" w:hAnsi="Helvetica;Arial;sans-serif"/>
          <w:b/>
          <w:sz w:val="17"/>
        </w:rPr>
        <w:t>DOCUMENTS INCORPORATED BY REFERENCE</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Portions of the definitive Proxy Statement dated March 15, 2006, for First Busey Corporations Annual Meeting of Stockholders to be held April 25, 2006, (the 2006 Proxy Statement) are incorporated by reference into Part III.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r>
        <w:rPr>
          <w:rFonts w:ascii="Helvetica;Arial;sans-serif" w:hAnsi="Helvetica;Arial;sans-serif"/>
          <w:sz w:val="17"/>
        </w:rPr>
        <w:t xml:space="preserve">(This page intentionally left blank) </w:t>
      </w:r>
    </w:p>
    <w:p>
      <w:pPr>
        <w:pStyle w:val="TextBody"/>
        <w:jc w:val="center"/>
        <w:rPr>
          <w:rFonts w:ascii="Helvetica;Arial;sans-serif" w:hAnsi="Helvetica;Arial;sans-serif"/>
          <w:sz w:val="17"/>
        </w:rPr>
      </w:pPr>
      <w:r>
        <w:rPr>
          <w:rFonts w:ascii="Helvetica;Arial;sans-serif" w:hAnsi="Helvetica;Arial;san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Helvetica;Arial;sans-serif" w:hAnsi="Helvetica;Arial;sans-serif"/>
          <w:sz w:val="17"/>
        </w:rPr>
      </w:pPr>
      <w:bookmarkStart w:id="2" w:name="tocpage"/>
      <w:bookmarkEnd w:id="2"/>
      <w:r>
        <w:rPr>
          <w:rFonts w:ascii="Helvetica;Arial;sans-serif" w:hAnsi="Helvetica;Arial;sans-serif"/>
          <w:sz w:val="17"/>
        </w:rPr>
        <w:t>FIRST BUSEY CORPORATION</w:t>
        <w:br/>
        <w:t xml:space="preserve">Form 10-K Annual Report </w:t>
      </w:r>
    </w:p>
    <w:p>
      <w:pPr>
        <w:pStyle w:val="TextBody"/>
        <w:spacing w:before="120" w:after="283"/>
        <w:jc w:val="center"/>
        <w:rPr>
          <w:rFonts w:ascii="Helvetica;Arial;sans-serif" w:hAnsi="Helvetica;Arial;sans-serif"/>
          <w:sz w:val="17"/>
        </w:rPr>
      </w:pPr>
      <w:r>
        <w:rPr>
          <w:rFonts w:ascii="Helvetica;Arial;sans-serif" w:hAnsi="Helvetica;Arial;sans-serif"/>
          <w:sz w:val="17"/>
        </w:rPr>
        <w:t xml:space="preserve">Table of Contents </w:t>
      </w:r>
    </w:p>
    <w:tbl>
      <w:tblPr>
        <w:tblW w:w="5000" w:type="pct"/>
        <w:jc w:val="center"/>
        <w:tblInd w:w="0" w:type="dxa"/>
        <w:tblCellMar>
          <w:top w:w="0" w:type="dxa"/>
          <w:left w:w="0" w:type="dxa"/>
          <w:bottom w:w="0" w:type="dxa"/>
          <w:right w:w="0" w:type="dxa"/>
        </w:tblCellMar>
      </w:tblPr>
      <w:tblGrid>
        <w:gridCol w:w="973"/>
        <w:gridCol w:w="289"/>
        <w:gridCol w:w="6633"/>
        <w:gridCol w:w="289"/>
        <w:gridCol w:w="207"/>
        <w:gridCol w:w="264"/>
        <w:gridCol w:w="207"/>
        <w:gridCol w:w="1343"/>
      </w:tblGrid>
      <w:tr>
        <w:trPr/>
        <w:tc>
          <w:tcPr>
            <w:tcW w:w="973"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6633"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01">
              <w:r>
                <w:rPr>
                  <w:rStyle w:val="InternetLink"/>
                  <w:b/>
                </w:rPr>
                <w:t>Part 1</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r>
              <w:rPr/>
              <w:t> </w:t>
            </w:r>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r>
              <w:rPr/>
              <w:t> </w:t>
            </w:r>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r>
              <w:rPr/>
              <w:t> </w:t>
            </w:r>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02">
              <w:r>
                <w:rPr>
                  <w:rStyle w:val="InternetLink"/>
                </w:rPr>
                <w:t xml:space="preserve">Item 1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02">
              <w:r>
                <w:rPr>
                  <w:rStyle w:val="InternetLink"/>
                </w:rPr>
                <w:t xml:space="preserve">Business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4</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03">
              <w:r>
                <w:rPr>
                  <w:rStyle w:val="InternetLink"/>
                </w:rPr>
                <w:t xml:space="preserve">Item 1A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03">
              <w:r>
                <w:rPr>
                  <w:rStyle w:val="InternetLink"/>
                </w:rPr>
                <w:t xml:space="preserve">Risk Factors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9</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04">
              <w:r>
                <w:rPr>
                  <w:rStyle w:val="InternetLink"/>
                </w:rPr>
                <w:t xml:space="preserve">Item 1B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04">
              <w:r>
                <w:rPr>
                  <w:rStyle w:val="InternetLink"/>
                </w:rPr>
                <w:t xml:space="preserve">Unresolved Staff Comments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11</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05">
              <w:r>
                <w:rPr>
                  <w:rStyle w:val="InternetLink"/>
                </w:rPr>
                <w:t xml:space="preserve">Item 2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05">
              <w:r>
                <w:rPr>
                  <w:rStyle w:val="InternetLink"/>
                </w:rPr>
                <w:t xml:space="preserve">Properties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12</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06">
              <w:r>
                <w:rPr>
                  <w:rStyle w:val="InternetLink"/>
                </w:rPr>
                <w:t xml:space="preserve">Item 3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06">
              <w:r>
                <w:rPr>
                  <w:rStyle w:val="InternetLink"/>
                </w:rPr>
                <w:t xml:space="preserve">Legal Proceedings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12</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07">
              <w:r>
                <w:rPr>
                  <w:rStyle w:val="InternetLink"/>
                </w:rPr>
                <w:t xml:space="preserve">Item 4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07">
              <w:r>
                <w:rPr>
                  <w:rStyle w:val="InternetLink"/>
                </w:rPr>
                <w:t xml:space="preserve">Submission of Matters to a Vote of Security Holders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12</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r>
              <w:rPr/>
              <w:t> </w:t>
            </w:r>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r>
              <w:rPr/>
              <w:t> </w:t>
            </w:r>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08">
              <w:r>
                <w:rPr>
                  <w:rStyle w:val="InternetLink"/>
                  <w:b/>
                </w:rPr>
                <w:t>Part II</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r>
              <w:rPr/>
              <w:t> </w:t>
            </w:r>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r>
              <w:rPr/>
              <w:t> </w:t>
            </w:r>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r>
              <w:rPr/>
              <w:t> </w:t>
            </w:r>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09">
              <w:r>
                <w:rPr>
                  <w:rStyle w:val="InternetLink"/>
                </w:rPr>
                <w:t xml:space="preserve">Item 5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09">
              <w:r>
                <w:rPr>
                  <w:rStyle w:val="InternetLink"/>
                </w:rPr>
                <w:t xml:space="preserve">Market for Registrants Common Equity, Related Stockholder Matters and Issuer Purchases of Equity Securities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13</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10">
              <w:r>
                <w:rPr>
                  <w:rStyle w:val="InternetLink"/>
                </w:rPr>
                <w:t xml:space="preserve">Item 6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10">
              <w:r>
                <w:rPr>
                  <w:rStyle w:val="InternetLink"/>
                </w:rPr>
                <w:t xml:space="preserve">Selected Financial Data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15</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11">
              <w:r>
                <w:rPr>
                  <w:rStyle w:val="InternetLink"/>
                </w:rPr>
                <w:t xml:space="preserve">Item 7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11">
              <w:r>
                <w:rPr>
                  <w:rStyle w:val="InternetLink"/>
                </w:rPr>
                <w:t xml:space="preserve">Managements Discussion and Analysis of Financial Condition and Results of Operations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17</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12">
              <w:r>
                <w:rPr>
                  <w:rStyle w:val="InternetLink"/>
                </w:rPr>
                <w:t xml:space="preserve">Item 7A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12">
              <w:r>
                <w:rPr>
                  <w:rStyle w:val="InternetLink"/>
                </w:rPr>
                <w:t xml:space="preserve">Quantitative and Qualitative Disclosures About Market Risk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36</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13">
              <w:r>
                <w:rPr>
                  <w:rStyle w:val="InternetLink"/>
                </w:rPr>
                <w:t xml:space="preserve">Item 8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13">
              <w:r>
                <w:rPr>
                  <w:rStyle w:val="InternetLink"/>
                </w:rPr>
                <w:t xml:space="preserve">Financial Statements and Supplementary Data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38</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14">
              <w:r>
                <w:rPr>
                  <w:rStyle w:val="InternetLink"/>
                </w:rPr>
                <w:t xml:space="preserve">Item 9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14">
              <w:r>
                <w:rPr>
                  <w:rStyle w:val="InternetLink"/>
                </w:rPr>
                <w:t xml:space="preserve">Changes in and Disagreements with Accountants on Accounting and Financial Disclosure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38</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15">
              <w:r>
                <w:rPr>
                  <w:rStyle w:val="InternetLink"/>
                </w:rPr>
                <w:t xml:space="preserve">Item 9A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15">
              <w:r>
                <w:rPr>
                  <w:rStyle w:val="InternetLink"/>
                </w:rPr>
                <w:t xml:space="preserve">Controls and Procedures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38</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16">
              <w:r>
                <w:rPr>
                  <w:rStyle w:val="InternetLink"/>
                </w:rPr>
                <w:t xml:space="preserve">Item 9B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16">
              <w:r>
                <w:rPr>
                  <w:rStyle w:val="InternetLink"/>
                </w:rPr>
                <w:t xml:space="preserve">Other Information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39</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r>
              <w:rPr/>
              <w:t> </w:t>
            </w:r>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r>
              <w:rPr/>
              <w:t> </w:t>
            </w:r>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17">
              <w:r>
                <w:rPr>
                  <w:rStyle w:val="InternetLink"/>
                  <w:b/>
                </w:rPr>
                <w:t>Part III</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r>
              <w:rPr/>
              <w:t> </w:t>
            </w:r>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r>
              <w:rPr/>
              <w:t> </w:t>
            </w:r>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r>
              <w:rPr/>
              <w:t> </w:t>
            </w:r>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18">
              <w:r>
                <w:rPr>
                  <w:rStyle w:val="InternetLink"/>
                </w:rPr>
                <w:t xml:space="preserve">Item 10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18">
              <w:r>
                <w:rPr>
                  <w:rStyle w:val="InternetLink"/>
                </w:rPr>
                <w:t xml:space="preserve">Directors and Executive Officers of the Registrant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39</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19">
              <w:r>
                <w:rPr>
                  <w:rStyle w:val="InternetLink"/>
                </w:rPr>
                <w:t xml:space="preserve">Item 11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19">
              <w:r>
                <w:rPr>
                  <w:rStyle w:val="InternetLink"/>
                </w:rPr>
                <w:t xml:space="preserve">Executive Compensation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39</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20">
              <w:r>
                <w:rPr>
                  <w:rStyle w:val="InternetLink"/>
                </w:rPr>
                <w:t xml:space="preserve">Item 12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20">
              <w:r>
                <w:rPr>
                  <w:rStyle w:val="InternetLink"/>
                </w:rPr>
                <w:t xml:space="preserve">Security Ownership of Certain Beneficial Owners and Management and Related Stockholder Matters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39</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21">
              <w:r>
                <w:rPr>
                  <w:rStyle w:val="InternetLink"/>
                </w:rPr>
                <w:t xml:space="preserve">Item 13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21">
              <w:r>
                <w:rPr>
                  <w:rStyle w:val="InternetLink"/>
                </w:rPr>
                <w:t xml:space="preserve">Certain Relationships and Related Transactions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40</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22">
              <w:r>
                <w:rPr>
                  <w:rStyle w:val="InternetLink"/>
                </w:rPr>
                <w:t xml:space="preserve">Item 14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22">
              <w:r>
                <w:rPr>
                  <w:rStyle w:val="InternetLink"/>
                </w:rPr>
                <w:t xml:space="preserve">Principal Accountant Fees and Services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40</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r>
              <w:rPr/>
              <w:t> </w:t>
            </w:r>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r>
              <w:rPr/>
              <w:t> </w:t>
            </w:r>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23">
              <w:r>
                <w:rPr>
                  <w:rStyle w:val="InternetLink"/>
                  <w:b/>
                </w:rPr>
                <w:t>Part IV</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r>
              <w:rPr/>
              <w:t> </w:t>
            </w:r>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r>
              <w:rPr/>
              <w:t> </w:t>
            </w:r>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r>
              <w:rPr/>
              <w:t> </w:t>
            </w:r>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973" w:type="dxa"/>
            <w:tcBorders/>
            <w:shd w:fill="auto" w:val="clear"/>
          </w:tcPr>
          <w:p>
            <w:pPr>
              <w:pStyle w:val="TableContents"/>
              <w:spacing w:before="0" w:after="0"/>
              <w:ind w:left="0" w:right="0" w:hanging="0"/>
              <w:rPr/>
            </w:pPr>
            <w:hyperlink w:anchor="124">
              <w:r>
                <w:rPr>
                  <w:rStyle w:val="InternetLink"/>
                </w:rPr>
                <w:t xml:space="preserve">Item 15 </w:t>
              </w:r>
            </w:hyperlink>
          </w:p>
        </w:tc>
        <w:tc>
          <w:tcPr>
            <w:tcW w:w="289"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jc w:val="left"/>
              <w:rPr/>
            </w:pPr>
            <w:hyperlink w:anchor="124">
              <w:r>
                <w:rPr>
                  <w:rStyle w:val="InternetLink"/>
                </w:rPr>
                <w:t xml:space="preserve">Exhibits and Financial Statement Schedules </w:t>
              </w:r>
            </w:hyperlink>
          </w:p>
        </w:tc>
        <w:tc>
          <w:tcPr>
            <w:tcW w:w="28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right"/>
              <w:rPr/>
            </w:pPr>
            <w:r>
              <w:rPr/>
              <w:t>41</w:t>
            </w:r>
          </w:p>
        </w:tc>
        <w:tc>
          <w:tcPr>
            <w:tcW w:w="207" w:type="dxa"/>
            <w:tcBorders/>
            <w:shd w:fill="auto" w:val="clear"/>
            <w:vAlign w:val="bottom"/>
          </w:tcPr>
          <w:p>
            <w:pPr>
              <w:pStyle w:val="TableContents"/>
              <w:spacing w:before="0" w:after="283"/>
              <w:rPr/>
            </w:pPr>
            <w:r>
              <w:rPr/>
              <w:t> </w:t>
            </w:r>
          </w:p>
        </w:tc>
        <w:tc>
          <w:tcPr>
            <w:tcW w:w="1343" w:type="dxa"/>
            <w:tcBorders/>
            <w:shd w:fill="auto" w:val="clear"/>
          </w:tcPr>
          <w:p>
            <w:pPr>
              <w:pStyle w:val="TableContents"/>
              <w:spacing w:before="0" w:after="283"/>
              <w:rPr>
                <w:sz w:val="4"/>
                <w:szCs w:val="4"/>
              </w:rPr>
            </w:pPr>
            <w:r>
              <w:rPr>
                <w:sz w:val="4"/>
                <w:szCs w:val="4"/>
              </w:rPr>
            </w:r>
          </w:p>
        </w:tc>
      </w:tr>
      <w:tr>
        <w:trPr/>
        <w:tc>
          <w:tcPr>
            <w:tcW w:w="10205" w:type="dxa"/>
            <w:gridSpan w:val="8"/>
            <w:tcBorders/>
            <w:shd w:fill="auto" w:val="clear"/>
            <w:vAlign w:val="center"/>
          </w:tcPr>
          <w:p>
            <w:pPr>
              <w:pStyle w:val="TableContents"/>
              <w:spacing w:before="0" w:after="283"/>
              <w:rPr/>
            </w:pPr>
            <w:r>
              <w:rPr/>
              <w:t> </w:t>
            </w:r>
            <w:hyperlink w:anchor="c03419exv21w1.htm">
              <w:r>
                <w:rPr>
                  <w:rStyle w:val="InternetLink"/>
                  <w:sz w:val="20"/>
                </w:rPr>
                <w:t>List of Subsidiaries</w:t>
              </w:r>
            </w:hyperlink>
          </w:p>
        </w:tc>
      </w:tr>
      <w:tr>
        <w:trPr/>
        <w:tc>
          <w:tcPr>
            <w:tcW w:w="10205" w:type="dxa"/>
            <w:gridSpan w:val="8"/>
            <w:tcBorders/>
            <w:shd w:fill="auto" w:val="clear"/>
            <w:vAlign w:val="center"/>
          </w:tcPr>
          <w:p>
            <w:pPr>
              <w:pStyle w:val="TableContents"/>
              <w:spacing w:before="0" w:after="283"/>
              <w:rPr/>
            </w:pPr>
            <w:r>
              <w:rPr/>
              <w:t> </w:t>
            </w:r>
            <w:hyperlink w:anchor="c03419exv23w1.htm">
              <w:r>
                <w:rPr>
                  <w:rStyle w:val="InternetLink"/>
                  <w:sz w:val="20"/>
                </w:rPr>
                <w:t>Consent of McGladrey &amp; Pullen, LLP</w:t>
              </w:r>
            </w:hyperlink>
          </w:p>
        </w:tc>
      </w:tr>
      <w:tr>
        <w:trPr/>
        <w:tc>
          <w:tcPr>
            <w:tcW w:w="10205" w:type="dxa"/>
            <w:gridSpan w:val="8"/>
            <w:tcBorders/>
            <w:shd w:fill="auto" w:val="clear"/>
            <w:vAlign w:val="center"/>
          </w:tcPr>
          <w:p>
            <w:pPr>
              <w:pStyle w:val="TableContents"/>
              <w:spacing w:before="0" w:after="283"/>
              <w:rPr/>
            </w:pPr>
            <w:r>
              <w:rPr/>
              <w:t> </w:t>
            </w:r>
            <w:hyperlink w:anchor="c03419exv31w1.htm">
              <w:r>
                <w:rPr>
                  <w:rStyle w:val="InternetLink"/>
                  <w:sz w:val="20"/>
                </w:rPr>
                <w:t>Certification of Principal Executive Officer</w:t>
              </w:r>
            </w:hyperlink>
          </w:p>
        </w:tc>
      </w:tr>
      <w:tr>
        <w:trPr/>
        <w:tc>
          <w:tcPr>
            <w:tcW w:w="10205" w:type="dxa"/>
            <w:gridSpan w:val="8"/>
            <w:tcBorders/>
            <w:shd w:fill="auto" w:val="clear"/>
            <w:vAlign w:val="center"/>
          </w:tcPr>
          <w:p>
            <w:pPr>
              <w:pStyle w:val="TableContents"/>
              <w:spacing w:before="0" w:after="283"/>
              <w:rPr/>
            </w:pPr>
            <w:r>
              <w:rPr/>
              <w:t> </w:t>
            </w:r>
            <w:hyperlink w:anchor="c03419exv31w2.htm">
              <w:r>
                <w:rPr>
                  <w:rStyle w:val="InternetLink"/>
                  <w:sz w:val="20"/>
                </w:rPr>
                <w:t>Certification of Principal Financial Officer</w:t>
              </w:r>
            </w:hyperlink>
          </w:p>
        </w:tc>
      </w:tr>
      <w:tr>
        <w:trPr/>
        <w:tc>
          <w:tcPr>
            <w:tcW w:w="10205" w:type="dxa"/>
            <w:gridSpan w:val="8"/>
            <w:tcBorders/>
            <w:shd w:fill="auto" w:val="clear"/>
            <w:vAlign w:val="center"/>
          </w:tcPr>
          <w:p>
            <w:pPr>
              <w:pStyle w:val="TableContents"/>
              <w:spacing w:before="0" w:after="283"/>
              <w:rPr/>
            </w:pPr>
            <w:r>
              <w:rPr/>
              <w:t> </w:t>
            </w:r>
            <w:hyperlink w:anchor="c03419exv32w1.htm">
              <w:r>
                <w:rPr>
                  <w:rStyle w:val="InternetLink"/>
                  <w:sz w:val="20"/>
                </w:rPr>
                <w:t>906 Certification of Chief Executive Officer</w:t>
              </w:r>
            </w:hyperlink>
          </w:p>
        </w:tc>
      </w:tr>
      <w:tr>
        <w:trPr/>
        <w:tc>
          <w:tcPr>
            <w:tcW w:w="10205" w:type="dxa"/>
            <w:gridSpan w:val="8"/>
            <w:tcBorders/>
            <w:shd w:fill="auto" w:val="clear"/>
            <w:vAlign w:val="center"/>
          </w:tcPr>
          <w:p>
            <w:pPr>
              <w:pStyle w:val="TableContents"/>
              <w:spacing w:before="0" w:after="283"/>
              <w:rPr/>
            </w:pPr>
            <w:r>
              <w:rPr/>
              <w:t> </w:t>
            </w:r>
            <w:hyperlink w:anchor="c03419exv32w2.htm">
              <w:r>
                <w:rPr>
                  <w:rStyle w:val="InternetLink"/>
                  <w:sz w:val="20"/>
                </w:rPr>
                <w:t>906 Certification of Chief Financial Officer</w:t>
              </w:r>
            </w:hyperlink>
          </w:p>
        </w:tc>
      </w:tr>
    </w:tbl>
    <w:p>
      <w:pPr>
        <w:pStyle w:val="TextBody"/>
        <w:jc w:val="center"/>
        <w:rPr>
          <w:rFonts w:ascii="Helvetica;Arial;sans-serif" w:hAnsi="Helvetica;Arial;sans-serif"/>
          <w:sz w:val="17"/>
        </w:rPr>
      </w:pPr>
      <w:r>
        <w:rPr>
          <w:rFonts w:ascii="Helvetica;Arial;sans-serif" w:hAnsi="Helvetica;Arial;san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bookmarkStart w:id="3" w:name="101"/>
      <w:bookmarkEnd w:id="3"/>
      <w:r>
        <w:rPr>
          <w:rFonts w:ascii="Helvetica;Arial;sans-serif" w:hAnsi="Helvetica;Arial;sans-serif"/>
          <w:b/>
          <w:sz w:val="17"/>
        </w:rPr>
        <w:t>Part I</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bookmarkStart w:id="4" w:name="102"/>
      <w:bookmarkEnd w:id="4"/>
      <w:r>
        <w:rPr>
          <w:rFonts w:ascii="Helvetica;Arial;sans-serif" w:hAnsi="Helvetica;Arial;sans-serif"/>
          <w:b/>
          <w:sz w:val="17"/>
        </w:rPr>
        <w:t>Item 1. Business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sz w:val="17"/>
        </w:rPr>
        <w:t>Introduction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Corporation (First Busey or the Corporation), a Nevada Corporation, is a $2.263 billion financial holding company which was initially organized as a bank holding company in 1980. First Busey conducts a broad range of financial services through its banking and non-banking subsidiaries at 32 locations. First Busey is headquartered in Urbana, Illinois and its common stock is traded on The Nasdaq Stock Market under the symbol BUSE. </w:t>
      </w:r>
    </w:p>
    <w:p>
      <w:pPr>
        <w:pStyle w:val="TextBody"/>
        <w:spacing w:before="240" w:after="283"/>
        <w:jc w:val="left"/>
        <w:rPr>
          <w:rFonts w:ascii="Helvetica;Arial;sans-serif" w:hAnsi="Helvetica;Arial;sans-serif"/>
          <w:sz w:val="17"/>
        </w:rPr>
      </w:pPr>
      <w:r>
        <w:rPr>
          <w:rFonts w:ascii="Helvetica;Arial;sans-serif" w:hAnsi="Helvetica;Arial;sans-serif"/>
          <w:b/>
          <w:sz w:val="17"/>
        </w:rPr>
        <w:t>Banking And Non-Banking Subsidiaries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currently has two wholly-owned banking subsidiaries located in three states, Busey Bank and Busey Bank , National Association (the Banks).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Busey Bank, a state-chartered bank organized in 1868, is a full-service commercial bank offering a wide variety of services to individual, business, institutional and governmental customers, including retail products and services. Busey Bank has 25 locations in Illinois and one in Indianapolis, Indiana.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acquired Eagle BancGroup, Inc., parent of First Federal Savings &amp; Loan Association (First Federal), in October, 1999. First Federal, located in Bloomington, Illinois, was established in 1919 as a federally chartered capital stock savings association. In June, 2000, First Federal changed its name to Busey Bank fsb. At the same time, four of Busey Banks branches, located in LeRoy and Bloomington, Illinois, were transferred to Busey Bank fsb. In October, 2000, Busey Bank fsb opened an additional branch in Fort Myers, Florida. In November, 2001, Busey Bank fsb transferred its charter to Florida, and changed its name to Busey Bank Florida. Simultaneously, the Illinois assets of Busey Bank fsb were merged into Busey Bank.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acquired First Capital Bankshares, Inc., parent of First Capital Bank on June 1, 2004. First Capital Bank merged into Busey Bank, bringing all Illinois banking operations under one bank charter.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July 29, 2005, First Busey acquired Tarpon Coast Bancorp, Inc., parent of Tarpon Coast National Bank and its subsidiary Tarpon Coast Financial Services. At the close of business on February 17, 2006, Busey Bank Florida merged into Tarpon Coast National Bank, and the surviving banks name changed to Busey Bank, National Association (Busey Bank, N.A.) consolidating all Florida banking activities under one charter. Busey Bank, N.A. is a federally-chartered bank based in Port Charlotte, Florida. The bank has one other branch location in Charlotte, County Florida, two branches in Sarasota County, Florida, and three branches in Lee County, Florida. The bank will continue to operate under the name, Tarpon Coast National Bank, in its Charlotte County and Sarasota County locations. All other Florida locations began operating under the new name on February 18, 2006.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Banks offer a full range of banking services, including commercial, financial, agricultural and real estate loans, and retail banking services, including accepting customary types of demand and savings deposits, making individual, consumer, installment, first mortgage and second mortgage loans, offering money transfers, safe deposit services, IRA, Keogh and other fiduciary services, automated banking and automated fund transfers.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Busey Investment Group, Inc., a wholly owned non-banking subsidiary, is located in Champaign, Illinois. Busey Investment Group is the parent company of: (1) First Busey Trust &amp; Investment Co., which provides a full range of trust and investment management services, including estate and financial planning, tax preparation, custody services and philanthropic advisory services; (2) First Busey Securities, Inc., which is a full-service broker/dealer and provides individual investment advice; and (3) Busey Insurance Services, Inc., which offers a variety of insurance products. Busey Capital Management is a wholly-owned subsidiary of First Busey Trust &amp; Investment Co.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Resources, Inc., a wholly owned non-banking subsidiary, located in Urbana, Illinois, owns and manages one real estate property which is not currently used in banking activities. </w:t>
      </w:r>
    </w:p>
    <w:p>
      <w:pPr>
        <w:pStyle w:val="TextBody"/>
        <w:jc w:val="center"/>
        <w:rPr>
          <w:rFonts w:ascii="Helvetica;Arial;sans-serif" w:hAnsi="Helvetica;Arial;sans-serif"/>
          <w:sz w:val="17"/>
        </w:rPr>
      </w:pPr>
      <w:r>
        <w:rPr>
          <w:rFonts w:ascii="Helvetica;Arial;sans-serif" w:hAnsi="Helvetica;Arial;san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Capital Trust I (Capital Trust I), a statutory business trust organized under the Delaware Business Trust Act, was formed in June, 2001. First Busey owns all of the Common Securities of Capital Trust I.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Statutory Trust II, a statutory business trust, was organized in the state of Connecticut in April, 2004. First Busey owns all of the common securities of First Busey Statutory Trust II.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Statutory Trust III, a statutory business trust was organized in the state of Delaware in June, 2005. First Busey owns all of the common securities of First Busey Statutory Trust III. </w:t>
      </w:r>
    </w:p>
    <w:p>
      <w:pPr>
        <w:pStyle w:val="TextBody"/>
        <w:spacing w:before="240" w:after="283"/>
        <w:jc w:val="left"/>
        <w:rPr>
          <w:rFonts w:ascii="Helvetica;Arial;sans-serif" w:hAnsi="Helvetica;Arial;sans-serif"/>
          <w:sz w:val="17"/>
        </w:rPr>
      </w:pPr>
      <w:r>
        <w:rPr>
          <w:rFonts w:ascii="Helvetica;Arial;sans-serif" w:hAnsi="Helvetica;Arial;sans-serif"/>
          <w:b/>
          <w:sz w:val="17"/>
        </w:rPr>
        <w:t>Competition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Banks compete actively with national and state banks, savings and loan associations and credit unions for deposits and loans primarily in central and east-central Illinois, southwest Florida, and central Indiana. In addition, First Busey and its non-bank subsidiaries compete with other financial institutions, including asset management and trust companies, security broker/dealers, personal loan companies, insurance companies, finance companies, leasing companies, mortgage companies, and certain governmental agencies, all of which actively engage in marketing various types of loans, deposit accounts, and other products and services.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Based on information obtained from FDIC/OTS Summary of Deposits dated June, 2005, First Busey ranked first in total deposits in Champaign County, second in Ford County, fourth in McLean County, and seventh in Peoria County. Customers for banking services are generally influenced by convenience, quality of service, personal contacts, price of services and availability of products. Although the market share of First Busey varies in different markets, First Busey believes that its affiliates effectively compete with other banks, thrifts and financial institutions in their relevant market areas. </w:t>
      </w:r>
    </w:p>
    <w:p>
      <w:pPr>
        <w:pStyle w:val="TextBody"/>
        <w:spacing w:before="240" w:after="283"/>
        <w:jc w:val="left"/>
        <w:rPr>
          <w:rFonts w:ascii="Helvetica;Arial;sans-serif" w:hAnsi="Helvetica;Arial;sans-serif"/>
          <w:sz w:val="17"/>
        </w:rPr>
      </w:pPr>
      <w:r>
        <w:rPr>
          <w:rFonts w:ascii="Helvetica;Arial;sans-serif" w:hAnsi="Helvetica;Arial;sans-serif"/>
          <w:b/>
          <w:sz w:val="17"/>
        </w:rPr>
        <w:t>Supervision, Regulation and Other Factors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i/>
          <w:sz w:val="17"/>
        </w:rPr>
        <w:t>General</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is a financial holding company subject to supervision and regulation by the Board of Governors of the Federal Reserve System (Federal Reserve) under the Bank Holding Company Act (BHCA) and by the Illinois Bank Holding Company Act (IBHCA). Busey Bank, a state-chartered bank is subject to regulation and examination primarily by the State of Illinois Office of Banks and Real Estate (SIOBRE) and, secondarily, by the Federal Deposit Insurance Corporation (FDIC). Busey Bank Florida is a federally chartered capital stock savings association and is subject to regulation and examination primarily by the Office of Thrift Supervision (OTS) and, secondarily, by the FDIC. Tarpon Coast National Bank is a federally chartered bank and is subject to regulation and examination primarily by the Office of the Controller of the Currency (OCC) and secondarily by the FDIC. Numerous other federal and state laws, as well as regulations promulgated by the Federal Reserve, SIOBRE, FDIC, OCC, and OTS govern almost all aspects of the operations of the Banks. Various federal and state bodies regulate and supervise First Buseys non-banking subsidiaries including its brokerage, investment advisory and insurance agency operations. These include, but are not limited to, SIOBRE, Federal Reserve, Securities and Exchange Commission, National Association of Securities Dealers, Inc., Illinois Department of Insurance, federal and state banking regulators and various state regulators of insurance and brokerage activities.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Under the Gramm-Leach-Bliley Act (the Act), a bank holding company that elects to become a financial holding company may engage in any activity that the Federal Reserve, in consultation with the Secretary of the Treasury, determines by regulation or order is: (1) financial in nature; (2) incidental to any such financial activity; or (3) complementary to any such financial activity and does not pose a substantial risk to the safety or soundness of depository institutions or the financial system generally. This Act makes significant changes in U.S. banking law, principally by repealing certain restrictive provisions of the 1933 Glass-Steagall Act. The Act specifies certain activities that are deemed to be financial in nature, including lending, exchanging, transferring, investing for others, or safeguarding money or securities; underwriting and selling insurance; providing financial, investment, or economic advisory services; underwriting, dealing in, or making a market in, securities; and any activity currently permitted for bank holding companies by the Federal Reserve under Section 4(c)(8) of the BHCA. The Act does not authorize </w:t>
      </w:r>
    </w:p>
    <w:p>
      <w:pPr>
        <w:pStyle w:val="TextBody"/>
        <w:jc w:val="center"/>
        <w:rPr>
          <w:rFonts w:ascii="Helvetica;Arial;sans-serif" w:hAnsi="Helvetica;Arial;sans-serif"/>
          <w:sz w:val="17"/>
        </w:rPr>
      </w:pPr>
      <w:r>
        <w:rPr>
          <w:rFonts w:ascii="Helvetica;Arial;sans-serif" w:hAnsi="Helvetica;Arial;san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banks or their affiliates to engage in commercial activities that are not financial in nature. A bank holding company may elect to be treated as a financial holding company only if all depository institution subsidiaries of the holding company are well-capitalized, well-managed and have at least a satisfactory rating under the Community Reinvestment Act.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addition to the Act, there have been a number of legislative and regulatory proposals that would have an impact on bank/financial holding companies and their bank and non-bank subsidiaries. It is impossible to predict whether or in what form these proposals may be adopted in the future and if adopted, what their effect will be on First Busey. </w:t>
      </w:r>
    </w:p>
    <w:p>
      <w:pPr>
        <w:pStyle w:val="TextBody"/>
        <w:spacing w:before="240" w:after="283"/>
        <w:jc w:val="left"/>
        <w:rPr>
          <w:rFonts w:ascii="Helvetica;Arial;sans-serif" w:hAnsi="Helvetica;Arial;sans-serif"/>
          <w:sz w:val="17"/>
        </w:rPr>
      </w:pPr>
      <w:r>
        <w:rPr>
          <w:rFonts w:ascii="Helvetica;Arial;sans-serif" w:hAnsi="Helvetica;Arial;sans-serif"/>
          <w:b/>
          <w:i/>
          <w:sz w:val="17"/>
        </w:rPr>
        <w:t>Dividends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Federal Reserve has issued a policy statement on the payment of cash dividends by financial holding companies. In the policy statement, the Federal Reserve expressed its view that a bank holding company experiencing weak earnings should not pay cash dividends in excess of its net income or which could only be funded in ways that would weaken its financial health, such as by borrowing. First Busey is also subject to certain contractual and regulatory capital restrictions that limit the amount of cash dividends that First Busey may pay. The Federal Reserve also may impose limitations on the payment of dividends as a condition to its approval of certain applications, including applications for approval of mergers and acquisitions.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primary sources of funds for First Buseys payment of dividends to its shareholders are dividends and fees to First Busey from its banking and nonbanking affiliates. Various federal and state statutory provisions and regulations limit the amount of dividends the subsidiary banks of First Busey may pay. Under provisions of the Illinois Banking Act (IBA), dividends may not be declared by banking subsidiaries except out of the banks net profit (as defined), and unless the bank has transferred to surplus at least one-tenth of its net profits since the date of the declaration of the last preceding dividend, until the amount of its surplus is at least equal to its capital.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Federal and state banking regulations applicable to First Busey and its banking subsidiaries require minimum levels of capital, which limit the amounts available for payment of dividends. </w:t>
      </w:r>
    </w:p>
    <w:p>
      <w:pPr>
        <w:pStyle w:val="TextBody"/>
        <w:spacing w:before="240" w:after="283"/>
        <w:jc w:val="left"/>
        <w:rPr>
          <w:rFonts w:ascii="Helvetica;Arial;sans-serif" w:hAnsi="Helvetica;Arial;sans-serif"/>
          <w:sz w:val="17"/>
        </w:rPr>
      </w:pPr>
      <w:r>
        <w:rPr>
          <w:rFonts w:ascii="Helvetica;Arial;sans-serif" w:hAnsi="Helvetica;Arial;sans-serif"/>
          <w:b/>
          <w:i/>
          <w:sz w:val="17"/>
        </w:rPr>
        <w:t>Capital Requirements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is required to comply with the capital adequacy standards established by the Federal Reserve, and its banking subsidiaries must comply with similar capital adequacy standards established by the OTS, OCC, FDIC, and SIOBRE, as applicable. There are two basic measures of capital adequacy for financial holding companies and their banking subsidiaries that have been promulgated by the Federal Reserve and the FDIC: a risk-based measure and a leverage measure. All applicable capital standards must be satisfied for a bank holding company or a bank to be considered in compliance.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Failure to meet capital guidelines could subject a bank to a variety of enforcement remedies, including issuance of a capital directive, the termination of deposit insurance by the FDIC, a prohibition on the taking of brokered deposits, and certain other restrictions on its business. As described below, substantial additional restrictions can be imposed upon FDIC insured depository institutions that fail to meet applicable capital requirements. See Prompt Corrective Action. </w:t>
      </w:r>
    </w:p>
    <w:p>
      <w:pPr>
        <w:pStyle w:val="TextBody"/>
        <w:spacing w:before="240" w:after="283"/>
        <w:jc w:val="left"/>
        <w:rPr>
          <w:rFonts w:ascii="Helvetica;Arial;sans-serif" w:hAnsi="Helvetica;Arial;sans-serif"/>
          <w:sz w:val="17"/>
        </w:rPr>
      </w:pPr>
      <w:r>
        <w:rPr>
          <w:rFonts w:ascii="Helvetica;Arial;sans-serif" w:hAnsi="Helvetica;Arial;sans-serif"/>
          <w:b/>
          <w:i/>
          <w:sz w:val="17"/>
        </w:rPr>
        <w:t>Prompt Corrective Action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Federal Deposit Insurance Corporation Improvement Act of 1991 (FDICIA) establishes a system of prompt corrective action to resolve the problems of undercapitalized institutions. Under this system the federal banking regulators are required to rate supervised institutions on the basis of five capital categories (well capitalized, adequately capitalized, undercapitalized, significantly undercapitalized, and critically undercapitalized) and to take certain mandatory supervisory actions, and are authorized to take other discretionary actions, with respect to institutions in the three undercapitalized categories, the severity of which will depend upon the capital category in which the institution is placed. Generally, subject to a narrow exception, FDICIA requires the banking regulator to appoint a receiver or conservator for an institution that is critically undercapitalized. The federal banking agencies have specified by regulation the relevant capital level for each category. </w:t>
      </w:r>
    </w:p>
    <w:p>
      <w:pPr>
        <w:pStyle w:val="TextBody"/>
        <w:jc w:val="center"/>
        <w:rPr>
          <w:rFonts w:ascii="Helvetica;Arial;sans-serif" w:hAnsi="Helvetica;Arial;sans-serif"/>
          <w:sz w:val="17"/>
        </w:rPr>
      </w:pPr>
      <w:r>
        <w:rPr>
          <w:rFonts w:ascii="Helvetica;Arial;sans-serif" w:hAnsi="Helvetica;Arial;san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Pursuant to FDICIA, the Federal Reserve, the FDIC, and the OTS have adopted regulations setting forth a five-tier scheme for measuring the capital adequacy of the financial institutions they supervise. Under the regulations, an institution would be placed in one of the following capital categories: (i) well capitalized (an institution that has a Total Capital ratio of at least 10%, a Tier 1 Capital ratio of at least 6% and a Tier 1 Leverage Ratio of at least 5%); (ii) adequately capitalized (an institution that has a Total Capital ratio of at least 8%, a Tier 1 Capital ratio of at least 4% and a Tier 1 Leverage Ratio of a least 4%); (iii) undercapitalized (an institution that has a Total Capital ratio of under 8%, a Tier 1 Capital ratio of under 4% or a Tier 1 Leverage Ratio of under 4%); (iv) significantly undercapitalized (an institution that has a Total Capital ratio of under 6%, a Tier 1 Capital ratio of under 3% or a Tier 1 Leverage Ratio of under 3%); and (v) critically undercapitalized (an institution whose tangible equity is not greater than 2% of total tangible assets). The regulations permit the appropriate federal banking regulator to downgrade an institution to the next lower category if the regulator determines (i) after notice and opportunity for hearing or response, that the institution is in an unsafe or unsound condition or (ii) that the institution has received (and not corrected) a less-than-satisfactory rating for any of the categories of asset quality, management, earnings or liquidity in its most recent examination. Supervisory actions by the appropriate federal banking regulator depend upon an institutions classification within the five categories. First Buseys management believes that First Busey and its significant bank subsidiaries have the requisite capital levels to qualify as well capitalized institutions under the FDICIA regulations.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FDICIA generally prohibits a depository institution from making any capital distribution (including payment of a dividend) or paying any management fee to its holding company if the depository institution would thereafter be undercapitalized. Undercapitalized depository institutions are subject to restrictions on borrowing from the Federal Reserve System. In addition, undercapitalized depository institutions are subject to growth limitations and are required to submit capital restoration plans. A depository institutions holding company must guarantee the capital plan, up to an amount equal to the lesser of 5% of the depository institutions assets at the time it becomes undercapitalized or the amount of the capital deficiency when the institution fails to comply with the plan. Federal banking agencies may not accept a capital plan without determining, among other things, that the plan is based on realistic assumptions and is likely to succeed in restoring the depository institutions capital. If a depository institution fails to submit an acceptable plan, it is treated as if it is significantly undercapitalized.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Significantly undercapitalized depository institutions may be subject to a number of requirements and restrictions, including orders to sell sufficient voting stock to become adequately capitalized, requirements to reduce total assets and cessation of receipt of deposits from correspondent banks. Critically undercapitalized depository institutions are subject to appointment of a receiver or conservator. </w:t>
      </w:r>
    </w:p>
    <w:p>
      <w:pPr>
        <w:pStyle w:val="TextBody"/>
        <w:spacing w:before="240" w:after="283"/>
        <w:jc w:val="left"/>
        <w:rPr>
          <w:rFonts w:ascii="Helvetica;Arial;sans-serif" w:hAnsi="Helvetica;Arial;sans-serif"/>
          <w:sz w:val="17"/>
        </w:rPr>
      </w:pPr>
      <w:r>
        <w:rPr>
          <w:rFonts w:ascii="Helvetica;Arial;sans-serif" w:hAnsi="Helvetica;Arial;sans-serif"/>
          <w:b/>
          <w:sz w:val="17"/>
        </w:rPr>
        <w:t>Employees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 of December 31, 2005, First Busey and its subsidiaries had a total of 608 employees (full-time and equivalents). </w:t>
      </w:r>
    </w:p>
    <w:p>
      <w:pPr>
        <w:pStyle w:val="TextBody"/>
        <w:spacing w:before="240" w:after="283"/>
        <w:jc w:val="left"/>
        <w:rPr>
          <w:rFonts w:ascii="Helvetica;Arial;sans-serif" w:hAnsi="Helvetica;Arial;sans-serif"/>
          <w:sz w:val="17"/>
        </w:rPr>
      </w:pPr>
      <w:r>
        <w:rPr>
          <w:rFonts w:ascii="Helvetica;Arial;sans-serif" w:hAnsi="Helvetica;Arial;sans-serif"/>
          <w:b/>
          <w:sz w:val="17"/>
        </w:rPr>
        <w:t>Executive Officers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Following is a description of the business experience for at least the past five years of the executive officers of the Corporation. </w:t>
      </w:r>
    </w:p>
    <w:p>
      <w:pPr>
        <w:pStyle w:val="TextBody"/>
        <w:spacing w:before="120" w:after="283"/>
        <w:jc w:val="left"/>
        <w:rPr>
          <w:rFonts w:ascii="Helvetica;Arial;sans-serif" w:hAnsi="Helvetica;Arial;sans-serif"/>
          <w:sz w:val="17"/>
        </w:rPr>
      </w:pPr>
      <w:r>
        <w:rPr>
          <w:rFonts w:ascii="Helvetica;Arial;sans-serif" w:hAnsi="Helvetica;Arial;sans-serif"/>
          <w:b/>
          <w:sz w:val="17"/>
        </w:rPr>
        <w:t xml:space="preserve">Douglas C. Mills. </w:t>
      </w:r>
      <w:r>
        <w:rPr>
          <w:rFonts w:ascii="Helvetica;Arial;sans-serif" w:hAnsi="Helvetica;Arial;sans-serif"/>
          <w:sz w:val="17"/>
        </w:rPr>
        <w:t xml:space="preserve">Mr. Mills, age 65, has served as Chairman of the Board and Chief Executive Officer of First Busey Corporation since its incorporation. He has been associated with Busey Bank since 1971 when he assumed the position of Chairman of the Board. Mr. Mills son is David D. Mills, President of Busey Bank. </w:t>
      </w:r>
    </w:p>
    <w:p>
      <w:pPr>
        <w:pStyle w:val="TextBody"/>
        <w:spacing w:before="120" w:after="283"/>
        <w:jc w:val="left"/>
        <w:rPr>
          <w:rFonts w:ascii="Helvetica;Arial;sans-serif" w:hAnsi="Helvetica;Arial;sans-serif"/>
          <w:sz w:val="17"/>
        </w:rPr>
      </w:pPr>
      <w:r>
        <w:rPr>
          <w:rFonts w:ascii="Helvetica;Arial;sans-serif" w:hAnsi="Helvetica;Arial;sans-serif"/>
          <w:b/>
          <w:sz w:val="17"/>
        </w:rPr>
        <w:t xml:space="preserve">Barbara J. Kuhl. </w:t>
      </w:r>
      <w:r>
        <w:rPr>
          <w:rFonts w:ascii="Helvetica;Arial;sans-serif" w:hAnsi="Helvetica;Arial;sans-serif"/>
          <w:sz w:val="17"/>
        </w:rPr>
        <w:t xml:space="preserve">Mrs. Kuhl, age 55, has served as President and Chief Operating Officer of First Busey Corporation since November, 2000. Previously, Mrs. Kuhl served in various management capacities since joining Busey Bank in 1974. Mrs. Kuhl is married to P. David Kuhl, Chairman of the Board and Chief Executive Officer of Busey Bank. </w:t>
      </w:r>
    </w:p>
    <w:p>
      <w:pPr>
        <w:pStyle w:val="TextBody"/>
        <w:spacing w:before="120" w:after="283"/>
        <w:jc w:val="left"/>
        <w:rPr>
          <w:rFonts w:ascii="Helvetica;Arial;sans-serif" w:hAnsi="Helvetica;Arial;sans-serif"/>
          <w:sz w:val="17"/>
        </w:rPr>
      </w:pPr>
      <w:r>
        <w:rPr>
          <w:rFonts w:ascii="Helvetica;Arial;sans-serif" w:hAnsi="Helvetica;Arial;sans-serif"/>
          <w:b/>
          <w:sz w:val="17"/>
        </w:rPr>
        <w:t xml:space="preserve">P. David Kuhl. </w:t>
      </w:r>
      <w:r>
        <w:rPr>
          <w:rFonts w:ascii="Helvetica;Arial;sans-serif" w:hAnsi="Helvetica;Arial;sans-serif"/>
          <w:sz w:val="17"/>
        </w:rPr>
        <w:t xml:space="preserve">Mr. Kuhl, age 56, has served as Chairman of the Board and Chief Executive Officer of Busey Bank since January, 2003. Previously, Mr. Kuhl served as President and Chief Executive Officer of Busey Bank from June, 1991. Prior to that, Mr. Kuhl served in various management capacities since joining Busey Bank in 1979. Mr. </w:t>
      </w:r>
    </w:p>
    <w:p>
      <w:pPr>
        <w:pStyle w:val="TextBody"/>
        <w:jc w:val="center"/>
        <w:rPr>
          <w:rFonts w:ascii="Helvetica;Arial;sans-serif" w:hAnsi="Helvetica;Arial;sans-serif"/>
          <w:sz w:val="17"/>
        </w:rPr>
      </w:pPr>
      <w:r>
        <w:rPr>
          <w:rFonts w:ascii="Helvetica;Arial;sans-serif" w:hAnsi="Helvetica;Arial;san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Kuhl has served on the Board of Directors of Busey Bank since 1991. Mr. Kuhl is married to Barbara J. Kuhl, President and Chief Operating Officer of First Busey Corporation. </w:t>
      </w:r>
    </w:p>
    <w:p>
      <w:pPr>
        <w:pStyle w:val="TextBody"/>
        <w:spacing w:before="120" w:after="283"/>
        <w:jc w:val="left"/>
        <w:rPr>
          <w:rFonts w:ascii="Helvetica;Arial;sans-serif" w:hAnsi="Helvetica;Arial;sans-serif"/>
          <w:sz w:val="17"/>
        </w:rPr>
      </w:pPr>
      <w:r>
        <w:rPr>
          <w:rFonts w:ascii="Helvetica;Arial;sans-serif" w:hAnsi="Helvetica;Arial;sans-serif"/>
          <w:b/>
          <w:sz w:val="17"/>
        </w:rPr>
        <w:t xml:space="preserve">David D. Mills. </w:t>
      </w:r>
      <w:r>
        <w:rPr>
          <w:rFonts w:ascii="Helvetica;Arial;sans-serif" w:hAnsi="Helvetica;Arial;sans-serif"/>
          <w:sz w:val="17"/>
        </w:rPr>
        <w:t xml:space="preserve">Mr. Mills, age 35, has served as President and Chief Operating Officer of Busey Bank since January, 2003. Previously, he served as Vice President of First Busey Corporation from December, 2001 to January, 2003. Mr. Mills began his career with Busey Bank in December, 1998, as a Commercial Lending Officer. Mr. Mills father is Douglas C. Mills, Chairman of the Board of First Busey Corporation. </w:t>
      </w:r>
    </w:p>
    <w:p>
      <w:pPr>
        <w:pStyle w:val="TextBody"/>
        <w:spacing w:before="120" w:after="283"/>
        <w:jc w:val="left"/>
        <w:rPr>
          <w:rFonts w:ascii="Helvetica;Arial;sans-serif" w:hAnsi="Helvetica;Arial;sans-serif"/>
          <w:sz w:val="17"/>
        </w:rPr>
      </w:pPr>
      <w:r>
        <w:rPr>
          <w:rFonts w:ascii="Helvetica;Arial;sans-serif" w:hAnsi="Helvetica;Arial;sans-serif"/>
          <w:b/>
          <w:sz w:val="17"/>
        </w:rPr>
        <w:t xml:space="preserve">Edwin A. Scharlau II. </w:t>
      </w:r>
      <w:r>
        <w:rPr>
          <w:rFonts w:ascii="Helvetica;Arial;sans-serif" w:hAnsi="Helvetica;Arial;sans-serif"/>
          <w:sz w:val="17"/>
        </w:rPr>
        <w:t xml:space="preserve">Mr. Scharlau, age 61, has served as chairman of the Board of Busey Investment Group, Inc. since January, 2001, and First Busey Securities, Inc. since June, 1994. Mr. Scharlau has also served as Vice-Chairman of the Board of First Busey Corporation since January, 2003. Mr. Scharlau served as Chairman of the Board of Busey Bank from June, 1991, to January, 2003. Mr. Scharlau has been associated with Busey Bank since 1964. </w:t>
      </w:r>
    </w:p>
    <w:p>
      <w:pPr>
        <w:pStyle w:val="TextBody"/>
        <w:spacing w:before="120" w:after="283"/>
        <w:jc w:val="left"/>
        <w:rPr>
          <w:rFonts w:ascii="Helvetica;Arial;sans-serif" w:hAnsi="Helvetica;Arial;sans-serif"/>
          <w:sz w:val="17"/>
        </w:rPr>
      </w:pPr>
      <w:r>
        <w:rPr>
          <w:rFonts w:ascii="Helvetica;Arial;sans-serif" w:hAnsi="Helvetica;Arial;sans-serif"/>
          <w:b/>
          <w:sz w:val="17"/>
        </w:rPr>
        <w:t xml:space="preserve">Barbara J. Harrington. </w:t>
      </w:r>
      <w:r>
        <w:rPr>
          <w:rFonts w:ascii="Helvetica;Arial;sans-serif" w:hAnsi="Helvetica;Arial;sans-serif"/>
          <w:sz w:val="17"/>
        </w:rPr>
        <w:t xml:space="preserve">Mrs. Harrington, age 46, has served as Chief Financial Officer of First Busey Corporation since March, 1999. She served as Controller and Senior Vice President of Busey Bank from December, 1994 to March, 1999. Mrs. Harrington has served in various financial and accounting positions since joining the organization in December, 1991. </w:t>
      </w:r>
    </w:p>
    <w:p>
      <w:pPr>
        <w:pStyle w:val="TextBody"/>
        <w:spacing w:before="240" w:after="283"/>
        <w:jc w:val="left"/>
        <w:rPr>
          <w:rFonts w:ascii="Helvetica;Arial;sans-serif" w:hAnsi="Helvetica;Arial;sans-serif"/>
          <w:sz w:val="17"/>
        </w:rPr>
      </w:pPr>
      <w:r>
        <w:rPr>
          <w:rFonts w:ascii="Helvetica;Arial;sans-serif" w:hAnsi="Helvetica;Arial;sans-serif"/>
          <w:b/>
          <w:sz w:val="17"/>
        </w:rPr>
        <w:t>Business Combination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July 29, 2005, First Busey Corporation acquired all the outstanding common stock of Tarpon Coast Bancorp, Inc. and its subsidiary Tarpon Coast National Bank a $177 million bank headquartered in Port Charlotte, Florida. This acquisition expanded the Corporations banking presence in southwest Florida into Charlotte County. The transaction has been accounted for as a purchase and the results of operations of both entities since the acquisition date have been included in the consolidated financial statements. The purchase price of approximately $35.9 million was allocated based upon the fair value of the assets acquired. The excess of the total acquisition cost over the fair value of the net assets acquired has been allocated to core deposit intangible and goodwill. The core deposit intangibles of $2.371 million are being amortized over periods ranging from three to ten years.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June 1, 2004, First Busey Corporation acquired all the outstanding common stock of First Capital Bankshares, Inc. and its subsidiary First Capital Bank, a $239 million bank headquartered in Peoria, Illinois. This acquisition expanded the Corporations banking presence in central Illinois into Peoria and surrounding communities. The transaction has been accounted for as a purchase and the results of operations of both entities since the acquisition date have been included in the consolidated financial statements. The purchase price of approximately $42.1 million was allocated based upon the fair value of the assets required. The excess of the total acquisition cost over the fair value of the net assets acquired has been allocated to core deposit intangible and goodwill. The core deposit intangibles of $2.383 million are being amortized over periods ranging from three to ten years.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Pro forma unaudited operating results for 2005 and 2004, giving effect to the Tarpon Coast Bancorp and First Capital Bankshares acquisitions as if they had occurred as of January 1, 2004, are included in Note 2 to the Corporations consolidated financial statements. </w:t>
      </w:r>
    </w:p>
    <w:p>
      <w:pPr>
        <w:pStyle w:val="TextBody"/>
        <w:spacing w:before="240" w:after="283"/>
        <w:jc w:val="left"/>
        <w:rPr>
          <w:rFonts w:ascii="Helvetica;Arial;sans-serif" w:hAnsi="Helvetica;Arial;sans-serif"/>
          <w:sz w:val="17"/>
        </w:rPr>
      </w:pPr>
      <w:r>
        <w:rPr>
          <w:rFonts w:ascii="Helvetica;Arial;sans-serif" w:hAnsi="Helvetica;Arial;sans-serif"/>
          <w:b/>
          <w:sz w:val="17"/>
        </w:rPr>
        <w:t>Securities and Exchange Commission Reporting and Other Information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Buseys web site address is </w:t>
      </w:r>
      <w:r>
        <w:rPr>
          <w:rFonts w:ascii="Helvetica;Arial;sans-serif" w:hAnsi="Helvetica;Arial;sans-serif"/>
          <w:sz w:val="17"/>
          <w:u w:val="single"/>
        </w:rPr>
        <w:t>www.busey.com.</w:t>
      </w:r>
      <w:r>
        <w:rPr>
          <w:rFonts w:ascii="Helvetica;Arial;sans-serif" w:hAnsi="Helvetica;Arial;sans-serif"/>
          <w:sz w:val="17"/>
        </w:rPr>
        <w:t xml:space="preserve"> The Corporation makes available on this web site its annual report on Form 10-K, its quarterly reports on Form 10-Q, current reports on form 8-K, and amendments thereto, as reasonably practicable after such reports are filed with the Securities and Exchange Commission, and in any event, on the same day as such filing with the Securities and Exchange Commission. Reference to this web site does not constitute incorporation by reference of the information contained on the web site and should not be considered part of this document.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Corporation has adopted a code of ethics applicable to our employees, officers, and directors. The text of this code of ethics may be found under Investor Relations on the Corporations website. </w:t>
      </w:r>
    </w:p>
    <w:p>
      <w:pPr>
        <w:pStyle w:val="TextBody"/>
        <w:jc w:val="center"/>
        <w:rPr>
          <w:rFonts w:ascii="Helvetica;Arial;sans-serif" w:hAnsi="Helvetica;Arial;sans-serif"/>
          <w:sz w:val="17"/>
        </w:rPr>
      </w:pPr>
      <w:r>
        <w:rPr>
          <w:rFonts w:ascii="Helvetica;Arial;sans-serif" w:hAnsi="Helvetica;Arial;san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5" w:name="103"/>
      <w:bookmarkEnd w:id="5"/>
      <w:r>
        <w:rPr>
          <w:rFonts w:ascii="Helvetica;Arial;sans-serif" w:hAnsi="Helvetica;Arial;sans-serif"/>
          <w:b/>
          <w:sz w:val="17"/>
        </w:rPr>
        <w:t>Item 1A. Risk Factors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This section highlights the risks management believes could adversely affect First Buseys financial performance. Additional possible risks that could affect the Corporation adversely and cannot be predicted, may arise at any time. Other risks that are immaterial at this time may also have an adverse affect on the Corporations future financial condition. </w:t>
      </w:r>
    </w:p>
    <w:p>
      <w:pPr>
        <w:pStyle w:val="TextBody"/>
        <w:spacing w:before="240" w:after="283"/>
        <w:jc w:val="left"/>
        <w:rPr>
          <w:rFonts w:ascii="Helvetica;Arial;sans-serif" w:hAnsi="Helvetica;Arial;sans-serif"/>
          <w:sz w:val="17"/>
        </w:rPr>
      </w:pPr>
      <w:r>
        <w:rPr>
          <w:rFonts w:ascii="Helvetica;Arial;sans-serif" w:hAnsi="Helvetica;Arial;sans-serif"/>
          <w:b/>
          <w:i/>
          <w:sz w:val="17"/>
        </w:rPr>
        <w:t>A down turn in the economy could have an adverse affect on the Corporation.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strength of the U.S. economy and the local economies in which we operate may be different than expected. Our business and earnings are directly affected by general business and economic conditions in the U.S. and, in particular, economic conditions in Central Illinois and Southwest Florida. These conditions include legislative and regulatory changes, short-term and long-term interest rates, inflation, and changes in government monetary and fiscal policies, all of which are beyond our control. A down turn in economic condition could result in a decrease in products and services demand, an increase in loan delinquencies, and increases in problem assets and foreclosures. Real estate pledged as collateral for loans made by us may decline in value, in turn reducing customers borrowing power, and reducing the value of assets and collateral associated with our existing loans. These factors could lead to reduced interest income and an increase in the provision for loan losses. </w:t>
      </w:r>
    </w:p>
    <w:p>
      <w:pPr>
        <w:pStyle w:val="TextBody"/>
        <w:spacing w:before="240" w:after="283"/>
        <w:jc w:val="left"/>
        <w:rPr>
          <w:rFonts w:ascii="Helvetica;Arial;sans-serif" w:hAnsi="Helvetica;Arial;sans-serif"/>
          <w:sz w:val="17"/>
        </w:rPr>
      </w:pPr>
      <w:r>
        <w:rPr>
          <w:rFonts w:ascii="Helvetica;Arial;sans-serif" w:hAnsi="Helvetica;Arial;sans-serif"/>
          <w:b/>
          <w:i/>
          <w:sz w:val="17"/>
        </w:rPr>
        <w:t>Government regulation can result in limitations on our operations.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operate in a highly regulated environment and are subject to supervision and regulation by a number of governmental regulatory agencies. Regulations adopted by these agencies, which are generally intended to provide protection for depositors and customer rather than for the benefit of shareholders, govern a comprehensive range of matters relating to ownership and control of our shares, our acquisition of other companies and businesses, permissible activities for us to engage in, maintenance of adequate capital levels, and other aspects of our operations. The laws and regulations applicable to the banking industry could change at any time, and cannot predict the effect of these changes on our business and profitability. Increased regulation could increase our cost of compliance and adversely affect profitability. </w:t>
      </w:r>
    </w:p>
    <w:p>
      <w:pPr>
        <w:pStyle w:val="TextBody"/>
        <w:spacing w:before="240" w:after="283"/>
        <w:jc w:val="left"/>
        <w:rPr>
          <w:rFonts w:ascii="Helvetica;Arial;sans-serif" w:hAnsi="Helvetica;Arial;sans-serif"/>
          <w:sz w:val="17"/>
        </w:rPr>
      </w:pPr>
      <w:r>
        <w:rPr>
          <w:rFonts w:ascii="Helvetica;Arial;sans-serif" w:hAnsi="Helvetica;Arial;sans-serif"/>
          <w:b/>
          <w:i/>
          <w:sz w:val="17"/>
        </w:rPr>
        <w:t>We must effectively manage our credit risk</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There are risks in making any loan, including risks inherent in dealing with individual borrowers, risks of nonpayment, risks resulting from uncertainties as to the future value of collateral and risks resulting from changes in economic and industry conditions. We attempt to minimize our credit risk through prudent loan application approval procedures, careful monitoring of the concentration of loans within specific industries and geographic location, and periodic independent reviews of outstanding loans by our loan review and audit departments as well as external auditors. However, we cannot assure such approval and monitoring procedures will eliminate these credit risks. </w:t>
      </w:r>
    </w:p>
    <w:p>
      <w:pPr>
        <w:pStyle w:val="TextBody"/>
        <w:spacing w:before="120" w:after="283"/>
        <w:jc w:val="left"/>
        <w:rPr>
          <w:rFonts w:ascii="Helvetica;Arial;sans-serif" w:hAnsi="Helvetica;Arial;sans-serif"/>
          <w:sz w:val="17"/>
        </w:rPr>
      </w:pPr>
      <w:r>
        <w:rPr>
          <w:rFonts w:ascii="Helvetica;Arial;sans-serif" w:hAnsi="Helvetica;Arial;sans-serif"/>
          <w:b/>
          <w:i/>
          <w:sz w:val="17"/>
        </w:rPr>
        <w:t>Our allowance for loan losses must be managed to provide sufficient reserves to absorb potential losses in our loan portfolio.</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established our allowance for loan losses and maintain it at a level considered adequate by management to absorb probably loan losses based on a continual analysis of our portfolio and market environment. The amount of loan losses is susceptible to changes in economic, operating, and other conditions within our market, which may be beyond our control, and such losses may exceed current estimates. Although management believes that the allowance for loan losses is adequate to absorb losses on any existing loans that may become uncollectible, we cannot predict loan losses with certainty, and we cannot assure that our allowance for loan losses will prove sufficient to cover actual loan losses. Loan losses in excess of our reserves may adversely affect our business, financial condition, and results of operations. </w:t>
      </w:r>
    </w:p>
    <w:p>
      <w:pPr>
        <w:pStyle w:val="TextBody"/>
        <w:jc w:val="center"/>
        <w:rPr>
          <w:rFonts w:ascii="Helvetica;Arial;sans-serif" w:hAnsi="Helvetica;Arial;sans-serif"/>
          <w:sz w:val="17"/>
        </w:rPr>
      </w:pPr>
      <w:r>
        <w:rPr>
          <w:rFonts w:ascii="Helvetica;Arial;sans-serif" w:hAnsi="Helvetica;Arial;san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i/>
          <w:sz w:val="17"/>
        </w:rPr>
        <w:t>A significant portion of the loans in the Corporations portfolio is secured by real estate.</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 large percentage of the Corporations loans are collateralized by real estate. The market value of real estate can fluctuate significantly in a short period of time as a result of market conditions in the geographic area in which the real estate is located. Adverse changes affecting real estate values in one or more of our markets could increase the credit risk associated with our loan portfolio, and could result in losses which would adversely affect profitability. An adverse change in the economy affecting real estate values generally and in Central Illinois or Southwest Florida specifically could significantly impair the value of property pledged as collateral on loans and affect the Corporations ability to sell the collateral upon foreclosure. Collateral may have to be sold for less than the outstanding balance of the loan which could result in loss. The Corporations profitability could be negatively impacted by an adverse change in the real estate market. </w:t>
      </w:r>
    </w:p>
    <w:p>
      <w:pPr>
        <w:pStyle w:val="TextBody"/>
        <w:spacing w:before="120" w:after="283"/>
        <w:jc w:val="left"/>
        <w:rPr>
          <w:rFonts w:ascii="Helvetica;Arial;sans-serif" w:hAnsi="Helvetica;Arial;sans-serif"/>
          <w:sz w:val="17"/>
        </w:rPr>
      </w:pPr>
      <w:r>
        <w:rPr>
          <w:rFonts w:ascii="Helvetica;Arial;sans-serif" w:hAnsi="Helvetica;Arial;sans-serif"/>
          <w:b/>
          <w:i/>
          <w:sz w:val="17"/>
        </w:rPr>
        <w:t>Construction and development loans are based upon estimates of costs and value associated with the complete project. These estimates may be inaccurate, and we may be exposed to more losses on these projects than on other loans.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Construction, land acquisition, and development lending involve additional risks because funds are advanced upon the security of the project, which is of uncertain value prior to its completion. Because of the uncertainties inherent in estimating construction costs and market value of the completed project and the effects of governmental regulation of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we may have inadequate security for the repayment of the loan upon completion of construction of the project. If we are forced to foreclose on a project prior to or at completion due to a default, there can be no assurance that we will be able to recover all of the unpaid balance of, and accrued interest on, the loan as well as related foreclosure and holding costs. In addition, we may be required to fund additional amounts to complete the project and may have to hold the property for an unspecified period of time. We have attempted to address these risks through our underwriting procedures, compliance with applicable regulations, and by limiting the amount of construction development lending. </w:t>
      </w:r>
    </w:p>
    <w:p>
      <w:pPr>
        <w:pStyle w:val="TextBody"/>
        <w:spacing w:before="240" w:after="283"/>
        <w:jc w:val="left"/>
        <w:rPr>
          <w:rFonts w:ascii="Helvetica;Arial;sans-serif" w:hAnsi="Helvetica;Arial;sans-serif"/>
          <w:sz w:val="17"/>
        </w:rPr>
      </w:pPr>
      <w:r>
        <w:rPr>
          <w:rFonts w:ascii="Helvetica;Arial;sans-serif" w:hAnsi="Helvetica;Arial;sans-serif"/>
          <w:b/>
          <w:i/>
          <w:sz w:val="17"/>
        </w:rPr>
        <w:t>Changes in interest rates could have an adverse affect on the Corporations income.</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Buseys earnings and profitability depend significantly on its net interest income. Net interest income represents the difference between interest income and fees earned on interest-earning assets and interest expense incurred on interest-bearing liabilities. In the event that interest paid on deposits and borrowings increases faster than the interest earned on loans and investments, there may be a negative impact on the Corporations net interest income. Changes in interest rates could also adversely affect the income of certain components of the Corporations noninterest income, as well as the Corporations cost to borrow funds. An increase in interest rates may also affect the customers ability to pay, which could in turn increase loan losses. In addition, higher interest rates could also increase the Corporations cost to borrow funds. The Corporation is unable to predict or control fluctuations in market interest rates which are affected by the economy. </w:t>
      </w:r>
    </w:p>
    <w:p>
      <w:pPr>
        <w:pStyle w:val="TextBody"/>
        <w:spacing w:before="240" w:after="283"/>
        <w:jc w:val="left"/>
        <w:rPr>
          <w:rFonts w:ascii="Helvetica;Arial;sans-serif" w:hAnsi="Helvetica;Arial;sans-serif"/>
          <w:sz w:val="17"/>
        </w:rPr>
      </w:pPr>
      <w:r>
        <w:rPr>
          <w:rFonts w:ascii="Helvetica;Arial;sans-serif" w:hAnsi="Helvetica;Arial;sans-serif"/>
          <w:b/>
          <w:i/>
          <w:sz w:val="17"/>
        </w:rPr>
        <w:t>The Corporation relies heavily on information systems to service customers.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An interruption in or breach in security of the Corporations information systems may result in a loss of customer business and reduced earnings. The Corporation fully utilizes and relies heavily on communications and information systems in every aspect of our business. Any failure of these systems could result in disruptions in the Corporations customer service management, management information, deposit, loan, or other systems. While the Corporation has procedures in place to prevent or limit the effects of a failure, interruption, or security breach of its information systems, there can be no guarantee that any such failures, interruptions or security breaches will not occur or, if they do occur, that they will be adequately addressed. The occurrence of any failures, interruptions or security breaches of the Corporations information systems could damage the Corporations reputation, result in a loss of customer business, subject the Corporation to additional regulatory scrutiny, or expose the Corporation to civil litigation and </w:t>
      </w:r>
    </w:p>
    <w:p>
      <w:pPr>
        <w:pStyle w:val="TextBody"/>
        <w:jc w:val="center"/>
        <w:rPr>
          <w:rFonts w:ascii="Helvetica;Arial;sans-serif" w:hAnsi="Helvetica;Arial;sans-serif"/>
          <w:sz w:val="17"/>
        </w:rPr>
      </w:pPr>
      <w:r>
        <w:rPr>
          <w:rFonts w:ascii="Helvetica;Arial;sans-serif" w:hAnsi="Helvetica;Arial;san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possible financial liability, any of which could have an adverse effect on the Corporations financial condition and results of operation. </w:t>
      </w:r>
    </w:p>
    <w:p>
      <w:pPr>
        <w:pStyle w:val="TextBody"/>
        <w:spacing w:before="240" w:after="283"/>
        <w:jc w:val="left"/>
        <w:rPr>
          <w:rFonts w:ascii="Helvetica;Arial;sans-serif" w:hAnsi="Helvetica;Arial;sans-serif"/>
          <w:sz w:val="17"/>
        </w:rPr>
      </w:pPr>
      <w:r>
        <w:rPr>
          <w:rFonts w:ascii="Helvetica;Arial;sans-serif" w:hAnsi="Helvetica;Arial;sans-serif"/>
          <w:b/>
          <w:i/>
          <w:sz w:val="17"/>
        </w:rPr>
        <w:t>Ability to attract and retain management and key personnel may affect future growth and earnings.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Much of the Corporations success to date has been influenced strongly by our ability to attract and retain management experienced in banking and financial services and familiar with the communities in our market areas. Our ability to retain executive officers, the current management teams, lending and retail banking officers, and administrative staff of our subsidiaries will continue to be important to the successful implementation of our strategy. It is also critical, as we grow, to be able to attract and retain qualified additional staff with the appropriate level of experience and knowledge about our market areas to implement our community-based operating strategy. The unexpected loss of services of any key personnel, or the inability to recruit and retain qualified personnel in the future, could have an adverse effect on our business, financial condition, and results of operation. </w:t>
      </w:r>
    </w:p>
    <w:p>
      <w:pPr>
        <w:pStyle w:val="TextBody"/>
        <w:spacing w:before="240" w:after="283"/>
        <w:jc w:val="left"/>
        <w:rPr>
          <w:rFonts w:ascii="Helvetica;Arial;sans-serif" w:hAnsi="Helvetica;Arial;sans-serif"/>
          <w:sz w:val="17"/>
        </w:rPr>
      </w:pPr>
      <w:r>
        <w:rPr>
          <w:rFonts w:ascii="Helvetica;Arial;sans-serif" w:hAnsi="Helvetica;Arial;sans-serif"/>
          <w:b/>
          <w:i/>
          <w:sz w:val="17"/>
        </w:rPr>
        <w:t>Weather may adversely impact the Corporation.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Central Illinois is a highly agricultural area and therefore the economy can be greatly affected by weather conditions. Favorable weather conditions increase the agriculture productivity and boost the economy while unfavorable weather conditions may decrease productivity adversely affecting the local economy. First Busey conducts a significant portion of its business in Central Illinois. As stated above an adverse affect on the economy of Central Illinois could negatively affect the Corporations profitability.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Southwest coast of Florida is at risk of hurricanes each year which may cause damage to the Corporations assets. Hurricane damage could adversely affect the Corporations financial condition in a number of ways. Damage caused to a branch location could result in temporary closure and inconvenience to customers which could result in loss of customers and business. A hurricane could also affect the local economy and impact customers ability to meet loan repayment terms and adversely affect the Corporations financial condition. Hurricane damage could significantly reduce value of collateral pledged as security against loans made by the Corporation. </w:t>
      </w:r>
    </w:p>
    <w:p>
      <w:pPr>
        <w:pStyle w:val="TextBody"/>
        <w:spacing w:before="240" w:after="283"/>
        <w:jc w:val="left"/>
        <w:rPr>
          <w:rFonts w:ascii="Helvetica;Arial;sans-serif" w:hAnsi="Helvetica;Arial;sans-serif"/>
          <w:sz w:val="17"/>
        </w:rPr>
      </w:pPr>
      <w:r>
        <w:rPr>
          <w:rFonts w:ascii="Helvetica;Arial;sans-serif" w:hAnsi="Helvetica;Arial;sans-serif"/>
          <w:b/>
          <w:i/>
          <w:sz w:val="17"/>
        </w:rPr>
        <w:t>Growth and its impact on the infrastructure of the Corporation.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Buseys continued pace of growth may require it to raise additional capital in the future. The Corporation is required by federal and state regulations to maintain adequate levels of capital to support operations. As operations grow, the amount of capital required will increase. The Corporation may also be required to raise capital to support future acquisitions. The Corporations ability to raise capital will depend on conditions in the capital markets, which are outside of its control, and on the Corporations financial performance. If additional capital cannot be raised when needed, the Corporation could be subject to restricted growth which could negatively impact expansion through future acquisitions.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has grown by strategically acquiring other banks and branch locations. The Corporation plans to continue to pursue acquisitions in order to further supplement growth. Acquisitions commonly involve potential risks such as exposure to unknown or contingent liabilities of the acquired bank, exposure to asset quality issues of the acquired bank, a potential diversion of managements time and attention, and a short-term decrease in profitability which could negatively impact stock prices. The integration could result in the loss of key employees and customers of the acquired bank, and a possible disruption of business. The impact of these factors may keep the Corporation from realizing all of the anticipated benefits of the acquisition. </w:t>
      </w:r>
    </w:p>
    <w:p>
      <w:pPr>
        <w:pStyle w:val="TextBody"/>
        <w:spacing w:before="240" w:after="283"/>
        <w:jc w:val="left"/>
        <w:rPr>
          <w:rFonts w:ascii="Helvetica;Arial;sans-serif" w:hAnsi="Helvetica;Arial;sans-serif"/>
          <w:sz w:val="17"/>
        </w:rPr>
      </w:pPr>
      <w:bookmarkStart w:id="6" w:name="104"/>
      <w:bookmarkEnd w:id="6"/>
      <w:r>
        <w:rPr>
          <w:rFonts w:ascii="Helvetica;Arial;sans-serif" w:hAnsi="Helvetica;Arial;sans-serif"/>
          <w:b/>
          <w:sz w:val="17"/>
        </w:rPr>
        <w:t>Item 1B. Unresolved Staff Comments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None. The Corporation has not received written comments from the Commission during the 180 days preceding the end of the fiscal year to which this annual report pertains. </w:t>
      </w:r>
    </w:p>
    <w:p>
      <w:pPr>
        <w:pStyle w:val="TextBody"/>
        <w:jc w:val="center"/>
        <w:rPr>
          <w:rFonts w:ascii="Helvetica;Arial;sans-serif" w:hAnsi="Helvetica;Arial;sans-serif"/>
          <w:sz w:val="17"/>
        </w:rPr>
      </w:pPr>
      <w:r>
        <w:rPr>
          <w:rFonts w:ascii="Helvetica;Arial;sans-serif" w:hAnsi="Helvetica;Arial;san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7" w:name="105"/>
      <w:bookmarkEnd w:id="7"/>
      <w:r>
        <w:rPr>
          <w:rFonts w:ascii="Helvetica;Arial;sans-serif" w:hAnsi="Helvetica;Arial;sans-serif"/>
          <w:b/>
          <w:sz w:val="17"/>
        </w:rPr>
        <w:t>Item 2. Properties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location and general character of the materially important physical properties of First Busey and its subsidiaries are as follows: First Busey, where corporate management and administration operate, is headquartered at 201 West Main Street, Urbana, Illinois. Busey Bank has properties located at 201 West Main Street, Urbana, Illinois, 909 West Kirby Avenue, Champaign, Illinois, 301 Fairway Drive, Bloomington, Illinois, and 6699 Sheridan Road, Peoria, Illinois. These facilities offer commercial banking services, including commercial, financial, agricultural and real estate loans, and retail banking services, including accepting customary types of demand and savings deposits, making individual, consumer, installment, first mortgage and second mortgage loans. Busey Bank N.A., located at 1490 Tamiami Trail, Port Charlotte, Florida, offers services similar to those offered by Busey Bank. Busey Investment Group, Inc., located at 502 West Windsor Road, Champaign, Illinois, through its subsidiaries, provides a full range of trust and investment management services, execution of securities transactions as a full-service broker/dealer and provides individual investment advice on equity and other securities as well as insurance agency services.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and its subsidiaries own or lease all of the real property and/or buildings on which each respective entity is located. </w:t>
      </w:r>
    </w:p>
    <w:p>
      <w:pPr>
        <w:pStyle w:val="TextBody"/>
        <w:spacing w:before="240" w:after="283"/>
        <w:jc w:val="left"/>
        <w:rPr>
          <w:rFonts w:ascii="Helvetica;Arial;sans-serif" w:hAnsi="Helvetica;Arial;sans-serif"/>
          <w:sz w:val="17"/>
        </w:rPr>
      </w:pPr>
      <w:bookmarkStart w:id="8" w:name="106"/>
      <w:bookmarkEnd w:id="8"/>
      <w:r>
        <w:rPr>
          <w:rFonts w:ascii="Helvetica;Arial;sans-serif" w:hAnsi="Helvetica;Arial;sans-serif"/>
          <w:b/>
          <w:sz w:val="17"/>
        </w:rPr>
        <w:t>Item 3. Legal Proceedings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 part of the ordinary course of business, First Busey and its subsidiaries are parties to litigation that is incidental to their regular business activities.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There is no material pending litigation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 </w:t>
      </w:r>
    </w:p>
    <w:p>
      <w:pPr>
        <w:pStyle w:val="TextBody"/>
        <w:spacing w:before="240" w:after="283"/>
        <w:jc w:val="left"/>
        <w:rPr>
          <w:rFonts w:ascii="Helvetica;Arial;sans-serif" w:hAnsi="Helvetica;Arial;sans-serif"/>
          <w:sz w:val="17"/>
        </w:rPr>
      </w:pPr>
      <w:bookmarkStart w:id="9" w:name="107"/>
      <w:bookmarkEnd w:id="9"/>
      <w:r>
        <w:rPr>
          <w:rFonts w:ascii="Helvetica;Arial;sans-serif" w:hAnsi="Helvetica;Arial;sans-serif"/>
          <w:b/>
          <w:sz w:val="17"/>
        </w:rPr>
        <w:t>Item 4. Submission Of Matters To A Vote Of Security Holders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There were no matters submitted to a vote of security holders during the quarter ended December 31, 2005. </w:t>
      </w:r>
    </w:p>
    <w:p>
      <w:pPr>
        <w:pStyle w:val="TextBody"/>
        <w:jc w:val="center"/>
        <w:rPr>
          <w:rFonts w:ascii="Helvetica;Arial;sans-serif" w:hAnsi="Helvetica;Arial;sans-serif"/>
          <w:sz w:val="17"/>
        </w:rPr>
      </w:pPr>
      <w:r>
        <w:rPr>
          <w:rFonts w:ascii="Helvetica;Arial;sans-serif" w:hAnsi="Helvetica;Arial;san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bookmarkStart w:id="10" w:name="108"/>
      <w:bookmarkEnd w:id="10"/>
      <w:r>
        <w:rPr>
          <w:rFonts w:ascii="Helvetica;Arial;sans-serif" w:hAnsi="Helvetica;Arial;sans-serif"/>
          <w:b/>
          <w:sz w:val="17"/>
        </w:rPr>
        <w:t>Part II</w:t>
      </w:r>
      <w:r>
        <w:rPr>
          <w:rFonts w:ascii="Helvetica;Arial;sans-serif" w:hAnsi="Helvetica;Arial;sans-serif"/>
          <w:sz w:val="17"/>
        </w:rPr>
        <w:t xml:space="preserve"> </w:t>
      </w:r>
    </w:p>
    <w:p>
      <w:pPr>
        <w:pStyle w:val="Normal"/>
        <w:spacing w:before="0" w:after="0"/>
        <w:rPr>
          <w:sz w:val="4"/>
          <w:szCs w:val="4"/>
        </w:rPr>
      </w:pPr>
      <w:r>
        <w:rPr>
          <w:sz w:val="4"/>
          <w:szCs w:val="4"/>
        </w:rPr>
      </w:r>
      <w:bookmarkStart w:id="11" w:name="109"/>
      <w:bookmarkStart w:id="12" w:name="109"/>
      <w:bookmarkEnd w:id="12"/>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b/>
              </w:rPr>
            </w:pPr>
            <w:r>
              <w:rPr>
                <w:b/>
              </w:rPr>
              <w:t>Item 5. Market for Registrants Common Equity, Related Stockholder Matters and Issuer Purchases of Equity Securities</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presents for the periods indicated the high and low closing price for First Busey common stock as reported on The Nasdaq Stock Market. </w:t>
      </w:r>
    </w:p>
    <w:tbl>
      <w:tblPr>
        <w:tblW w:w="5000" w:type="pct"/>
        <w:jc w:val="center"/>
        <w:tblInd w:w="0" w:type="dxa"/>
        <w:tblCellMar>
          <w:top w:w="0" w:type="dxa"/>
          <w:left w:w="0" w:type="dxa"/>
          <w:bottom w:w="0" w:type="dxa"/>
          <w:right w:w="0" w:type="dxa"/>
        </w:tblCellMar>
      </w:tblPr>
      <w:tblGrid>
        <w:gridCol w:w="5115"/>
        <w:gridCol w:w="269"/>
        <w:gridCol w:w="257"/>
        <w:gridCol w:w="561"/>
        <w:gridCol w:w="183"/>
        <w:gridCol w:w="269"/>
        <w:gridCol w:w="257"/>
        <w:gridCol w:w="561"/>
        <w:gridCol w:w="183"/>
        <w:gridCol w:w="269"/>
        <w:gridCol w:w="257"/>
        <w:gridCol w:w="561"/>
        <w:gridCol w:w="183"/>
        <w:gridCol w:w="269"/>
        <w:gridCol w:w="257"/>
        <w:gridCol w:w="560"/>
        <w:gridCol w:w="194"/>
      </w:tblGrid>
      <w:tr>
        <w:trPr/>
        <w:tc>
          <w:tcPr>
            <w:tcW w:w="511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r>
      <w:tr>
        <w:trPr/>
        <w:tc>
          <w:tcPr>
            <w:tcW w:w="511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271" w:type="dxa"/>
            <w:gridSpan w:val="7"/>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269" w:type="dxa"/>
            <w:tcBorders/>
            <w:shd w:fill="auto" w:val="clear"/>
            <w:vAlign w:val="bottom"/>
          </w:tcPr>
          <w:p>
            <w:pPr>
              <w:pStyle w:val="TableContents"/>
              <w:spacing w:before="0" w:after="283"/>
              <w:rPr/>
            </w:pPr>
            <w:r>
              <w:rPr/>
              <w:t> </w:t>
            </w:r>
          </w:p>
        </w:tc>
        <w:tc>
          <w:tcPr>
            <w:tcW w:w="2281" w:type="dxa"/>
            <w:gridSpan w:val="7"/>
            <w:tcBorders>
              <w:bottom w:val="single" w:sz="2" w:space="0" w:color="000000"/>
            </w:tcBorders>
            <w:shd w:fill="auto" w:val="clear"/>
            <w:tcMar>
              <w:bottom w:w="28" w:type="dxa"/>
            </w:tcMar>
            <w:vAlign w:val="bottom"/>
          </w:tcPr>
          <w:p>
            <w:pPr>
              <w:pStyle w:val="TableContents"/>
              <w:spacing w:before="0" w:after="283"/>
              <w:jc w:val="center"/>
              <w:rPr/>
            </w:pPr>
            <w:r>
              <w:rPr/>
              <w:t>2004</w:t>
            </w:r>
          </w:p>
        </w:tc>
      </w:tr>
      <w:tr>
        <w:trPr/>
        <w:tc>
          <w:tcPr>
            <w:tcW w:w="5115" w:type="dxa"/>
            <w:tcBorders>
              <w:bottom w:val="single" w:sz="2" w:space="0" w:color="000000"/>
            </w:tcBorders>
            <w:shd w:fill="auto" w:val="clear"/>
            <w:tcMar>
              <w:bottom w:w="28" w:type="dxa"/>
            </w:tcMar>
            <w:vAlign w:val="bottom"/>
          </w:tcPr>
          <w:p>
            <w:pPr>
              <w:pStyle w:val="TableContents"/>
              <w:spacing w:before="0" w:after="283"/>
              <w:jc w:val="left"/>
              <w:rPr/>
            </w:pPr>
            <w:r>
              <w:rPr/>
              <w:t>Market Prices of Common Stock</w:t>
            </w:r>
          </w:p>
        </w:tc>
        <w:tc>
          <w:tcPr>
            <w:tcW w:w="269" w:type="dxa"/>
            <w:tcBorders/>
            <w:shd w:fill="auto" w:val="clear"/>
            <w:vAlign w:val="bottom"/>
          </w:tcPr>
          <w:p>
            <w:pPr>
              <w:pStyle w:val="TableContents"/>
              <w:spacing w:before="0" w:after="283"/>
              <w:rPr/>
            </w:pPr>
            <w:r>
              <w:rPr/>
              <w:t> </w:t>
            </w:r>
          </w:p>
        </w:tc>
        <w:tc>
          <w:tcPr>
            <w:tcW w:w="1001" w:type="dxa"/>
            <w:gridSpan w:val="3"/>
            <w:tcBorders>
              <w:bottom w:val="single" w:sz="2" w:space="0" w:color="000000"/>
            </w:tcBorders>
            <w:shd w:fill="auto" w:val="clear"/>
            <w:tcMar>
              <w:bottom w:w="28" w:type="dxa"/>
            </w:tcMar>
            <w:vAlign w:val="bottom"/>
          </w:tcPr>
          <w:p>
            <w:pPr>
              <w:pStyle w:val="TableContents"/>
              <w:spacing w:before="0" w:after="283"/>
              <w:jc w:val="center"/>
              <w:rPr/>
            </w:pPr>
            <w:r>
              <w:rPr/>
              <w:t>High</w:t>
            </w:r>
          </w:p>
        </w:tc>
        <w:tc>
          <w:tcPr>
            <w:tcW w:w="269" w:type="dxa"/>
            <w:tcBorders/>
            <w:shd w:fill="auto" w:val="clear"/>
            <w:vAlign w:val="bottom"/>
          </w:tcPr>
          <w:p>
            <w:pPr>
              <w:pStyle w:val="TableContents"/>
              <w:spacing w:before="0" w:after="283"/>
              <w:rPr/>
            </w:pPr>
            <w:r>
              <w:rPr/>
              <w:t> </w:t>
            </w:r>
          </w:p>
        </w:tc>
        <w:tc>
          <w:tcPr>
            <w:tcW w:w="1001" w:type="dxa"/>
            <w:gridSpan w:val="3"/>
            <w:tcBorders>
              <w:bottom w:val="single" w:sz="2" w:space="0" w:color="000000"/>
            </w:tcBorders>
            <w:shd w:fill="auto" w:val="clear"/>
            <w:tcMar>
              <w:bottom w:w="28" w:type="dxa"/>
            </w:tcMar>
            <w:vAlign w:val="bottom"/>
          </w:tcPr>
          <w:p>
            <w:pPr>
              <w:pStyle w:val="TableContents"/>
              <w:spacing w:before="0" w:after="283"/>
              <w:jc w:val="center"/>
              <w:rPr/>
            </w:pPr>
            <w:r>
              <w:rPr/>
              <w:t>Low</w:t>
            </w:r>
          </w:p>
        </w:tc>
        <w:tc>
          <w:tcPr>
            <w:tcW w:w="269" w:type="dxa"/>
            <w:tcBorders/>
            <w:shd w:fill="auto" w:val="clear"/>
            <w:vAlign w:val="bottom"/>
          </w:tcPr>
          <w:p>
            <w:pPr>
              <w:pStyle w:val="TableContents"/>
              <w:spacing w:before="0" w:after="283"/>
              <w:rPr/>
            </w:pPr>
            <w:r>
              <w:rPr/>
              <w:t> </w:t>
            </w:r>
          </w:p>
        </w:tc>
        <w:tc>
          <w:tcPr>
            <w:tcW w:w="1001" w:type="dxa"/>
            <w:gridSpan w:val="3"/>
            <w:tcBorders>
              <w:bottom w:val="single" w:sz="2" w:space="0" w:color="000000"/>
            </w:tcBorders>
            <w:shd w:fill="auto" w:val="clear"/>
            <w:tcMar>
              <w:bottom w:w="28" w:type="dxa"/>
            </w:tcMar>
            <w:vAlign w:val="bottom"/>
          </w:tcPr>
          <w:p>
            <w:pPr>
              <w:pStyle w:val="TableContents"/>
              <w:spacing w:before="0" w:after="283"/>
              <w:jc w:val="center"/>
              <w:rPr/>
            </w:pPr>
            <w:r>
              <w:rPr/>
              <w:t>High</w:t>
            </w:r>
          </w:p>
        </w:tc>
        <w:tc>
          <w:tcPr>
            <w:tcW w:w="269" w:type="dxa"/>
            <w:tcBorders/>
            <w:shd w:fill="auto" w:val="clear"/>
            <w:vAlign w:val="bottom"/>
          </w:tcPr>
          <w:p>
            <w:pPr>
              <w:pStyle w:val="TableContents"/>
              <w:spacing w:before="0" w:after="283"/>
              <w:rPr/>
            </w:pPr>
            <w:r>
              <w:rPr/>
              <w:t> </w:t>
            </w:r>
          </w:p>
        </w:tc>
        <w:tc>
          <w:tcPr>
            <w:tcW w:w="1011" w:type="dxa"/>
            <w:gridSpan w:val="3"/>
            <w:tcBorders>
              <w:bottom w:val="single" w:sz="2" w:space="0" w:color="000000"/>
            </w:tcBorders>
            <w:shd w:fill="auto" w:val="clear"/>
            <w:tcMar>
              <w:bottom w:w="28" w:type="dxa"/>
            </w:tcMar>
            <w:vAlign w:val="bottom"/>
          </w:tcPr>
          <w:p>
            <w:pPr>
              <w:pStyle w:val="TableContents"/>
              <w:spacing w:before="0" w:after="283"/>
              <w:jc w:val="center"/>
              <w:rPr/>
            </w:pPr>
            <w:r>
              <w:rPr/>
              <w:t>Low</w:t>
            </w:r>
          </w:p>
        </w:tc>
      </w:tr>
      <w:tr>
        <w:trPr/>
        <w:tc>
          <w:tcPr>
            <w:tcW w:w="5115" w:type="dxa"/>
            <w:tcBorders/>
            <w:shd w:fill="CCEEFF" w:val="clear"/>
            <w:vAlign w:val="bottom"/>
          </w:tcPr>
          <w:p>
            <w:pPr>
              <w:pStyle w:val="TableContents"/>
              <w:spacing w:before="0" w:after="0"/>
              <w:ind w:left="225" w:right="0" w:hanging="225"/>
              <w:rPr/>
            </w:pPr>
            <w:r>
              <w:rPr/>
              <w:t>First Quarter</w:t>
            </w:r>
          </w:p>
        </w:tc>
        <w:tc>
          <w:tcPr>
            <w:tcW w:w="269"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right"/>
              <w:rPr/>
            </w:pPr>
            <w:r>
              <w:rPr/>
              <w:t>$</w:t>
            </w:r>
          </w:p>
        </w:tc>
        <w:tc>
          <w:tcPr>
            <w:tcW w:w="561" w:type="dxa"/>
            <w:tcBorders/>
            <w:shd w:fill="CCEEFF" w:val="clear"/>
            <w:vAlign w:val="bottom"/>
          </w:tcPr>
          <w:p>
            <w:pPr>
              <w:pStyle w:val="TableContents"/>
              <w:spacing w:before="0" w:after="283"/>
              <w:jc w:val="right"/>
              <w:rPr/>
            </w:pPr>
            <w:r>
              <w:rPr/>
              <w:t>21.17</w:t>
            </w:r>
          </w:p>
        </w:tc>
        <w:tc>
          <w:tcPr>
            <w:tcW w:w="183"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right"/>
              <w:rPr/>
            </w:pPr>
            <w:r>
              <w:rPr/>
              <w:t>$</w:t>
            </w:r>
          </w:p>
        </w:tc>
        <w:tc>
          <w:tcPr>
            <w:tcW w:w="561" w:type="dxa"/>
            <w:tcBorders/>
            <w:shd w:fill="CCEEFF" w:val="clear"/>
            <w:vAlign w:val="bottom"/>
          </w:tcPr>
          <w:p>
            <w:pPr>
              <w:pStyle w:val="TableContents"/>
              <w:spacing w:before="0" w:after="283"/>
              <w:jc w:val="right"/>
              <w:rPr/>
            </w:pPr>
            <w:r>
              <w:rPr/>
              <w:t>18.87</w:t>
            </w:r>
          </w:p>
        </w:tc>
        <w:tc>
          <w:tcPr>
            <w:tcW w:w="183"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right"/>
              <w:rPr/>
            </w:pPr>
            <w:r>
              <w:rPr/>
              <w:t>$</w:t>
            </w:r>
          </w:p>
        </w:tc>
        <w:tc>
          <w:tcPr>
            <w:tcW w:w="561" w:type="dxa"/>
            <w:tcBorders/>
            <w:shd w:fill="CCEEFF" w:val="clear"/>
            <w:vAlign w:val="bottom"/>
          </w:tcPr>
          <w:p>
            <w:pPr>
              <w:pStyle w:val="TableContents"/>
              <w:spacing w:before="0" w:after="283"/>
              <w:jc w:val="right"/>
              <w:rPr/>
            </w:pPr>
            <w:r>
              <w:rPr/>
              <w:t>18.67</w:t>
            </w:r>
          </w:p>
        </w:tc>
        <w:tc>
          <w:tcPr>
            <w:tcW w:w="183"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17.83</w:t>
            </w:r>
          </w:p>
        </w:tc>
        <w:tc>
          <w:tcPr>
            <w:tcW w:w="194" w:type="dxa"/>
            <w:tcBorders/>
            <w:shd w:fill="CCEEFF" w:val="clear"/>
            <w:vAlign w:val="bottom"/>
          </w:tcPr>
          <w:p>
            <w:pPr>
              <w:pStyle w:val="TableContents"/>
              <w:spacing w:before="0" w:after="283"/>
              <w:rPr/>
            </w:pPr>
            <w:r>
              <w:rPr/>
              <w:t> </w:t>
            </w:r>
          </w:p>
        </w:tc>
      </w:tr>
      <w:tr>
        <w:trPr/>
        <w:tc>
          <w:tcPr>
            <w:tcW w:w="5115" w:type="dxa"/>
            <w:tcBorders/>
            <w:shd w:fill="auto" w:val="clear"/>
            <w:vAlign w:val="bottom"/>
          </w:tcPr>
          <w:p>
            <w:pPr>
              <w:pStyle w:val="TableContents"/>
              <w:spacing w:before="0" w:after="0"/>
              <w:ind w:left="225" w:right="0" w:hanging="225"/>
              <w:rPr/>
            </w:pPr>
            <w:r>
              <w:rPr/>
              <w:t>Second Quarter</w:t>
            </w:r>
          </w:p>
        </w:tc>
        <w:tc>
          <w:tcPr>
            <w:tcW w:w="2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20.02</w:t>
            </w:r>
          </w:p>
        </w:tc>
        <w:tc>
          <w:tcPr>
            <w:tcW w:w="18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18.24</w:t>
            </w:r>
          </w:p>
        </w:tc>
        <w:tc>
          <w:tcPr>
            <w:tcW w:w="18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19.60</w:t>
            </w:r>
          </w:p>
        </w:tc>
        <w:tc>
          <w:tcPr>
            <w:tcW w:w="18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17.97</w:t>
            </w:r>
          </w:p>
        </w:tc>
        <w:tc>
          <w:tcPr>
            <w:tcW w:w="194" w:type="dxa"/>
            <w:tcBorders/>
            <w:shd w:fill="auto" w:val="clear"/>
            <w:vAlign w:val="bottom"/>
          </w:tcPr>
          <w:p>
            <w:pPr>
              <w:pStyle w:val="TableContents"/>
              <w:spacing w:before="0" w:after="283"/>
              <w:rPr/>
            </w:pPr>
            <w:r>
              <w:rPr/>
              <w:t> </w:t>
            </w:r>
          </w:p>
        </w:tc>
      </w:tr>
      <w:tr>
        <w:trPr/>
        <w:tc>
          <w:tcPr>
            <w:tcW w:w="5115" w:type="dxa"/>
            <w:tcBorders/>
            <w:shd w:fill="CCEEFF" w:val="clear"/>
            <w:vAlign w:val="bottom"/>
          </w:tcPr>
          <w:p>
            <w:pPr>
              <w:pStyle w:val="TableContents"/>
              <w:spacing w:before="0" w:after="0"/>
              <w:ind w:left="225" w:right="0" w:hanging="225"/>
              <w:rPr/>
            </w:pPr>
            <w:r>
              <w:rPr/>
              <w:t>Third Quarter</w:t>
            </w:r>
          </w:p>
        </w:tc>
        <w:tc>
          <w:tcPr>
            <w:tcW w:w="269"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right"/>
              <w:rPr/>
            </w:pPr>
            <w:r>
              <w:rPr/>
              <w:t>$</w:t>
            </w:r>
          </w:p>
        </w:tc>
        <w:tc>
          <w:tcPr>
            <w:tcW w:w="561" w:type="dxa"/>
            <w:tcBorders/>
            <w:shd w:fill="CCEEFF" w:val="clear"/>
            <w:vAlign w:val="bottom"/>
          </w:tcPr>
          <w:p>
            <w:pPr>
              <w:pStyle w:val="TableContents"/>
              <w:spacing w:before="0" w:after="283"/>
              <w:jc w:val="right"/>
              <w:rPr/>
            </w:pPr>
            <w:r>
              <w:rPr/>
              <w:t>20.50</w:t>
            </w:r>
          </w:p>
        </w:tc>
        <w:tc>
          <w:tcPr>
            <w:tcW w:w="183"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right"/>
              <w:rPr/>
            </w:pPr>
            <w:r>
              <w:rPr/>
              <w:t>$</w:t>
            </w:r>
          </w:p>
        </w:tc>
        <w:tc>
          <w:tcPr>
            <w:tcW w:w="561" w:type="dxa"/>
            <w:tcBorders/>
            <w:shd w:fill="CCEEFF" w:val="clear"/>
            <w:vAlign w:val="bottom"/>
          </w:tcPr>
          <w:p>
            <w:pPr>
              <w:pStyle w:val="TableContents"/>
              <w:spacing w:before="0" w:after="283"/>
              <w:jc w:val="right"/>
              <w:rPr/>
            </w:pPr>
            <w:r>
              <w:rPr/>
              <w:t>18.50</w:t>
            </w:r>
          </w:p>
        </w:tc>
        <w:tc>
          <w:tcPr>
            <w:tcW w:w="183"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right"/>
              <w:rPr/>
            </w:pPr>
            <w:r>
              <w:rPr/>
              <w:t>$</w:t>
            </w:r>
          </w:p>
        </w:tc>
        <w:tc>
          <w:tcPr>
            <w:tcW w:w="561" w:type="dxa"/>
            <w:tcBorders/>
            <w:shd w:fill="CCEEFF" w:val="clear"/>
            <w:vAlign w:val="bottom"/>
          </w:tcPr>
          <w:p>
            <w:pPr>
              <w:pStyle w:val="TableContents"/>
              <w:spacing w:before="0" w:after="283"/>
              <w:jc w:val="right"/>
              <w:rPr/>
            </w:pPr>
            <w:r>
              <w:rPr/>
              <w:t>20.00</w:t>
            </w:r>
          </w:p>
        </w:tc>
        <w:tc>
          <w:tcPr>
            <w:tcW w:w="183"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18.50</w:t>
            </w:r>
          </w:p>
        </w:tc>
        <w:tc>
          <w:tcPr>
            <w:tcW w:w="194" w:type="dxa"/>
            <w:tcBorders/>
            <w:shd w:fill="CCEEFF" w:val="clear"/>
            <w:vAlign w:val="bottom"/>
          </w:tcPr>
          <w:p>
            <w:pPr>
              <w:pStyle w:val="TableContents"/>
              <w:spacing w:before="0" w:after="283"/>
              <w:rPr/>
            </w:pPr>
            <w:r>
              <w:rPr/>
              <w:t> </w:t>
            </w:r>
          </w:p>
        </w:tc>
      </w:tr>
      <w:tr>
        <w:trPr/>
        <w:tc>
          <w:tcPr>
            <w:tcW w:w="5115" w:type="dxa"/>
            <w:tcBorders/>
            <w:shd w:fill="auto" w:val="clear"/>
            <w:vAlign w:val="bottom"/>
          </w:tcPr>
          <w:p>
            <w:pPr>
              <w:pStyle w:val="TableContents"/>
              <w:spacing w:before="0" w:after="0"/>
              <w:ind w:left="225" w:right="0" w:hanging="225"/>
              <w:rPr/>
            </w:pPr>
            <w:r>
              <w:rPr/>
              <w:t>Fourth Quarter</w:t>
            </w:r>
          </w:p>
        </w:tc>
        <w:tc>
          <w:tcPr>
            <w:tcW w:w="2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21.25</w:t>
            </w:r>
          </w:p>
        </w:tc>
        <w:tc>
          <w:tcPr>
            <w:tcW w:w="18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18.03</w:t>
            </w:r>
          </w:p>
        </w:tc>
        <w:tc>
          <w:tcPr>
            <w:tcW w:w="18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21.53</w:t>
            </w:r>
          </w:p>
        </w:tc>
        <w:tc>
          <w:tcPr>
            <w:tcW w:w="18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18.28</w:t>
            </w:r>
          </w:p>
        </w:tc>
        <w:tc>
          <w:tcPr>
            <w:tcW w:w="194" w:type="dxa"/>
            <w:tcBorders/>
            <w:shd w:fill="auto"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During 2005 and 2004, First Busey declared cash dividends per share of common stock as follows: </w:t>
      </w:r>
    </w:p>
    <w:tbl>
      <w:tblPr>
        <w:tblW w:w="5000" w:type="pct"/>
        <w:jc w:val="center"/>
        <w:tblInd w:w="0" w:type="dxa"/>
        <w:tblCellMar>
          <w:top w:w="0" w:type="dxa"/>
          <w:left w:w="0" w:type="dxa"/>
          <w:bottom w:w="0" w:type="dxa"/>
          <w:right w:w="0" w:type="dxa"/>
        </w:tblCellMar>
      </w:tblPr>
      <w:tblGrid>
        <w:gridCol w:w="7640"/>
        <w:gridCol w:w="461"/>
        <w:gridCol w:w="549"/>
        <w:gridCol w:w="1178"/>
        <w:gridCol w:w="377"/>
      </w:tblGrid>
      <w:tr>
        <w:trPr/>
        <w:tc>
          <w:tcPr>
            <w:tcW w:w="764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r>
      <w:tr>
        <w:trPr/>
        <w:tc>
          <w:tcPr>
            <w:tcW w:w="764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2104"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Common Stock</w:t>
            </w:r>
          </w:p>
        </w:tc>
      </w:tr>
      <w:tr>
        <w:trPr/>
        <w:tc>
          <w:tcPr>
            <w:tcW w:w="7640" w:type="dxa"/>
            <w:tcBorders/>
            <w:shd w:fill="CCEEFF" w:val="clear"/>
            <w:vAlign w:val="bottom"/>
          </w:tcPr>
          <w:p>
            <w:pPr>
              <w:pStyle w:val="TableContents"/>
              <w:spacing w:before="0" w:after="0"/>
              <w:ind w:left="225" w:right="0" w:hanging="225"/>
              <w:rPr>
                <w:b/>
              </w:rPr>
            </w:pPr>
            <w:r>
              <w:rPr>
                <w:b/>
              </w:rPr>
              <w:t>2005</w:t>
            </w:r>
          </w:p>
        </w:tc>
        <w:tc>
          <w:tcPr>
            <w:tcW w:w="46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r>
      <w:tr>
        <w:trPr/>
        <w:tc>
          <w:tcPr>
            <w:tcW w:w="7640" w:type="dxa"/>
            <w:tcBorders/>
            <w:shd w:fill="auto" w:val="clear"/>
            <w:vAlign w:val="bottom"/>
          </w:tcPr>
          <w:p>
            <w:pPr>
              <w:pStyle w:val="TableContents"/>
              <w:spacing w:before="0" w:after="0"/>
              <w:ind w:left="225" w:right="0" w:hanging="225"/>
              <w:rPr/>
            </w:pPr>
            <w:r>
              <w:rPr/>
              <w:t>January</w:t>
            </w:r>
          </w:p>
        </w:tc>
        <w:tc>
          <w:tcPr>
            <w:tcW w:w="46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pPr>
            <w:r>
              <w:rPr/>
              <w:t>$</w:t>
            </w:r>
          </w:p>
        </w:tc>
        <w:tc>
          <w:tcPr>
            <w:tcW w:w="1178" w:type="dxa"/>
            <w:tcBorders/>
            <w:shd w:fill="auto" w:val="clear"/>
            <w:vAlign w:val="bottom"/>
          </w:tcPr>
          <w:p>
            <w:pPr>
              <w:pStyle w:val="TableContents"/>
              <w:spacing w:before="0" w:after="283"/>
              <w:jc w:val="right"/>
              <w:rPr/>
            </w:pPr>
            <w:r>
              <w:rPr/>
              <w:t>.1400</w:t>
            </w:r>
          </w:p>
        </w:tc>
        <w:tc>
          <w:tcPr>
            <w:tcW w:w="377" w:type="dxa"/>
            <w:tcBorders/>
            <w:shd w:fill="auto" w:val="clear"/>
            <w:vAlign w:val="bottom"/>
          </w:tcPr>
          <w:p>
            <w:pPr>
              <w:pStyle w:val="TableContents"/>
              <w:spacing w:before="0" w:after="283"/>
              <w:rPr/>
            </w:pPr>
            <w:r>
              <w:rPr/>
              <w:t> </w:t>
            </w:r>
          </w:p>
        </w:tc>
      </w:tr>
      <w:tr>
        <w:trPr/>
        <w:tc>
          <w:tcPr>
            <w:tcW w:w="7640" w:type="dxa"/>
            <w:tcBorders/>
            <w:shd w:fill="CCEEFF" w:val="clear"/>
            <w:vAlign w:val="bottom"/>
          </w:tcPr>
          <w:p>
            <w:pPr>
              <w:pStyle w:val="TableContents"/>
              <w:spacing w:before="0" w:after="0"/>
              <w:ind w:left="225" w:right="0" w:hanging="225"/>
              <w:rPr/>
            </w:pPr>
            <w:r>
              <w:rPr/>
              <w:t>April</w:t>
            </w:r>
          </w:p>
        </w:tc>
        <w:tc>
          <w:tcPr>
            <w:tcW w:w="46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pPr>
            <w:r>
              <w:rPr/>
              <w:t>$</w:t>
            </w:r>
          </w:p>
        </w:tc>
        <w:tc>
          <w:tcPr>
            <w:tcW w:w="1178" w:type="dxa"/>
            <w:tcBorders/>
            <w:shd w:fill="CCEEFF" w:val="clear"/>
            <w:vAlign w:val="bottom"/>
          </w:tcPr>
          <w:p>
            <w:pPr>
              <w:pStyle w:val="TableContents"/>
              <w:spacing w:before="0" w:after="283"/>
              <w:jc w:val="right"/>
              <w:rPr/>
            </w:pPr>
            <w:r>
              <w:rPr/>
              <w:t>.1400</w:t>
            </w:r>
          </w:p>
        </w:tc>
        <w:tc>
          <w:tcPr>
            <w:tcW w:w="377" w:type="dxa"/>
            <w:tcBorders/>
            <w:shd w:fill="CCEEFF" w:val="clear"/>
            <w:vAlign w:val="bottom"/>
          </w:tcPr>
          <w:p>
            <w:pPr>
              <w:pStyle w:val="TableContents"/>
              <w:spacing w:before="0" w:after="283"/>
              <w:rPr/>
            </w:pPr>
            <w:r>
              <w:rPr/>
              <w:t> </w:t>
            </w:r>
          </w:p>
        </w:tc>
      </w:tr>
      <w:tr>
        <w:trPr/>
        <w:tc>
          <w:tcPr>
            <w:tcW w:w="7640" w:type="dxa"/>
            <w:tcBorders/>
            <w:shd w:fill="auto" w:val="clear"/>
            <w:vAlign w:val="bottom"/>
          </w:tcPr>
          <w:p>
            <w:pPr>
              <w:pStyle w:val="TableContents"/>
              <w:spacing w:before="0" w:after="0"/>
              <w:ind w:left="225" w:right="0" w:hanging="225"/>
              <w:rPr/>
            </w:pPr>
            <w:r>
              <w:rPr/>
              <w:t>July</w:t>
            </w:r>
          </w:p>
        </w:tc>
        <w:tc>
          <w:tcPr>
            <w:tcW w:w="46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pPr>
            <w:r>
              <w:rPr/>
              <w:t>$</w:t>
            </w:r>
          </w:p>
        </w:tc>
        <w:tc>
          <w:tcPr>
            <w:tcW w:w="1178" w:type="dxa"/>
            <w:tcBorders/>
            <w:shd w:fill="auto" w:val="clear"/>
            <w:vAlign w:val="bottom"/>
          </w:tcPr>
          <w:p>
            <w:pPr>
              <w:pStyle w:val="TableContents"/>
              <w:spacing w:before="0" w:after="283"/>
              <w:jc w:val="right"/>
              <w:rPr/>
            </w:pPr>
            <w:r>
              <w:rPr/>
              <w:t>.1400</w:t>
            </w:r>
          </w:p>
        </w:tc>
        <w:tc>
          <w:tcPr>
            <w:tcW w:w="377" w:type="dxa"/>
            <w:tcBorders/>
            <w:shd w:fill="auto" w:val="clear"/>
            <w:vAlign w:val="bottom"/>
          </w:tcPr>
          <w:p>
            <w:pPr>
              <w:pStyle w:val="TableContents"/>
              <w:spacing w:before="0" w:after="283"/>
              <w:rPr/>
            </w:pPr>
            <w:r>
              <w:rPr/>
              <w:t> </w:t>
            </w:r>
          </w:p>
        </w:tc>
      </w:tr>
      <w:tr>
        <w:trPr/>
        <w:tc>
          <w:tcPr>
            <w:tcW w:w="7640" w:type="dxa"/>
            <w:tcBorders/>
            <w:shd w:fill="CCEEFF" w:val="clear"/>
            <w:vAlign w:val="bottom"/>
          </w:tcPr>
          <w:p>
            <w:pPr>
              <w:pStyle w:val="TableContents"/>
              <w:spacing w:before="0" w:after="0"/>
              <w:ind w:left="225" w:right="0" w:hanging="225"/>
              <w:rPr/>
            </w:pPr>
            <w:r>
              <w:rPr/>
              <w:t>October</w:t>
            </w:r>
          </w:p>
        </w:tc>
        <w:tc>
          <w:tcPr>
            <w:tcW w:w="46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pPr>
            <w:r>
              <w:rPr/>
              <w:t>$</w:t>
            </w:r>
          </w:p>
        </w:tc>
        <w:tc>
          <w:tcPr>
            <w:tcW w:w="1178" w:type="dxa"/>
            <w:tcBorders/>
            <w:shd w:fill="CCEEFF" w:val="clear"/>
            <w:vAlign w:val="bottom"/>
          </w:tcPr>
          <w:p>
            <w:pPr>
              <w:pStyle w:val="TableContents"/>
              <w:spacing w:before="0" w:after="283"/>
              <w:jc w:val="right"/>
              <w:rPr/>
            </w:pPr>
            <w:r>
              <w:rPr/>
              <w:t>.1400</w:t>
            </w:r>
          </w:p>
        </w:tc>
        <w:tc>
          <w:tcPr>
            <w:tcW w:w="377" w:type="dxa"/>
            <w:tcBorders/>
            <w:shd w:fill="CCEEFF" w:val="clear"/>
            <w:vAlign w:val="bottom"/>
          </w:tcPr>
          <w:p>
            <w:pPr>
              <w:pStyle w:val="TableContents"/>
              <w:spacing w:before="0" w:after="283"/>
              <w:rPr/>
            </w:pPr>
            <w:r>
              <w:rPr/>
              <w:t> </w:t>
            </w:r>
          </w:p>
        </w:tc>
      </w:tr>
      <w:tr>
        <w:trPr/>
        <w:tc>
          <w:tcPr>
            <w:tcW w:w="7640" w:type="dxa"/>
            <w:tcBorders/>
            <w:shd w:fill="auto" w:val="clear"/>
            <w:vAlign w:val="bottom"/>
          </w:tcPr>
          <w:p>
            <w:pPr>
              <w:pStyle w:val="TableContents"/>
              <w:spacing w:before="0" w:after="0"/>
              <w:ind w:left="225" w:right="0" w:hanging="225"/>
              <w:rPr/>
            </w:pPr>
            <w:r>
              <w:rPr/>
              <w:t> </w:t>
            </w:r>
          </w:p>
        </w:tc>
        <w:tc>
          <w:tcPr>
            <w:tcW w:w="46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r>
      <w:tr>
        <w:trPr/>
        <w:tc>
          <w:tcPr>
            <w:tcW w:w="7640" w:type="dxa"/>
            <w:tcBorders/>
            <w:shd w:fill="auto" w:val="clear"/>
            <w:vAlign w:val="bottom"/>
          </w:tcPr>
          <w:p>
            <w:pPr>
              <w:pStyle w:val="TableContents"/>
              <w:spacing w:before="0" w:after="0"/>
              <w:ind w:left="225" w:right="0" w:hanging="225"/>
              <w:rPr>
                <w:b/>
              </w:rPr>
            </w:pPr>
            <w:r>
              <w:rPr>
                <w:b/>
              </w:rPr>
              <w:t>2004</w:t>
            </w:r>
          </w:p>
        </w:tc>
        <w:tc>
          <w:tcPr>
            <w:tcW w:w="46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r>
      <w:tr>
        <w:trPr/>
        <w:tc>
          <w:tcPr>
            <w:tcW w:w="7640" w:type="dxa"/>
            <w:tcBorders/>
            <w:shd w:fill="CCEEFF" w:val="clear"/>
            <w:vAlign w:val="bottom"/>
          </w:tcPr>
          <w:p>
            <w:pPr>
              <w:pStyle w:val="TableContents"/>
              <w:spacing w:before="0" w:after="0"/>
              <w:ind w:left="225" w:right="0" w:hanging="225"/>
              <w:rPr/>
            </w:pPr>
            <w:r>
              <w:rPr/>
              <w:t>January</w:t>
            </w:r>
          </w:p>
        </w:tc>
        <w:tc>
          <w:tcPr>
            <w:tcW w:w="46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pPr>
            <w:r>
              <w:rPr/>
              <w:t>$</w:t>
            </w:r>
          </w:p>
        </w:tc>
        <w:tc>
          <w:tcPr>
            <w:tcW w:w="1178" w:type="dxa"/>
            <w:tcBorders/>
            <w:shd w:fill="CCEEFF" w:val="clear"/>
            <w:vAlign w:val="bottom"/>
          </w:tcPr>
          <w:p>
            <w:pPr>
              <w:pStyle w:val="TableContents"/>
              <w:spacing w:before="0" w:after="283"/>
              <w:jc w:val="right"/>
              <w:rPr/>
            </w:pPr>
            <w:r>
              <w:rPr/>
              <w:t>.1267</w:t>
            </w:r>
          </w:p>
        </w:tc>
        <w:tc>
          <w:tcPr>
            <w:tcW w:w="377" w:type="dxa"/>
            <w:tcBorders/>
            <w:shd w:fill="CCEEFF" w:val="clear"/>
            <w:vAlign w:val="bottom"/>
          </w:tcPr>
          <w:p>
            <w:pPr>
              <w:pStyle w:val="TableContents"/>
              <w:spacing w:before="0" w:after="283"/>
              <w:rPr/>
            </w:pPr>
            <w:r>
              <w:rPr/>
              <w:t> </w:t>
            </w:r>
          </w:p>
        </w:tc>
      </w:tr>
      <w:tr>
        <w:trPr/>
        <w:tc>
          <w:tcPr>
            <w:tcW w:w="7640" w:type="dxa"/>
            <w:tcBorders/>
            <w:shd w:fill="auto" w:val="clear"/>
            <w:vAlign w:val="bottom"/>
          </w:tcPr>
          <w:p>
            <w:pPr>
              <w:pStyle w:val="TableContents"/>
              <w:spacing w:before="0" w:after="0"/>
              <w:ind w:left="225" w:right="0" w:hanging="225"/>
              <w:rPr/>
            </w:pPr>
            <w:r>
              <w:rPr/>
              <w:t>April</w:t>
            </w:r>
          </w:p>
        </w:tc>
        <w:tc>
          <w:tcPr>
            <w:tcW w:w="46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pPr>
            <w:r>
              <w:rPr/>
              <w:t>$</w:t>
            </w:r>
          </w:p>
        </w:tc>
        <w:tc>
          <w:tcPr>
            <w:tcW w:w="1178" w:type="dxa"/>
            <w:tcBorders/>
            <w:shd w:fill="auto" w:val="clear"/>
            <w:vAlign w:val="bottom"/>
          </w:tcPr>
          <w:p>
            <w:pPr>
              <w:pStyle w:val="TableContents"/>
              <w:spacing w:before="0" w:after="283"/>
              <w:jc w:val="right"/>
              <w:rPr/>
            </w:pPr>
            <w:r>
              <w:rPr/>
              <w:t>.1267</w:t>
            </w:r>
          </w:p>
        </w:tc>
        <w:tc>
          <w:tcPr>
            <w:tcW w:w="377" w:type="dxa"/>
            <w:tcBorders/>
            <w:shd w:fill="auto" w:val="clear"/>
            <w:vAlign w:val="bottom"/>
          </w:tcPr>
          <w:p>
            <w:pPr>
              <w:pStyle w:val="TableContents"/>
              <w:spacing w:before="0" w:after="283"/>
              <w:rPr/>
            </w:pPr>
            <w:r>
              <w:rPr/>
              <w:t> </w:t>
            </w:r>
          </w:p>
        </w:tc>
      </w:tr>
      <w:tr>
        <w:trPr/>
        <w:tc>
          <w:tcPr>
            <w:tcW w:w="7640" w:type="dxa"/>
            <w:tcBorders/>
            <w:shd w:fill="CCEEFF" w:val="clear"/>
            <w:vAlign w:val="bottom"/>
          </w:tcPr>
          <w:p>
            <w:pPr>
              <w:pStyle w:val="TableContents"/>
              <w:spacing w:before="0" w:after="0"/>
              <w:ind w:left="225" w:right="0" w:hanging="225"/>
              <w:rPr/>
            </w:pPr>
            <w:r>
              <w:rPr/>
              <w:t>July</w:t>
            </w:r>
          </w:p>
        </w:tc>
        <w:tc>
          <w:tcPr>
            <w:tcW w:w="461"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pPr>
            <w:r>
              <w:rPr/>
              <w:t>$</w:t>
            </w:r>
          </w:p>
        </w:tc>
        <w:tc>
          <w:tcPr>
            <w:tcW w:w="1178" w:type="dxa"/>
            <w:tcBorders/>
            <w:shd w:fill="CCEEFF" w:val="clear"/>
            <w:vAlign w:val="bottom"/>
          </w:tcPr>
          <w:p>
            <w:pPr>
              <w:pStyle w:val="TableContents"/>
              <w:spacing w:before="0" w:after="283"/>
              <w:jc w:val="right"/>
              <w:rPr/>
            </w:pPr>
            <w:r>
              <w:rPr/>
              <w:t>.1267</w:t>
            </w:r>
          </w:p>
        </w:tc>
        <w:tc>
          <w:tcPr>
            <w:tcW w:w="377" w:type="dxa"/>
            <w:tcBorders/>
            <w:shd w:fill="CCEEFF" w:val="clear"/>
            <w:vAlign w:val="bottom"/>
          </w:tcPr>
          <w:p>
            <w:pPr>
              <w:pStyle w:val="TableContents"/>
              <w:spacing w:before="0" w:after="283"/>
              <w:rPr/>
            </w:pPr>
            <w:r>
              <w:rPr/>
              <w:t> </w:t>
            </w:r>
          </w:p>
        </w:tc>
      </w:tr>
      <w:tr>
        <w:trPr/>
        <w:tc>
          <w:tcPr>
            <w:tcW w:w="7640" w:type="dxa"/>
            <w:tcBorders/>
            <w:shd w:fill="auto" w:val="clear"/>
            <w:vAlign w:val="bottom"/>
          </w:tcPr>
          <w:p>
            <w:pPr>
              <w:pStyle w:val="TableContents"/>
              <w:spacing w:before="0" w:after="0"/>
              <w:ind w:left="225" w:right="0" w:hanging="225"/>
              <w:rPr/>
            </w:pPr>
            <w:r>
              <w:rPr/>
              <w:t>October</w:t>
            </w:r>
          </w:p>
        </w:tc>
        <w:tc>
          <w:tcPr>
            <w:tcW w:w="46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pPr>
            <w:r>
              <w:rPr/>
              <w:t>$</w:t>
            </w:r>
          </w:p>
        </w:tc>
        <w:tc>
          <w:tcPr>
            <w:tcW w:w="1178" w:type="dxa"/>
            <w:tcBorders/>
            <w:shd w:fill="auto" w:val="clear"/>
            <w:vAlign w:val="bottom"/>
          </w:tcPr>
          <w:p>
            <w:pPr>
              <w:pStyle w:val="TableContents"/>
              <w:spacing w:before="0" w:after="283"/>
              <w:jc w:val="right"/>
              <w:rPr/>
            </w:pPr>
            <w:r>
              <w:rPr/>
              <w:t>.1300</w:t>
            </w:r>
          </w:p>
        </w:tc>
        <w:tc>
          <w:tcPr>
            <w:tcW w:w="377" w:type="dxa"/>
            <w:tcBorders/>
            <w:shd w:fill="auto"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For a discussion of restrictions on dividends, please see the discussion of dividend restrictions under Item 1. Business, Supervision, Regulation and Other Factors, Dividends on pages 5  6.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 of March 1, 2006, First Busey Corporation had approximately 970 holders of common stock. </w:t>
      </w:r>
    </w:p>
    <w:p>
      <w:pPr>
        <w:pStyle w:val="TextBody"/>
        <w:jc w:val="center"/>
        <w:rPr>
          <w:rFonts w:ascii="Helvetica;Arial;sans-serif" w:hAnsi="Helvetica;Arial;sans-serif"/>
          <w:sz w:val="17"/>
        </w:rPr>
      </w:pPr>
      <w:r>
        <w:rPr>
          <w:rFonts w:ascii="Helvetica;Arial;sans-serif" w:hAnsi="Helvetica;Arial;san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presents for the periods indicated a summary of the purchases made by or on behalf of First Busey Corporation of shares of its common stock. </w:t>
      </w:r>
    </w:p>
    <w:tbl>
      <w:tblPr>
        <w:tblW w:w="5000" w:type="pct"/>
        <w:jc w:val="center"/>
        <w:tblInd w:w="0" w:type="dxa"/>
        <w:tblCellMar>
          <w:top w:w="0" w:type="dxa"/>
          <w:left w:w="0" w:type="dxa"/>
          <w:bottom w:w="0" w:type="dxa"/>
          <w:right w:w="0" w:type="dxa"/>
        </w:tblCellMar>
      </w:tblPr>
      <w:tblGrid>
        <w:gridCol w:w="3250"/>
        <w:gridCol w:w="296"/>
        <w:gridCol w:w="208"/>
        <w:gridCol w:w="926"/>
        <w:gridCol w:w="210"/>
        <w:gridCol w:w="296"/>
        <w:gridCol w:w="378"/>
        <w:gridCol w:w="992"/>
        <w:gridCol w:w="247"/>
        <w:gridCol w:w="296"/>
        <w:gridCol w:w="211"/>
        <w:gridCol w:w="988"/>
        <w:gridCol w:w="216"/>
        <w:gridCol w:w="296"/>
        <w:gridCol w:w="209"/>
        <w:gridCol w:w="963"/>
        <w:gridCol w:w="223"/>
      </w:tblGrid>
      <w:tr>
        <w:trPr/>
        <w:tc>
          <w:tcPr>
            <w:tcW w:w="325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r>
      <w:tr>
        <w:trPr/>
        <w:tc>
          <w:tcPr>
            <w:tcW w:w="325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pPr>
            <w:r>
              <w:rPr/>
              <w:t>Total</w:t>
            </w:r>
          </w:p>
        </w:tc>
        <w:tc>
          <w:tcPr>
            <w:tcW w:w="296" w:type="dxa"/>
            <w:tcBorders/>
            <w:shd w:fill="auto" w:val="clear"/>
            <w:vAlign w:val="bottom"/>
          </w:tcPr>
          <w:p>
            <w:pPr>
              <w:pStyle w:val="TableContents"/>
              <w:spacing w:before="0" w:after="283"/>
              <w:rPr/>
            </w:pPr>
            <w:r>
              <w:rPr/>
              <w:t> </w:t>
            </w:r>
          </w:p>
        </w:tc>
        <w:tc>
          <w:tcPr>
            <w:tcW w:w="1395" w:type="dxa"/>
            <w:gridSpan w:val="3"/>
            <w:tcBorders/>
            <w:shd w:fill="auto" w:val="clear"/>
            <w:vAlign w:val="bottom"/>
          </w:tcPr>
          <w:p>
            <w:pPr>
              <w:pStyle w:val="TableContents"/>
              <w:spacing w:before="0" w:after="283"/>
              <w:jc w:val="center"/>
              <w:rPr/>
            </w:pPr>
            <w:r>
              <w:rPr/>
              <w:t>Maximum</w:t>
            </w:r>
          </w:p>
        </w:tc>
      </w:tr>
      <w:tr>
        <w:trPr/>
        <w:tc>
          <w:tcPr>
            <w:tcW w:w="325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pPr>
            <w:r>
              <w:rPr/>
              <w:t>Number of</w:t>
            </w:r>
          </w:p>
        </w:tc>
        <w:tc>
          <w:tcPr>
            <w:tcW w:w="296" w:type="dxa"/>
            <w:tcBorders/>
            <w:shd w:fill="auto" w:val="clear"/>
            <w:vAlign w:val="bottom"/>
          </w:tcPr>
          <w:p>
            <w:pPr>
              <w:pStyle w:val="TableContents"/>
              <w:spacing w:before="0" w:after="283"/>
              <w:rPr/>
            </w:pPr>
            <w:r>
              <w:rPr/>
              <w:t> </w:t>
            </w:r>
          </w:p>
        </w:tc>
        <w:tc>
          <w:tcPr>
            <w:tcW w:w="1395" w:type="dxa"/>
            <w:gridSpan w:val="3"/>
            <w:tcBorders/>
            <w:shd w:fill="auto" w:val="clear"/>
            <w:vAlign w:val="bottom"/>
          </w:tcPr>
          <w:p>
            <w:pPr>
              <w:pStyle w:val="TableContents"/>
              <w:spacing w:before="0" w:after="283"/>
              <w:jc w:val="center"/>
              <w:rPr/>
            </w:pPr>
            <w:r>
              <w:rPr/>
              <w:t>Number of</w:t>
            </w:r>
          </w:p>
        </w:tc>
      </w:tr>
      <w:tr>
        <w:trPr/>
        <w:tc>
          <w:tcPr>
            <w:tcW w:w="325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pPr>
            <w:r>
              <w:rPr/>
              <w:t>Shares</w:t>
            </w:r>
          </w:p>
        </w:tc>
        <w:tc>
          <w:tcPr>
            <w:tcW w:w="296" w:type="dxa"/>
            <w:tcBorders/>
            <w:shd w:fill="auto" w:val="clear"/>
            <w:vAlign w:val="bottom"/>
          </w:tcPr>
          <w:p>
            <w:pPr>
              <w:pStyle w:val="TableContents"/>
              <w:spacing w:before="0" w:after="283"/>
              <w:rPr/>
            </w:pPr>
            <w:r>
              <w:rPr/>
              <w:t> </w:t>
            </w:r>
          </w:p>
        </w:tc>
        <w:tc>
          <w:tcPr>
            <w:tcW w:w="1395" w:type="dxa"/>
            <w:gridSpan w:val="3"/>
            <w:tcBorders/>
            <w:shd w:fill="auto" w:val="clear"/>
            <w:vAlign w:val="bottom"/>
          </w:tcPr>
          <w:p>
            <w:pPr>
              <w:pStyle w:val="TableContents"/>
              <w:spacing w:before="0" w:after="283"/>
              <w:jc w:val="center"/>
              <w:rPr/>
            </w:pPr>
            <w:r>
              <w:rPr/>
              <w:t>Shares</w:t>
            </w:r>
          </w:p>
        </w:tc>
      </w:tr>
      <w:tr>
        <w:trPr/>
        <w:tc>
          <w:tcPr>
            <w:tcW w:w="325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pPr>
            <w:r>
              <w:rPr/>
              <w:t>Purchased</w:t>
            </w:r>
          </w:p>
        </w:tc>
        <w:tc>
          <w:tcPr>
            <w:tcW w:w="296" w:type="dxa"/>
            <w:tcBorders/>
            <w:shd w:fill="auto" w:val="clear"/>
            <w:vAlign w:val="bottom"/>
          </w:tcPr>
          <w:p>
            <w:pPr>
              <w:pStyle w:val="TableContents"/>
              <w:spacing w:before="0" w:after="283"/>
              <w:rPr/>
            </w:pPr>
            <w:r>
              <w:rPr/>
              <w:t> </w:t>
            </w:r>
          </w:p>
        </w:tc>
        <w:tc>
          <w:tcPr>
            <w:tcW w:w="1395" w:type="dxa"/>
            <w:gridSpan w:val="3"/>
            <w:tcBorders/>
            <w:shd w:fill="auto" w:val="clear"/>
            <w:vAlign w:val="bottom"/>
          </w:tcPr>
          <w:p>
            <w:pPr>
              <w:pStyle w:val="TableContents"/>
              <w:spacing w:before="0" w:after="283"/>
              <w:jc w:val="center"/>
              <w:rPr/>
            </w:pPr>
            <w:r>
              <w:rPr/>
              <w:t>that May</w:t>
            </w:r>
          </w:p>
        </w:tc>
      </w:tr>
      <w:tr>
        <w:trPr/>
        <w:tc>
          <w:tcPr>
            <w:tcW w:w="325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pPr>
            <w:r>
              <w:rPr/>
              <w:t>as Part of</w:t>
            </w:r>
          </w:p>
        </w:tc>
        <w:tc>
          <w:tcPr>
            <w:tcW w:w="296" w:type="dxa"/>
            <w:tcBorders/>
            <w:shd w:fill="auto" w:val="clear"/>
            <w:vAlign w:val="bottom"/>
          </w:tcPr>
          <w:p>
            <w:pPr>
              <w:pStyle w:val="TableContents"/>
              <w:spacing w:before="0" w:after="283"/>
              <w:rPr/>
            </w:pPr>
            <w:r>
              <w:rPr/>
              <w:t> </w:t>
            </w:r>
          </w:p>
        </w:tc>
        <w:tc>
          <w:tcPr>
            <w:tcW w:w="1395" w:type="dxa"/>
            <w:gridSpan w:val="3"/>
            <w:tcBorders/>
            <w:shd w:fill="auto" w:val="clear"/>
            <w:vAlign w:val="bottom"/>
          </w:tcPr>
          <w:p>
            <w:pPr>
              <w:pStyle w:val="TableContents"/>
              <w:spacing w:before="0" w:after="283"/>
              <w:jc w:val="center"/>
              <w:rPr/>
            </w:pPr>
            <w:r>
              <w:rPr/>
              <w:t>Yet Be</w:t>
            </w:r>
          </w:p>
        </w:tc>
      </w:tr>
      <w:tr>
        <w:trPr/>
        <w:tc>
          <w:tcPr>
            <w:tcW w:w="325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4" w:type="dxa"/>
            <w:gridSpan w:val="3"/>
            <w:tcBorders/>
            <w:shd w:fill="auto" w:val="clear"/>
            <w:vAlign w:val="bottom"/>
          </w:tcPr>
          <w:p>
            <w:pPr>
              <w:pStyle w:val="TableContents"/>
              <w:spacing w:before="0" w:after="283"/>
              <w:jc w:val="center"/>
              <w:rPr/>
            </w:pPr>
            <w:r>
              <w:rPr/>
              <w:t>Total</w:t>
            </w:r>
          </w:p>
        </w:tc>
        <w:tc>
          <w:tcPr>
            <w:tcW w:w="29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pPr>
            <w:r>
              <w:rPr/>
              <w:t>Publicly</w:t>
            </w:r>
          </w:p>
        </w:tc>
        <w:tc>
          <w:tcPr>
            <w:tcW w:w="296" w:type="dxa"/>
            <w:tcBorders/>
            <w:shd w:fill="auto" w:val="clear"/>
            <w:vAlign w:val="bottom"/>
          </w:tcPr>
          <w:p>
            <w:pPr>
              <w:pStyle w:val="TableContents"/>
              <w:spacing w:before="0" w:after="283"/>
              <w:rPr/>
            </w:pPr>
            <w:r>
              <w:rPr/>
              <w:t> </w:t>
            </w:r>
          </w:p>
        </w:tc>
        <w:tc>
          <w:tcPr>
            <w:tcW w:w="1395" w:type="dxa"/>
            <w:gridSpan w:val="3"/>
            <w:tcBorders/>
            <w:shd w:fill="auto" w:val="clear"/>
            <w:vAlign w:val="bottom"/>
          </w:tcPr>
          <w:p>
            <w:pPr>
              <w:pStyle w:val="TableContents"/>
              <w:spacing w:before="0" w:after="283"/>
              <w:jc w:val="center"/>
              <w:rPr/>
            </w:pPr>
            <w:r>
              <w:rPr/>
              <w:t>Purchased</w:t>
            </w:r>
          </w:p>
        </w:tc>
      </w:tr>
      <w:tr>
        <w:trPr/>
        <w:tc>
          <w:tcPr>
            <w:tcW w:w="325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4" w:type="dxa"/>
            <w:gridSpan w:val="3"/>
            <w:tcBorders/>
            <w:shd w:fill="auto" w:val="clear"/>
            <w:vAlign w:val="bottom"/>
          </w:tcPr>
          <w:p>
            <w:pPr>
              <w:pStyle w:val="TableContents"/>
              <w:spacing w:before="0" w:after="283"/>
              <w:jc w:val="center"/>
              <w:rPr/>
            </w:pPr>
            <w:r>
              <w:rPr/>
              <w:t>Number of</w:t>
            </w:r>
          </w:p>
        </w:tc>
        <w:tc>
          <w:tcPr>
            <w:tcW w:w="296" w:type="dxa"/>
            <w:tcBorders/>
            <w:shd w:fill="auto" w:val="clear"/>
            <w:vAlign w:val="bottom"/>
          </w:tcPr>
          <w:p>
            <w:pPr>
              <w:pStyle w:val="TableContents"/>
              <w:spacing w:before="0" w:after="283"/>
              <w:rPr/>
            </w:pPr>
            <w:r>
              <w:rPr/>
              <w:t> </w:t>
            </w:r>
          </w:p>
        </w:tc>
        <w:tc>
          <w:tcPr>
            <w:tcW w:w="1617" w:type="dxa"/>
            <w:gridSpan w:val="3"/>
            <w:tcBorders/>
            <w:shd w:fill="auto" w:val="clear"/>
            <w:vAlign w:val="bottom"/>
          </w:tcPr>
          <w:p>
            <w:pPr>
              <w:pStyle w:val="TableContents"/>
              <w:spacing w:before="0" w:after="283"/>
              <w:jc w:val="center"/>
              <w:rPr/>
            </w:pPr>
            <w:r>
              <w:rPr/>
              <w:t>Average</w:t>
            </w:r>
          </w:p>
        </w:tc>
        <w:tc>
          <w:tcPr>
            <w:tcW w:w="296"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pPr>
            <w:r>
              <w:rPr/>
              <w:t>Announced</w:t>
            </w:r>
          </w:p>
        </w:tc>
        <w:tc>
          <w:tcPr>
            <w:tcW w:w="296" w:type="dxa"/>
            <w:tcBorders/>
            <w:shd w:fill="auto" w:val="clear"/>
            <w:vAlign w:val="bottom"/>
          </w:tcPr>
          <w:p>
            <w:pPr>
              <w:pStyle w:val="TableContents"/>
              <w:spacing w:before="0" w:after="283"/>
              <w:rPr/>
            </w:pPr>
            <w:r>
              <w:rPr/>
              <w:t> </w:t>
            </w:r>
          </w:p>
        </w:tc>
        <w:tc>
          <w:tcPr>
            <w:tcW w:w="1395" w:type="dxa"/>
            <w:gridSpan w:val="3"/>
            <w:tcBorders/>
            <w:shd w:fill="auto" w:val="clear"/>
            <w:vAlign w:val="bottom"/>
          </w:tcPr>
          <w:p>
            <w:pPr>
              <w:pStyle w:val="TableContents"/>
              <w:spacing w:before="0" w:after="283"/>
              <w:jc w:val="center"/>
              <w:rPr/>
            </w:pPr>
            <w:r>
              <w:rPr/>
              <w:t>Under the</w:t>
            </w:r>
          </w:p>
        </w:tc>
      </w:tr>
      <w:tr>
        <w:trPr/>
        <w:tc>
          <w:tcPr>
            <w:tcW w:w="325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4" w:type="dxa"/>
            <w:gridSpan w:val="3"/>
            <w:tcBorders/>
            <w:shd w:fill="auto" w:val="clear"/>
            <w:vAlign w:val="bottom"/>
          </w:tcPr>
          <w:p>
            <w:pPr>
              <w:pStyle w:val="TableContents"/>
              <w:spacing w:before="0" w:after="283"/>
              <w:jc w:val="center"/>
              <w:rPr/>
            </w:pPr>
            <w:r>
              <w:rPr/>
              <w:t>Shares</w:t>
            </w:r>
          </w:p>
        </w:tc>
        <w:tc>
          <w:tcPr>
            <w:tcW w:w="296" w:type="dxa"/>
            <w:tcBorders/>
            <w:shd w:fill="auto" w:val="clear"/>
            <w:vAlign w:val="bottom"/>
          </w:tcPr>
          <w:p>
            <w:pPr>
              <w:pStyle w:val="TableContents"/>
              <w:spacing w:before="0" w:after="283"/>
              <w:rPr/>
            </w:pPr>
            <w:r>
              <w:rPr/>
              <w:t> </w:t>
            </w:r>
          </w:p>
        </w:tc>
        <w:tc>
          <w:tcPr>
            <w:tcW w:w="1617" w:type="dxa"/>
            <w:gridSpan w:val="3"/>
            <w:tcBorders/>
            <w:shd w:fill="auto" w:val="clear"/>
            <w:vAlign w:val="bottom"/>
          </w:tcPr>
          <w:p>
            <w:pPr>
              <w:pStyle w:val="TableContents"/>
              <w:spacing w:before="0" w:after="283"/>
              <w:jc w:val="center"/>
              <w:rPr/>
            </w:pPr>
            <w:r>
              <w:rPr/>
              <w:t>Price Paid per</w:t>
            </w:r>
          </w:p>
        </w:tc>
        <w:tc>
          <w:tcPr>
            <w:tcW w:w="296"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pPr>
            <w:r>
              <w:rPr/>
              <w:t>Plans or</w:t>
            </w:r>
          </w:p>
        </w:tc>
        <w:tc>
          <w:tcPr>
            <w:tcW w:w="296" w:type="dxa"/>
            <w:tcBorders/>
            <w:shd w:fill="auto" w:val="clear"/>
            <w:vAlign w:val="bottom"/>
          </w:tcPr>
          <w:p>
            <w:pPr>
              <w:pStyle w:val="TableContents"/>
              <w:spacing w:before="0" w:after="283"/>
              <w:rPr/>
            </w:pPr>
            <w:r>
              <w:rPr/>
              <w:t> </w:t>
            </w:r>
          </w:p>
        </w:tc>
        <w:tc>
          <w:tcPr>
            <w:tcW w:w="1395" w:type="dxa"/>
            <w:gridSpan w:val="3"/>
            <w:tcBorders/>
            <w:shd w:fill="auto" w:val="clear"/>
            <w:vAlign w:val="bottom"/>
          </w:tcPr>
          <w:p>
            <w:pPr>
              <w:pStyle w:val="TableContents"/>
              <w:spacing w:before="0" w:after="283"/>
              <w:jc w:val="center"/>
              <w:rPr/>
            </w:pPr>
            <w:r>
              <w:rPr/>
              <w:t>Plans or</w:t>
            </w:r>
          </w:p>
        </w:tc>
      </w:tr>
      <w:tr>
        <w:trPr/>
        <w:tc>
          <w:tcPr>
            <w:tcW w:w="325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344" w:type="dxa"/>
            <w:gridSpan w:val="3"/>
            <w:tcBorders/>
            <w:shd w:fill="auto" w:val="clear"/>
            <w:vAlign w:val="bottom"/>
          </w:tcPr>
          <w:p>
            <w:pPr>
              <w:pStyle w:val="TableContents"/>
              <w:spacing w:before="0" w:after="283"/>
              <w:jc w:val="center"/>
              <w:rPr/>
            </w:pPr>
            <w:r>
              <w:rPr/>
              <w:t>Purchased</w:t>
            </w:r>
          </w:p>
        </w:tc>
        <w:tc>
          <w:tcPr>
            <w:tcW w:w="296" w:type="dxa"/>
            <w:tcBorders/>
            <w:shd w:fill="auto" w:val="clear"/>
            <w:vAlign w:val="bottom"/>
          </w:tcPr>
          <w:p>
            <w:pPr>
              <w:pStyle w:val="TableContents"/>
              <w:spacing w:before="0" w:after="283"/>
              <w:rPr/>
            </w:pPr>
            <w:r>
              <w:rPr/>
              <w:t> </w:t>
            </w:r>
          </w:p>
        </w:tc>
        <w:tc>
          <w:tcPr>
            <w:tcW w:w="1617" w:type="dxa"/>
            <w:gridSpan w:val="3"/>
            <w:tcBorders/>
            <w:shd w:fill="auto" w:val="clear"/>
            <w:vAlign w:val="bottom"/>
          </w:tcPr>
          <w:p>
            <w:pPr>
              <w:pStyle w:val="TableContents"/>
              <w:spacing w:before="0" w:after="283"/>
              <w:jc w:val="center"/>
              <w:rPr/>
            </w:pPr>
            <w:r>
              <w:rPr/>
              <w:t>Share</w:t>
            </w:r>
          </w:p>
        </w:tc>
        <w:tc>
          <w:tcPr>
            <w:tcW w:w="296"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pPr>
            <w:r>
              <w:rPr/>
              <w:t>Programs</w:t>
            </w:r>
          </w:p>
        </w:tc>
        <w:tc>
          <w:tcPr>
            <w:tcW w:w="296" w:type="dxa"/>
            <w:tcBorders/>
            <w:shd w:fill="auto" w:val="clear"/>
            <w:vAlign w:val="bottom"/>
          </w:tcPr>
          <w:p>
            <w:pPr>
              <w:pStyle w:val="TableContents"/>
              <w:spacing w:before="0" w:after="283"/>
              <w:rPr/>
            </w:pPr>
            <w:r>
              <w:rPr/>
              <w:t> </w:t>
            </w:r>
          </w:p>
        </w:tc>
        <w:tc>
          <w:tcPr>
            <w:tcW w:w="1395" w:type="dxa"/>
            <w:gridSpan w:val="3"/>
            <w:tcBorders/>
            <w:shd w:fill="auto" w:val="clear"/>
            <w:vAlign w:val="bottom"/>
          </w:tcPr>
          <w:p>
            <w:pPr>
              <w:pStyle w:val="TableContents"/>
              <w:spacing w:before="0" w:after="283"/>
              <w:jc w:val="center"/>
              <w:rPr/>
            </w:pPr>
            <w:r>
              <w:rPr/>
              <w:t>Programs 1</w:t>
            </w:r>
          </w:p>
        </w:tc>
      </w:tr>
      <w:tr>
        <w:trPr/>
        <w:tc>
          <w:tcPr>
            <w:tcW w:w="1020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250" w:type="dxa"/>
            <w:tcBorders/>
            <w:shd w:fill="CCEEFF" w:val="clear"/>
            <w:vAlign w:val="bottom"/>
          </w:tcPr>
          <w:p>
            <w:pPr>
              <w:pStyle w:val="TableContents"/>
              <w:spacing w:before="0" w:after="0"/>
              <w:ind w:left="225" w:right="0" w:hanging="225"/>
              <w:rPr/>
            </w:pPr>
            <w:r>
              <w:rPr/>
              <w:t>January 1  31, 2005</w:t>
            </w:r>
          </w:p>
        </w:tc>
        <w:tc>
          <w:tcPr>
            <w:tcW w:w="29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25,000</w:t>
            </w:r>
          </w:p>
        </w:tc>
        <w:tc>
          <w:tcPr>
            <w:tcW w:w="21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jc w:val="right"/>
              <w:rPr/>
            </w:pPr>
            <w:r>
              <w:rPr/>
              <w:t>$</w:t>
            </w:r>
          </w:p>
        </w:tc>
        <w:tc>
          <w:tcPr>
            <w:tcW w:w="992" w:type="dxa"/>
            <w:tcBorders/>
            <w:shd w:fill="CCEEFF" w:val="clear"/>
            <w:vAlign w:val="bottom"/>
          </w:tcPr>
          <w:p>
            <w:pPr>
              <w:pStyle w:val="TableContents"/>
              <w:spacing w:before="0" w:after="283"/>
              <w:jc w:val="right"/>
              <w:rPr/>
            </w:pPr>
            <w:r>
              <w:rPr/>
              <w:t>20.93</w:t>
            </w:r>
          </w:p>
        </w:tc>
        <w:tc>
          <w:tcPr>
            <w:tcW w:w="24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25,000</w:t>
            </w:r>
          </w:p>
        </w:tc>
        <w:tc>
          <w:tcPr>
            <w:tcW w:w="21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735,889</w:t>
            </w:r>
          </w:p>
        </w:tc>
        <w:tc>
          <w:tcPr>
            <w:tcW w:w="223" w:type="dxa"/>
            <w:tcBorders/>
            <w:shd w:fill="CCEEFF" w:val="clear"/>
            <w:vAlign w:val="bottom"/>
          </w:tcPr>
          <w:p>
            <w:pPr>
              <w:pStyle w:val="TableContents"/>
              <w:spacing w:before="0" w:after="283"/>
              <w:rPr/>
            </w:pPr>
            <w:r>
              <w:rPr/>
              <w:t> </w:t>
            </w:r>
          </w:p>
        </w:tc>
      </w:tr>
      <w:tr>
        <w:trPr/>
        <w:tc>
          <w:tcPr>
            <w:tcW w:w="3250" w:type="dxa"/>
            <w:tcBorders/>
            <w:shd w:fill="auto" w:val="clear"/>
            <w:vAlign w:val="bottom"/>
          </w:tcPr>
          <w:p>
            <w:pPr>
              <w:pStyle w:val="TableContents"/>
              <w:spacing w:before="0" w:after="0"/>
              <w:ind w:left="225" w:right="0" w:hanging="225"/>
              <w:rPr/>
            </w:pPr>
            <w:r>
              <w:rPr/>
              <w:t>February 1  28, 2005</w:t>
            </w:r>
          </w:p>
        </w:tc>
        <w:tc>
          <w:tcPr>
            <w:tcW w:w="29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20,000</w:t>
            </w:r>
          </w:p>
        </w:tc>
        <w:tc>
          <w:tcPr>
            <w:tcW w:w="21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20.81</w:t>
            </w:r>
          </w:p>
        </w:tc>
        <w:tc>
          <w:tcPr>
            <w:tcW w:w="2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20,000</w:t>
            </w:r>
          </w:p>
        </w:tc>
        <w:tc>
          <w:tcPr>
            <w:tcW w:w="21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715,889</w:t>
            </w:r>
          </w:p>
        </w:tc>
        <w:tc>
          <w:tcPr>
            <w:tcW w:w="223" w:type="dxa"/>
            <w:tcBorders/>
            <w:shd w:fill="auto" w:val="clear"/>
            <w:vAlign w:val="bottom"/>
          </w:tcPr>
          <w:p>
            <w:pPr>
              <w:pStyle w:val="TableContents"/>
              <w:spacing w:before="0" w:after="283"/>
              <w:rPr/>
            </w:pPr>
            <w:r>
              <w:rPr/>
              <w:t> </w:t>
            </w:r>
          </w:p>
        </w:tc>
      </w:tr>
      <w:tr>
        <w:trPr/>
        <w:tc>
          <w:tcPr>
            <w:tcW w:w="3250" w:type="dxa"/>
            <w:tcBorders/>
            <w:shd w:fill="CCEEFF" w:val="clear"/>
            <w:vAlign w:val="bottom"/>
          </w:tcPr>
          <w:p>
            <w:pPr>
              <w:pStyle w:val="TableContents"/>
              <w:spacing w:before="0" w:after="0"/>
              <w:ind w:left="225" w:right="0" w:hanging="225"/>
              <w:rPr/>
            </w:pPr>
            <w:r>
              <w:rPr/>
              <w:t>March 1  31, 2005</w:t>
            </w:r>
          </w:p>
        </w:tc>
        <w:tc>
          <w:tcPr>
            <w:tcW w:w="29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40,000</w:t>
            </w:r>
          </w:p>
        </w:tc>
        <w:tc>
          <w:tcPr>
            <w:tcW w:w="21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20.75</w:t>
            </w:r>
          </w:p>
        </w:tc>
        <w:tc>
          <w:tcPr>
            <w:tcW w:w="24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40,000</w:t>
            </w:r>
          </w:p>
        </w:tc>
        <w:tc>
          <w:tcPr>
            <w:tcW w:w="21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675,889</w:t>
            </w:r>
          </w:p>
        </w:tc>
        <w:tc>
          <w:tcPr>
            <w:tcW w:w="223" w:type="dxa"/>
            <w:tcBorders/>
            <w:shd w:fill="CCEEFF" w:val="clear"/>
            <w:vAlign w:val="bottom"/>
          </w:tcPr>
          <w:p>
            <w:pPr>
              <w:pStyle w:val="TableContents"/>
              <w:spacing w:before="0" w:after="283"/>
              <w:rPr/>
            </w:pPr>
            <w:r>
              <w:rPr/>
              <w:t> </w:t>
            </w:r>
          </w:p>
        </w:tc>
      </w:tr>
      <w:tr>
        <w:trPr/>
        <w:tc>
          <w:tcPr>
            <w:tcW w:w="3250" w:type="dxa"/>
            <w:tcBorders/>
            <w:shd w:fill="auto" w:val="clear"/>
            <w:vAlign w:val="bottom"/>
          </w:tcPr>
          <w:p>
            <w:pPr>
              <w:pStyle w:val="TableContents"/>
              <w:spacing w:before="0" w:after="0"/>
              <w:ind w:left="225" w:right="0" w:hanging="225"/>
              <w:rPr/>
            </w:pPr>
            <w:r>
              <w:rPr/>
              <w:t>April 1  30, 2005</w:t>
            </w:r>
          </w:p>
        </w:tc>
        <w:tc>
          <w:tcPr>
            <w:tcW w:w="29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15,000</w:t>
            </w:r>
          </w:p>
        </w:tc>
        <w:tc>
          <w:tcPr>
            <w:tcW w:w="21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19.75</w:t>
            </w:r>
          </w:p>
        </w:tc>
        <w:tc>
          <w:tcPr>
            <w:tcW w:w="2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15,000</w:t>
            </w:r>
          </w:p>
        </w:tc>
        <w:tc>
          <w:tcPr>
            <w:tcW w:w="21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660,889</w:t>
            </w:r>
          </w:p>
        </w:tc>
        <w:tc>
          <w:tcPr>
            <w:tcW w:w="223" w:type="dxa"/>
            <w:tcBorders/>
            <w:shd w:fill="auto" w:val="clear"/>
            <w:vAlign w:val="bottom"/>
          </w:tcPr>
          <w:p>
            <w:pPr>
              <w:pStyle w:val="TableContents"/>
              <w:spacing w:before="0" w:after="283"/>
              <w:rPr/>
            </w:pPr>
            <w:r>
              <w:rPr/>
              <w:t> </w:t>
            </w:r>
          </w:p>
        </w:tc>
      </w:tr>
      <w:tr>
        <w:trPr/>
        <w:tc>
          <w:tcPr>
            <w:tcW w:w="3250" w:type="dxa"/>
            <w:tcBorders/>
            <w:shd w:fill="CCEEFF" w:val="clear"/>
            <w:vAlign w:val="bottom"/>
          </w:tcPr>
          <w:p>
            <w:pPr>
              <w:pStyle w:val="TableContents"/>
              <w:spacing w:before="0" w:after="0"/>
              <w:ind w:left="225" w:right="0" w:hanging="225"/>
              <w:rPr/>
            </w:pPr>
            <w:r>
              <w:rPr/>
              <w:t>May 1  31, 2005</w:t>
            </w:r>
          </w:p>
        </w:tc>
        <w:tc>
          <w:tcPr>
            <w:tcW w:w="29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w:t>
            </w:r>
          </w:p>
        </w:tc>
        <w:tc>
          <w:tcPr>
            <w:tcW w:w="21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w:t>
            </w:r>
          </w:p>
        </w:tc>
        <w:tc>
          <w:tcPr>
            <w:tcW w:w="24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21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660,889</w:t>
            </w:r>
          </w:p>
        </w:tc>
        <w:tc>
          <w:tcPr>
            <w:tcW w:w="223" w:type="dxa"/>
            <w:tcBorders/>
            <w:shd w:fill="CCEEFF" w:val="clear"/>
            <w:vAlign w:val="bottom"/>
          </w:tcPr>
          <w:p>
            <w:pPr>
              <w:pStyle w:val="TableContents"/>
              <w:spacing w:before="0" w:after="283"/>
              <w:rPr/>
            </w:pPr>
            <w:r>
              <w:rPr/>
              <w:t> </w:t>
            </w:r>
          </w:p>
        </w:tc>
      </w:tr>
      <w:tr>
        <w:trPr/>
        <w:tc>
          <w:tcPr>
            <w:tcW w:w="3250" w:type="dxa"/>
            <w:tcBorders/>
            <w:shd w:fill="auto" w:val="clear"/>
            <w:vAlign w:val="bottom"/>
          </w:tcPr>
          <w:p>
            <w:pPr>
              <w:pStyle w:val="TableContents"/>
              <w:spacing w:before="0" w:after="0"/>
              <w:ind w:left="225" w:right="0" w:hanging="225"/>
              <w:rPr/>
            </w:pPr>
            <w:r>
              <w:rPr/>
              <w:t>June 1  30, 2005</w:t>
            </w:r>
          </w:p>
        </w:tc>
        <w:tc>
          <w:tcPr>
            <w:tcW w:w="29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w:t>
            </w:r>
          </w:p>
        </w:tc>
        <w:tc>
          <w:tcPr>
            <w:tcW w:w="21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w:t>
            </w:r>
          </w:p>
        </w:tc>
        <w:tc>
          <w:tcPr>
            <w:tcW w:w="2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21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660,889</w:t>
            </w:r>
          </w:p>
        </w:tc>
        <w:tc>
          <w:tcPr>
            <w:tcW w:w="223" w:type="dxa"/>
            <w:tcBorders/>
            <w:shd w:fill="auto" w:val="clear"/>
            <w:vAlign w:val="bottom"/>
          </w:tcPr>
          <w:p>
            <w:pPr>
              <w:pStyle w:val="TableContents"/>
              <w:spacing w:before="0" w:after="283"/>
              <w:rPr/>
            </w:pPr>
            <w:r>
              <w:rPr/>
              <w:t> </w:t>
            </w:r>
          </w:p>
        </w:tc>
      </w:tr>
      <w:tr>
        <w:trPr/>
        <w:tc>
          <w:tcPr>
            <w:tcW w:w="3250" w:type="dxa"/>
            <w:tcBorders/>
            <w:shd w:fill="CCEEFF" w:val="clear"/>
            <w:vAlign w:val="bottom"/>
          </w:tcPr>
          <w:p>
            <w:pPr>
              <w:pStyle w:val="TableContents"/>
              <w:spacing w:before="0" w:after="0"/>
              <w:ind w:left="225" w:right="0" w:hanging="225"/>
              <w:rPr/>
            </w:pPr>
            <w:r>
              <w:rPr/>
              <w:t>July 1  31, 2005</w:t>
            </w:r>
          </w:p>
        </w:tc>
        <w:tc>
          <w:tcPr>
            <w:tcW w:w="29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3,340</w:t>
            </w:r>
          </w:p>
        </w:tc>
        <w:tc>
          <w:tcPr>
            <w:tcW w:w="21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19.76</w:t>
            </w:r>
          </w:p>
        </w:tc>
        <w:tc>
          <w:tcPr>
            <w:tcW w:w="24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3,340</w:t>
            </w:r>
          </w:p>
        </w:tc>
        <w:tc>
          <w:tcPr>
            <w:tcW w:w="21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657,549</w:t>
            </w:r>
          </w:p>
        </w:tc>
        <w:tc>
          <w:tcPr>
            <w:tcW w:w="223" w:type="dxa"/>
            <w:tcBorders/>
            <w:shd w:fill="CCEEFF" w:val="clear"/>
            <w:vAlign w:val="bottom"/>
          </w:tcPr>
          <w:p>
            <w:pPr>
              <w:pStyle w:val="TableContents"/>
              <w:spacing w:before="0" w:after="283"/>
              <w:rPr/>
            </w:pPr>
            <w:r>
              <w:rPr/>
              <w:t> </w:t>
            </w:r>
          </w:p>
        </w:tc>
      </w:tr>
      <w:tr>
        <w:trPr/>
        <w:tc>
          <w:tcPr>
            <w:tcW w:w="3250" w:type="dxa"/>
            <w:tcBorders/>
            <w:shd w:fill="auto" w:val="clear"/>
            <w:vAlign w:val="bottom"/>
          </w:tcPr>
          <w:p>
            <w:pPr>
              <w:pStyle w:val="TableContents"/>
              <w:spacing w:before="0" w:after="0"/>
              <w:ind w:left="225" w:right="0" w:hanging="225"/>
              <w:rPr/>
            </w:pPr>
            <w:r>
              <w:rPr/>
              <w:t>August 1  31, 2005</w:t>
            </w:r>
          </w:p>
        </w:tc>
        <w:tc>
          <w:tcPr>
            <w:tcW w:w="29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w:t>
            </w:r>
          </w:p>
        </w:tc>
        <w:tc>
          <w:tcPr>
            <w:tcW w:w="21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w:t>
            </w:r>
          </w:p>
        </w:tc>
        <w:tc>
          <w:tcPr>
            <w:tcW w:w="2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21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657,549</w:t>
            </w:r>
          </w:p>
        </w:tc>
        <w:tc>
          <w:tcPr>
            <w:tcW w:w="223" w:type="dxa"/>
            <w:tcBorders/>
            <w:shd w:fill="auto" w:val="clear"/>
            <w:vAlign w:val="bottom"/>
          </w:tcPr>
          <w:p>
            <w:pPr>
              <w:pStyle w:val="TableContents"/>
              <w:spacing w:before="0" w:after="283"/>
              <w:rPr/>
            </w:pPr>
            <w:r>
              <w:rPr/>
              <w:t> </w:t>
            </w:r>
          </w:p>
        </w:tc>
      </w:tr>
      <w:tr>
        <w:trPr/>
        <w:tc>
          <w:tcPr>
            <w:tcW w:w="3250" w:type="dxa"/>
            <w:tcBorders/>
            <w:shd w:fill="CCEEFF" w:val="clear"/>
            <w:vAlign w:val="bottom"/>
          </w:tcPr>
          <w:p>
            <w:pPr>
              <w:pStyle w:val="TableContents"/>
              <w:spacing w:before="0" w:after="0"/>
              <w:ind w:left="225" w:right="0" w:hanging="225"/>
              <w:rPr/>
            </w:pPr>
            <w:r>
              <w:rPr/>
              <w:t>September 1  30, 2005</w:t>
            </w:r>
          </w:p>
        </w:tc>
        <w:tc>
          <w:tcPr>
            <w:tcW w:w="29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w:t>
            </w:r>
          </w:p>
        </w:tc>
        <w:tc>
          <w:tcPr>
            <w:tcW w:w="21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w:t>
            </w:r>
          </w:p>
        </w:tc>
        <w:tc>
          <w:tcPr>
            <w:tcW w:w="24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21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657,549</w:t>
            </w:r>
          </w:p>
        </w:tc>
        <w:tc>
          <w:tcPr>
            <w:tcW w:w="223" w:type="dxa"/>
            <w:tcBorders/>
            <w:shd w:fill="CCEEFF" w:val="clear"/>
            <w:vAlign w:val="bottom"/>
          </w:tcPr>
          <w:p>
            <w:pPr>
              <w:pStyle w:val="TableContents"/>
              <w:spacing w:before="0" w:after="283"/>
              <w:rPr/>
            </w:pPr>
            <w:r>
              <w:rPr/>
              <w:t> </w:t>
            </w:r>
          </w:p>
        </w:tc>
      </w:tr>
      <w:tr>
        <w:trPr/>
        <w:tc>
          <w:tcPr>
            <w:tcW w:w="3250" w:type="dxa"/>
            <w:tcBorders/>
            <w:shd w:fill="auto" w:val="clear"/>
            <w:vAlign w:val="bottom"/>
          </w:tcPr>
          <w:p>
            <w:pPr>
              <w:pStyle w:val="TableContents"/>
              <w:spacing w:before="0" w:after="0"/>
              <w:ind w:left="225" w:right="0" w:hanging="225"/>
              <w:rPr/>
            </w:pPr>
            <w:r>
              <w:rPr/>
              <w:t>October 1  31, 2005</w:t>
            </w:r>
          </w:p>
        </w:tc>
        <w:tc>
          <w:tcPr>
            <w:tcW w:w="29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10,359</w:t>
            </w:r>
          </w:p>
        </w:tc>
        <w:tc>
          <w:tcPr>
            <w:tcW w:w="21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20.58</w:t>
            </w:r>
          </w:p>
        </w:tc>
        <w:tc>
          <w:tcPr>
            <w:tcW w:w="2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10,359</w:t>
            </w:r>
          </w:p>
        </w:tc>
        <w:tc>
          <w:tcPr>
            <w:tcW w:w="21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647,190</w:t>
            </w:r>
          </w:p>
        </w:tc>
        <w:tc>
          <w:tcPr>
            <w:tcW w:w="223" w:type="dxa"/>
            <w:tcBorders/>
            <w:shd w:fill="auto" w:val="clear"/>
            <w:vAlign w:val="bottom"/>
          </w:tcPr>
          <w:p>
            <w:pPr>
              <w:pStyle w:val="TableContents"/>
              <w:spacing w:before="0" w:after="283"/>
              <w:rPr/>
            </w:pPr>
            <w:r>
              <w:rPr/>
              <w:t> </w:t>
            </w:r>
          </w:p>
        </w:tc>
      </w:tr>
      <w:tr>
        <w:trPr/>
        <w:tc>
          <w:tcPr>
            <w:tcW w:w="3250" w:type="dxa"/>
            <w:tcBorders/>
            <w:shd w:fill="CCEEFF" w:val="clear"/>
            <w:vAlign w:val="bottom"/>
          </w:tcPr>
          <w:p>
            <w:pPr>
              <w:pStyle w:val="TableContents"/>
              <w:spacing w:before="0" w:after="0"/>
              <w:ind w:left="225" w:right="0" w:hanging="225"/>
              <w:rPr/>
            </w:pPr>
            <w:r>
              <w:rPr/>
              <w:t>November 1  30, 2005</w:t>
            </w:r>
          </w:p>
        </w:tc>
        <w:tc>
          <w:tcPr>
            <w:tcW w:w="29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33,235</w:t>
            </w:r>
          </w:p>
        </w:tc>
        <w:tc>
          <w:tcPr>
            <w:tcW w:w="21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20.60</w:t>
            </w:r>
          </w:p>
        </w:tc>
        <w:tc>
          <w:tcPr>
            <w:tcW w:w="24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33,235</w:t>
            </w:r>
          </w:p>
        </w:tc>
        <w:tc>
          <w:tcPr>
            <w:tcW w:w="21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613,955</w:t>
            </w:r>
          </w:p>
        </w:tc>
        <w:tc>
          <w:tcPr>
            <w:tcW w:w="223" w:type="dxa"/>
            <w:tcBorders/>
            <w:shd w:fill="CCEEFF" w:val="clear"/>
            <w:vAlign w:val="bottom"/>
          </w:tcPr>
          <w:p>
            <w:pPr>
              <w:pStyle w:val="TableContents"/>
              <w:spacing w:before="0" w:after="283"/>
              <w:rPr/>
            </w:pPr>
            <w:r>
              <w:rPr/>
              <w:t> </w:t>
            </w:r>
          </w:p>
        </w:tc>
      </w:tr>
      <w:tr>
        <w:trPr/>
        <w:tc>
          <w:tcPr>
            <w:tcW w:w="3250" w:type="dxa"/>
            <w:tcBorders/>
            <w:shd w:fill="auto" w:val="clear"/>
            <w:vAlign w:val="bottom"/>
          </w:tcPr>
          <w:p>
            <w:pPr>
              <w:pStyle w:val="TableContents"/>
              <w:spacing w:before="0" w:after="0"/>
              <w:ind w:left="225" w:right="0" w:hanging="225"/>
              <w:rPr/>
            </w:pPr>
            <w:r>
              <w:rPr/>
              <w:t>December 1  31, 2005</w:t>
            </w:r>
          </w:p>
        </w:tc>
        <w:tc>
          <w:tcPr>
            <w:tcW w:w="29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10,000</w:t>
            </w:r>
          </w:p>
        </w:tc>
        <w:tc>
          <w:tcPr>
            <w:tcW w:w="21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20.61</w:t>
            </w:r>
          </w:p>
        </w:tc>
        <w:tc>
          <w:tcPr>
            <w:tcW w:w="2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10,000</w:t>
            </w:r>
          </w:p>
        </w:tc>
        <w:tc>
          <w:tcPr>
            <w:tcW w:w="21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603,955</w:t>
            </w:r>
          </w:p>
        </w:tc>
        <w:tc>
          <w:tcPr>
            <w:tcW w:w="223" w:type="dxa"/>
            <w:tcBorders/>
            <w:shd w:fill="auto" w:val="clear"/>
            <w:vAlign w:val="bottom"/>
          </w:tcPr>
          <w:p>
            <w:pPr>
              <w:pStyle w:val="TableContents"/>
              <w:spacing w:before="0" w:after="283"/>
              <w:rPr/>
            </w:pPr>
            <w:r>
              <w:rPr/>
              <w:t> </w:t>
            </w:r>
          </w:p>
        </w:tc>
      </w:tr>
      <w:tr>
        <w:trPr/>
        <w:tc>
          <w:tcPr>
            <w:tcW w:w="325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4968"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c>
          <w:tcPr>
            <w:tcW w:w="296"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r>
      <w:tr>
        <w:trPr/>
        <w:tc>
          <w:tcPr>
            <w:tcW w:w="3250" w:type="dxa"/>
            <w:tcBorders/>
            <w:shd w:fill="CCEEFF" w:val="clear"/>
            <w:vAlign w:val="bottom"/>
          </w:tcPr>
          <w:p>
            <w:pPr>
              <w:pStyle w:val="TableContents"/>
              <w:spacing w:before="0" w:after="0"/>
              <w:ind w:left="225" w:right="0" w:hanging="225"/>
              <w:rPr/>
            </w:pPr>
            <w:r>
              <w:rPr/>
              <w:t>Total</w:t>
            </w:r>
          </w:p>
        </w:tc>
        <w:tc>
          <w:tcPr>
            <w:tcW w:w="29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156,934</w:t>
            </w:r>
          </w:p>
        </w:tc>
        <w:tc>
          <w:tcPr>
            <w:tcW w:w="21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jc w:val="right"/>
              <w:rPr/>
            </w:pPr>
            <w:r>
              <w:rPr/>
              <w:t>$</w:t>
            </w:r>
          </w:p>
        </w:tc>
        <w:tc>
          <w:tcPr>
            <w:tcW w:w="992" w:type="dxa"/>
            <w:tcBorders/>
            <w:shd w:fill="CCEEFF" w:val="clear"/>
            <w:vAlign w:val="bottom"/>
          </w:tcPr>
          <w:p>
            <w:pPr>
              <w:pStyle w:val="TableContents"/>
              <w:spacing w:before="0" w:after="283"/>
              <w:jc w:val="right"/>
              <w:rPr/>
            </w:pPr>
            <w:r>
              <w:rPr/>
              <w:t>20.61</w:t>
            </w:r>
          </w:p>
        </w:tc>
        <w:tc>
          <w:tcPr>
            <w:tcW w:w="247"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156,934</w:t>
            </w:r>
          </w:p>
        </w:tc>
        <w:tc>
          <w:tcPr>
            <w:tcW w:w="21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 xml:space="preserve">1 </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First Busey Corporations board of directors approved a stock purchase plan on February 17, 2004, for the repurchase of up to an additional 750,000 shares of common stock. The Corporations 2004 repurchase plan has no expiration date.</w:t>
            </w:r>
          </w:p>
        </w:tc>
      </w:tr>
    </w:tbl>
    <w:p>
      <w:pPr>
        <w:pStyle w:val="TextBody"/>
        <w:jc w:val="center"/>
        <w:rPr>
          <w:rFonts w:ascii="Helvetica;Arial;sans-serif" w:hAnsi="Helvetica;Arial;sans-serif"/>
          <w:sz w:val="17"/>
        </w:rPr>
      </w:pPr>
      <w:r>
        <w:rPr>
          <w:rFonts w:ascii="Helvetica;Arial;sans-serif" w:hAnsi="Helvetica;Arial;san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13" w:name="110"/>
      <w:bookmarkEnd w:id="13"/>
      <w:r>
        <w:rPr>
          <w:rFonts w:ascii="Helvetica;Arial;sans-serif" w:hAnsi="Helvetica;Arial;sans-serif"/>
          <w:b/>
          <w:sz w:val="17"/>
        </w:rPr>
        <w:t>Item 6. Selected Financial Data</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sz w:val="17"/>
        </w:rPr>
        <w:t>Selected Consolidated Financial Information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selected financial data for each of the five years in the period ended December 31, 2005, have been derived from First Buseys audited consolidated financial statements and the results of operations for each of the three years in the period ended December 31, 2005, which appear elsewhere in this report. This financial data should be read in conjunction with the financial statements and the related notes thereto appearing in this annual report. </w:t>
      </w:r>
    </w:p>
    <w:tbl>
      <w:tblPr>
        <w:tblW w:w="5000" w:type="pct"/>
        <w:jc w:val="center"/>
        <w:tblInd w:w="0" w:type="dxa"/>
        <w:tblCellMar>
          <w:top w:w="0" w:type="dxa"/>
          <w:left w:w="0" w:type="dxa"/>
          <w:bottom w:w="0" w:type="dxa"/>
          <w:right w:w="0" w:type="dxa"/>
        </w:tblCellMar>
      </w:tblPr>
      <w:tblGrid>
        <w:gridCol w:w="2066"/>
        <w:gridCol w:w="167"/>
        <w:gridCol w:w="202"/>
        <w:gridCol w:w="980"/>
        <w:gridCol w:w="275"/>
        <w:gridCol w:w="167"/>
        <w:gridCol w:w="202"/>
        <w:gridCol w:w="980"/>
        <w:gridCol w:w="275"/>
        <w:gridCol w:w="167"/>
        <w:gridCol w:w="202"/>
        <w:gridCol w:w="980"/>
        <w:gridCol w:w="275"/>
        <w:gridCol w:w="167"/>
        <w:gridCol w:w="202"/>
        <w:gridCol w:w="980"/>
        <w:gridCol w:w="275"/>
        <w:gridCol w:w="167"/>
        <w:gridCol w:w="202"/>
        <w:gridCol w:w="980"/>
        <w:gridCol w:w="294"/>
      </w:tblGrid>
      <w:tr>
        <w:trPr/>
        <w:tc>
          <w:tcPr>
            <w:tcW w:w="20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r>
      <w:tr>
        <w:trPr/>
        <w:tc>
          <w:tcPr>
            <w:tcW w:w="20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457" w:type="dxa"/>
            <w:gridSpan w:val="3"/>
            <w:tcBorders>
              <w:bottom w:val="single" w:sz="2" w:space="0" w:color="000000"/>
            </w:tcBorders>
            <w:shd w:fill="auto" w:val="clear"/>
            <w:tcMar>
              <w:bottom w:w="28" w:type="dxa"/>
            </w:tcMar>
            <w:vAlign w:val="bottom"/>
          </w:tcPr>
          <w:p>
            <w:pPr>
              <w:pStyle w:val="TableContents"/>
              <w:spacing w:before="0" w:after="283"/>
              <w:jc w:val="center"/>
              <w:rPr/>
            </w:pPr>
            <w:r>
              <w:rPr/>
              <w:t>2005(6)</w:t>
            </w:r>
          </w:p>
        </w:tc>
        <w:tc>
          <w:tcPr>
            <w:tcW w:w="167" w:type="dxa"/>
            <w:tcBorders>
              <w:bottom w:val="single" w:sz="2" w:space="0" w:color="000000"/>
            </w:tcBorders>
            <w:shd w:fill="auto" w:val="clear"/>
            <w:tcMar>
              <w:bottom w:w="28" w:type="dxa"/>
            </w:tcMar>
            <w:vAlign w:val="bottom"/>
          </w:tcPr>
          <w:p>
            <w:pPr>
              <w:pStyle w:val="TableContents"/>
              <w:spacing w:before="0" w:after="283"/>
              <w:rPr/>
            </w:pPr>
            <w:r>
              <w:rPr/>
              <w:t> </w:t>
            </w:r>
          </w:p>
        </w:tc>
        <w:tc>
          <w:tcPr>
            <w:tcW w:w="1457" w:type="dxa"/>
            <w:gridSpan w:val="3"/>
            <w:tcBorders>
              <w:bottom w:val="single" w:sz="2" w:space="0" w:color="000000"/>
            </w:tcBorders>
            <w:shd w:fill="auto" w:val="clear"/>
            <w:tcMar>
              <w:bottom w:w="28" w:type="dxa"/>
            </w:tcMar>
            <w:vAlign w:val="bottom"/>
          </w:tcPr>
          <w:p>
            <w:pPr>
              <w:pStyle w:val="TableContents"/>
              <w:spacing w:before="0" w:after="283"/>
              <w:jc w:val="center"/>
              <w:rPr/>
            </w:pPr>
            <w:r>
              <w:rPr/>
              <w:t>2004(6)</w:t>
            </w:r>
          </w:p>
        </w:tc>
        <w:tc>
          <w:tcPr>
            <w:tcW w:w="167" w:type="dxa"/>
            <w:tcBorders>
              <w:bottom w:val="single" w:sz="2" w:space="0" w:color="000000"/>
            </w:tcBorders>
            <w:shd w:fill="auto" w:val="clear"/>
            <w:tcMar>
              <w:bottom w:w="28" w:type="dxa"/>
            </w:tcMar>
            <w:vAlign w:val="bottom"/>
          </w:tcPr>
          <w:p>
            <w:pPr>
              <w:pStyle w:val="TableContents"/>
              <w:spacing w:before="0" w:after="283"/>
              <w:rPr/>
            </w:pPr>
            <w:r>
              <w:rPr/>
              <w:t> </w:t>
            </w:r>
          </w:p>
        </w:tc>
        <w:tc>
          <w:tcPr>
            <w:tcW w:w="1457" w:type="dxa"/>
            <w:gridSpan w:val="3"/>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167" w:type="dxa"/>
            <w:tcBorders>
              <w:bottom w:val="single" w:sz="2" w:space="0" w:color="000000"/>
            </w:tcBorders>
            <w:shd w:fill="auto" w:val="clear"/>
            <w:tcMar>
              <w:bottom w:w="28" w:type="dxa"/>
            </w:tcMar>
            <w:vAlign w:val="bottom"/>
          </w:tcPr>
          <w:p>
            <w:pPr>
              <w:pStyle w:val="TableContents"/>
              <w:spacing w:before="0" w:after="283"/>
              <w:rPr/>
            </w:pPr>
            <w:r>
              <w:rPr/>
              <w:t> </w:t>
            </w:r>
          </w:p>
        </w:tc>
        <w:tc>
          <w:tcPr>
            <w:tcW w:w="1457" w:type="dxa"/>
            <w:gridSpan w:val="3"/>
            <w:tcBorders>
              <w:bottom w:val="single" w:sz="2" w:space="0" w:color="000000"/>
            </w:tcBorders>
            <w:shd w:fill="auto" w:val="clear"/>
            <w:tcMar>
              <w:bottom w:w="28" w:type="dxa"/>
            </w:tcMar>
            <w:vAlign w:val="bottom"/>
          </w:tcPr>
          <w:p>
            <w:pPr>
              <w:pStyle w:val="TableContents"/>
              <w:spacing w:before="0" w:after="283"/>
              <w:jc w:val="center"/>
              <w:rPr/>
            </w:pPr>
            <w:r>
              <w:rPr/>
              <w:t>2002</w:t>
            </w:r>
          </w:p>
        </w:tc>
        <w:tc>
          <w:tcPr>
            <w:tcW w:w="167" w:type="dxa"/>
            <w:tcBorders>
              <w:bottom w:val="single" w:sz="2" w:space="0" w:color="000000"/>
            </w:tcBorders>
            <w:shd w:fill="auto" w:val="clear"/>
            <w:tcMar>
              <w:bottom w:w="28" w:type="dxa"/>
            </w:tcMar>
            <w:vAlign w:val="bottom"/>
          </w:tcPr>
          <w:p>
            <w:pPr>
              <w:pStyle w:val="TableContents"/>
              <w:spacing w:before="0" w:after="283"/>
              <w:rPr/>
            </w:pPr>
            <w:r>
              <w:rPr/>
              <w:t> </w:t>
            </w:r>
          </w:p>
        </w:tc>
        <w:tc>
          <w:tcPr>
            <w:tcW w:w="1476" w:type="dxa"/>
            <w:gridSpan w:val="3"/>
            <w:tcBorders>
              <w:bottom w:val="single" w:sz="2" w:space="0" w:color="000000"/>
            </w:tcBorders>
            <w:shd w:fill="auto" w:val="clear"/>
            <w:tcMar>
              <w:bottom w:w="28" w:type="dxa"/>
            </w:tcMar>
            <w:vAlign w:val="bottom"/>
          </w:tcPr>
          <w:p>
            <w:pPr>
              <w:pStyle w:val="TableContents"/>
              <w:spacing w:before="0" w:after="283"/>
              <w:jc w:val="center"/>
              <w:rPr/>
            </w:pPr>
            <w:r>
              <w:rPr/>
              <w:t>2001</w:t>
            </w:r>
          </w:p>
        </w:tc>
      </w:tr>
      <w:tr>
        <w:trPr/>
        <w:tc>
          <w:tcPr>
            <w:tcW w:w="20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7972" w:type="dxa"/>
            <w:gridSpan w:val="19"/>
            <w:tcBorders/>
            <w:shd w:fill="auto" w:val="clear"/>
            <w:vAlign w:val="bottom"/>
          </w:tcPr>
          <w:p>
            <w:pPr>
              <w:pStyle w:val="TableContents"/>
              <w:spacing w:before="0" w:after="283"/>
              <w:jc w:val="center"/>
              <w:rPr>
                <w:i/>
              </w:rPr>
            </w:pPr>
            <w:r>
              <w:rPr>
                <w:i/>
              </w:rPr>
              <w:t>(dollars in thousands, except per share data)</w:t>
            </w:r>
          </w:p>
        </w:tc>
      </w:tr>
      <w:tr>
        <w:trPr/>
        <w:tc>
          <w:tcPr>
            <w:tcW w:w="2066" w:type="dxa"/>
            <w:tcBorders/>
            <w:shd w:fill="CCEEFF" w:val="clear"/>
            <w:vAlign w:val="bottom"/>
          </w:tcPr>
          <w:p>
            <w:pPr>
              <w:pStyle w:val="TableContents"/>
              <w:spacing w:before="0" w:after="0"/>
              <w:ind w:left="225" w:right="0" w:hanging="225"/>
              <w:rPr>
                <w:b/>
              </w:rPr>
            </w:pPr>
            <w:r>
              <w:rPr>
                <w:b/>
              </w:rPr>
              <w:t>Balance Sheet Items</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r>
      <w:tr>
        <w:trPr/>
        <w:tc>
          <w:tcPr>
            <w:tcW w:w="2066" w:type="dxa"/>
            <w:tcBorders/>
            <w:shd w:fill="auto" w:val="clear"/>
            <w:vAlign w:val="bottom"/>
          </w:tcPr>
          <w:p>
            <w:pPr>
              <w:pStyle w:val="TableContents"/>
              <w:spacing w:before="0" w:after="0"/>
              <w:ind w:left="450" w:right="0" w:hanging="225"/>
              <w:rPr/>
            </w:pPr>
            <w:r>
              <w:rPr/>
              <w:t>Securities available for sale</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w:t>
            </w:r>
          </w:p>
        </w:tc>
        <w:tc>
          <w:tcPr>
            <w:tcW w:w="980" w:type="dxa"/>
            <w:tcBorders/>
            <w:shd w:fill="auto" w:val="clear"/>
            <w:vAlign w:val="bottom"/>
          </w:tcPr>
          <w:p>
            <w:pPr>
              <w:pStyle w:val="TableContents"/>
              <w:spacing w:before="0" w:after="283"/>
              <w:jc w:val="right"/>
              <w:rPr/>
            </w:pPr>
            <w:r>
              <w:rPr/>
              <w:t>331,237</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w:t>
            </w:r>
          </w:p>
        </w:tc>
        <w:tc>
          <w:tcPr>
            <w:tcW w:w="980" w:type="dxa"/>
            <w:tcBorders/>
            <w:shd w:fill="auto" w:val="clear"/>
            <w:vAlign w:val="bottom"/>
          </w:tcPr>
          <w:p>
            <w:pPr>
              <w:pStyle w:val="TableContents"/>
              <w:spacing w:before="0" w:after="283"/>
              <w:jc w:val="right"/>
              <w:rPr/>
            </w:pPr>
            <w:r>
              <w:rPr/>
              <w:t>352,256</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w:t>
            </w:r>
          </w:p>
        </w:tc>
        <w:tc>
          <w:tcPr>
            <w:tcW w:w="980" w:type="dxa"/>
            <w:tcBorders/>
            <w:shd w:fill="auto" w:val="clear"/>
            <w:vAlign w:val="bottom"/>
          </w:tcPr>
          <w:p>
            <w:pPr>
              <w:pStyle w:val="TableContents"/>
              <w:spacing w:before="0" w:after="283"/>
              <w:jc w:val="right"/>
              <w:rPr/>
            </w:pPr>
            <w:r>
              <w:rPr/>
              <w:t>224,733</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w:t>
            </w:r>
          </w:p>
        </w:tc>
        <w:tc>
          <w:tcPr>
            <w:tcW w:w="980" w:type="dxa"/>
            <w:tcBorders/>
            <w:shd w:fill="auto" w:val="clear"/>
            <w:vAlign w:val="bottom"/>
          </w:tcPr>
          <w:p>
            <w:pPr>
              <w:pStyle w:val="TableContents"/>
              <w:spacing w:before="0" w:after="283"/>
              <w:jc w:val="right"/>
              <w:rPr/>
            </w:pPr>
            <w:r>
              <w:rPr/>
              <w:t>233,830</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w:t>
            </w:r>
          </w:p>
        </w:tc>
        <w:tc>
          <w:tcPr>
            <w:tcW w:w="980" w:type="dxa"/>
            <w:tcBorders/>
            <w:shd w:fill="auto" w:val="clear"/>
            <w:vAlign w:val="bottom"/>
          </w:tcPr>
          <w:p>
            <w:pPr>
              <w:pStyle w:val="TableContents"/>
              <w:spacing w:before="0" w:after="283"/>
              <w:jc w:val="right"/>
              <w:rPr/>
            </w:pPr>
            <w:r>
              <w:rPr/>
              <w:t>210,869</w:t>
            </w:r>
          </w:p>
        </w:tc>
        <w:tc>
          <w:tcPr>
            <w:tcW w:w="294" w:type="dxa"/>
            <w:tcBorders/>
            <w:shd w:fill="auto" w:val="clear"/>
            <w:vAlign w:val="bottom"/>
          </w:tcPr>
          <w:p>
            <w:pPr>
              <w:pStyle w:val="TableContents"/>
              <w:spacing w:before="0" w:after="283"/>
              <w:rPr/>
            </w:pPr>
            <w:r>
              <w:rPr/>
              <w:t> </w:t>
            </w:r>
          </w:p>
        </w:tc>
      </w:tr>
      <w:tr>
        <w:trPr/>
        <w:tc>
          <w:tcPr>
            <w:tcW w:w="2066" w:type="dxa"/>
            <w:tcBorders/>
            <w:shd w:fill="CCEEFF" w:val="clear"/>
            <w:vAlign w:val="bottom"/>
          </w:tcPr>
          <w:p>
            <w:pPr>
              <w:pStyle w:val="TableContents"/>
              <w:spacing w:before="0" w:after="0"/>
              <w:ind w:left="450" w:right="0" w:hanging="225"/>
              <w:rPr/>
            </w:pPr>
            <w:r>
              <w:rPr/>
              <w:t>Loans</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1,749,162</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1,475,900</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1,192,396</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1,101,043</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978,106</w:t>
            </w:r>
          </w:p>
        </w:tc>
        <w:tc>
          <w:tcPr>
            <w:tcW w:w="294" w:type="dxa"/>
            <w:tcBorders/>
            <w:shd w:fill="CCEEFF" w:val="clear"/>
            <w:vAlign w:val="bottom"/>
          </w:tcPr>
          <w:p>
            <w:pPr>
              <w:pStyle w:val="TableContents"/>
              <w:spacing w:before="0" w:after="283"/>
              <w:rPr/>
            </w:pPr>
            <w:r>
              <w:rPr/>
              <w:t> </w:t>
            </w:r>
          </w:p>
        </w:tc>
      </w:tr>
      <w:tr>
        <w:trPr/>
        <w:tc>
          <w:tcPr>
            <w:tcW w:w="2066" w:type="dxa"/>
            <w:tcBorders/>
            <w:shd w:fill="auto" w:val="clear"/>
            <w:vAlign w:val="bottom"/>
          </w:tcPr>
          <w:p>
            <w:pPr>
              <w:pStyle w:val="TableContents"/>
              <w:spacing w:before="0" w:after="0"/>
              <w:ind w:left="450" w:right="0" w:hanging="225"/>
              <w:rPr/>
            </w:pPr>
            <w:r>
              <w:rPr/>
              <w:t>Allowance for loan losses</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23,190</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19,217</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16,228</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15,460</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13,688</w:t>
            </w:r>
          </w:p>
        </w:tc>
        <w:tc>
          <w:tcPr>
            <w:tcW w:w="294" w:type="dxa"/>
            <w:tcBorders/>
            <w:shd w:fill="auto" w:val="clear"/>
            <w:vAlign w:val="bottom"/>
          </w:tcPr>
          <w:p>
            <w:pPr>
              <w:pStyle w:val="TableContents"/>
              <w:spacing w:before="0" w:after="283"/>
              <w:rPr/>
            </w:pPr>
            <w:r>
              <w:rPr/>
              <w:t> </w:t>
            </w:r>
          </w:p>
        </w:tc>
      </w:tr>
      <w:tr>
        <w:trPr/>
        <w:tc>
          <w:tcPr>
            <w:tcW w:w="2066" w:type="dxa"/>
            <w:tcBorders/>
            <w:shd w:fill="CCEEFF" w:val="clear"/>
            <w:vAlign w:val="bottom"/>
          </w:tcPr>
          <w:p>
            <w:pPr>
              <w:pStyle w:val="TableContents"/>
              <w:spacing w:before="0" w:after="0"/>
              <w:ind w:left="450" w:right="0" w:hanging="225"/>
              <w:rPr/>
            </w:pPr>
            <w:r>
              <w:rPr/>
              <w:t>Total assets</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2,263,422</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1,964,441</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1,522,084</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1,435,578</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1,300,689</w:t>
            </w:r>
          </w:p>
        </w:tc>
        <w:tc>
          <w:tcPr>
            <w:tcW w:w="294" w:type="dxa"/>
            <w:tcBorders/>
            <w:shd w:fill="CCEEFF" w:val="clear"/>
            <w:vAlign w:val="bottom"/>
          </w:tcPr>
          <w:p>
            <w:pPr>
              <w:pStyle w:val="TableContents"/>
              <w:spacing w:before="0" w:after="283"/>
              <w:rPr/>
            </w:pPr>
            <w:r>
              <w:rPr/>
              <w:t> </w:t>
            </w:r>
          </w:p>
        </w:tc>
      </w:tr>
      <w:tr>
        <w:trPr/>
        <w:tc>
          <w:tcPr>
            <w:tcW w:w="2066" w:type="dxa"/>
            <w:tcBorders/>
            <w:shd w:fill="auto" w:val="clear"/>
            <w:vAlign w:val="bottom"/>
          </w:tcPr>
          <w:p>
            <w:pPr>
              <w:pStyle w:val="TableContents"/>
              <w:spacing w:before="0" w:after="0"/>
              <w:ind w:left="450" w:right="0" w:hanging="225"/>
              <w:rPr/>
            </w:pPr>
            <w:r>
              <w:rPr/>
              <w:t>Total deposits</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1,809,399</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1,558,822</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1,256,595</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1,213,605</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1,105,999</w:t>
            </w:r>
          </w:p>
        </w:tc>
        <w:tc>
          <w:tcPr>
            <w:tcW w:w="294" w:type="dxa"/>
            <w:tcBorders/>
            <w:shd w:fill="auto" w:val="clear"/>
            <w:vAlign w:val="bottom"/>
          </w:tcPr>
          <w:p>
            <w:pPr>
              <w:pStyle w:val="TableContents"/>
              <w:spacing w:before="0" w:after="283"/>
              <w:rPr/>
            </w:pPr>
            <w:r>
              <w:rPr/>
              <w:t> </w:t>
            </w:r>
          </w:p>
        </w:tc>
      </w:tr>
      <w:tr>
        <w:trPr/>
        <w:tc>
          <w:tcPr>
            <w:tcW w:w="2066" w:type="dxa"/>
            <w:tcBorders/>
            <w:shd w:fill="CCEEFF" w:val="clear"/>
            <w:vAlign w:val="bottom"/>
          </w:tcPr>
          <w:p>
            <w:pPr>
              <w:pStyle w:val="TableContents"/>
              <w:spacing w:before="0" w:after="0"/>
              <w:ind w:left="450" w:right="0" w:hanging="225"/>
              <w:rPr/>
            </w:pPr>
            <w:r>
              <w:rPr/>
              <w:t>Long-term debt</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169,883</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165,374</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92,853</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71,759</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47,021</w:t>
            </w:r>
          </w:p>
        </w:tc>
        <w:tc>
          <w:tcPr>
            <w:tcW w:w="294" w:type="dxa"/>
            <w:tcBorders/>
            <w:shd w:fill="CCEEFF" w:val="clear"/>
            <w:vAlign w:val="bottom"/>
          </w:tcPr>
          <w:p>
            <w:pPr>
              <w:pStyle w:val="TableContents"/>
              <w:spacing w:before="0" w:after="283"/>
              <w:rPr/>
            </w:pPr>
            <w:r>
              <w:rPr/>
              <w:t> </w:t>
            </w:r>
          </w:p>
        </w:tc>
      </w:tr>
      <w:tr>
        <w:trPr/>
        <w:tc>
          <w:tcPr>
            <w:tcW w:w="2066" w:type="dxa"/>
            <w:tcBorders/>
            <w:shd w:fill="auto" w:val="clear"/>
            <w:vAlign w:val="bottom"/>
          </w:tcPr>
          <w:p>
            <w:pPr>
              <w:pStyle w:val="TableContents"/>
              <w:spacing w:before="0" w:after="0"/>
              <w:ind w:left="450" w:right="0" w:hanging="225"/>
              <w:rPr/>
            </w:pPr>
            <w:r>
              <w:rPr/>
              <w:t>Junior subordinated debt owed to unconsolidated trusts</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50,000</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40,000</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25,000</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25,000</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25,000</w:t>
            </w:r>
          </w:p>
        </w:tc>
        <w:tc>
          <w:tcPr>
            <w:tcW w:w="294" w:type="dxa"/>
            <w:tcBorders/>
            <w:shd w:fill="auto" w:val="clear"/>
            <w:vAlign w:val="bottom"/>
          </w:tcPr>
          <w:p>
            <w:pPr>
              <w:pStyle w:val="TableContents"/>
              <w:spacing w:before="0" w:after="283"/>
              <w:rPr/>
            </w:pPr>
            <w:r>
              <w:rPr/>
              <w:t> </w:t>
            </w:r>
          </w:p>
        </w:tc>
      </w:tr>
      <w:tr>
        <w:trPr/>
        <w:tc>
          <w:tcPr>
            <w:tcW w:w="2066" w:type="dxa"/>
            <w:tcBorders/>
            <w:shd w:fill="CCEEFF" w:val="clear"/>
            <w:vAlign w:val="bottom"/>
          </w:tcPr>
          <w:p>
            <w:pPr>
              <w:pStyle w:val="TableContents"/>
              <w:spacing w:before="0" w:after="0"/>
              <w:ind w:left="450" w:right="0" w:hanging="225"/>
              <w:rPr/>
            </w:pPr>
            <w:r>
              <w:rPr/>
              <w:t>Stockholders equity</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169,714</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138,872</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125,177</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115,163</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105,790</w:t>
            </w:r>
          </w:p>
        </w:tc>
        <w:tc>
          <w:tcPr>
            <w:tcW w:w="294" w:type="dxa"/>
            <w:tcBorders/>
            <w:shd w:fill="CCEEFF" w:val="clear"/>
            <w:vAlign w:val="bottom"/>
          </w:tcPr>
          <w:p>
            <w:pPr>
              <w:pStyle w:val="TableContents"/>
              <w:spacing w:before="0" w:after="283"/>
              <w:rPr/>
            </w:pPr>
            <w:r>
              <w:rPr/>
              <w:t> </w:t>
            </w:r>
          </w:p>
        </w:tc>
      </w:tr>
      <w:tr>
        <w:trPr/>
        <w:tc>
          <w:tcPr>
            <w:tcW w:w="2066" w:type="dxa"/>
            <w:tcBorders/>
            <w:shd w:fill="auto" w:val="clear"/>
            <w:vAlign w:val="bottom"/>
          </w:tcPr>
          <w:p>
            <w:pPr>
              <w:pStyle w:val="TableContents"/>
              <w:spacing w:before="0" w:after="0"/>
              <w:ind w:left="225" w:right="0" w:hanging="225"/>
              <w:rPr>
                <w:b/>
              </w:rPr>
            </w:pPr>
            <w:r>
              <w:rPr>
                <w:b/>
              </w:rPr>
              <w:t>Results of Operations</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r>
      <w:tr>
        <w:trPr/>
        <w:tc>
          <w:tcPr>
            <w:tcW w:w="2066" w:type="dxa"/>
            <w:tcBorders/>
            <w:shd w:fill="CCEEFF" w:val="clear"/>
            <w:vAlign w:val="bottom"/>
          </w:tcPr>
          <w:p>
            <w:pPr>
              <w:pStyle w:val="TableContents"/>
              <w:spacing w:before="0" w:after="0"/>
              <w:ind w:left="450" w:right="0" w:hanging="225"/>
              <w:rPr/>
            </w:pPr>
            <w:r>
              <w:rPr/>
              <w:t>Interest and dividend income</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116,304</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85,919</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73,849</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76,085</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89,985</w:t>
            </w:r>
          </w:p>
        </w:tc>
        <w:tc>
          <w:tcPr>
            <w:tcW w:w="294" w:type="dxa"/>
            <w:tcBorders/>
            <w:shd w:fill="CCEEFF" w:val="clear"/>
            <w:vAlign w:val="bottom"/>
          </w:tcPr>
          <w:p>
            <w:pPr>
              <w:pStyle w:val="TableContents"/>
              <w:spacing w:before="0" w:after="283"/>
              <w:rPr/>
            </w:pPr>
            <w:r>
              <w:rPr/>
              <w:t> </w:t>
            </w:r>
          </w:p>
        </w:tc>
      </w:tr>
      <w:tr>
        <w:trPr/>
        <w:tc>
          <w:tcPr>
            <w:tcW w:w="2066" w:type="dxa"/>
            <w:tcBorders/>
            <w:shd w:fill="auto" w:val="clear"/>
            <w:vAlign w:val="bottom"/>
          </w:tcPr>
          <w:p>
            <w:pPr>
              <w:pStyle w:val="TableContents"/>
              <w:spacing w:before="0" w:after="0"/>
              <w:ind w:left="450" w:right="0" w:hanging="225"/>
              <w:rPr/>
            </w:pPr>
            <w:r>
              <w:rPr/>
              <w:t>Interest expense</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45,342</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30,041</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25,618</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30,494</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46,435</w:t>
            </w:r>
          </w:p>
        </w:tc>
        <w:tc>
          <w:tcPr>
            <w:tcW w:w="294" w:type="dxa"/>
            <w:tcBorders/>
            <w:shd w:fill="auto" w:val="clear"/>
            <w:vAlign w:val="bottom"/>
          </w:tcPr>
          <w:p>
            <w:pPr>
              <w:pStyle w:val="TableContents"/>
              <w:spacing w:before="0" w:after="283"/>
              <w:rPr/>
            </w:pPr>
            <w:r>
              <w:rPr/>
              <w:t> </w:t>
            </w:r>
          </w:p>
        </w:tc>
      </w:tr>
      <w:tr>
        <w:trPr/>
        <w:tc>
          <w:tcPr>
            <w:tcW w:w="2066" w:type="dxa"/>
            <w:tcBorders/>
            <w:shd w:fill="CCEEFF" w:val="clear"/>
            <w:vAlign w:val="bottom"/>
          </w:tcPr>
          <w:p>
            <w:pPr>
              <w:pStyle w:val="TableContents"/>
              <w:spacing w:before="0" w:after="0"/>
              <w:ind w:left="450" w:right="0" w:hanging="225"/>
              <w:rPr/>
            </w:pPr>
            <w:r>
              <w:rPr/>
              <w:t>Net interest income</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70,962</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55,878</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48,231</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45,591</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43,550</w:t>
            </w:r>
          </w:p>
        </w:tc>
        <w:tc>
          <w:tcPr>
            <w:tcW w:w="294" w:type="dxa"/>
            <w:tcBorders/>
            <w:shd w:fill="CCEEFF" w:val="clear"/>
            <w:vAlign w:val="bottom"/>
          </w:tcPr>
          <w:p>
            <w:pPr>
              <w:pStyle w:val="TableContents"/>
              <w:spacing w:before="0" w:after="283"/>
              <w:rPr/>
            </w:pPr>
            <w:r>
              <w:rPr/>
              <w:t> </w:t>
            </w:r>
          </w:p>
        </w:tc>
      </w:tr>
      <w:tr>
        <w:trPr/>
        <w:tc>
          <w:tcPr>
            <w:tcW w:w="2066" w:type="dxa"/>
            <w:tcBorders/>
            <w:shd w:fill="auto" w:val="clear"/>
            <w:vAlign w:val="bottom"/>
          </w:tcPr>
          <w:p>
            <w:pPr>
              <w:pStyle w:val="TableContents"/>
              <w:spacing w:before="0" w:after="0"/>
              <w:ind w:left="450" w:right="0" w:hanging="225"/>
              <w:rPr/>
            </w:pPr>
            <w:r>
              <w:rPr/>
              <w:t>Provision for loan losses</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3,490</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2,905</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3,058</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3,125</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2,020</w:t>
            </w:r>
          </w:p>
        </w:tc>
        <w:tc>
          <w:tcPr>
            <w:tcW w:w="294" w:type="dxa"/>
            <w:tcBorders/>
            <w:shd w:fill="auto" w:val="clear"/>
            <w:vAlign w:val="bottom"/>
          </w:tcPr>
          <w:p>
            <w:pPr>
              <w:pStyle w:val="TableContents"/>
              <w:spacing w:before="0" w:after="283"/>
              <w:rPr/>
            </w:pPr>
            <w:r>
              <w:rPr/>
              <w:t> </w:t>
            </w:r>
          </w:p>
        </w:tc>
      </w:tr>
      <w:tr>
        <w:trPr/>
        <w:tc>
          <w:tcPr>
            <w:tcW w:w="2066" w:type="dxa"/>
            <w:tcBorders/>
            <w:shd w:fill="CCEEFF" w:val="clear"/>
            <w:vAlign w:val="bottom"/>
          </w:tcPr>
          <w:p>
            <w:pPr>
              <w:pStyle w:val="TableContents"/>
              <w:spacing w:before="0" w:after="0"/>
              <w:ind w:left="450" w:right="0" w:hanging="225"/>
              <w:rPr/>
            </w:pPr>
            <w:r>
              <w:rPr/>
              <w:t>Net income(1)</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26,934</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22,454</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19,864</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17,904</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15,653</w:t>
            </w:r>
          </w:p>
        </w:tc>
        <w:tc>
          <w:tcPr>
            <w:tcW w:w="294" w:type="dxa"/>
            <w:tcBorders/>
            <w:shd w:fill="CCEEFF" w:val="clear"/>
            <w:vAlign w:val="bottom"/>
          </w:tcPr>
          <w:p>
            <w:pPr>
              <w:pStyle w:val="TableContents"/>
              <w:spacing w:before="0" w:after="283"/>
              <w:rPr/>
            </w:pPr>
            <w:r>
              <w:rPr/>
              <w:t> </w:t>
            </w:r>
          </w:p>
        </w:tc>
      </w:tr>
      <w:tr>
        <w:trPr/>
        <w:tc>
          <w:tcPr>
            <w:tcW w:w="2066" w:type="dxa"/>
            <w:tcBorders/>
            <w:shd w:fill="auto" w:val="clear"/>
            <w:vAlign w:val="bottom"/>
          </w:tcPr>
          <w:p>
            <w:pPr>
              <w:pStyle w:val="TableContents"/>
              <w:spacing w:before="0" w:after="0"/>
              <w:ind w:left="225" w:right="0" w:hanging="225"/>
              <w:rPr/>
            </w:pPr>
            <w:r>
              <w:rPr>
                <w:b/>
              </w:rPr>
              <w:t>Per Share Data</w:t>
            </w:r>
            <w:r>
              <w:rPr/>
              <w:t>(2)</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r>
      <w:tr>
        <w:trPr/>
        <w:tc>
          <w:tcPr>
            <w:tcW w:w="2066" w:type="dxa"/>
            <w:tcBorders/>
            <w:shd w:fill="CCEEFF" w:val="clear"/>
            <w:vAlign w:val="bottom"/>
          </w:tcPr>
          <w:p>
            <w:pPr>
              <w:pStyle w:val="TableContents"/>
              <w:spacing w:before="0" w:after="0"/>
              <w:ind w:left="450" w:right="0" w:hanging="225"/>
              <w:rPr/>
            </w:pPr>
            <w:r>
              <w:rPr/>
              <w:t>Diluted earnings</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1.29</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1.09</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0.97</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0.87</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0.77</w:t>
            </w:r>
          </w:p>
        </w:tc>
        <w:tc>
          <w:tcPr>
            <w:tcW w:w="294" w:type="dxa"/>
            <w:tcBorders/>
            <w:shd w:fill="CCEEFF" w:val="clear"/>
            <w:vAlign w:val="bottom"/>
          </w:tcPr>
          <w:p>
            <w:pPr>
              <w:pStyle w:val="TableContents"/>
              <w:spacing w:before="0" w:after="283"/>
              <w:rPr/>
            </w:pPr>
            <w:r>
              <w:rPr/>
              <w:t> </w:t>
            </w:r>
          </w:p>
        </w:tc>
      </w:tr>
      <w:tr>
        <w:trPr/>
        <w:tc>
          <w:tcPr>
            <w:tcW w:w="2066" w:type="dxa"/>
            <w:tcBorders/>
            <w:shd w:fill="auto" w:val="clear"/>
            <w:vAlign w:val="bottom"/>
          </w:tcPr>
          <w:p>
            <w:pPr>
              <w:pStyle w:val="TableContents"/>
              <w:spacing w:before="0" w:after="0"/>
              <w:ind w:left="450" w:right="0" w:hanging="225"/>
              <w:rPr/>
            </w:pPr>
            <w:r>
              <w:rPr/>
              <w:t>Cash dividends</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0.56</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0.51</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0.45</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0.40</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0.35</w:t>
            </w:r>
          </w:p>
        </w:tc>
        <w:tc>
          <w:tcPr>
            <w:tcW w:w="294" w:type="dxa"/>
            <w:tcBorders/>
            <w:shd w:fill="auto" w:val="clear"/>
            <w:vAlign w:val="bottom"/>
          </w:tcPr>
          <w:p>
            <w:pPr>
              <w:pStyle w:val="TableContents"/>
              <w:spacing w:before="0" w:after="283"/>
              <w:rPr/>
            </w:pPr>
            <w:r>
              <w:rPr/>
              <w:t> </w:t>
            </w:r>
          </w:p>
        </w:tc>
      </w:tr>
      <w:tr>
        <w:trPr/>
        <w:tc>
          <w:tcPr>
            <w:tcW w:w="2066" w:type="dxa"/>
            <w:tcBorders/>
            <w:shd w:fill="CCEEFF" w:val="clear"/>
            <w:vAlign w:val="bottom"/>
          </w:tcPr>
          <w:p>
            <w:pPr>
              <w:pStyle w:val="TableContents"/>
              <w:spacing w:before="0" w:after="0"/>
              <w:ind w:left="450" w:right="0" w:hanging="225"/>
              <w:rPr/>
            </w:pPr>
            <w:r>
              <w:rPr/>
              <w:t>Book value(3)</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7.89</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6.74</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6.10</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5.66</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5.16</w:t>
            </w:r>
          </w:p>
        </w:tc>
        <w:tc>
          <w:tcPr>
            <w:tcW w:w="294" w:type="dxa"/>
            <w:tcBorders/>
            <w:shd w:fill="CCEEFF" w:val="clear"/>
            <w:vAlign w:val="bottom"/>
          </w:tcPr>
          <w:p>
            <w:pPr>
              <w:pStyle w:val="TableContents"/>
              <w:spacing w:before="0" w:after="283"/>
              <w:rPr/>
            </w:pPr>
            <w:r>
              <w:rPr/>
              <w:t> </w:t>
            </w:r>
          </w:p>
        </w:tc>
      </w:tr>
      <w:tr>
        <w:trPr/>
        <w:tc>
          <w:tcPr>
            <w:tcW w:w="2066" w:type="dxa"/>
            <w:tcBorders/>
            <w:shd w:fill="auto" w:val="clear"/>
            <w:vAlign w:val="bottom"/>
          </w:tcPr>
          <w:p>
            <w:pPr>
              <w:pStyle w:val="TableContents"/>
              <w:spacing w:before="0" w:after="0"/>
              <w:ind w:left="450" w:right="0" w:hanging="225"/>
              <w:rPr/>
            </w:pPr>
            <w:r>
              <w:rPr/>
              <w:t>Closing price</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20.89</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20.87</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18.00</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15.37</w:t>
            </w:r>
          </w:p>
        </w:tc>
        <w:tc>
          <w:tcPr>
            <w:tcW w:w="2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14.32</w:t>
            </w:r>
          </w:p>
        </w:tc>
        <w:tc>
          <w:tcPr>
            <w:tcW w:w="294" w:type="dxa"/>
            <w:tcBorders/>
            <w:shd w:fill="auto" w:val="clear"/>
            <w:vAlign w:val="bottom"/>
          </w:tcPr>
          <w:p>
            <w:pPr>
              <w:pStyle w:val="TableContents"/>
              <w:spacing w:before="0" w:after="283"/>
              <w:rPr/>
            </w:pPr>
            <w:r>
              <w:rPr/>
              <w:t> </w:t>
            </w:r>
          </w:p>
        </w:tc>
      </w:tr>
      <w:tr>
        <w:trPr/>
        <w:tc>
          <w:tcPr>
            <w:tcW w:w="2066" w:type="dxa"/>
            <w:tcBorders/>
            <w:shd w:fill="CCEEFF" w:val="clear"/>
            <w:vAlign w:val="bottom"/>
          </w:tcPr>
          <w:p>
            <w:pPr>
              <w:pStyle w:val="TableContents"/>
              <w:spacing w:before="0" w:after="0"/>
              <w:ind w:left="225" w:right="0" w:hanging="225"/>
              <w:rPr>
                <w:b/>
              </w:rPr>
            </w:pPr>
            <w:r>
              <w:rPr>
                <w:b/>
              </w:rPr>
              <w:t>Other Information</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r>
      <w:tr>
        <w:trPr/>
        <w:tc>
          <w:tcPr>
            <w:tcW w:w="2066" w:type="dxa"/>
            <w:tcBorders/>
            <w:shd w:fill="auto" w:val="clear"/>
            <w:vAlign w:val="bottom"/>
          </w:tcPr>
          <w:p>
            <w:pPr>
              <w:pStyle w:val="TableContents"/>
              <w:spacing w:before="0" w:after="0"/>
              <w:ind w:left="450" w:right="0" w:hanging="225"/>
              <w:rPr/>
            </w:pPr>
            <w:r>
              <w:rPr/>
              <w:t>Return on average assets</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1.28</w:t>
            </w:r>
          </w:p>
        </w:tc>
        <w:tc>
          <w:tcPr>
            <w:tcW w:w="275"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1.28</w:t>
            </w:r>
          </w:p>
        </w:tc>
        <w:tc>
          <w:tcPr>
            <w:tcW w:w="275"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1.35</w:t>
            </w:r>
          </w:p>
        </w:tc>
        <w:tc>
          <w:tcPr>
            <w:tcW w:w="275"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1.33</w:t>
            </w:r>
          </w:p>
        </w:tc>
        <w:tc>
          <w:tcPr>
            <w:tcW w:w="275"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1.19</w:t>
            </w:r>
          </w:p>
        </w:tc>
        <w:tc>
          <w:tcPr>
            <w:tcW w:w="294" w:type="dxa"/>
            <w:tcBorders/>
            <w:shd w:fill="auto" w:val="clear"/>
            <w:vAlign w:val="bottom"/>
          </w:tcPr>
          <w:p>
            <w:pPr>
              <w:pStyle w:val="TableContents"/>
              <w:spacing w:before="0" w:after="283"/>
              <w:rPr/>
            </w:pPr>
            <w:r>
              <w:rPr/>
              <w:t>%</w:t>
            </w:r>
          </w:p>
        </w:tc>
      </w:tr>
      <w:tr>
        <w:trPr/>
        <w:tc>
          <w:tcPr>
            <w:tcW w:w="2066" w:type="dxa"/>
            <w:tcBorders/>
            <w:shd w:fill="CCEEFF" w:val="clear"/>
            <w:vAlign w:val="bottom"/>
          </w:tcPr>
          <w:p>
            <w:pPr>
              <w:pStyle w:val="TableContents"/>
              <w:spacing w:before="0" w:after="0"/>
              <w:ind w:left="450" w:right="0" w:hanging="225"/>
              <w:rPr/>
            </w:pPr>
            <w:r>
              <w:rPr/>
              <w:t>Return on average equity</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17.97</w:t>
            </w:r>
          </w:p>
        </w:tc>
        <w:tc>
          <w:tcPr>
            <w:tcW w:w="275"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17.23</w:t>
            </w:r>
          </w:p>
        </w:tc>
        <w:tc>
          <w:tcPr>
            <w:tcW w:w="275"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16.34</w:t>
            </w:r>
          </w:p>
        </w:tc>
        <w:tc>
          <w:tcPr>
            <w:tcW w:w="275"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16.31</w:t>
            </w:r>
          </w:p>
        </w:tc>
        <w:tc>
          <w:tcPr>
            <w:tcW w:w="275"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15.80</w:t>
            </w:r>
          </w:p>
        </w:tc>
        <w:tc>
          <w:tcPr>
            <w:tcW w:w="294" w:type="dxa"/>
            <w:tcBorders/>
            <w:shd w:fill="CCEEFF" w:val="clear"/>
            <w:vAlign w:val="bottom"/>
          </w:tcPr>
          <w:p>
            <w:pPr>
              <w:pStyle w:val="TableContents"/>
              <w:spacing w:before="0" w:after="283"/>
              <w:rPr/>
            </w:pPr>
            <w:r>
              <w:rPr/>
              <w:t>%</w:t>
            </w:r>
          </w:p>
        </w:tc>
      </w:tr>
      <w:tr>
        <w:trPr/>
        <w:tc>
          <w:tcPr>
            <w:tcW w:w="2066" w:type="dxa"/>
            <w:tcBorders/>
            <w:shd w:fill="auto" w:val="clear"/>
            <w:vAlign w:val="bottom"/>
          </w:tcPr>
          <w:p>
            <w:pPr>
              <w:pStyle w:val="TableContents"/>
              <w:spacing w:before="0" w:after="0"/>
              <w:ind w:left="450" w:right="0" w:hanging="225"/>
              <w:rPr/>
            </w:pPr>
            <w:r>
              <w:rPr/>
              <w:t>Net interest margin (4)</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3.72</w:t>
            </w:r>
          </w:p>
        </w:tc>
        <w:tc>
          <w:tcPr>
            <w:tcW w:w="275"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3.49</w:t>
            </w:r>
          </w:p>
        </w:tc>
        <w:tc>
          <w:tcPr>
            <w:tcW w:w="275"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3.60</w:t>
            </w:r>
          </w:p>
        </w:tc>
        <w:tc>
          <w:tcPr>
            <w:tcW w:w="275"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3.74</w:t>
            </w:r>
          </w:p>
        </w:tc>
        <w:tc>
          <w:tcPr>
            <w:tcW w:w="275"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3.64</w:t>
            </w:r>
          </w:p>
        </w:tc>
        <w:tc>
          <w:tcPr>
            <w:tcW w:w="294" w:type="dxa"/>
            <w:tcBorders/>
            <w:shd w:fill="auto" w:val="clear"/>
            <w:vAlign w:val="bottom"/>
          </w:tcPr>
          <w:p>
            <w:pPr>
              <w:pStyle w:val="TableContents"/>
              <w:spacing w:before="0" w:after="283"/>
              <w:rPr/>
            </w:pPr>
            <w:r>
              <w:rPr/>
              <w:t>%</w:t>
            </w:r>
          </w:p>
        </w:tc>
      </w:tr>
      <w:tr>
        <w:trPr/>
        <w:tc>
          <w:tcPr>
            <w:tcW w:w="2066" w:type="dxa"/>
            <w:tcBorders/>
            <w:shd w:fill="CCEEFF" w:val="clear"/>
            <w:vAlign w:val="bottom"/>
          </w:tcPr>
          <w:p>
            <w:pPr>
              <w:pStyle w:val="TableContents"/>
              <w:spacing w:before="0" w:after="0"/>
              <w:ind w:left="450" w:right="0" w:hanging="225"/>
              <w:rPr/>
            </w:pPr>
            <w:r>
              <w:rPr/>
              <w:t>Equity to assets ratio(5)</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7.13</w:t>
            </w:r>
          </w:p>
        </w:tc>
        <w:tc>
          <w:tcPr>
            <w:tcW w:w="275"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7.42</w:t>
            </w:r>
          </w:p>
        </w:tc>
        <w:tc>
          <w:tcPr>
            <w:tcW w:w="275"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8.28</w:t>
            </w:r>
          </w:p>
        </w:tc>
        <w:tc>
          <w:tcPr>
            <w:tcW w:w="275"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8.18</w:t>
            </w:r>
          </w:p>
        </w:tc>
        <w:tc>
          <w:tcPr>
            <w:tcW w:w="275" w:type="dxa"/>
            <w:tcBorders/>
            <w:shd w:fill="CCEEFF" w:val="clear"/>
            <w:vAlign w:val="bottom"/>
          </w:tcPr>
          <w:p>
            <w:pPr>
              <w:pStyle w:val="TableContents"/>
              <w:spacing w:before="0" w:after="283"/>
              <w:rPr/>
            </w:pPr>
            <w:r>
              <w:rPr/>
              <w:t>%</w:t>
            </w:r>
          </w:p>
        </w:tc>
        <w:tc>
          <w:tcPr>
            <w:tcW w:w="1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7.55</w:t>
            </w:r>
          </w:p>
        </w:tc>
        <w:tc>
          <w:tcPr>
            <w:tcW w:w="294" w:type="dxa"/>
            <w:tcBorders/>
            <w:shd w:fill="CCEEFF" w:val="clear"/>
            <w:vAlign w:val="bottom"/>
          </w:tcPr>
          <w:p>
            <w:pPr>
              <w:pStyle w:val="TableContents"/>
              <w:spacing w:before="0" w:after="283"/>
              <w:rPr/>
            </w:pPr>
            <w:r>
              <w:rPr/>
              <w:t>%</w:t>
            </w:r>
          </w:p>
        </w:tc>
      </w:tr>
      <w:tr>
        <w:trPr/>
        <w:tc>
          <w:tcPr>
            <w:tcW w:w="2066" w:type="dxa"/>
            <w:tcBorders/>
            <w:shd w:fill="auto" w:val="clear"/>
            <w:vAlign w:val="bottom"/>
          </w:tcPr>
          <w:p>
            <w:pPr>
              <w:pStyle w:val="TableContents"/>
              <w:spacing w:before="0" w:after="0"/>
              <w:ind w:left="450" w:right="0" w:hanging="225"/>
              <w:rPr/>
            </w:pPr>
            <w:r>
              <w:rPr/>
              <w:t>Dividend payout ratio</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42.93</w:t>
            </w:r>
          </w:p>
        </w:tc>
        <w:tc>
          <w:tcPr>
            <w:tcW w:w="275"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46.24</w:t>
            </w:r>
          </w:p>
        </w:tc>
        <w:tc>
          <w:tcPr>
            <w:tcW w:w="275"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46.39</w:t>
            </w:r>
          </w:p>
        </w:tc>
        <w:tc>
          <w:tcPr>
            <w:tcW w:w="275"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45.39</w:t>
            </w:r>
          </w:p>
        </w:tc>
        <w:tc>
          <w:tcPr>
            <w:tcW w:w="275" w:type="dxa"/>
            <w:tcBorders/>
            <w:shd w:fill="auto" w:val="clear"/>
            <w:vAlign w:val="bottom"/>
          </w:tcPr>
          <w:p>
            <w:pPr>
              <w:pStyle w:val="TableContents"/>
              <w:spacing w:before="0" w:after="283"/>
              <w:rPr/>
            </w:pPr>
            <w:r>
              <w:rPr/>
              <w:t>%</w:t>
            </w:r>
          </w:p>
        </w:tc>
        <w:tc>
          <w:tcPr>
            <w:tcW w:w="1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44.76</w:t>
            </w:r>
          </w:p>
        </w:tc>
        <w:tc>
          <w:tcPr>
            <w:tcW w:w="294" w:type="dxa"/>
            <w:tcBorders/>
            <w:shd w:fill="auto"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59"/>
        <w:gridCol w:w="133"/>
        <w:gridCol w:w="9713"/>
      </w:tblGrid>
      <w:tr>
        <w:trPr/>
        <w:tc>
          <w:tcPr>
            <w:tcW w:w="359" w:type="dxa"/>
            <w:tcBorders/>
            <w:shd w:fill="auto" w:val="clear"/>
          </w:tcPr>
          <w:p>
            <w:pPr>
              <w:pStyle w:val="TableContents"/>
              <w:spacing w:before="0" w:after="283"/>
              <w:jc w:val="left"/>
              <w:rPr/>
            </w:pPr>
            <w:r>
              <w:rPr/>
              <w:t xml:space="preserve">(1) </w:t>
            </w:r>
          </w:p>
        </w:tc>
        <w:tc>
          <w:tcPr>
            <w:tcW w:w="133" w:type="dxa"/>
            <w:tcBorders/>
            <w:shd w:fill="auto" w:val="clear"/>
          </w:tcPr>
          <w:p>
            <w:pPr>
              <w:pStyle w:val="TableContents"/>
              <w:spacing w:before="0" w:after="283"/>
              <w:rPr/>
            </w:pPr>
            <w:r>
              <w:rPr/>
              <w:t> </w:t>
            </w:r>
          </w:p>
        </w:tc>
        <w:tc>
          <w:tcPr>
            <w:tcW w:w="9713" w:type="dxa"/>
            <w:tcBorders/>
            <w:shd w:fill="auto" w:val="clear"/>
          </w:tcPr>
          <w:p>
            <w:pPr>
              <w:pStyle w:val="TableContents"/>
              <w:spacing w:before="0" w:after="283"/>
              <w:rPr/>
            </w:pPr>
            <w:r>
              <w:rPr/>
              <w:t>Effective January 1, 2002, First Busey adopted Statement of Financial Accounting Standards (SFAS) No. 142 Goodwill and Other Intangible Assets. SFAS No. 142 changed the accounting for goodwill from a model that required amortization of goodwill, supplemented by impairment tests, to an accounting model that is based solely upon impairment tests.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auto" w:val="clear"/>
          </w:tcPr>
          <w:p>
            <w:pPr>
              <w:pStyle w:val="TableContents"/>
              <w:spacing w:before="0" w:after="283"/>
              <w:jc w:val="left"/>
              <w:rPr/>
            </w:pPr>
            <w:r>
              <w:rPr/>
              <w:t>(2)</w:t>
            </w:r>
          </w:p>
        </w:tc>
        <w:tc>
          <w:tcPr>
            <w:tcW w:w="133" w:type="dxa"/>
            <w:tcBorders/>
            <w:shd w:fill="auto" w:val="clear"/>
          </w:tcPr>
          <w:p>
            <w:pPr>
              <w:pStyle w:val="TableContents"/>
              <w:spacing w:before="0" w:after="283"/>
              <w:rPr/>
            </w:pPr>
            <w:r>
              <w:rPr/>
              <w:t> </w:t>
            </w:r>
          </w:p>
        </w:tc>
        <w:tc>
          <w:tcPr>
            <w:tcW w:w="9713" w:type="dxa"/>
            <w:tcBorders/>
            <w:shd w:fill="auto" w:val="clear"/>
          </w:tcPr>
          <w:p>
            <w:pPr>
              <w:pStyle w:val="TableContents"/>
              <w:spacing w:before="0" w:after="283"/>
              <w:rPr/>
            </w:pPr>
            <w:r>
              <w:rPr/>
              <w:t>Per share data have been retroactively adjusted to effect a three-for-two common stock split effective August 3, 2004, as if it had occurred on January 1, 2001.</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auto" w:val="clear"/>
          </w:tcPr>
          <w:p>
            <w:pPr>
              <w:pStyle w:val="TableContents"/>
              <w:spacing w:before="0" w:after="283"/>
              <w:jc w:val="left"/>
              <w:rPr/>
            </w:pPr>
            <w:r>
              <w:rPr/>
              <w:t>(3)</w:t>
            </w:r>
          </w:p>
        </w:tc>
        <w:tc>
          <w:tcPr>
            <w:tcW w:w="133" w:type="dxa"/>
            <w:tcBorders/>
            <w:shd w:fill="auto" w:val="clear"/>
          </w:tcPr>
          <w:p>
            <w:pPr>
              <w:pStyle w:val="TableContents"/>
              <w:spacing w:before="0" w:after="283"/>
              <w:rPr/>
            </w:pPr>
            <w:r>
              <w:rPr/>
              <w:t> </w:t>
            </w:r>
          </w:p>
        </w:tc>
        <w:tc>
          <w:tcPr>
            <w:tcW w:w="9713" w:type="dxa"/>
            <w:tcBorders/>
            <w:shd w:fill="auto" w:val="clear"/>
          </w:tcPr>
          <w:p>
            <w:pPr>
              <w:pStyle w:val="TableContents"/>
              <w:spacing w:before="0" w:after="283"/>
              <w:rPr/>
            </w:pPr>
            <w:r>
              <w:rPr/>
              <w:t>Total capital divided by shares outstanding as of period end.</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auto" w:val="clear"/>
          </w:tcPr>
          <w:p>
            <w:pPr>
              <w:pStyle w:val="TableContents"/>
              <w:spacing w:before="0" w:after="283"/>
              <w:jc w:val="left"/>
              <w:rPr/>
            </w:pPr>
            <w:r>
              <w:rPr/>
              <w:t>(4)</w:t>
            </w:r>
          </w:p>
        </w:tc>
        <w:tc>
          <w:tcPr>
            <w:tcW w:w="133" w:type="dxa"/>
            <w:tcBorders/>
            <w:shd w:fill="auto" w:val="clear"/>
          </w:tcPr>
          <w:p>
            <w:pPr>
              <w:pStyle w:val="TableContents"/>
              <w:spacing w:before="0" w:after="283"/>
              <w:rPr/>
            </w:pPr>
            <w:r>
              <w:rPr/>
              <w:t> </w:t>
            </w:r>
          </w:p>
        </w:tc>
        <w:tc>
          <w:tcPr>
            <w:tcW w:w="9713" w:type="dxa"/>
            <w:tcBorders/>
            <w:shd w:fill="auto" w:val="clear"/>
          </w:tcPr>
          <w:p>
            <w:pPr>
              <w:pStyle w:val="TableContents"/>
              <w:spacing w:before="0" w:after="283"/>
              <w:rPr/>
            </w:pPr>
            <w:r>
              <w:rPr/>
              <w:t>Calculated as a percent of average earning assets.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auto" w:val="clear"/>
          </w:tcPr>
          <w:p>
            <w:pPr>
              <w:pStyle w:val="TableContents"/>
              <w:spacing w:before="0" w:after="283"/>
              <w:jc w:val="left"/>
              <w:rPr/>
            </w:pPr>
            <w:r>
              <w:rPr/>
              <w:t>(5)</w:t>
            </w:r>
          </w:p>
        </w:tc>
        <w:tc>
          <w:tcPr>
            <w:tcW w:w="133" w:type="dxa"/>
            <w:tcBorders/>
            <w:shd w:fill="auto" w:val="clear"/>
          </w:tcPr>
          <w:p>
            <w:pPr>
              <w:pStyle w:val="TableContents"/>
              <w:spacing w:before="0" w:after="283"/>
              <w:rPr/>
            </w:pPr>
            <w:r>
              <w:rPr/>
              <w:t> </w:t>
            </w:r>
          </w:p>
        </w:tc>
        <w:tc>
          <w:tcPr>
            <w:tcW w:w="9713" w:type="dxa"/>
            <w:tcBorders/>
            <w:shd w:fill="auto" w:val="clear"/>
          </w:tcPr>
          <w:p>
            <w:pPr>
              <w:pStyle w:val="TableContents"/>
              <w:spacing w:before="0" w:after="283"/>
              <w:rPr/>
            </w:pPr>
            <w:r>
              <w:rPr/>
              <w:t>Average equity divided by average total assets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auto" w:val="clear"/>
          </w:tcPr>
          <w:p>
            <w:pPr>
              <w:pStyle w:val="TableContents"/>
              <w:spacing w:before="0" w:after="283"/>
              <w:jc w:val="left"/>
              <w:rPr/>
            </w:pPr>
            <w:r>
              <w:rPr/>
              <w:t>(6)</w:t>
            </w:r>
          </w:p>
        </w:tc>
        <w:tc>
          <w:tcPr>
            <w:tcW w:w="133" w:type="dxa"/>
            <w:tcBorders/>
            <w:shd w:fill="auto" w:val="clear"/>
          </w:tcPr>
          <w:p>
            <w:pPr>
              <w:pStyle w:val="TableContents"/>
              <w:spacing w:before="0" w:after="283"/>
              <w:rPr/>
            </w:pPr>
            <w:r>
              <w:rPr/>
              <w:t> </w:t>
            </w:r>
          </w:p>
        </w:tc>
        <w:tc>
          <w:tcPr>
            <w:tcW w:w="9713" w:type="dxa"/>
            <w:tcBorders/>
            <w:shd w:fill="auto" w:val="clear"/>
          </w:tcPr>
          <w:p>
            <w:pPr>
              <w:pStyle w:val="TableContents"/>
              <w:spacing w:before="0" w:after="283"/>
              <w:rPr/>
            </w:pPr>
            <w:r>
              <w:rPr/>
              <w:t>First Busey acquired First Capital Bank on June 1, 2004, and Tarpon Coast National Bank on July 29, 2005. Results of operations for these institutions from acquisition date are included in the consolidated results of operations.</w:t>
            </w:r>
          </w:p>
        </w:tc>
      </w:tr>
    </w:tbl>
    <w:p>
      <w:pPr>
        <w:pStyle w:val="TextBody"/>
        <w:jc w:val="center"/>
        <w:rPr>
          <w:rFonts w:ascii="Helvetica;Arial;sans-serif" w:hAnsi="Helvetica;Arial;sans-serif"/>
          <w:sz w:val="17"/>
        </w:rPr>
      </w:pPr>
      <w:r>
        <w:rPr>
          <w:rFonts w:ascii="Helvetica;Arial;sans-serif" w:hAnsi="Helvetica;Arial;san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 reconciliation of First Buseys Consolidated Statements of Income for each of the five years ending December 31, 2005, from amounts reported to amounts exclusive of goodwill amortization is shown below: </w:t>
      </w:r>
    </w:p>
    <w:p>
      <w:pPr>
        <w:pStyle w:val="TextBody"/>
        <w:spacing w:before="240" w:after="283"/>
        <w:jc w:val="left"/>
        <w:rPr>
          <w:rFonts w:ascii="Helvetica;Arial;sans-serif" w:hAnsi="Helvetica;Arial;sans-serif"/>
          <w:sz w:val="17"/>
        </w:rPr>
      </w:pPr>
      <w:r>
        <w:rPr>
          <w:rFonts w:ascii="Helvetica;Arial;sans-serif" w:hAnsi="Helvetica;Arial;sans-serif"/>
          <w:b/>
          <w:sz w:val="17"/>
          <w:u w:val="single"/>
        </w:rPr>
        <w:t>Financial Accounting Standards No. 142 Disclosure</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2701"/>
        <w:gridCol w:w="273"/>
        <w:gridCol w:w="279"/>
        <w:gridCol w:w="770"/>
        <w:gridCol w:w="193"/>
        <w:gridCol w:w="280"/>
        <w:gridCol w:w="279"/>
        <w:gridCol w:w="770"/>
        <w:gridCol w:w="193"/>
        <w:gridCol w:w="280"/>
        <w:gridCol w:w="279"/>
        <w:gridCol w:w="769"/>
        <w:gridCol w:w="193"/>
        <w:gridCol w:w="280"/>
        <w:gridCol w:w="279"/>
        <w:gridCol w:w="770"/>
        <w:gridCol w:w="201"/>
        <w:gridCol w:w="273"/>
        <w:gridCol w:w="262"/>
        <w:gridCol w:w="685"/>
        <w:gridCol w:w="196"/>
      </w:tblGrid>
      <w:tr>
        <w:trPr/>
        <w:tc>
          <w:tcPr>
            <w:tcW w:w="270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r>
      <w:tr>
        <w:trPr/>
        <w:tc>
          <w:tcPr>
            <w:tcW w:w="270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42" w:type="dxa"/>
            <w:gridSpan w:val="3"/>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280" w:type="dxa"/>
            <w:tcBorders>
              <w:bottom w:val="single" w:sz="2" w:space="0" w:color="000000"/>
            </w:tcBorders>
            <w:shd w:fill="auto" w:val="clear"/>
            <w:tcMar>
              <w:bottom w:w="28" w:type="dxa"/>
            </w:tcMar>
            <w:vAlign w:val="bottom"/>
          </w:tcPr>
          <w:p>
            <w:pPr>
              <w:pStyle w:val="TableContents"/>
              <w:spacing w:before="0" w:after="283"/>
              <w:rPr/>
            </w:pPr>
            <w:r>
              <w:rPr/>
              <w:t> </w:t>
            </w:r>
          </w:p>
        </w:tc>
        <w:tc>
          <w:tcPr>
            <w:tcW w:w="1242" w:type="dxa"/>
            <w:gridSpan w:val="3"/>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280" w:type="dxa"/>
            <w:tcBorders>
              <w:bottom w:val="single" w:sz="2" w:space="0" w:color="000000"/>
            </w:tcBorders>
            <w:shd w:fill="auto" w:val="clear"/>
            <w:tcMar>
              <w:bottom w:w="28" w:type="dxa"/>
            </w:tcMar>
            <w:vAlign w:val="bottom"/>
          </w:tcPr>
          <w:p>
            <w:pPr>
              <w:pStyle w:val="TableContents"/>
              <w:spacing w:before="0" w:after="283"/>
              <w:rPr/>
            </w:pPr>
            <w:r>
              <w:rPr/>
              <w:t> </w:t>
            </w:r>
          </w:p>
        </w:tc>
        <w:tc>
          <w:tcPr>
            <w:tcW w:w="1241" w:type="dxa"/>
            <w:gridSpan w:val="3"/>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280" w:type="dxa"/>
            <w:tcBorders>
              <w:bottom w:val="single" w:sz="2" w:space="0" w:color="000000"/>
            </w:tcBorders>
            <w:shd w:fill="auto" w:val="clear"/>
            <w:tcMar>
              <w:bottom w:w="28" w:type="dxa"/>
            </w:tcMar>
            <w:vAlign w:val="bottom"/>
          </w:tcPr>
          <w:p>
            <w:pPr>
              <w:pStyle w:val="TableContents"/>
              <w:spacing w:before="0" w:after="283"/>
              <w:rPr/>
            </w:pPr>
            <w:r>
              <w:rPr/>
              <w:t> </w:t>
            </w:r>
          </w:p>
        </w:tc>
        <w:tc>
          <w:tcPr>
            <w:tcW w:w="1250" w:type="dxa"/>
            <w:gridSpan w:val="3"/>
            <w:tcBorders>
              <w:bottom w:val="single" w:sz="2" w:space="0" w:color="000000"/>
            </w:tcBorders>
            <w:shd w:fill="auto" w:val="clear"/>
            <w:tcMar>
              <w:bottom w:w="28" w:type="dxa"/>
            </w:tcMar>
            <w:vAlign w:val="bottom"/>
          </w:tcPr>
          <w:p>
            <w:pPr>
              <w:pStyle w:val="TableContents"/>
              <w:spacing w:before="0" w:after="283"/>
              <w:jc w:val="center"/>
              <w:rPr/>
            </w:pPr>
            <w:r>
              <w:rPr/>
              <w:t>2002</w:t>
            </w:r>
          </w:p>
        </w:tc>
        <w:tc>
          <w:tcPr>
            <w:tcW w:w="273" w:type="dxa"/>
            <w:tcBorders>
              <w:bottom w:val="single" w:sz="2" w:space="0" w:color="000000"/>
            </w:tcBorders>
            <w:shd w:fill="auto" w:val="clear"/>
            <w:tcMar>
              <w:bottom w:w="28" w:type="dxa"/>
            </w:tcMar>
            <w:vAlign w:val="bottom"/>
          </w:tcPr>
          <w:p>
            <w:pPr>
              <w:pStyle w:val="TableContents"/>
              <w:spacing w:before="0" w:after="283"/>
              <w:rPr/>
            </w:pPr>
            <w:r>
              <w:rPr/>
              <w:t> </w:t>
            </w:r>
          </w:p>
        </w:tc>
        <w:tc>
          <w:tcPr>
            <w:tcW w:w="1143" w:type="dxa"/>
            <w:gridSpan w:val="3"/>
            <w:tcBorders>
              <w:bottom w:val="single" w:sz="2" w:space="0" w:color="000000"/>
            </w:tcBorders>
            <w:shd w:fill="auto" w:val="clear"/>
            <w:tcMar>
              <w:bottom w:w="28" w:type="dxa"/>
            </w:tcMar>
            <w:vAlign w:val="bottom"/>
          </w:tcPr>
          <w:p>
            <w:pPr>
              <w:pStyle w:val="TableContents"/>
              <w:spacing w:before="0" w:after="283"/>
              <w:jc w:val="center"/>
              <w:rPr/>
            </w:pPr>
            <w:r>
              <w:rPr/>
              <w:t>2001</w:t>
            </w:r>
          </w:p>
        </w:tc>
      </w:tr>
      <w:tr>
        <w:trPr/>
        <w:tc>
          <w:tcPr>
            <w:tcW w:w="270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815" w:type="dxa"/>
            <w:gridSpan w:val="15"/>
            <w:tcBorders/>
            <w:shd w:fill="auto" w:val="clear"/>
            <w:vAlign w:val="bottom"/>
          </w:tcPr>
          <w:p>
            <w:pPr>
              <w:pStyle w:val="TableContents"/>
              <w:spacing w:before="0" w:after="283"/>
              <w:jc w:val="center"/>
              <w:rPr>
                <w:i/>
              </w:rPr>
            </w:pPr>
            <w:r>
              <w:rPr>
                <w:i/>
              </w:rPr>
              <w:t>(dollars in thousands except per share data)</w:t>
            </w:r>
          </w:p>
        </w:tc>
        <w:tc>
          <w:tcPr>
            <w:tcW w:w="27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r>
      <w:tr>
        <w:trPr/>
        <w:tc>
          <w:tcPr>
            <w:tcW w:w="2701" w:type="dxa"/>
            <w:tcBorders/>
            <w:shd w:fill="CCEEFF" w:val="clear"/>
            <w:vAlign w:val="bottom"/>
          </w:tcPr>
          <w:p>
            <w:pPr>
              <w:pStyle w:val="TableContents"/>
              <w:spacing w:before="0" w:after="0"/>
              <w:ind w:left="450" w:right="0" w:hanging="225"/>
              <w:rPr/>
            </w:pPr>
            <w:r>
              <w:rPr/>
              <w:t>Net income as reported</w:t>
            </w:r>
          </w:p>
        </w:tc>
        <w:tc>
          <w:tcPr>
            <w:tcW w:w="27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70" w:type="dxa"/>
            <w:tcBorders/>
            <w:shd w:fill="CCEEFF" w:val="clear"/>
            <w:vAlign w:val="bottom"/>
          </w:tcPr>
          <w:p>
            <w:pPr>
              <w:pStyle w:val="TableContents"/>
              <w:spacing w:before="0" w:after="283"/>
              <w:jc w:val="right"/>
              <w:rPr/>
            </w:pPr>
            <w:r>
              <w:rPr/>
              <w:t>26,934</w:t>
            </w:r>
          </w:p>
        </w:tc>
        <w:tc>
          <w:tcPr>
            <w:tcW w:w="1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70" w:type="dxa"/>
            <w:tcBorders/>
            <w:shd w:fill="CCEEFF" w:val="clear"/>
            <w:vAlign w:val="bottom"/>
          </w:tcPr>
          <w:p>
            <w:pPr>
              <w:pStyle w:val="TableContents"/>
              <w:spacing w:before="0" w:after="283"/>
              <w:jc w:val="right"/>
              <w:rPr/>
            </w:pPr>
            <w:r>
              <w:rPr/>
              <w:t>22,454</w:t>
            </w:r>
          </w:p>
        </w:tc>
        <w:tc>
          <w:tcPr>
            <w:tcW w:w="1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69" w:type="dxa"/>
            <w:tcBorders/>
            <w:shd w:fill="CCEEFF" w:val="clear"/>
            <w:vAlign w:val="bottom"/>
          </w:tcPr>
          <w:p>
            <w:pPr>
              <w:pStyle w:val="TableContents"/>
              <w:spacing w:before="0" w:after="283"/>
              <w:jc w:val="right"/>
              <w:rPr/>
            </w:pPr>
            <w:r>
              <w:rPr/>
              <w:t>19,864</w:t>
            </w:r>
          </w:p>
        </w:tc>
        <w:tc>
          <w:tcPr>
            <w:tcW w:w="1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70" w:type="dxa"/>
            <w:tcBorders/>
            <w:shd w:fill="CCEEFF" w:val="clear"/>
            <w:vAlign w:val="bottom"/>
          </w:tcPr>
          <w:p>
            <w:pPr>
              <w:pStyle w:val="TableContents"/>
              <w:spacing w:before="0" w:after="283"/>
              <w:jc w:val="right"/>
              <w:rPr/>
            </w:pPr>
            <w:r>
              <w:rPr/>
              <w:t>17,904</w:t>
            </w:r>
          </w:p>
        </w:tc>
        <w:tc>
          <w:tcPr>
            <w:tcW w:w="201"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right"/>
              <w:rPr/>
            </w:pPr>
            <w:r>
              <w:rPr/>
              <w:t>$</w:t>
            </w:r>
          </w:p>
        </w:tc>
        <w:tc>
          <w:tcPr>
            <w:tcW w:w="685" w:type="dxa"/>
            <w:tcBorders/>
            <w:shd w:fill="CCEEFF" w:val="clear"/>
            <w:vAlign w:val="bottom"/>
          </w:tcPr>
          <w:p>
            <w:pPr>
              <w:pStyle w:val="TableContents"/>
              <w:spacing w:before="0" w:after="283"/>
              <w:jc w:val="right"/>
              <w:rPr/>
            </w:pPr>
            <w:r>
              <w:rPr/>
              <w:t>15,653</w:t>
            </w:r>
          </w:p>
        </w:tc>
        <w:tc>
          <w:tcPr>
            <w:tcW w:w="196" w:type="dxa"/>
            <w:tcBorders/>
            <w:shd w:fill="CCEEFF" w:val="clear"/>
            <w:vAlign w:val="bottom"/>
          </w:tcPr>
          <w:p>
            <w:pPr>
              <w:pStyle w:val="TableContents"/>
              <w:spacing w:before="0" w:after="283"/>
              <w:rPr/>
            </w:pPr>
            <w:r>
              <w:rPr/>
              <w:t> </w:t>
            </w:r>
          </w:p>
        </w:tc>
      </w:tr>
      <w:tr>
        <w:trPr/>
        <w:tc>
          <w:tcPr>
            <w:tcW w:w="2701" w:type="dxa"/>
            <w:tcBorders/>
            <w:shd w:fill="auto" w:val="clear"/>
            <w:vAlign w:val="bottom"/>
          </w:tcPr>
          <w:p>
            <w:pPr>
              <w:pStyle w:val="TableContents"/>
              <w:spacing w:before="0" w:after="0"/>
              <w:ind w:left="450" w:right="0" w:hanging="225"/>
              <w:rPr/>
            </w:pPr>
            <w:r>
              <w:rPr/>
              <w:t>Goodwill amortization, after tax</w:t>
            </w:r>
          </w:p>
        </w:tc>
        <w:tc>
          <w:tcPr>
            <w:tcW w:w="27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pPr>
            <w:r>
              <w:rPr/>
              <w:t></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w:t>
            </w:r>
          </w:p>
        </w:tc>
        <w:tc>
          <w:tcPr>
            <w:tcW w:w="20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pPr>
            <w:r>
              <w:rPr/>
              <w:t>651</w:t>
            </w:r>
          </w:p>
        </w:tc>
        <w:tc>
          <w:tcPr>
            <w:tcW w:w="196" w:type="dxa"/>
            <w:tcBorders/>
            <w:shd w:fill="auto" w:val="clear"/>
            <w:vAlign w:val="bottom"/>
          </w:tcPr>
          <w:p>
            <w:pPr>
              <w:pStyle w:val="TableContents"/>
              <w:spacing w:before="0" w:after="283"/>
              <w:rPr/>
            </w:pPr>
            <w:r>
              <w:rPr/>
              <w:t> </w:t>
            </w:r>
          </w:p>
        </w:tc>
      </w:tr>
      <w:tr>
        <w:trPr/>
        <w:tc>
          <w:tcPr>
            <w:tcW w:w="2701"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7231"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701" w:type="dxa"/>
            <w:tcBorders/>
            <w:shd w:fill="CCEEFF" w:val="clear"/>
            <w:vAlign w:val="bottom"/>
          </w:tcPr>
          <w:p>
            <w:pPr>
              <w:pStyle w:val="TableContents"/>
              <w:spacing w:before="0" w:after="0"/>
              <w:ind w:left="450" w:right="0" w:hanging="225"/>
              <w:rPr/>
            </w:pPr>
            <w:r>
              <w:rPr/>
              <w:t>Net income as adjusted</w:t>
            </w:r>
          </w:p>
        </w:tc>
        <w:tc>
          <w:tcPr>
            <w:tcW w:w="27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70" w:type="dxa"/>
            <w:tcBorders/>
            <w:shd w:fill="CCEEFF" w:val="clear"/>
            <w:vAlign w:val="bottom"/>
          </w:tcPr>
          <w:p>
            <w:pPr>
              <w:pStyle w:val="TableContents"/>
              <w:spacing w:before="0" w:after="283"/>
              <w:jc w:val="right"/>
              <w:rPr/>
            </w:pPr>
            <w:r>
              <w:rPr/>
              <w:t>26,934</w:t>
            </w:r>
          </w:p>
        </w:tc>
        <w:tc>
          <w:tcPr>
            <w:tcW w:w="1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70" w:type="dxa"/>
            <w:tcBorders/>
            <w:shd w:fill="CCEEFF" w:val="clear"/>
            <w:vAlign w:val="bottom"/>
          </w:tcPr>
          <w:p>
            <w:pPr>
              <w:pStyle w:val="TableContents"/>
              <w:spacing w:before="0" w:after="283"/>
              <w:jc w:val="right"/>
              <w:rPr/>
            </w:pPr>
            <w:r>
              <w:rPr/>
              <w:t>22,454</w:t>
            </w:r>
          </w:p>
        </w:tc>
        <w:tc>
          <w:tcPr>
            <w:tcW w:w="1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69" w:type="dxa"/>
            <w:tcBorders/>
            <w:shd w:fill="CCEEFF" w:val="clear"/>
            <w:vAlign w:val="bottom"/>
          </w:tcPr>
          <w:p>
            <w:pPr>
              <w:pStyle w:val="TableContents"/>
              <w:spacing w:before="0" w:after="283"/>
              <w:jc w:val="right"/>
              <w:rPr/>
            </w:pPr>
            <w:r>
              <w:rPr/>
              <w:t>19,864</w:t>
            </w:r>
          </w:p>
        </w:tc>
        <w:tc>
          <w:tcPr>
            <w:tcW w:w="1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70" w:type="dxa"/>
            <w:tcBorders/>
            <w:shd w:fill="CCEEFF" w:val="clear"/>
            <w:vAlign w:val="bottom"/>
          </w:tcPr>
          <w:p>
            <w:pPr>
              <w:pStyle w:val="TableContents"/>
              <w:spacing w:before="0" w:after="283"/>
              <w:jc w:val="right"/>
              <w:rPr/>
            </w:pPr>
            <w:r>
              <w:rPr/>
              <w:t>17,904</w:t>
            </w:r>
          </w:p>
        </w:tc>
        <w:tc>
          <w:tcPr>
            <w:tcW w:w="201"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right"/>
              <w:rPr/>
            </w:pPr>
            <w:r>
              <w:rPr/>
              <w:t>$</w:t>
            </w:r>
          </w:p>
        </w:tc>
        <w:tc>
          <w:tcPr>
            <w:tcW w:w="685" w:type="dxa"/>
            <w:tcBorders/>
            <w:shd w:fill="CCEEFF" w:val="clear"/>
            <w:vAlign w:val="bottom"/>
          </w:tcPr>
          <w:p>
            <w:pPr>
              <w:pStyle w:val="TableContents"/>
              <w:spacing w:before="0" w:after="283"/>
              <w:jc w:val="right"/>
              <w:rPr/>
            </w:pPr>
            <w:r>
              <w:rPr/>
              <w:t>16,304</w:t>
            </w:r>
          </w:p>
        </w:tc>
        <w:tc>
          <w:tcPr>
            <w:tcW w:w="196" w:type="dxa"/>
            <w:tcBorders/>
            <w:shd w:fill="CCEEFF" w:val="clear"/>
            <w:vAlign w:val="bottom"/>
          </w:tcPr>
          <w:p>
            <w:pPr>
              <w:pStyle w:val="TableContents"/>
              <w:spacing w:before="0" w:after="283"/>
              <w:rPr/>
            </w:pPr>
            <w:r>
              <w:rPr/>
              <w:t> </w:t>
            </w:r>
          </w:p>
        </w:tc>
      </w:tr>
      <w:tr>
        <w:trPr/>
        <w:tc>
          <w:tcPr>
            <w:tcW w:w="2701"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7231"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701" w:type="dxa"/>
            <w:tcBorders/>
            <w:shd w:fill="auto" w:val="clear"/>
            <w:vAlign w:val="bottom"/>
          </w:tcPr>
          <w:p>
            <w:pPr>
              <w:pStyle w:val="TableContents"/>
              <w:spacing w:before="0" w:after="0"/>
              <w:ind w:left="225" w:right="0" w:hanging="225"/>
              <w:rPr/>
            </w:pPr>
            <w:r>
              <w:rPr/>
              <w:t> </w:t>
            </w:r>
          </w:p>
        </w:tc>
        <w:tc>
          <w:tcPr>
            <w:tcW w:w="27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r>
      <w:tr>
        <w:trPr/>
        <w:tc>
          <w:tcPr>
            <w:tcW w:w="2701" w:type="dxa"/>
            <w:tcBorders/>
            <w:shd w:fill="auto" w:val="clear"/>
            <w:vAlign w:val="bottom"/>
          </w:tcPr>
          <w:p>
            <w:pPr>
              <w:pStyle w:val="TableContents"/>
              <w:spacing w:before="0" w:after="0"/>
              <w:ind w:left="225" w:right="0" w:hanging="225"/>
              <w:rPr/>
            </w:pPr>
            <w:r>
              <w:rPr/>
              <w:t>Diluted earnings per share of common stock:</w:t>
            </w:r>
          </w:p>
        </w:tc>
        <w:tc>
          <w:tcPr>
            <w:tcW w:w="27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r>
      <w:tr>
        <w:trPr/>
        <w:tc>
          <w:tcPr>
            <w:tcW w:w="2701" w:type="dxa"/>
            <w:tcBorders/>
            <w:shd w:fill="CCEEFF" w:val="clear"/>
            <w:vAlign w:val="bottom"/>
          </w:tcPr>
          <w:p>
            <w:pPr>
              <w:pStyle w:val="TableContents"/>
              <w:spacing w:before="0" w:after="0"/>
              <w:ind w:left="450" w:right="0" w:hanging="225"/>
              <w:rPr/>
            </w:pPr>
            <w:r>
              <w:rPr/>
              <w:t>As reported</w:t>
            </w:r>
          </w:p>
        </w:tc>
        <w:tc>
          <w:tcPr>
            <w:tcW w:w="27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70" w:type="dxa"/>
            <w:tcBorders/>
            <w:shd w:fill="CCEEFF" w:val="clear"/>
            <w:vAlign w:val="bottom"/>
          </w:tcPr>
          <w:p>
            <w:pPr>
              <w:pStyle w:val="TableContents"/>
              <w:spacing w:before="0" w:after="283"/>
              <w:jc w:val="right"/>
              <w:rPr/>
            </w:pPr>
            <w:r>
              <w:rPr/>
              <w:t>1.29</w:t>
            </w:r>
          </w:p>
        </w:tc>
        <w:tc>
          <w:tcPr>
            <w:tcW w:w="1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70" w:type="dxa"/>
            <w:tcBorders/>
            <w:shd w:fill="CCEEFF" w:val="clear"/>
            <w:vAlign w:val="bottom"/>
          </w:tcPr>
          <w:p>
            <w:pPr>
              <w:pStyle w:val="TableContents"/>
              <w:spacing w:before="0" w:after="283"/>
              <w:jc w:val="right"/>
              <w:rPr/>
            </w:pPr>
            <w:r>
              <w:rPr/>
              <w:t>1.09</w:t>
            </w:r>
          </w:p>
        </w:tc>
        <w:tc>
          <w:tcPr>
            <w:tcW w:w="1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69" w:type="dxa"/>
            <w:tcBorders/>
            <w:shd w:fill="CCEEFF" w:val="clear"/>
            <w:vAlign w:val="bottom"/>
          </w:tcPr>
          <w:p>
            <w:pPr>
              <w:pStyle w:val="TableContents"/>
              <w:spacing w:before="0" w:after="283"/>
              <w:jc w:val="right"/>
              <w:rPr/>
            </w:pPr>
            <w:r>
              <w:rPr/>
              <w:t>0.97</w:t>
            </w:r>
          </w:p>
        </w:tc>
        <w:tc>
          <w:tcPr>
            <w:tcW w:w="1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70" w:type="dxa"/>
            <w:tcBorders/>
            <w:shd w:fill="CCEEFF" w:val="clear"/>
            <w:vAlign w:val="bottom"/>
          </w:tcPr>
          <w:p>
            <w:pPr>
              <w:pStyle w:val="TableContents"/>
              <w:spacing w:before="0" w:after="283"/>
              <w:jc w:val="right"/>
              <w:rPr/>
            </w:pPr>
            <w:r>
              <w:rPr/>
              <w:t>0.87</w:t>
            </w:r>
          </w:p>
        </w:tc>
        <w:tc>
          <w:tcPr>
            <w:tcW w:w="201"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right"/>
              <w:rPr/>
            </w:pPr>
            <w:r>
              <w:rPr/>
              <w:t>$</w:t>
            </w:r>
          </w:p>
        </w:tc>
        <w:tc>
          <w:tcPr>
            <w:tcW w:w="685" w:type="dxa"/>
            <w:tcBorders/>
            <w:shd w:fill="CCEEFF" w:val="clear"/>
            <w:vAlign w:val="bottom"/>
          </w:tcPr>
          <w:p>
            <w:pPr>
              <w:pStyle w:val="TableContents"/>
              <w:spacing w:before="0" w:after="283"/>
              <w:jc w:val="right"/>
              <w:rPr/>
            </w:pPr>
            <w:r>
              <w:rPr/>
              <w:t>0.77</w:t>
            </w:r>
          </w:p>
        </w:tc>
        <w:tc>
          <w:tcPr>
            <w:tcW w:w="196" w:type="dxa"/>
            <w:tcBorders/>
            <w:shd w:fill="CCEEFF" w:val="clear"/>
            <w:vAlign w:val="bottom"/>
          </w:tcPr>
          <w:p>
            <w:pPr>
              <w:pStyle w:val="TableContents"/>
              <w:spacing w:before="0" w:after="283"/>
              <w:rPr/>
            </w:pPr>
            <w:r>
              <w:rPr/>
              <w:t> </w:t>
            </w:r>
          </w:p>
        </w:tc>
      </w:tr>
      <w:tr>
        <w:trPr/>
        <w:tc>
          <w:tcPr>
            <w:tcW w:w="2701" w:type="dxa"/>
            <w:tcBorders/>
            <w:shd w:fill="auto" w:val="clear"/>
            <w:vAlign w:val="bottom"/>
          </w:tcPr>
          <w:p>
            <w:pPr>
              <w:pStyle w:val="TableContents"/>
              <w:spacing w:before="0" w:after="0"/>
              <w:ind w:left="450" w:right="0" w:hanging="225"/>
              <w:rPr/>
            </w:pPr>
            <w:r>
              <w:rPr/>
              <w:t>Goodwill amortization</w:t>
            </w:r>
          </w:p>
        </w:tc>
        <w:tc>
          <w:tcPr>
            <w:tcW w:w="27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pPr>
            <w:r>
              <w:rPr/>
              <w:t></w:t>
            </w:r>
          </w:p>
        </w:tc>
        <w:tc>
          <w:tcPr>
            <w:tcW w:w="1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w:t>
            </w:r>
          </w:p>
        </w:tc>
        <w:tc>
          <w:tcPr>
            <w:tcW w:w="20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pPr>
            <w:r>
              <w:rPr/>
              <w:t>0.03</w:t>
            </w:r>
          </w:p>
        </w:tc>
        <w:tc>
          <w:tcPr>
            <w:tcW w:w="196" w:type="dxa"/>
            <w:tcBorders/>
            <w:shd w:fill="auto" w:val="clear"/>
            <w:vAlign w:val="bottom"/>
          </w:tcPr>
          <w:p>
            <w:pPr>
              <w:pStyle w:val="TableContents"/>
              <w:spacing w:before="0" w:after="283"/>
              <w:rPr/>
            </w:pPr>
            <w:r>
              <w:rPr/>
              <w:t> </w:t>
            </w:r>
          </w:p>
        </w:tc>
      </w:tr>
      <w:tr>
        <w:trPr/>
        <w:tc>
          <w:tcPr>
            <w:tcW w:w="2701"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7231"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701" w:type="dxa"/>
            <w:tcBorders/>
            <w:shd w:fill="CCEEFF" w:val="clear"/>
            <w:vAlign w:val="bottom"/>
          </w:tcPr>
          <w:p>
            <w:pPr>
              <w:pStyle w:val="TableContents"/>
              <w:spacing w:before="0" w:after="0"/>
              <w:ind w:left="450" w:right="0" w:hanging="225"/>
              <w:rPr/>
            </w:pPr>
            <w:r>
              <w:rPr/>
              <w:t>Earnings per share as adjusted</w:t>
            </w:r>
          </w:p>
        </w:tc>
        <w:tc>
          <w:tcPr>
            <w:tcW w:w="27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70" w:type="dxa"/>
            <w:tcBorders/>
            <w:shd w:fill="CCEEFF" w:val="clear"/>
            <w:vAlign w:val="bottom"/>
          </w:tcPr>
          <w:p>
            <w:pPr>
              <w:pStyle w:val="TableContents"/>
              <w:spacing w:before="0" w:after="283"/>
              <w:jc w:val="right"/>
              <w:rPr/>
            </w:pPr>
            <w:r>
              <w:rPr/>
              <w:t>1.29</w:t>
            </w:r>
          </w:p>
        </w:tc>
        <w:tc>
          <w:tcPr>
            <w:tcW w:w="1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70" w:type="dxa"/>
            <w:tcBorders/>
            <w:shd w:fill="CCEEFF" w:val="clear"/>
            <w:vAlign w:val="bottom"/>
          </w:tcPr>
          <w:p>
            <w:pPr>
              <w:pStyle w:val="TableContents"/>
              <w:spacing w:before="0" w:after="283"/>
              <w:jc w:val="right"/>
              <w:rPr/>
            </w:pPr>
            <w:r>
              <w:rPr/>
              <w:t>1.09</w:t>
            </w:r>
          </w:p>
        </w:tc>
        <w:tc>
          <w:tcPr>
            <w:tcW w:w="1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69" w:type="dxa"/>
            <w:tcBorders/>
            <w:shd w:fill="CCEEFF" w:val="clear"/>
            <w:vAlign w:val="bottom"/>
          </w:tcPr>
          <w:p>
            <w:pPr>
              <w:pStyle w:val="TableContents"/>
              <w:spacing w:before="0" w:after="283"/>
              <w:jc w:val="right"/>
              <w:rPr/>
            </w:pPr>
            <w:r>
              <w:rPr/>
              <w:t>0.97</w:t>
            </w:r>
          </w:p>
        </w:tc>
        <w:tc>
          <w:tcPr>
            <w:tcW w:w="1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770" w:type="dxa"/>
            <w:tcBorders/>
            <w:shd w:fill="CCEEFF" w:val="clear"/>
            <w:vAlign w:val="bottom"/>
          </w:tcPr>
          <w:p>
            <w:pPr>
              <w:pStyle w:val="TableContents"/>
              <w:spacing w:before="0" w:after="283"/>
              <w:jc w:val="right"/>
              <w:rPr/>
            </w:pPr>
            <w:r>
              <w:rPr/>
              <w:t>0.87</w:t>
            </w:r>
          </w:p>
        </w:tc>
        <w:tc>
          <w:tcPr>
            <w:tcW w:w="201"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right"/>
              <w:rPr/>
            </w:pPr>
            <w:r>
              <w:rPr/>
              <w:t>$</w:t>
            </w:r>
          </w:p>
        </w:tc>
        <w:tc>
          <w:tcPr>
            <w:tcW w:w="685" w:type="dxa"/>
            <w:tcBorders/>
            <w:shd w:fill="CCEEFF" w:val="clear"/>
            <w:vAlign w:val="bottom"/>
          </w:tcPr>
          <w:p>
            <w:pPr>
              <w:pStyle w:val="TableContents"/>
              <w:spacing w:before="0" w:after="283"/>
              <w:jc w:val="right"/>
              <w:rPr/>
            </w:pPr>
            <w:r>
              <w:rPr/>
              <w:t>0.80</w:t>
            </w:r>
          </w:p>
        </w:tc>
        <w:tc>
          <w:tcPr>
            <w:tcW w:w="196" w:type="dxa"/>
            <w:tcBorders/>
            <w:shd w:fill="CCEEFF" w:val="clear"/>
            <w:vAlign w:val="bottom"/>
          </w:tcPr>
          <w:p>
            <w:pPr>
              <w:pStyle w:val="TableContents"/>
              <w:spacing w:before="0" w:after="283"/>
              <w:rPr/>
            </w:pPr>
            <w:r>
              <w:rPr/>
              <w:t> </w:t>
            </w:r>
          </w:p>
        </w:tc>
      </w:tr>
      <w:tr>
        <w:trPr/>
        <w:tc>
          <w:tcPr>
            <w:tcW w:w="2701"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7231"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14" w:name="111"/>
      <w:bookmarkEnd w:id="14"/>
      <w:r>
        <w:rPr>
          <w:rFonts w:ascii="Helvetica;Arial;sans-serif" w:hAnsi="Helvetica;Arial;sans-serif"/>
          <w:b/>
          <w:sz w:val="17"/>
        </w:rPr>
        <w:t>Item 7. Managements Discussion and Analysis of Financial Condition and Results of Operations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is managements discussion and analysis of the financial condition and results of operations of First Busey Corporation and subsidiaries for the years ended December 31, 2005, 2004, and 2003. It should be read in conjunction with Business, Selected Financial Data, the consolidated financial statements and the related notes to the consolidated financial statements and other data included in this Annual Report. </w:t>
      </w:r>
    </w:p>
    <w:p>
      <w:pPr>
        <w:pStyle w:val="TextBody"/>
        <w:spacing w:before="240" w:after="283"/>
        <w:jc w:val="left"/>
        <w:rPr>
          <w:rFonts w:ascii="Helvetica;Arial;sans-serif" w:hAnsi="Helvetica;Arial;sans-serif"/>
          <w:sz w:val="17"/>
        </w:rPr>
      </w:pPr>
      <w:r>
        <w:rPr>
          <w:rFonts w:ascii="Helvetica;Arial;sans-serif" w:hAnsi="Helvetica;Arial;sans-serif"/>
          <w:b/>
          <w:sz w:val="17"/>
        </w:rPr>
        <w:t>Critical Accounting Estimates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Critical accounting estimates are those that are critical to the portrayal and understanding of the Corporations financial condition and results of operations and require management to make assumptions that are difficult, subjective or complex. These estimates involve judgments, estimates and uncertainties that are susceptible to change. In the event that different assumptions or conditions were to prevail, and depending on the severity of such changes, the possibility of materially different financial condition or results of operations is a reasonable likelihood.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Buseys significant accounting policies are described in Note 1 in the Notes to the Consolidated Financial Statements. The majority of these accounting policies do not require management to make difficult, subjective or complex judgments or estimates or the variability of the estimates is not material. However, the following policies could be deemed critical. </w:t>
      </w:r>
    </w:p>
    <w:p>
      <w:pPr>
        <w:pStyle w:val="TextBody"/>
        <w:spacing w:before="240" w:after="283"/>
        <w:jc w:val="left"/>
        <w:rPr>
          <w:rFonts w:ascii="Helvetica;Arial;sans-serif" w:hAnsi="Helvetica;Arial;sans-serif"/>
          <w:sz w:val="17"/>
        </w:rPr>
      </w:pPr>
      <w:r>
        <w:rPr>
          <w:rFonts w:ascii="Helvetica;Arial;sans-serif" w:hAnsi="Helvetica;Arial;sans-serif"/>
          <w:b/>
          <w:i/>
          <w:sz w:val="17"/>
        </w:rPr>
        <w:t>Evaluation of Securities for Impairment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Securities are classified as held-to-maturity when the Corporation has the ability and management has the positive intent to hold those securities to maturity. Accordingly, they are stated at cost adjusted for amortization of premiums and accretion of discounts. Securities are classified as available-for-sale when the Corporation may decide to sell those securities due to changes in market interest rates, liquidity needs, changes in yields on alternative investments, and for other reasons. They are carried at fair value with unrealized gains and losses, net of taxes, reported in other comprehensive income (loss). Interest income is reported net of amortization of premium and accretion of discount. Realized gains and losses on the disposition of securities available-for-sale are based on the net proceeds and the adjusted carrying amounts of the securities sold, using the specific identification method. Declines in the fair value of held-to-maturity and available-for-sale securities below their historical cost that are deemed to be other-than-temporary are reflected in earnings as realized losses. In estimating other-than-temporary losses, management considers (1) the length of time and extent to which the fair value has been less than cost, (2) the financial condition and near-term prospects of the issuer, and (3) the intent and ability of the Corporation to retain its investment in the issuer for a period of time sufficient to allow for any anticipated recovery in fair value. The evaluation also considers the impact that impairment may have on future capital, earnings, and liquidity. </w:t>
      </w:r>
    </w:p>
    <w:p>
      <w:pPr>
        <w:pStyle w:val="TextBody"/>
        <w:spacing w:before="240" w:after="283"/>
        <w:jc w:val="left"/>
        <w:rPr>
          <w:rFonts w:ascii="Helvetica;Arial;sans-serif" w:hAnsi="Helvetica;Arial;sans-serif"/>
          <w:sz w:val="17"/>
        </w:rPr>
      </w:pPr>
      <w:r>
        <w:rPr>
          <w:rFonts w:ascii="Helvetica;Arial;sans-serif" w:hAnsi="Helvetica;Arial;sans-serif"/>
          <w:b/>
          <w:i/>
          <w:sz w:val="17"/>
        </w:rPr>
        <w:t>Allowance for Loan Losses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Corporation has established an allowance for loan losses which represents the Corporations estimate of the probable losses that have occurred as of the date of the financial statements. Management has established an allowance for loan losses which reduces the total loans outstanding by an estimate of uncollectible loans. Loans deemed uncollectible are charged against and reduce the allowance. Periodically, a provision for loan losses is charged to current expense. This provision acts to replenish the allowance for loan losses and to maintain the allowance at a level that management deems adequate.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To determine the adequacy of the allowance for loan losses, a formal analysis is completed quarterly to assess the risk within the loan portfolio. This assessment is conducted by senior officers who are members of the holding companys independent holding company credit review and risk management department, and is reviewed by senior management of the banks and holding company. The analysis includes review of historical performance, dollar amount and trends of past due loans, dollar amount and trends in nonperforming loans, reviews of certain impaired loans, and review of loans identified as sensitive assets. Sensitive assets include nonaccrual loans, past-due loans, loans on First Busey Corporations watch loan reports and other loans identified as having more than reasonable potential for loss. </w:t>
      </w:r>
    </w:p>
    <w:p>
      <w:pPr>
        <w:pStyle w:val="TextBody"/>
        <w:jc w:val="center"/>
        <w:rPr>
          <w:rFonts w:ascii="Helvetica;Arial;sans-serif" w:hAnsi="Helvetica;Arial;sans-serif"/>
          <w:sz w:val="17"/>
        </w:rPr>
      </w:pPr>
      <w:r>
        <w:rPr>
          <w:rFonts w:ascii="Helvetica;Arial;sans-serif" w:hAnsi="Helvetica;Arial;san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allowance for loan losses consists of two components: the allocated and unallocated allowances. Both components of the allowance are available to cover inherent losses in the portfolio. The allocated component of the allowance is determined by type of loan within the commercial, mortgage, and retail portfolios. The allocated allowance includes specific reserves for those loans that have been identified as impaired. The allowance also includes an allowance for non-impaired commercial loans which is based on application of loss reserve factors to the components of the portfolio based on loan grades. The allocated allowance for mortgage and retail loans is determined on pools of homogeneous loan groups. Loss factors applied to these pools are based on historical loss experience, geographic mix, current delinquency trends, and other factors. The unallocated component of the allowance is established for losses that specifically exist in the remainder of the portfolio, but have yet to be identified. The unallocated component of the allowance is based upon managements evaluation of various conditions, the effects of which are not directly considered in the allocated allowance. These conditions include credit concentrations, recent levels and trends in delinquencies and nonaccrual loans, new credit products, changes in lending policies and procedures, changes in personnel and regional and local economic conditions.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 loan is considered to be impaired when, based on current information and events, it is probable the Corporation will not be able to collect all principal and interest amounts due according to the contractual terms of the loan agreement. When a loan becomes impaired, management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earnings as an adjustment to the allowance for loan losses. When management considers a loan, or a portion thereof, as uncollectible, it is charged against the allowance for loan losses. Because a significant majority of the Corporations loans are collateral dependent, First Busey has determined the required allowance on these loans based upon the estimated fair value, net of selling costs, of the respective collateral. The required allowance or actual losses on these impaired loans could differ significantly if the ultimate fair value of the collateral is significantly different from the fair value estimates used by First Busey in estimating such potential losses.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Periodic provisions for loan losses are determined by management based upon the size and the quality of the loan portfolio measured against prevailing economic conditions and historical loan loss experience and also based on specific exposures in the portfolio. Management has instituted a formal loan review system supported by an effective credit analysis and control process. The Corporation will maintain the allowance for loan losses at a level sufficient to absorb estimated uncollectible loans and, therefore, expects to make periodic additions to the allowance for loan losses. </w:t>
      </w:r>
    </w:p>
    <w:p>
      <w:pPr>
        <w:pStyle w:val="TextBody"/>
        <w:spacing w:before="240" w:after="283"/>
        <w:jc w:val="left"/>
        <w:rPr>
          <w:rFonts w:ascii="Helvetica;Arial;sans-serif" w:hAnsi="Helvetica;Arial;sans-serif"/>
          <w:sz w:val="17"/>
        </w:rPr>
      </w:pPr>
      <w:r>
        <w:rPr>
          <w:rFonts w:ascii="Helvetica;Arial;sans-serif" w:hAnsi="Helvetica;Arial;sans-serif"/>
          <w:b/>
          <w:i/>
          <w:sz w:val="17"/>
        </w:rPr>
        <w:t>Revenue Recognition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Income on interest-earning assets is accrued based on the effective yield of the underlying financial instruments. A loan is considered to be impaired when, based on current information and events, it is probable the Corporation will not be able to collect all amounts due. The accrual of interest income on impaired loans is discontinued when there is reasonable doubt as to the borrowers ability to meet contractual payments of interest or principal. </w:t>
      </w:r>
    </w:p>
    <w:p>
      <w:pPr>
        <w:pStyle w:val="TextBody"/>
        <w:spacing w:before="240" w:after="283"/>
        <w:jc w:val="left"/>
        <w:rPr>
          <w:rFonts w:ascii="Helvetica;Arial;sans-serif" w:hAnsi="Helvetica;Arial;sans-serif"/>
          <w:sz w:val="17"/>
        </w:rPr>
      </w:pPr>
      <w:r>
        <w:rPr>
          <w:rFonts w:ascii="Helvetica;Arial;sans-serif" w:hAnsi="Helvetica;Arial;sans-serif"/>
          <w:b/>
          <w:i/>
          <w:sz w:val="17"/>
        </w:rPr>
        <w:t>Fair Value of Financial Instruments and Derivatives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Fair value of financial instruments, including derivatives, are estimated using relevant market information and other assumptions. Fair value estimates involve uncertainties and matters of significant judgment regarding interest rates, credit risk, prepayments, and other factors, especially in the absence of broad markets for the particular items. There is no ready market for a significant portion of the Corporations financial instruments. Accordingly, fair values are based on various factors relative to expected loss experience, current economic conditions, risk characteristics, and other factors. The assumptions and estimates used in the fair value determination process are subjective in nature and involve uncertainties and significant judgment. As a consequence, fair values cannot be determined with precision. Changes in assumptions or in market conditions could significantly affect these estimates. </w:t>
      </w:r>
    </w:p>
    <w:p>
      <w:pPr>
        <w:pStyle w:val="TextBody"/>
        <w:jc w:val="center"/>
        <w:rPr>
          <w:rFonts w:ascii="Helvetica;Arial;sans-serif" w:hAnsi="Helvetica;Arial;sans-serif"/>
          <w:sz w:val="17"/>
        </w:rPr>
      </w:pPr>
      <w:r>
        <w:rPr>
          <w:rFonts w:ascii="Helvetica;Arial;sans-serif" w:hAnsi="Helvetica;Arial;san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General</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Corporations consolidated income is generated primarily by the financial services activities of its subsidiaries. Since January 1, 1982, the Corporation has acquired thirteen banks and sold two; acquired six savings and loan branches and two bank branches; acquired a bank branch in an FDIC assisted acquisition of a failed bank; acquired a thrift holding company and federal savings and loan; formed a trust company subsidiary; formed an insurance agency subsidiary; formed and liquidated a non-bank ATM subsidiary and acquired and liquidated a travel agency. The following table illustrates the amounts of net income contributed by each direct subsidiary since January 1, 2003. </w:t>
      </w:r>
    </w:p>
    <w:tbl>
      <w:tblPr>
        <w:tblW w:w="5000" w:type="pct"/>
        <w:jc w:val="center"/>
        <w:tblInd w:w="0" w:type="dxa"/>
        <w:tblCellMar>
          <w:top w:w="0" w:type="dxa"/>
          <w:left w:w="0" w:type="dxa"/>
          <w:bottom w:w="0" w:type="dxa"/>
          <w:right w:w="0" w:type="dxa"/>
        </w:tblCellMar>
      </w:tblPr>
      <w:tblGrid>
        <w:gridCol w:w="1590"/>
        <w:gridCol w:w="161"/>
        <w:gridCol w:w="136"/>
        <w:gridCol w:w="787"/>
        <w:gridCol w:w="136"/>
        <w:gridCol w:w="161"/>
        <w:gridCol w:w="213"/>
        <w:gridCol w:w="685"/>
        <w:gridCol w:w="169"/>
        <w:gridCol w:w="160"/>
        <w:gridCol w:w="136"/>
        <w:gridCol w:w="569"/>
        <w:gridCol w:w="286"/>
        <w:gridCol w:w="161"/>
        <w:gridCol w:w="234"/>
        <w:gridCol w:w="787"/>
        <w:gridCol w:w="183"/>
        <w:gridCol w:w="170"/>
        <w:gridCol w:w="144"/>
        <w:gridCol w:w="652"/>
        <w:gridCol w:w="321"/>
        <w:gridCol w:w="160"/>
        <w:gridCol w:w="213"/>
        <w:gridCol w:w="685"/>
        <w:gridCol w:w="136"/>
        <w:gridCol w:w="161"/>
        <w:gridCol w:w="136"/>
        <w:gridCol w:w="569"/>
        <w:gridCol w:w="304"/>
      </w:tblGrid>
      <w:tr>
        <w:trPr/>
        <w:tc>
          <w:tcPr>
            <w:tcW w:w="159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r>
      <w:tr>
        <w:trPr/>
        <w:tc>
          <w:tcPr>
            <w:tcW w:w="1590" w:type="dxa"/>
            <w:tcBorders>
              <w:bottom w:val="single" w:sz="2" w:space="0" w:color="000000"/>
            </w:tcBorders>
            <w:shd w:fill="auto" w:val="clear"/>
            <w:tcMar>
              <w:bottom w:w="28" w:type="dxa"/>
            </w:tcMar>
            <w:vAlign w:val="bottom"/>
          </w:tcPr>
          <w:p>
            <w:pPr>
              <w:pStyle w:val="TableContents"/>
              <w:spacing w:before="0" w:after="283"/>
              <w:jc w:val="left"/>
              <w:rPr/>
            </w:pPr>
            <w:r>
              <w:rPr/>
              <w:t>Subsidiary</w:t>
            </w:r>
          </w:p>
        </w:tc>
        <w:tc>
          <w:tcPr>
            <w:tcW w:w="161" w:type="dxa"/>
            <w:tcBorders>
              <w:bottom w:val="single" w:sz="2" w:space="0" w:color="000000"/>
            </w:tcBorders>
            <w:shd w:fill="auto" w:val="clear"/>
            <w:tcMar>
              <w:bottom w:w="28" w:type="dxa"/>
            </w:tcMar>
            <w:vAlign w:val="bottom"/>
          </w:tcPr>
          <w:p>
            <w:pPr>
              <w:pStyle w:val="TableContents"/>
              <w:spacing w:before="0" w:after="283"/>
              <w:rPr/>
            </w:pPr>
            <w:r>
              <w:rPr/>
              <w:t> </w:t>
            </w:r>
          </w:p>
        </w:tc>
        <w:tc>
          <w:tcPr>
            <w:tcW w:w="1059" w:type="dxa"/>
            <w:gridSpan w:val="3"/>
            <w:tcBorders>
              <w:bottom w:val="single" w:sz="2" w:space="0" w:color="000000"/>
            </w:tcBorders>
            <w:shd w:fill="auto" w:val="clear"/>
            <w:tcMar>
              <w:bottom w:w="28" w:type="dxa"/>
            </w:tcMar>
            <w:vAlign w:val="bottom"/>
          </w:tcPr>
          <w:p>
            <w:pPr>
              <w:pStyle w:val="TableContents"/>
              <w:spacing w:before="0" w:after="283"/>
              <w:jc w:val="center"/>
              <w:rPr/>
            </w:pPr>
            <w:r>
              <w:rPr/>
              <w:t>Acquired</w:t>
            </w:r>
          </w:p>
        </w:tc>
        <w:tc>
          <w:tcPr>
            <w:tcW w:w="161" w:type="dxa"/>
            <w:tcBorders>
              <w:bottom w:val="single" w:sz="2" w:space="0" w:color="000000"/>
            </w:tcBorders>
            <w:shd w:fill="auto" w:val="clear"/>
            <w:tcMar>
              <w:bottom w:w="28" w:type="dxa"/>
            </w:tcMar>
            <w:vAlign w:val="bottom"/>
          </w:tcPr>
          <w:p>
            <w:pPr>
              <w:pStyle w:val="TableContents"/>
              <w:spacing w:before="0" w:after="283"/>
              <w:rPr/>
            </w:pPr>
            <w:r>
              <w:rPr/>
              <w:t> </w:t>
            </w:r>
          </w:p>
        </w:tc>
        <w:tc>
          <w:tcPr>
            <w:tcW w:w="2218" w:type="dxa"/>
            <w:gridSpan w:val="7"/>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61" w:type="dxa"/>
            <w:tcBorders>
              <w:bottom w:val="single" w:sz="2" w:space="0" w:color="000000"/>
            </w:tcBorders>
            <w:shd w:fill="auto" w:val="clear"/>
            <w:tcMar>
              <w:bottom w:w="28" w:type="dxa"/>
            </w:tcMar>
            <w:vAlign w:val="bottom"/>
          </w:tcPr>
          <w:p>
            <w:pPr>
              <w:pStyle w:val="TableContents"/>
              <w:spacing w:before="0" w:after="283"/>
              <w:rPr/>
            </w:pPr>
            <w:r>
              <w:rPr/>
              <w:t> </w:t>
            </w:r>
          </w:p>
        </w:tc>
        <w:tc>
          <w:tcPr>
            <w:tcW w:w="2491" w:type="dxa"/>
            <w:gridSpan w:val="7"/>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60" w:type="dxa"/>
            <w:tcBorders>
              <w:bottom w:val="single" w:sz="2" w:space="0" w:color="000000"/>
            </w:tcBorders>
            <w:shd w:fill="auto" w:val="clear"/>
            <w:tcMar>
              <w:bottom w:w="28" w:type="dxa"/>
            </w:tcMar>
            <w:vAlign w:val="bottom"/>
          </w:tcPr>
          <w:p>
            <w:pPr>
              <w:pStyle w:val="TableContents"/>
              <w:spacing w:before="0" w:after="283"/>
              <w:rPr/>
            </w:pPr>
            <w:r>
              <w:rPr/>
              <w:t> </w:t>
            </w:r>
          </w:p>
        </w:tc>
        <w:tc>
          <w:tcPr>
            <w:tcW w:w="2204" w:type="dxa"/>
            <w:gridSpan w:val="7"/>
            <w:tcBorders>
              <w:bottom w:val="single" w:sz="2" w:space="0" w:color="000000"/>
            </w:tcBorders>
            <w:shd w:fill="auto" w:val="clear"/>
            <w:tcMar>
              <w:bottom w:w="28" w:type="dxa"/>
            </w:tcMar>
            <w:vAlign w:val="bottom"/>
          </w:tcPr>
          <w:p>
            <w:pPr>
              <w:pStyle w:val="TableContents"/>
              <w:spacing w:before="0" w:after="283"/>
              <w:jc w:val="center"/>
              <w:rPr/>
            </w:pPr>
            <w:r>
              <w:rPr/>
              <w:t>2003</w:t>
            </w:r>
          </w:p>
        </w:tc>
      </w:tr>
      <w:tr>
        <w:trPr/>
        <w:tc>
          <w:tcPr>
            <w:tcW w:w="159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491" w:type="dxa"/>
            <w:gridSpan w:val="7"/>
            <w:tcBorders/>
            <w:shd w:fill="auto" w:val="clear"/>
            <w:vAlign w:val="bottom"/>
          </w:tcPr>
          <w:p>
            <w:pPr>
              <w:pStyle w:val="TableContents"/>
              <w:spacing w:before="0" w:after="283"/>
              <w:jc w:val="center"/>
              <w:rPr/>
            </w:pPr>
            <w:r>
              <w:rPr/>
              <w:t>(</w:t>
            </w:r>
            <w:r>
              <w:rPr>
                <w:i/>
              </w:rPr>
              <w:t>dollars in thousands)</w:t>
            </w:r>
          </w:p>
        </w:tc>
        <w:tc>
          <w:tcPr>
            <w:tcW w:w="1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r>
      <w:tr>
        <w:trPr/>
        <w:tc>
          <w:tcPr>
            <w:tcW w:w="1590" w:type="dxa"/>
            <w:tcBorders/>
            <w:shd w:fill="CCEEFF" w:val="clear"/>
            <w:vAlign w:val="bottom"/>
          </w:tcPr>
          <w:p>
            <w:pPr>
              <w:pStyle w:val="TableContents"/>
              <w:spacing w:before="0" w:after="0"/>
              <w:ind w:left="225" w:right="0" w:hanging="225"/>
              <w:rPr/>
            </w:pPr>
            <w:r>
              <w:rPr/>
              <w:t>Busey Bank 1</w:t>
            </w:r>
          </w:p>
        </w:tc>
        <w:tc>
          <w:tcPr>
            <w:tcW w:w="16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3/20/1980</w:t>
            </w:r>
          </w:p>
        </w:tc>
        <w:tc>
          <w:tcPr>
            <w:tcW w:w="1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right"/>
              <w:rPr/>
            </w:pPr>
            <w:r>
              <w:rPr/>
              <w:t>$</w:t>
            </w:r>
          </w:p>
        </w:tc>
        <w:tc>
          <w:tcPr>
            <w:tcW w:w="685" w:type="dxa"/>
            <w:tcBorders/>
            <w:shd w:fill="CCEEFF" w:val="clear"/>
            <w:vAlign w:val="bottom"/>
          </w:tcPr>
          <w:p>
            <w:pPr>
              <w:pStyle w:val="TableContents"/>
              <w:spacing w:before="0" w:after="283"/>
              <w:jc w:val="right"/>
              <w:rPr/>
            </w:pPr>
            <w:r>
              <w:rPr/>
              <w:t>24,985</w:t>
            </w:r>
          </w:p>
        </w:tc>
        <w:tc>
          <w:tcPr>
            <w:tcW w:w="16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right"/>
              <w:rPr/>
            </w:pPr>
            <w:r>
              <w:rPr/>
              <w:t> </w:t>
            </w:r>
          </w:p>
        </w:tc>
        <w:tc>
          <w:tcPr>
            <w:tcW w:w="569" w:type="dxa"/>
            <w:tcBorders/>
            <w:shd w:fill="CCEEFF" w:val="clear"/>
            <w:vAlign w:val="bottom"/>
          </w:tcPr>
          <w:p>
            <w:pPr>
              <w:pStyle w:val="TableContents"/>
              <w:spacing w:before="0" w:after="283"/>
              <w:jc w:val="right"/>
              <w:rPr/>
            </w:pPr>
            <w:r>
              <w:rPr/>
              <w:t>81.1</w:t>
            </w:r>
          </w:p>
        </w:tc>
        <w:tc>
          <w:tcPr>
            <w:tcW w:w="286" w:type="dxa"/>
            <w:tcBorders/>
            <w:shd w:fill="CCEEFF" w:val="clear"/>
            <w:vAlign w:val="bottom"/>
          </w:tcPr>
          <w:p>
            <w:pPr>
              <w:pStyle w:val="TableContents"/>
              <w:spacing w:before="0" w:after="283"/>
              <w:rPr/>
            </w:pPr>
            <w:r>
              <w:rPr/>
              <w:t>%</w:t>
            </w:r>
          </w:p>
        </w:tc>
        <w:tc>
          <w:tcPr>
            <w:tcW w:w="161"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pPr>
            <w:r>
              <w:rPr/>
              <w:t>$</w:t>
            </w:r>
          </w:p>
        </w:tc>
        <w:tc>
          <w:tcPr>
            <w:tcW w:w="787" w:type="dxa"/>
            <w:tcBorders/>
            <w:shd w:fill="CCEEFF" w:val="clear"/>
            <w:vAlign w:val="bottom"/>
          </w:tcPr>
          <w:p>
            <w:pPr>
              <w:pStyle w:val="TableContents"/>
              <w:spacing w:before="0" w:after="283"/>
              <w:jc w:val="right"/>
              <w:rPr/>
            </w:pPr>
            <w:r>
              <w:rPr/>
              <w:t>20,683</w:t>
            </w:r>
          </w:p>
        </w:tc>
        <w:tc>
          <w:tcPr>
            <w:tcW w:w="18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right"/>
              <w:rPr/>
            </w:pPr>
            <w:r>
              <w:rPr/>
              <w:t> </w:t>
            </w:r>
          </w:p>
        </w:tc>
        <w:tc>
          <w:tcPr>
            <w:tcW w:w="652" w:type="dxa"/>
            <w:tcBorders/>
            <w:shd w:fill="CCEEFF" w:val="clear"/>
            <w:vAlign w:val="bottom"/>
          </w:tcPr>
          <w:p>
            <w:pPr>
              <w:pStyle w:val="TableContents"/>
              <w:spacing w:before="0" w:after="283"/>
              <w:jc w:val="right"/>
              <w:rPr/>
            </w:pPr>
            <w:r>
              <w:rPr/>
              <w:t>83.3</w:t>
            </w:r>
          </w:p>
        </w:tc>
        <w:tc>
          <w:tcPr>
            <w:tcW w:w="321" w:type="dxa"/>
            <w:tcBorders/>
            <w:shd w:fill="CCEEFF" w:val="clear"/>
            <w:vAlign w:val="bottom"/>
          </w:tcPr>
          <w:p>
            <w:pPr>
              <w:pStyle w:val="TableContents"/>
              <w:spacing w:before="0" w:after="283"/>
              <w:rPr/>
            </w:pPr>
            <w:r>
              <w:rPr/>
              <w:t>%</w:t>
            </w:r>
          </w:p>
        </w:tc>
        <w:tc>
          <w:tcPr>
            <w:tcW w:w="1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right"/>
              <w:rPr/>
            </w:pPr>
            <w:r>
              <w:rPr/>
              <w:t>$</w:t>
            </w:r>
          </w:p>
        </w:tc>
        <w:tc>
          <w:tcPr>
            <w:tcW w:w="685" w:type="dxa"/>
            <w:tcBorders/>
            <w:shd w:fill="CCEEFF" w:val="clear"/>
            <w:vAlign w:val="bottom"/>
          </w:tcPr>
          <w:p>
            <w:pPr>
              <w:pStyle w:val="TableContents"/>
              <w:spacing w:before="0" w:after="283"/>
              <w:jc w:val="right"/>
              <w:rPr/>
            </w:pPr>
            <w:r>
              <w:rPr/>
              <w:t>19,758</w:t>
            </w:r>
          </w:p>
        </w:tc>
        <w:tc>
          <w:tcPr>
            <w:tcW w:w="1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right"/>
              <w:rPr/>
            </w:pPr>
            <w:r>
              <w:rPr/>
              <w:t> </w:t>
            </w:r>
          </w:p>
        </w:tc>
        <w:tc>
          <w:tcPr>
            <w:tcW w:w="569" w:type="dxa"/>
            <w:tcBorders/>
            <w:shd w:fill="CCEEFF" w:val="clear"/>
            <w:vAlign w:val="bottom"/>
          </w:tcPr>
          <w:p>
            <w:pPr>
              <w:pStyle w:val="TableContents"/>
              <w:spacing w:before="0" w:after="283"/>
              <w:jc w:val="right"/>
              <w:rPr/>
            </w:pPr>
            <w:r>
              <w:rPr/>
              <w:t>90.9</w:t>
            </w:r>
          </w:p>
        </w:tc>
        <w:tc>
          <w:tcPr>
            <w:tcW w:w="304" w:type="dxa"/>
            <w:tcBorders/>
            <w:shd w:fill="CCEEFF" w:val="clear"/>
            <w:vAlign w:val="bottom"/>
          </w:tcPr>
          <w:p>
            <w:pPr>
              <w:pStyle w:val="TableContents"/>
              <w:spacing w:before="0" w:after="283"/>
              <w:rPr/>
            </w:pPr>
            <w:r>
              <w:rPr/>
              <w:t>%</w:t>
            </w:r>
          </w:p>
        </w:tc>
      </w:tr>
      <w:tr>
        <w:trPr/>
        <w:tc>
          <w:tcPr>
            <w:tcW w:w="1590" w:type="dxa"/>
            <w:tcBorders/>
            <w:shd w:fill="auto" w:val="clear"/>
            <w:vAlign w:val="bottom"/>
          </w:tcPr>
          <w:p>
            <w:pPr>
              <w:pStyle w:val="TableContents"/>
              <w:spacing w:before="0" w:after="0"/>
              <w:ind w:left="225" w:right="0" w:hanging="225"/>
              <w:rPr/>
            </w:pPr>
            <w:r>
              <w:rPr/>
              <w:t>Busey Bank Florida2</w:t>
            </w:r>
          </w:p>
        </w:tc>
        <w:tc>
          <w:tcPr>
            <w:tcW w:w="16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10/29/1999</w:t>
            </w:r>
          </w:p>
        </w:tc>
        <w:tc>
          <w:tcPr>
            <w:tcW w:w="1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pPr>
            <w:r>
              <w:rPr/>
              <w:t>3,302</w:t>
            </w:r>
          </w:p>
        </w:tc>
        <w:tc>
          <w:tcPr>
            <w:tcW w:w="16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right"/>
              <w:rPr/>
            </w:pPr>
            <w:r>
              <w:rPr/>
              <w:t> </w:t>
            </w:r>
          </w:p>
        </w:tc>
        <w:tc>
          <w:tcPr>
            <w:tcW w:w="569" w:type="dxa"/>
            <w:tcBorders/>
            <w:shd w:fill="auto" w:val="clear"/>
            <w:vAlign w:val="bottom"/>
          </w:tcPr>
          <w:p>
            <w:pPr>
              <w:pStyle w:val="TableContents"/>
              <w:spacing w:before="0" w:after="283"/>
              <w:jc w:val="right"/>
              <w:rPr/>
            </w:pPr>
            <w:r>
              <w:rPr/>
              <w:t>10.7</w:t>
            </w:r>
          </w:p>
        </w:tc>
        <w:tc>
          <w:tcPr>
            <w:tcW w:w="286"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1,573</w:t>
            </w:r>
          </w:p>
        </w:tc>
        <w:tc>
          <w:tcPr>
            <w:tcW w:w="18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right"/>
              <w:rPr/>
            </w:pPr>
            <w:r>
              <w:rPr/>
              <w:t> </w:t>
            </w:r>
          </w:p>
        </w:tc>
        <w:tc>
          <w:tcPr>
            <w:tcW w:w="652" w:type="dxa"/>
            <w:tcBorders/>
            <w:shd w:fill="auto" w:val="clear"/>
            <w:vAlign w:val="bottom"/>
          </w:tcPr>
          <w:p>
            <w:pPr>
              <w:pStyle w:val="TableContents"/>
              <w:spacing w:before="0" w:after="283"/>
              <w:jc w:val="right"/>
              <w:rPr/>
            </w:pPr>
            <w:r>
              <w:rPr/>
              <w:t>6.3</w:t>
            </w:r>
          </w:p>
        </w:tc>
        <w:tc>
          <w:tcPr>
            <w:tcW w:w="321" w:type="dxa"/>
            <w:tcBorders/>
            <w:shd w:fill="auto" w:val="clear"/>
            <w:vAlign w:val="bottom"/>
          </w:tcPr>
          <w:p>
            <w:pPr>
              <w:pStyle w:val="TableContents"/>
              <w:spacing w:before="0" w:after="283"/>
              <w:rPr/>
            </w:pPr>
            <w:r>
              <w:rPr/>
              <w:t>%</w:t>
            </w:r>
          </w:p>
        </w:tc>
        <w:tc>
          <w:tcPr>
            <w:tcW w:w="1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pPr>
            <w:r>
              <w:rPr/>
              <w:t>287</w:t>
            </w:r>
          </w:p>
        </w:tc>
        <w:tc>
          <w:tcPr>
            <w:tcW w:w="1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right"/>
              <w:rPr/>
            </w:pPr>
            <w:r>
              <w:rPr/>
              <w:t> </w:t>
            </w:r>
          </w:p>
        </w:tc>
        <w:tc>
          <w:tcPr>
            <w:tcW w:w="569" w:type="dxa"/>
            <w:tcBorders/>
            <w:shd w:fill="auto" w:val="clear"/>
            <w:vAlign w:val="bottom"/>
          </w:tcPr>
          <w:p>
            <w:pPr>
              <w:pStyle w:val="TableContents"/>
              <w:spacing w:before="0" w:after="283"/>
              <w:jc w:val="right"/>
              <w:rPr/>
            </w:pPr>
            <w:r>
              <w:rPr/>
              <w:t>1.3</w:t>
            </w:r>
          </w:p>
        </w:tc>
        <w:tc>
          <w:tcPr>
            <w:tcW w:w="304" w:type="dxa"/>
            <w:tcBorders/>
            <w:shd w:fill="auto" w:val="clear"/>
            <w:vAlign w:val="bottom"/>
          </w:tcPr>
          <w:p>
            <w:pPr>
              <w:pStyle w:val="TableContents"/>
              <w:spacing w:before="0" w:after="283"/>
              <w:rPr/>
            </w:pPr>
            <w:r>
              <w:rPr/>
              <w:t>%</w:t>
            </w:r>
          </w:p>
        </w:tc>
      </w:tr>
      <w:tr>
        <w:trPr/>
        <w:tc>
          <w:tcPr>
            <w:tcW w:w="1590" w:type="dxa"/>
            <w:tcBorders/>
            <w:shd w:fill="CCEEFF" w:val="clear"/>
            <w:vAlign w:val="bottom"/>
          </w:tcPr>
          <w:p>
            <w:pPr>
              <w:pStyle w:val="TableContents"/>
              <w:spacing w:before="0" w:after="0"/>
              <w:ind w:left="225" w:right="0" w:hanging="225"/>
              <w:rPr/>
            </w:pPr>
            <w:r>
              <w:rPr/>
              <w:t>First Capital Bank3, 4</w:t>
            </w:r>
          </w:p>
        </w:tc>
        <w:tc>
          <w:tcPr>
            <w:tcW w:w="16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6/1/2004</w:t>
            </w:r>
          </w:p>
        </w:tc>
        <w:tc>
          <w:tcPr>
            <w:tcW w:w="1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w:t>
            </w:r>
          </w:p>
        </w:tc>
        <w:tc>
          <w:tcPr>
            <w:tcW w:w="16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28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1,170</w:t>
            </w:r>
          </w:p>
        </w:tc>
        <w:tc>
          <w:tcPr>
            <w:tcW w:w="18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right"/>
              <w:rPr/>
            </w:pPr>
            <w:r>
              <w:rPr/>
              <w:t> </w:t>
            </w:r>
          </w:p>
        </w:tc>
        <w:tc>
          <w:tcPr>
            <w:tcW w:w="652" w:type="dxa"/>
            <w:tcBorders/>
            <w:shd w:fill="CCEEFF" w:val="clear"/>
            <w:vAlign w:val="bottom"/>
          </w:tcPr>
          <w:p>
            <w:pPr>
              <w:pStyle w:val="TableContents"/>
              <w:spacing w:before="0" w:after="283"/>
              <w:jc w:val="right"/>
              <w:rPr/>
            </w:pPr>
            <w:r>
              <w:rPr/>
              <w:t>4.7</w:t>
            </w:r>
          </w:p>
        </w:tc>
        <w:tc>
          <w:tcPr>
            <w:tcW w:w="321" w:type="dxa"/>
            <w:tcBorders/>
            <w:shd w:fill="CCEEFF" w:val="clear"/>
            <w:vAlign w:val="bottom"/>
          </w:tcPr>
          <w:p>
            <w:pPr>
              <w:pStyle w:val="TableContents"/>
              <w:spacing w:before="0" w:after="283"/>
              <w:rPr/>
            </w:pPr>
            <w:r>
              <w:rPr/>
              <w:t>%</w:t>
            </w:r>
          </w:p>
        </w:tc>
        <w:tc>
          <w:tcPr>
            <w:tcW w:w="1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304" w:type="dxa"/>
            <w:tcBorders/>
            <w:shd w:fill="CCEEFF" w:val="clear"/>
            <w:vAlign w:val="bottom"/>
          </w:tcPr>
          <w:p>
            <w:pPr>
              <w:pStyle w:val="TableContents"/>
              <w:spacing w:before="0" w:after="283"/>
              <w:rPr/>
            </w:pPr>
            <w:r>
              <w:rPr/>
              <w:t> </w:t>
            </w:r>
          </w:p>
        </w:tc>
      </w:tr>
      <w:tr>
        <w:trPr/>
        <w:tc>
          <w:tcPr>
            <w:tcW w:w="1590" w:type="dxa"/>
            <w:tcBorders/>
            <w:shd w:fill="auto" w:val="clear"/>
            <w:vAlign w:val="bottom"/>
          </w:tcPr>
          <w:p>
            <w:pPr>
              <w:pStyle w:val="TableContents"/>
              <w:spacing w:before="0" w:after="0"/>
              <w:ind w:left="225" w:right="0" w:hanging="225"/>
              <w:rPr/>
            </w:pPr>
            <w:r>
              <w:rPr/>
              <w:t>Tarpon Coast National Bank5</w:t>
            </w:r>
          </w:p>
        </w:tc>
        <w:tc>
          <w:tcPr>
            <w:tcW w:w="16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7/29/2005</w:t>
            </w:r>
          </w:p>
        </w:tc>
        <w:tc>
          <w:tcPr>
            <w:tcW w:w="1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pPr>
            <w:r>
              <w:rPr/>
              <w:t>469</w:t>
            </w:r>
          </w:p>
        </w:tc>
        <w:tc>
          <w:tcPr>
            <w:tcW w:w="16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right"/>
              <w:rPr/>
            </w:pPr>
            <w:r>
              <w:rPr/>
              <w:t> </w:t>
            </w:r>
          </w:p>
        </w:tc>
        <w:tc>
          <w:tcPr>
            <w:tcW w:w="569" w:type="dxa"/>
            <w:tcBorders/>
            <w:shd w:fill="auto" w:val="clear"/>
            <w:vAlign w:val="bottom"/>
          </w:tcPr>
          <w:p>
            <w:pPr>
              <w:pStyle w:val="TableContents"/>
              <w:spacing w:before="0" w:after="283"/>
              <w:jc w:val="right"/>
              <w:rPr/>
            </w:pPr>
            <w:r>
              <w:rPr/>
              <w:t>1.5</w:t>
            </w:r>
          </w:p>
        </w:tc>
        <w:tc>
          <w:tcPr>
            <w:tcW w:w="286"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8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w:t>
            </w:r>
          </w:p>
        </w:tc>
        <w:tc>
          <w:tcPr>
            <w:tcW w:w="32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304" w:type="dxa"/>
            <w:tcBorders/>
            <w:shd w:fill="auto" w:val="clear"/>
            <w:vAlign w:val="bottom"/>
          </w:tcPr>
          <w:p>
            <w:pPr>
              <w:pStyle w:val="TableContents"/>
              <w:spacing w:before="0" w:after="283"/>
              <w:rPr/>
            </w:pPr>
            <w:r>
              <w:rPr/>
              <w:t> </w:t>
            </w:r>
          </w:p>
        </w:tc>
      </w:tr>
      <w:tr>
        <w:trPr/>
        <w:tc>
          <w:tcPr>
            <w:tcW w:w="1590" w:type="dxa"/>
            <w:tcBorders/>
            <w:shd w:fill="CCEEFF" w:val="clear"/>
            <w:vAlign w:val="bottom"/>
          </w:tcPr>
          <w:p>
            <w:pPr>
              <w:pStyle w:val="TableContents"/>
              <w:spacing w:before="0" w:after="0"/>
              <w:ind w:left="225" w:right="0" w:hanging="225"/>
              <w:rPr/>
            </w:pPr>
            <w:r>
              <w:rPr/>
              <w:t>Busey Investment Group, Inc.6</w:t>
            </w:r>
          </w:p>
        </w:tc>
        <w:tc>
          <w:tcPr>
            <w:tcW w:w="16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2,141</w:t>
            </w:r>
          </w:p>
        </w:tc>
        <w:tc>
          <w:tcPr>
            <w:tcW w:w="16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right"/>
              <w:rPr/>
            </w:pPr>
            <w:r>
              <w:rPr/>
              <w:t> </w:t>
            </w:r>
          </w:p>
        </w:tc>
        <w:tc>
          <w:tcPr>
            <w:tcW w:w="569" w:type="dxa"/>
            <w:tcBorders/>
            <w:shd w:fill="CCEEFF" w:val="clear"/>
            <w:vAlign w:val="bottom"/>
          </w:tcPr>
          <w:p>
            <w:pPr>
              <w:pStyle w:val="TableContents"/>
              <w:spacing w:before="0" w:after="283"/>
              <w:jc w:val="right"/>
              <w:rPr/>
            </w:pPr>
            <w:r>
              <w:rPr/>
              <w:t>6.9</w:t>
            </w:r>
          </w:p>
        </w:tc>
        <w:tc>
          <w:tcPr>
            <w:tcW w:w="286" w:type="dxa"/>
            <w:tcBorders/>
            <w:shd w:fill="CCEEFF" w:val="clear"/>
            <w:vAlign w:val="bottom"/>
          </w:tcPr>
          <w:p>
            <w:pPr>
              <w:pStyle w:val="TableContents"/>
              <w:spacing w:before="0" w:after="283"/>
              <w:rPr/>
            </w:pPr>
            <w:r>
              <w:rPr/>
              <w:t>%</w:t>
            </w:r>
          </w:p>
        </w:tc>
        <w:tc>
          <w:tcPr>
            <w:tcW w:w="161"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1,989</w:t>
            </w:r>
          </w:p>
        </w:tc>
        <w:tc>
          <w:tcPr>
            <w:tcW w:w="18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right"/>
              <w:rPr/>
            </w:pPr>
            <w:r>
              <w:rPr/>
              <w:t> </w:t>
            </w:r>
          </w:p>
        </w:tc>
        <w:tc>
          <w:tcPr>
            <w:tcW w:w="652" w:type="dxa"/>
            <w:tcBorders/>
            <w:shd w:fill="CCEEFF" w:val="clear"/>
            <w:vAlign w:val="bottom"/>
          </w:tcPr>
          <w:p>
            <w:pPr>
              <w:pStyle w:val="TableContents"/>
              <w:spacing w:before="0" w:after="283"/>
              <w:jc w:val="right"/>
              <w:rPr/>
            </w:pPr>
            <w:r>
              <w:rPr/>
              <w:t>8.0</w:t>
            </w:r>
          </w:p>
        </w:tc>
        <w:tc>
          <w:tcPr>
            <w:tcW w:w="321" w:type="dxa"/>
            <w:tcBorders/>
            <w:shd w:fill="CCEEFF" w:val="clear"/>
            <w:vAlign w:val="bottom"/>
          </w:tcPr>
          <w:p>
            <w:pPr>
              <w:pStyle w:val="TableContents"/>
              <w:spacing w:before="0" w:after="283"/>
              <w:rPr/>
            </w:pPr>
            <w:r>
              <w:rPr/>
              <w:t>%</w:t>
            </w:r>
          </w:p>
        </w:tc>
        <w:tc>
          <w:tcPr>
            <w:tcW w:w="1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1,620</w:t>
            </w:r>
          </w:p>
        </w:tc>
        <w:tc>
          <w:tcPr>
            <w:tcW w:w="1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right"/>
              <w:rPr/>
            </w:pPr>
            <w:r>
              <w:rPr/>
              <w:t> </w:t>
            </w:r>
          </w:p>
        </w:tc>
        <w:tc>
          <w:tcPr>
            <w:tcW w:w="569" w:type="dxa"/>
            <w:tcBorders/>
            <w:shd w:fill="CCEEFF" w:val="clear"/>
            <w:vAlign w:val="bottom"/>
          </w:tcPr>
          <w:p>
            <w:pPr>
              <w:pStyle w:val="TableContents"/>
              <w:spacing w:before="0" w:after="283"/>
              <w:jc w:val="right"/>
              <w:rPr/>
            </w:pPr>
            <w:r>
              <w:rPr/>
              <w:t>7.5</w:t>
            </w:r>
          </w:p>
        </w:tc>
        <w:tc>
          <w:tcPr>
            <w:tcW w:w="304" w:type="dxa"/>
            <w:tcBorders/>
            <w:shd w:fill="CCEEFF" w:val="clear"/>
            <w:vAlign w:val="bottom"/>
          </w:tcPr>
          <w:p>
            <w:pPr>
              <w:pStyle w:val="TableContents"/>
              <w:spacing w:before="0" w:after="283"/>
              <w:rPr/>
            </w:pPr>
            <w:r>
              <w:rPr/>
              <w:t>%</w:t>
            </w:r>
          </w:p>
        </w:tc>
      </w:tr>
      <w:tr>
        <w:trPr/>
        <w:tc>
          <w:tcPr>
            <w:tcW w:w="1590" w:type="dxa"/>
            <w:tcBorders/>
            <w:shd w:fill="auto" w:val="clear"/>
            <w:vAlign w:val="bottom"/>
          </w:tcPr>
          <w:p>
            <w:pPr>
              <w:pStyle w:val="TableContents"/>
              <w:spacing w:before="0" w:after="0"/>
              <w:ind w:left="225" w:right="0" w:hanging="225"/>
              <w:rPr/>
            </w:pPr>
            <w:r>
              <w:rPr/>
              <w:t>First Busey Resources, Inc.7</w:t>
            </w:r>
          </w:p>
        </w:tc>
        <w:tc>
          <w:tcPr>
            <w:tcW w:w="16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right"/>
              <w:rPr/>
            </w:pPr>
            <w:r>
              <w:rPr/>
              <w:t> </w:t>
            </w:r>
          </w:p>
        </w:tc>
        <w:tc>
          <w:tcPr>
            <w:tcW w:w="685" w:type="dxa"/>
            <w:tcBorders/>
            <w:shd w:fill="auto" w:val="clear"/>
            <w:vAlign w:val="bottom"/>
          </w:tcPr>
          <w:p>
            <w:pPr>
              <w:pStyle w:val="TableContents"/>
              <w:spacing w:before="0" w:after="283"/>
              <w:jc w:val="right"/>
              <w:rPr/>
            </w:pPr>
            <w:r>
              <w:rPr/>
              <w:t>(78</w:t>
            </w:r>
          </w:p>
        </w:tc>
        <w:tc>
          <w:tcPr>
            <w:tcW w:w="169" w:type="dxa"/>
            <w:tcBorders/>
            <w:shd w:fill="auto" w:val="clear"/>
            <w:vAlign w:val="bottom"/>
          </w:tcPr>
          <w:p>
            <w:pPr>
              <w:pStyle w:val="TableContents"/>
              <w:spacing w:before="0" w:after="283"/>
              <w:rPr/>
            </w:pPr>
            <w:r>
              <w:rPr/>
              <w:t>)</w:t>
            </w:r>
          </w:p>
        </w:tc>
        <w:tc>
          <w:tcPr>
            <w:tcW w:w="1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right"/>
              <w:rPr/>
            </w:pPr>
            <w:r>
              <w:rPr/>
              <w:t> </w:t>
            </w:r>
          </w:p>
        </w:tc>
        <w:tc>
          <w:tcPr>
            <w:tcW w:w="569" w:type="dxa"/>
            <w:tcBorders/>
            <w:shd w:fill="auto" w:val="clear"/>
            <w:vAlign w:val="bottom"/>
          </w:tcPr>
          <w:p>
            <w:pPr>
              <w:pStyle w:val="TableContents"/>
              <w:spacing w:before="0" w:after="283"/>
              <w:jc w:val="right"/>
              <w:rPr/>
            </w:pPr>
            <w:r>
              <w:rPr/>
              <w:t>-0.2</w:t>
            </w:r>
          </w:p>
        </w:tc>
        <w:tc>
          <w:tcPr>
            <w:tcW w:w="286"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pPr>
            <w:r>
              <w:rPr/>
              <w:t> </w:t>
            </w:r>
          </w:p>
        </w:tc>
        <w:tc>
          <w:tcPr>
            <w:tcW w:w="787" w:type="dxa"/>
            <w:tcBorders/>
            <w:shd w:fill="auto" w:val="clear"/>
            <w:vAlign w:val="bottom"/>
          </w:tcPr>
          <w:p>
            <w:pPr>
              <w:pStyle w:val="TableContents"/>
              <w:spacing w:before="0" w:after="283"/>
              <w:jc w:val="right"/>
              <w:rPr/>
            </w:pPr>
            <w:r>
              <w:rPr/>
              <w:t>(565</w:t>
            </w:r>
          </w:p>
        </w:tc>
        <w:tc>
          <w:tcPr>
            <w:tcW w:w="183" w:type="dxa"/>
            <w:tcBorders/>
            <w:shd w:fill="auto" w:val="clear"/>
            <w:vAlign w:val="bottom"/>
          </w:tcPr>
          <w:p>
            <w:pPr>
              <w:pStyle w:val="TableContents"/>
              <w:spacing w:before="0" w:after="283"/>
              <w:rPr/>
            </w:pPr>
            <w:r>
              <w:rPr/>
              <w:t>)</w:t>
            </w:r>
          </w:p>
        </w:tc>
        <w:tc>
          <w:tcPr>
            <w:tcW w:w="1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right"/>
              <w:rPr/>
            </w:pPr>
            <w:r>
              <w:rPr/>
              <w:t> </w:t>
            </w:r>
          </w:p>
        </w:tc>
        <w:tc>
          <w:tcPr>
            <w:tcW w:w="652" w:type="dxa"/>
            <w:tcBorders/>
            <w:shd w:fill="auto" w:val="clear"/>
            <w:vAlign w:val="bottom"/>
          </w:tcPr>
          <w:p>
            <w:pPr>
              <w:pStyle w:val="TableContents"/>
              <w:spacing w:before="0" w:after="283"/>
              <w:jc w:val="right"/>
              <w:rPr/>
            </w:pPr>
            <w:r>
              <w:rPr/>
              <w:t>-2.3</w:t>
            </w:r>
          </w:p>
        </w:tc>
        <w:tc>
          <w:tcPr>
            <w:tcW w:w="321" w:type="dxa"/>
            <w:tcBorders/>
            <w:shd w:fill="auto" w:val="clear"/>
            <w:vAlign w:val="bottom"/>
          </w:tcPr>
          <w:p>
            <w:pPr>
              <w:pStyle w:val="TableContents"/>
              <w:spacing w:before="0" w:after="283"/>
              <w:rPr/>
            </w:pPr>
            <w:r>
              <w:rPr/>
              <w:t>%</w:t>
            </w:r>
          </w:p>
        </w:tc>
        <w:tc>
          <w:tcPr>
            <w:tcW w:w="1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pPr>
            <w:r>
              <w:rPr/>
              <w:t>72</w:t>
            </w:r>
          </w:p>
        </w:tc>
        <w:tc>
          <w:tcPr>
            <w:tcW w:w="1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right"/>
              <w:rPr/>
            </w:pPr>
            <w:r>
              <w:rPr/>
              <w:t> </w:t>
            </w:r>
          </w:p>
        </w:tc>
        <w:tc>
          <w:tcPr>
            <w:tcW w:w="569" w:type="dxa"/>
            <w:tcBorders/>
            <w:shd w:fill="auto" w:val="clear"/>
            <w:vAlign w:val="bottom"/>
          </w:tcPr>
          <w:p>
            <w:pPr>
              <w:pStyle w:val="TableContents"/>
              <w:spacing w:before="0" w:after="283"/>
              <w:jc w:val="right"/>
              <w:rPr/>
            </w:pPr>
            <w:r>
              <w:rPr/>
              <w:t>0.3</w:t>
            </w:r>
          </w:p>
        </w:tc>
        <w:tc>
          <w:tcPr>
            <w:tcW w:w="304" w:type="dxa"/>
            <w:tcBorders/>
            <w:shd w:fill="auto" w:val="clear"/>
            <w:vAlign w:val="bottom"/>
          </w:tcPr>
          <w:p>
            <w:pPr>
              <w:pStyle w:val="TableContents"/>
              <w:spacing w:before="0" w:after="283"/>
              <w:rPr/>
            </w:pPr>
            <w:r>
              <w:rPr/>
              <w:t>%</w:t>
            </w:r>
          </w:p>
        </w:tc>
      </w:tr>
      <w:tr>
        <w:trPr/>
        <w:tc>
          <w:tcPr>
            <w:tcW w:w="159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8454" w:type="dxa"/>
            <w:gridSpan w:val="2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590" w:type="dxa"/>
            <w:tcBorders/>
            <w:shd w:fill="CCEEFF" w:val="clear"/>
            <w:vAlign w:val="bottom"/>
          </w:tcPr>
          <w:p>
            <w:pPr>
              <w:pStyle w:val="TableContents"/>
              <w:spacing w:before="0" w:after="0"/>
              <w:ind w:left="225" w:right="0" w:hanging="225"/>
              <w:rPr/>
            </w:pPr>
            <w:r>
              <w:rPr/>
              <w:t>Total</w:t>
            </w:r>
          </w:p>
        </w:tc>
        <w:tc>
          <w:tcPr>
            <w:tcW w:w="16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right"/>
              <w:rPr/>
            </w:pPr>
            <w:r>
              <w:rPr/>
              <w:t>$</w:t>
            </w:r>
          </w:p>
        </w:tc>
        <w:tc>
          <w:tcPr>
            <w:tcW w:w="685" w:type="dxa"/>
            <w:tcBorders/>
            <w:shd w:fill="CCEEFF" w:val="clear"/>
            <w:vAlign w:val="bottom"/>
          </w:tcPr>
          <w:p>
            <w:pPr>
              <w:pStyle w:val="TableContents"/>
              <w:spacing w:before="0" w:after="283"/>
              <w:jc w:val="right"/>
              <w:rPr/>
            </w:pPr>
            <w:r>
              <w:rPr/>
              <w:t>30,819</w:t>
            </w:r>
          </w:p>
        </w:tc>
        <w:tc>
          <w:tcPr>
            <w:tcW w:w="16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right"/>
              <w:rPr/>
            </w:pPr>
            <w:r>
              <w:rPr/>
              <w:t> </w:t>
            </w:r>
          </w:p>
        </w:tc>
        <w:tc>
          <w:tcPr>
            <w:tcW w:w="569" w:type="dxa"/>
            <w:tcBorders/>
            <w:shd w:fill="CCEEFF" w:val="clear"/>
            <w:vAlign w:val="bottom"/>
          </w:tcPr>
          <w:p>
            <w:pPr>
              <w:pStyle w:val="TableContents"/>
              <w:spacing w:before="0" w:after="283"/>
              <w:jc w:val="right"/>
              <w:rPr/>
            </w:pPr>
            <w:r>
              <w:rPr/>
              <w:t>100.0</w:t>
            </w:r>
          </w:p>
        </w:tc>
        <w:tc>
          <w:tcPr>
            <w:tcW w:w="286" w:type="dxa"/>
            <w:tcBorders/>
            <w:shd w:fill="CCEEFF" w:val="clear"/>
            <w:vAlign w:val="bottom"/>
          </w:tcPr>
          <w:p>
            <w:pPr>
              <w:pStyle w:val="TableContents"/>
              <w:spacing w:before="0" w:after="283"/>
              <w:rPr/>
            </w:pPr>
            <w:r>
              <w:rPr/>
              <w:t>%</w:t>
            </w:r>
          </w:p>
        </w:tc>
        <w:tc>
          <w:tcPr>
            <w:tcW w:w="161"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pPr>
            <w:r>
              <w:rPr/>
              <w:t>$</w:t>
            </w:r>
          </w:p>
        </w:tc>
        <w:tc>
          <w:tcPr>
            <w:tcW w:w="787" w:type="dxa"/>
            <w:tcBorders/>
            <w:shd w:fill="CCEEFF" w:val="clear"/>
            <w:vAlign w:val="bottom"/>
          </w:tcPr>
          <w:p>
            <w:pPr>
              <w:pStyle w:val="TableContents"/>
              <w:spacing w:before="0" w:after="283"/>
              <w:jc w:val="right"/>
              <w:rPr/>
            </w:pPr>
            <w:r>
              <w:rPr/>
              <w:t>24,850</w:t>
            </w:r>
          </w:p>
        </w:tc>
        <w:tc>
          <w:tcPr>
            <w:tcW w:w="18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right"/>
              <w:rPr/>
            </w:pPr>
            <w:r>
              <w:rPr/>
              <w:t> </w:t>
            </w:r>
          </w:p>
        </w:tc>
        <w:tc>
          <w:tcPr>
            <w:tcW w:w="652" w:type="dxa"/>
            <w:tcBorders/>
            <w:shd w:fill="CCEEFF" w:val="clear"/>
            <w:vAlign w:val="bottom"/>
          </w:tcPr>
          <w:p>
            <w:pPr>
              <w:pStyle w:val="TableContents"/>
              <w:spacing w:before="0" w:after="283"/>
              <w:jc w:val="right"/>
              <w:rPr/>
            </w:pPr>
            <w:r>
              <w:rPr/>
              <w:t>100.0</w:t>
            </w:r>
          </w:p>
        </w:tc>
        <w:tc>
          <w:tcPr>
            <w:tcW w:w="321" w:type="dxa"/>
            <w:tcBorders/>
            <w:shd w:fill="CCEEFF" w:val="clear"/>
            <w:vAlign w:val="bottom"/>
          </w:tcPr>
          <w:p>
            <w:pPr>
              <w:pStyle w:val="TableContents"/>
              <w:spacing w:before="0" w:after="283"/>
              <w:rPr/>
            </w:pPr>
            <w:r>
              <w:rPr/>
              <w:t>%</w:t>
            </w:r>
          </w:p>
        </w:tc>
        <w:tc>
          <w:tcPr>
            <w:tcW w:w="1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right"/>
              <w:rPr/>
            </w:pPr>
            <w:r>
              <w:rPr/>
              <w:t>$</w:t>
            </w:r>
          </w:p>
        </w:tc>
        <w:tc>
          <w:tcPr>
            <w:tcW w:w="685" w:type="dxa"/>
            <w:tcBorders/>
            <w:shd w:fill="CCEEFF" w:val="clear"/>
            <w:vAlign w:val="bottom"/>
          </w:tcPr>
          <w:p>
            <w:pPr>
              <w:pStyle w:val="TableContents"/>
              <w:spacing w:before="0" w:after="283"/>
              <w:jc w:val="right"/>
              <w:rPr/>
            </w:pPr>
            <w:r>
              <w:rPr/>
              <w:t>21,737</w:t>
            </w:r>
          </w:p>
        </w:tc>
        <w:tc>
          <w:tcPr>
            <w:tcW w:w="1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right"/>
              <w:rPr/>
            </w:pPr>
            <w:r>
              <w:rPr/>
              <w:t> </w:t>
            </w:r>
          </w:p>
        </w:tc>
        <w:tc>
          <w:tcPr>
            <w:tcW w:w="569" w:type="dxa"/>
            <w:tcBorders/>
            <w:shd w:fill="CCEEFF" w:val="clear"/>
            <w:vAlign w:val="bottom"/>
          </w:tcPr>
          <w:p>
            <w:pPr>
              <w:pStyle w:val="TableContents"/>
              <w:spacing w:before="0" w:after="283"/>
              <w:jc w:val="right"/>
              <w:rPr/>
            </w:pPr>
            <w:r>
              <w:rPr/>
              <w:t>100.0</w:t>
            </w:r>
          </w:p>
        </w:tc>
        <w:tc>
          <w:tcPr>
            <w:tcW w:w="304" w:type="dxa"/>
            <w:tcBorders/>
            <w:shd w:fill="CCEEFF" w:val="clear"/>
            <w:vAlign w:val="bottom"/>
          </w:tcPr>
          <w:p>
            <w:pPr>
              <w:pStyle w:val="TableContents"/>
              <w:spacing w:before="0" w:after="283"/>
              <w:rPr/>
            </w:pPr>
            <w:r>
              <w:rPr/>
              <w:t>%</w:t>
            </w:r>
          </w:p>
        </w:tc>
      </w:tr>
      <w:tr>
        <w:trPr/>
        <w:tc>
          <w:tcPr>
            <w:tcW w:w="159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8454" w:type="dxa"/>
            <w:gridSpan w:val="2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205"/>
        <w:gridCol w:w="126"/>
        <w:gridCol w:w="9874"/>
      </w:tblGrid>
      <w:tr>
        <w:trPr/>
        <w:tc>
          <w:tcPr>
            <w:tcW w:w="205" w:type="dxa"/>
            <w:tcBorders/>
            <w:shd w:fill="auto" w:val="clear"/>
          </w:tcPr>
          <w:p>
            <w:pPr>
              <w:pStyle w:val="TableContents"/>
              <w:spacing w:before="0" w:after="283"/>
              <w:jc w:val="left"/>
              <w:rPr/>
            </w:pPr>
            <w:r>
              <w:rPr/>
              <w:t>1</w:t>
            </w:r>
          </w:p>
        </w:tc>
        <w:tc>
          <w:tcPr>
            <w:tcW w:w="126" w:type="dxa"/>
            <w:tcBorders/>
            <w:shd w:fill="auto" w:val="clear"/>
          </w:tcPr>
          <w:p>
            <w:pPr>
              <w:pStyle w:val="TableContents"/>
              <w:spacing w:before="0" w:after="283"/>
              <w:rPr/>
            </w:pPr>
            <w:r>
              <w:rPr/>
              <w:t> </w:t>
            </w:r>
          </w:p>
        </w:tc>
        <w:tc>
          <w:tcPr>
            <w:tcW w:w="9874" w:type="dxa"/>
            <w:tcBorders/>
            <w:shd w:fill="auto" w:val="clear"/>
          </w:tcPr>
          <w:p>
            <w:pPr>
              <w:pStyle w:val="TableContents"/>
              <w:spacing w:before="0" w:after="283"/>
              <w:rPr/>
            </w:pPr>
            <w:r>
              <w:rPr/>
              <w:t>City Bank of Champaign and Champaign County Bank &amp; Trust were merged into Busey Bank as of January 1, 1987. First National Bank of Thomasboro was merged into Busey Bank as of January 1,1988. State Bank of St. Joseph was merged into Busey Bank as of November 3, 1989. The Bank of Urbana, Citizens Bank of Tolono, and the assets of Community Bank of Mahomet subject to its liabilities were merged into Busey Bank as of November 16, 1991. Busey Bank of McLean County was merged into Busey Bank as of January 1, 1996. Busey Business Bank was formed on January 12, 1998, and merged into Busey Bank as of October 30, 1998.</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pPr>
            <w:r>
              <w:rPr/>
              <w:t>2</w:t>
            </w:r>
          </w:p>
        </w:tc>
        <w:tc>
          <w:tcPr>
            <w:tcW w:w="126" w:type="dxa"/>
            <w:tcBorders/>
            <w:shd w:fill="auto" w:val="clear"/>
          </w:tcPr>
          <w:p>
            <w:pPr>
              <w:pStyle w:val="TableContents"/>
              <w:spacing w:before="0" w:after="283"/>
              <w:rPr/>
            </w:pPr>
            <w:r>
              <w:rPr/>
              <w:t> </w:t>
            </w:r>
          </w:p>
        </w:tc>
        <w:tc>
          <w:tcPr>
            <w:tcW w:w="9874" w:type="dxa"/>
            <w:tcBorders/>
            <w:shd w:fill="auto" w:val="clear"/>
          </w:tcPr>
          <w:p>
            <w:pPr>
              <w:pStyle w:val="TableContents"/>
              <w:spacing w:before="0" w:after="283"/>
              <w:rPr/>
            </w:pPr>
            <w:r>
              <w:rPr/>
              <w:t>Acquired as a subsidiary of Eagle BancGroup, Inc. as of October 29, 1999.</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pPr>
            <w:r>
              <w:rPr/>
              <w:t xml:space="preserve">3 </w:t>
            </w:r>
          </w:p>
        </w:tc>
        <w:tc>
          <w:tcPr>
            <w:tcW w:w="126" w:type="dxa"/>
            <w:tcBorders/>
            <w:shd w:fill="auto" w:val="clear"/>
          </w:tcPr>
          <w:p>
            <w:pPr>
              <w:pStyle w:val="TableContents"/>
              <w:spacing w:before="0" w:after="283"/>
              <w:rPr/>
            </w:pPr>
            <w:r>
              <w:rPr/>
              <w:t> </w:t>
            </w:r>
          </w:p>
        </w:tc>
        <w:tc>
          <w:tcPr>
            <w:tcW w:w="9874" w:type="dxa"/>
            <w:tcBorders/>
            <w:shd w:fill="auto" w:val="clear"/>
          </w:tcPr>
          <w:p>
            <w:pPr>
              <w:pStyle w:val="TableContents"/>
              <w:spacing w:before="0" w:after="283"/>
              <w:rPr/>
            </w:pPr>
            <w:r>
              <w:rPr/>
              <w:t>Acquired as a subsidiary of First Capital Bankshares Inc., as of June 1, 2004.</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pPr>
            <w:r>
              <w:rPr/>
              <w:t xml:space="preserve">4 </w:t>
            </w:r>
          </w:p>
        </w:tc>
        <w:tc>
          <w:tcPr>
            <w:tcW w:w="126" w:type="dxa"/>
            <w:tcBorders/>
            <w:shd w:fill="auto" w:val="clear"/>
          </w:tcPr>
          <w:p>
            <w:pPr>
              <w:pStyle w:val="TableContents"/>
              <w:spacing w:before="0" w:after="283"/>
              <w:rPr/>
            </w:pPr>
            <w:r>
              <w:rPr/>
              <w:t> </w:t>
            </w:r>
          </w:p>
        </w:tc>
        <w:tc>
          <w:tcPr>
            <w:tcW w:w="9874" w:type="dxa"/>
            <w:tcBorders/>
            <w:shd w:fill="auto" w:val="clear"/>
          </w:tcPr>
          <w:p>
            <w:pPr>
              <w:pStyle w:val="TableContents"/>
              <w:spacing w:before="0" w:after="283"/>
              <w:rPr/>
            </w:pPr>
            <w:r>
              <w:rPr/>
              <w:t>Merged into Busey Bank on May 20, 2005.</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pPr>
            <w:r>
              <w:rPr/>
              <w:t xml:space="preserve">5 </w:t>
            </w:r>
          </w:p>
        </w:tc>
        <w:tc>
          <w:tcPr>
            <w:tcW w:w="126" w:type="dxa"/>
            <w:tcBorders/>
            <w:shd w:fill="auto" w:val="clear"/>
          </w:tcPr>
          <w:p>
            <w:pPr>
              <w:pStyle w:val="TableContents"/>
              <w:spacing w:before="0" w:after="283"/>
              <w:rPr/>
            </w:pPr>
            <w:r>
              <w:rPr/>
              <w:t> </w:t>
            </w:r>
          </w:p>
        </w:tc>
        <w:tc>
          <w:tcPr>
            <w:tcW w:w="9874" w:type="dxa"/>
            <w:tcBorders/>
            <w:shd w:fill="auto" w:val="clear"/>
          </w:tcPr>
          <w:p>
            <w:pPr>
              <w:pStyle w:val="TableContents"/>
              <w:spacing w:before="0" w:after="283"/>
              <w:rPr/>
            </w:pPr>
            <w:r>
              <w:rPr/>
              <w:t>Acquired as a subsidiary of Tarpon Coast Bancorp on July 29, 2005.</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pPr>
            <w:r>
              <w:rPr/>
              <w:t>6</w:t>
            </w:r>
          </w:p>
        </w:tc>
        <w:tc>
          <w:tcPr>
            <w:tcW w:w="126" w:type="dxa"/>
            <w:tcBorders/>
            <w:shd w:fill="auto" w:val="clear"/>
          </w:tcPr>
          <w:p>
            <w:pPr>
              <w:pStyle w:val="TableContents"/>
              <w:spacing w:before="0" w:after="283"/>
              <w:rPr/>
            </w:pPr>
            <w:r>
              <w:rPr/>
              <w:t> </w:t>
            </w:r>
          </w:p>
        </w:tc>
        <w:tc>
          <w:tcPr>
            <w:tcW w:w="9874" w:type="dxa"/>
            <w:tcBorders/>
            <w:shd w:fill="auto" w:val="clear"/>
          </w:tcPr>
          <w:p>
            <w:pPr>
              <w:pStyle w:val="TableContents"/>
              <w:spacing w:before="0" w:after="283"/>
              <w:rPr/>
            </w:pPr>
            <w:r>
              <w:rPr/>
              <w:t>Formed as a subsidiary of First Busey Corporation on March 18, 1999.</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pPr>
            <w:r>
              <w:rPr/>
              <w:t>7</w:t>
            </w:r>
          </w:p>
        </w:tc>
        <w:tc>
          <w:tcPr>
            <w:tcW w:w="126" w:type="dxa"/>
            <w:tcBorders/>
            <w:shd w:fill="auto" w:val="clear"/>
          </w:tcPr>
          <w:p>
            <w:pPr>
              <w:pStyle w:val="TableContents"/>
              <w:spacing w:before="0" w:after="283"/>
              <w:rPr/>
            </w:pPr>
            <w:r>
              <w:rPr/>
              <w:t> </w:t>
            </w:r>
          </w:p>
        </w:tc>
        <w:tc>
          <w:tcPr>
            <w:tcW w:w="9874" w:type="dxa"/>
            <w:tcBorders/>
            <w:shd w:fill="auto" w:val="clear"/>
          </w:tcPr>
          <w:p>
            <w:pPr>
              <w:pStyle w:val="TableContents"/>
              <w:spacing w:before="0" w:after="283"/>
              <w:rPr/>
            </w:pPr>
            <w:r>
              <w:rPr/>
              <w:t>Reactivated as a subsidiary of First Busey Corporation as of January 1, 1997. Real estate and certain other assets previously carried on the parent company and subsidiary balance sheets were transferred to subsidiary as of that date.</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Busey Bank and Busey Bank Florida are the only subsidiaries that have contributed at least 10% of the Corporations consolidated net income in at least one of the last three years. </w:t>
      </w:r>
    </w:p>
    <w:p>
      <w:pPr>
        <w:pStyle w:val="TextBody"/>
        <w:jc w:val="center"/>
        <w:rPr>
          <w:rFonts w:ascii="Helvetica;Arial;sans-serif" w:hAnsi="Helvetica;Arial;sans-serif"/>
          <w:sz w:val="17"/>
        </w:rPr>
      </w:pPr>
      <w:r>
        <w:rPr>
          <w:rFonts w:ascii="Helvetica;Arial;sans-serif" w:hAnsi="Helvetica;Arial;san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Executive Summary</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Corporation proved to be another record year for First Busey Corporation earnings. The Corporation recognized net income of $26,934,000 or $1.29 per share on a fully-diluted basis. This growth is due largely to growth in net interest income combined with modest growth in operating expenses. Balance sheet growth combined with relatively higher interest rates contributed to the growth in net interest income. Operating expenses were higher in 2005 than in prior years, due primarily to the June, 2004, acquisition of First Capital Bank and the July, 2005, acquisition of Tarpon Coast National Bank.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September, 2003, upon completion of foreclosure proceedings, Busey Bank became owner of a hotel property in Bloomington, IL. The hotel property has been included in First Busey Corporations inventory of other real estate owned since June, 2002, when Busey Bank became mortgagee in possession of the property. In September, 2005, the property was sold for $3,157,000, significantly reducing the Corporations inventory of other real estate owned. The carrying value of this hotel property, included in other real estate owned, was $3,115,000 when it was sold in September, 2005, and $3,247,000 as of December 31, 2004.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Consistent with First Buseys business plan to expand beyond its primary market in Central Illinois, in February, 2005, First Busey announced that it had entered into an agreement to purchase Tarpon Coast Bankshares, Inc. and its subsidiary bank, Tarpon Coast National Bank. On July 29, 2005, First Busey closed on this transaction, which expanded First Buseys presence along the Gulf Coast of Southwest Florida. Tarpon Coast National Bank was a bank founded in 1998 by local business people in Port Charlotte, Florida. Over that period, Tarpon Coast National Bank expanded to four branch locations: two branches in the Charlotte County communities of Port Charlotte and Punta Gorda and two branches in the Sarasota County communities of Englewood and North Port.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also operated Busey Bank Florida, which is based in Fort Myers, Florida, and has two branch locations in Cape Coral, Florida. First Busey operated the two Florida banks separately until the close of business on February 17, 2006, when Busey Bank Florida merged into Tarpon Coast National Bank, forming Busey Bank, National Association (Busey Bank, N.A.). Following this merger, Busey Bank, N.A. had total assets of $422 million, total loans of $352 million and total deposits of $339 million. While branches in Fort Myers and Cape Coral converted to the name Busey Bank, N.A. in February, 2006, branches in Charlotte and Sarasota Counties will continue to operate under the Tarpon Coast National Bank name due to strong brand recognition in those markets.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has experienced significant loan growth over the past two years due in part to the June, 2004, acquisition of First Capital Bank in Peoria, Illinois, and the July, 2005, acquisition of Tarpon Coast National Bank along with growth in its seasoned central Illinois and Southwest Florida markets. Despite this significant growth, the Corporations credit quality has remained strong. During 2005 First Busey charged off $940,000 in loans and recovered $215,000 on loans charged off in prior years, resulting in net charge-offs of $725,000. This is a strong improvement from $1,985,000, which is the net amount charged off in 2004. Of the items charged off in 2004, $1,400,000 is related to one large credit in the commercial construction industry.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plans continued bank expansion in 2006 through the addition of several new branch locations. Busey Bank is expanding its presence in the Bloomington-Normal market of McLean County in Illinois by constructing a new branch location in Normal. This 3,500 square foot facility has been designed to service retail customer transactions efficiently in a customer-friendly environment. This branch facility is scheduled to open in April, 2006.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Busey Bank, N.A. also has plans to expand its branch network during 2006. A 14,000 square-foot two-story branch building is under construction in Cape Coral. The Cape Coral branch will be a full-service banking center featuring mortgage, commercial, and retail lending products. The bank does not intend to initially occupy the entire building, but will lease out unused space on the second floor until needed for expansion purposes. Management estimates this branch will open no later than the third quarter of 2006. Busey Bank, N.A., has also purchased an existing 2,300 square-foot building in Fort Myers, Florida which will be remodeled and open for banking services by June 30, 2006. This smaller branch location will focus on retail customer transactions. </w:t>
      </w:r>
    </w:p>
    <w:p>
      <w:pPr>
        <w:pStyle w:val="TextBody"/>
        <w:jc w:val="center"/>
        <w:rPr>
          <w:rFonts w:ascii="Helvetica;Arial;sans-serif" w:hAnsi="Helvetica;Arial;sans-serif"/>
          <w:sz w:val="17"/>
        </w:rPr>
      </w:pPr>
      <w:r>
        <w:rPr>
          <w:rFonts w:ascii="Helvetica;Arial;sans-serif" w:hAnsi="Helvetica;Arial;san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Results of Operations  Three Years Ended December 31, 2005</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i/>
          <w:sz w:val="17"/>
        </w:rPr>
        <w:t>Summary</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Corporation reported net income of $26,934,000 in 2005, up 20.0% from $22,454,000 in 2004, which itself represented an increase of 13.0% from $19,864,000 in 2003. Diluted earnings per share in 2005 increased 18.3% to $1.29 from $1.09 in 2004, which was a 12.4% increase from $0.97 in 2003. The main factors contributing to the increase in net income during 2005 were growth in the consolidated net interest margin and continued growth in Southwest Florida.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Security losses after the related tax benefits were $33,000 or 0.1% of net income in 2005, $827,000 or 3.7% of net income in 2004, and $588,000 or 3.0% of net income in 2003. Busey Bank owns a position in a bank-qualified equity security with substantial appreciated value. The Banks Board has authorized the orderly liquidation of this security over an extended time period.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Corporations return on average assets was 1.28%, 1.28% and 1.35% for 2005, 2004, and 2003, respectively, and return on average equity was 17.97%, 17.23%, and 16.34% for 2005, 2004, and 2003, respectively. </w:t>
      </w:r>
    </w:p>
    <w:p>
      <w:pPr>
        <w:pStyle w:val="TextBody"/>
        <w:spacing w:before="240" w:after="283"/>
        <w:jc w:val="left"/>
        <w:rPr>
          <w:rFonts w:ascii="Helvetica;Arial;sans-serif" w:hAnsi="Helvetica;Arial;sans-serif"/>
          <w:sz w:val="17"/>
        </w:rPr>
      </w:pPr>
      <w:r>
        <w:rPr>
          <w:rFonts w:ascii="Helvetica;Arial;sans-serif" w:hAnsi="Helvetica;Arial;sans-serif"/>
          <w:b/>
          <w:i/>
          <w:sz w:val="17"/>
        </w:rPr>
        <w:t>Earning Assets, Sources of Funds, and Net Interest Margin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Average earning assets increased $311,660,000 or 19.0% to $1,951,864,000 in 2005 as compared to $1,640,204,000 in 2004. This growth is due primarily to growth in the average balance of loans, U.S. Treasury and agency securities, and obligations of states and political subdivisions. Interest-bearing liabilities averaged $1,717,056,000 for the year ended December 31, 2005, an increase of $275,606,000 or 19.1% from the average balance of $1,441,450,000 for 2004. With the exception of other short-term borrowings, the Corporation experienced growth in all categories of interest-bearing liabilities. The July, 2005, addition of Tarpon Coast National Bank and June, 2004, addition of First Capital Bank contributed to this average balance sheet growth. The Corporation also experienced growth from its other two bank subsidiaries, Busey Bank and Busey Bank Florida.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Interest income, on a fully taxable equivalent basis increased $30,704,000 or 35.2% to $117,930,000 in 2005 from $87,226,000, which was an increase of $12,117,000 or 16.1% from the $75,109,000 in interest income earned in 2003. Interest income grew in 2005 primarily due to growth in the average balance of outstanding loans, U.S. Treasuries and agencies, and obligations of state and political subdivisions. Increased yields, primarily on outstanding loan balances and U.S. Treasuries and Agencies, also was a major factor contributing to the increase in interest income. The Corporations yield on average earning assets was 6.04% in 2005 compared to 5.32% in 2004 and 5.46% in 2003.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Interest expense increased during 2005 by $15,301,000 or 50.9% to $45,342,000 from $30,041,000 in 2004. The increase in interest expense was due primarily to increased deposit rates in response to increases in interest rates throughout the year. Growth in the average balance of deposits also was a major factor in the interest expense growth. The average rate paid on interest-bearing liabilities was 2.64% in 2005 compared to 2.08% in 2004 and 2.16% in 2003.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Net interest income, on a fully taxable equivalent basis, increased 26.9% in 2005 to $72,588,000 from $57,185,000, which reflected a 15.5% increase from $49,491,000 in 2003. Net interest margin, the Corporations net interest income expressed as a percentage of average earning assets stated on a fully taxable equivalent basis, increased to 3.72% during 2005, from 3.49% in 2004, which had decreased from 3.60% in 2003. The net interest margin expressed as a percentage of average total assets, also on a fully taxable equivalent basis, was 3.45% in 2005, compared to 3.25% in 2004, and 3.37% in 2003. </w:t>
      </w:r>
    </w:p>
    <w:p>
      <w:pPr>
        <w:pStyle w:val="TextBody"/>
        <w:spacing w:before="240" w:after="283"/>
        <w:jc w:val="left"/>
        <w:rPr>
          <w:rFonts w:ascii="Helvetica;Arial;sans-serif" w:hAnsi="Helvetica;Arial;sans-serif"/>
          <w:sz w:val="17"/>
        </w:rPr>
      </w:pPr>
      <w:r>
        <w:rPr>
          <w:rFonts w:ascii="Helvetica;Arial;sans-serif" w:hAnsi="Helvetica;Arial;sans-serif"/>
          <w:b/>
          <w:i/>
          <w:sz w:val="17"/>
        </w:rPr>
        <w:t>Provision for Loan Losses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provision for loan losses is a current charge against income and represents an amount which management believes is sufficient to maintain an adequate allowance for known and probable losses. In assessing the adequacy of the allowance for loan losses, management considers the size and quality of the loan portfolio measured against </w:t>
      </w:r>
    </w:p>
    <w:p>
      <w:pPr>
        <w:pStyle w:val="TextBody"/>
        <w:jc w:val="center"/>
        <w:rPr>
          <w:rFonts w:ascii="Helvetica;Arial;sans-serif" w:hAnsi="Helvetica;Arial;sans-serif"/>
          <w:sz w:val="17"/>
        </w:rPr>
      </w:pPr>
      <w:r>
        <w:rPr>
          <w:rFonts w:ascii="Helvetica;Arial;sans-serif" w:hAnsi="Helvetica;Arial;san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prevailing economic conditions, regulatory guidelines, and historical loan loss experience and credit quality of the portfolio. When a determination is made by management to charge off a loan balance, such write-off is charged against the allowance for loan losses.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Corporations provision for loan losses was $3,490,000 during 2005 compared to $2,905,000 in 2004. The increase in provision expense during 2005 is due primarily to increases in non-performing loans and potential problem loans. Most of this increase in non-accrual loans is related to two credits which had previously been identified as potential problem loans. The increase in potential problem loans is due to general growth in the loan portfolio combined with improved internal tracking and identification systems for such loans. The provision and net charge-offs of $725,000 resulted in the allowance for loan losses representing 1.33% of total outstanding loans and 393% of non-performing loans as of December 31, 2005, as compared to the allowance representing 1.30% of outstanding loans and 524% of non-performing loans as of December 31, 2004.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Sensitive assets include nonaccrual loans, loans on First Busey Corporations watch loan reports and other loans identified as having more than reasonable potential for loss. Management reviews sensitive assets on at least a quarterly basis for changes in the customers ability to pay and changes in valuation of underlying collateral in order to estimate probable losses. Management also periodically reviews a watch loan list which is comprised of loans that have been restructured or involve customers in industries which have been adversely affected by market conditions. The majority of these loans are being repaid in conformance with their contracts. </w:t>
      </w:r>
    </w:p>
    <w:p>
      <w:pPr>
        <w:pStyle w:val="TextBody"/>
        <w:spacing w:before="240" w:after="283"/>
        <w:jc w:val="left"/>
        <w:rPr>
          <w:rFonts w:ascii="Helvetica;Arial;sans-serif" w:hAnsi="Helvetica;Arial;sans-serif"/>
          <w:sz w:val="17"/>
        </w:rPr>
      </w:pPr>
      <w:r>
        <w:rPr>
          <w:rFonts w:ascii="Helvetica;Arial;sans-serif" w:hAnsi="Helvetica;Arial;sans-serif"/>
          <w:b/>
          <w:i/>
          <w:sz w:val="17"/>
        </w:rPr>
        <w:t>Other Income</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Other income decreased $253,000 or 1.06% to $23,537,000 in 2005 from $23,790,000 in 2004, which reflected an increase of 3.6% or $895,000 from $24,685,000 in 2003. The variability in other income is due primarily to changes in the level of gains on the sale of mortgage loans and gains and losses recognized on the sale of investment securities. In 2005 the Corporation recognized gains of $2,571,000 on the sale of $176,241,000 in mortgage loans compared to $2,689,000 on the sale of $182,368,000 in loans in 2004 and $6,183,000 on the sale of $431,199,000 in loans in 2003. The interest-rate environment and debt markets have strong influence on the level of mortgage loan origination and sales volumes.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Corporation recognized gains of $584,000 and losses of $638,000 for a net loss of $54,000 on the sale of securities. These losses were recognized in order to reposition the investment portfolio for better performance under current interest-rate conditions and to restructure maturities of certain securities to better meet the Corporations liquidity needs. These losses on the sale of securities represented -0.2% of other income during 2005. During the 2004 and 2003, the Corporation recognized net security gains of $1,373,000 and $975,000 respectively.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Additional components of other income were service charge and other fee income, trust fees, and brokerage commissions. Service charges and other fees totaled $10,213,000 (43.4%), $9,876,000 (41.5%), and $9,155,000 (37.1%) in 2005, 2004, and 2003, respectively. Trust revenues, which are directly related to the total value of trust assets under care and are thus influenced by changes in the equity and bond markets, were $5,752,000, $5,339,000, and $4,615,000 in 2005, 2004, and 2003 respectively. Commissions and brokerage fees were $2,327,000 in 2005, compared to $2,335,000 and $2,103,000 in 2004 and 2003, respectively. Remaining other income increased 25.3% or $550,000 to $2,728,000 in 2005 from $2,178,000 in 2004 which was an increase of 31.7% or $524,000 from $1,654,000 in 2003. Other income includes $796,000 on the increase in the cash surrender value of bank owned life insurance during 2005, compared to $798,000 in 2004 and $727,000 in 2003. There were several other factors which contributed to the remaining increase in other income. Among these are growth in the operating revenue from brokerage services, revenue from the sale of the Corporations insurance customer list, increased gains on the sale of other real estate owned, and the addition of loan referral fees generated by Tarpon Coast National Banks mortgage production department.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services loans for the benefit of others. Generally, the Corporation services loans which have been originated by First Busey staff and then sold to others. The Corporation recognized net servicing income of $344,000 in 2005, $243,000 in 2004 and net servicing expense of $612,000 in 2003. During 2003 the Corporation recorded a valuation allowance of $215,000 to the carrying amount of its mortgage servicing assets as loans in the Corporations sold loan portfolio were prepaying more rapidly than anticipated when the loans were sold. Mortgage servicing asset </w:t>
      </w:r>
    </w:p>
    <w:p>
      <w:pPr>
        <w:pStyle w:val="TextBody"/>
        <w:jc w:val="center"/>
        <w:rPr>
          <w:rFonts w:ascii="Helvetica;Arial;sans-serif" w:hAnsi="Helvetica;Arial;sans-serif"/>
          <w:sz w:val="17"/>
        </w:rPr>
      </w:pPr>
      <w:r>
        <w:rPr>
          <w:rFonts w:ascii="Helvetica;Arial;sans-serif" w:hAnsi="Helvetica;Arial;san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amortization of $1,659,000 and the valuation allowance of $215,000 were recorded as charges against the servicing income on sold mortgage loans and were included in other operating income. The balance in the valuation allowance remained at $215,000 on December 31, 2005 and 2004. </w:t>
      </w:r>
    </w:p>
    <w:p>
      <w:pPr>
        <w:pStyle w:val="TextBody"/>
        <w:spacing w:before="240" w:after="283"/>
        <w:jc w:val="left"/>
        <w:rPr>
          <w:rFonts w:ascii="Helvetica;Arial;sans-serif" w:hAnsi="Helvetica;Arial;sans-serif"/>
          <w:sz w:val="17"/>
        </w:rPr>
      </w:pPr>
      <w:r>
        <w:rPr>
          <w:rFonts w:ascii="Helvetica;Arial;sans-serif" w:hAnsi="Helvetica;Arial;sans-serif"/>
          <w:b/>
          <w:i/>
          <w:sz w:val="17"/>
        </w:rPr>
        <w:t>Other Expenses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Operating expenses increased 18.6% or $8,030,000 to $51,115,000 from $43,085,000 in 2004, which had increased by 7.8% or $3,116,000 from $39,969,000 in 2003. As a percentage of total income, other expenses were 36.6%, 39.3%, and 40.6% in 2005, 2004, and 2003, respectively.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Employee-related expenses, including salaries and wages and employee benefits, increased by 19.6% or $4,662,000 to $28,488,000 in 2005 from $23,826,000 in 2004, which had increased by $1,512,000 from $22,314,000 in 2003. When expressed as a percentage of average assets, employee-related expenses were 1.36%, 1.36%, and 1.52% in 2005, 2004, and 2003, respectively. The Corporation had 608, 548, and 503 full-time equivalent employees at December 31, 2005, 2004, and 2003, respectively. The increase in employee-related expenses in 2005 is related primarily to the July, 2005, acquisition of Tarpon Coast National Bank. The increase in employee-related expenses in 2004 compared to 2003 was due to the addition of associates of First Capital Bank which was partially offset by reduced commissions and incentive payments to associates involved in the origination, processing, and sale of mortgage loans held for sale.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Occupancy expense increased 16.7% or $655,000 to $4,576,000 in 2005, from $3,921,000 in 2004 from $3,158,000 in 2003. Again, these increases are due to the addition of Tarpon Coast National Bank and First Capital Bank combined with higher real estate taxes, and increased maintenance costs.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Other expenses increased 14.7% or $1,378,000 to $10,766,000 in 2005 from $9,388,000 in 2004, which had increased 6.4% or $567,000 from $8,821,000 in 2003. The increase in other operating expenses in both 2005 and 2004 is due primarily to the acquisitions previously discussed. Lower expenses associated with owning and operating the banks inventory of other real estate owned (ORE expense) partially offset the increase associated with these acquisitions in 2005.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June, 2002, Busey Bank became mortgagee in possession of a hotel property located in Bloomington, Illinois. Busey Bank took title to the property in September, 2003, upon completion of foreclosure proceedings. The Bank operated this property through its wholly-owned subsidiary, BAT, Inc., from June, 2002, through December 31, 2003. The hotel property was transferred from Busey Bank to First Busey Resources, Inc., in December, 2003, where it remained classified as ORE until it was sold in September, 2005. Other expenses for the year ended December 31, 2005, included net ORE expenses of $181,000. Other expenses for the year ended December 31, 2004, included valuation adjustments of $700,000 and net ORE expenses of $139,000 associated with operating this repossessed asset. For the year ended December 31, 2003, other expenses included valuations adjustments of $931,000 and net ORE expenses of $269,000 associated with this asset. </w:t>
      </w:r>
    </w:p>
    <w:p>
      <w:pPr>
        <w:pStyle w:val="TextBody"/>
        <w:spacing w:before="240" w:after="283"/>
        <w:jc w:val="left"/>
        <w:rPr>
          <w:rFonts w:ascii="Helvetica;Arial;sans-serif" w:hAnsi="Helvetica;Arial;sans-serif"/>
          <w:sz w:val="17"/>
        </w:rPr>
      </w:pPr>
      <w:r>
        <w:rPr>
          <w:rFonts w:ascii="Helvetica;Arial;sans-serif" w:hAnsi="Helvetica;Arial;sans-serif"/>
          <w:b/>
          <w:i/>
          <w:sz w:val="17"/>
        </w:rPr>
        <w:t>Income Taxes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Income tax expense in 2005 was $12,960,000 as compared to $11,224,000 in 2004 and $10,025,000 in 2003. The provision for income taxes as a percent of income before income taxes was 32.5%, 33.3% and 33.5% for 2005, 2004, and 2003, respectively. </w:t>
      </w:r>
    </w:p>
    <w:p>
      <w:pPr>
        <w:pStyle w:val="TextBody"/>
        <w:spacing w:before="240" w:after="283"/>
        <w:jc w:val="left"/>
        <w:rPr>
          <w:rFonts w:ascii="Helvetica;Arial;sans-serif" w:hAnsi="Helvetica;Arial;sans-serif"/>
          <w:sz w:val="17"/>
        </w:rPr>
      </w:pPr>
      <w:r>
        <w:rPr>
          <w:rFonts w:ascii="Helvetica;Arial;sans-serif" w:hAnsi="Helvetica;Arial;sans-serif"/>
          <w:b/>
          <w:sz w:val="17"/>
        </w:rPr>
        <w:t>Balance Sheet  December 31, 2005 and December 31, 2004</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Total assets on December 31, 2005, were $2,263,422,000, an increase of 15.2% or $298,981,000 from $1,964,441,000 on December 31, 2004. Of the increase in total assets, 177,046,000 is attributable to the acquisition of Tarpon Coast National Bank. Remaining growth in total assets was split between Busey Bank and Busey Bank Florida. Securities available for sale declined $21,019,000 or 6.0% to $331,237,000 at December 31, 2005 from $352,256,000 at December 31, 2004. Proceeds from the maturities and sales of securities were used to partially fund loan growth Total loans, net of unearned interest, increased 18.5% or $273,262,000 to $1,749,162,000 on December 31, 2005, as compared to $1,475,900,000 on December 31, 2004. Of this increase $128,107,000 is </w:t>
      </w:r>
    </w:p>
    <w:p>
      <w:pPr>
        <w:pStyle w:val="TextBody"/>
        <w:jc w:val="center"/>
        <w:rPr>
          <w:rFonts w:ascii="Helvetica;Arial;sans-serif" w:hAnsi="Helvetica;Arial;sans-serif"/>
          <w:sz w:val="17"/>
        </w:rPr>
      </w:pPr>
      <w:r>
        <w:rPr>
          <w:rFonts w:ascii="Helvetica;Arial;sans-serif" w:hAnsi="Helvetica;Arial;san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attributable to the addition of Tarpon Coast National Bank. Busey Bank generated net loan growth of $81,043,000 and Busey Bank Florida generated net loan growth $63,549,000 during 2005.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Total deposits increased 16.1% or $250,577,000 to $1,809,399,000 on December 31, 2005, as compared to $1,558,822,000 on December 31, 2004. Non-interest bearing deposits increased 24.0% or $51,249,000 during 2005.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Interest-bearing deposits increased 14.8% or $199,328,000 during 2005. At December 31, 2005, Tarpon Coast National Bank had $117,113,000 in outstanding deposits, $38,287,000 of which was non-interest bearing.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Total stockholders equity increased 22.2% or $30,842,000 to $169,714,000 on December 31, 2005, as compared to $138,872,000 on December 31, 2004. The growth in total equity was due primarily to the issuance of 849,365 shares for the purchase of Tarpon Coast Bancorp, Inc. combined with $15,370,000 in current year earnings retained in the Corporation. These increases were partially offset by the decline in net unrealized gains on securities available for sale combined with the increase in treasury stock. Treasury shares will be used in future years as participants exercise outstanding options under the Corporations stock option plan which is discussed in Note 16 of the Corporations consolidated financial statements. </w:t>
      </w:r>
    </w:p>
    <w:p>
      <w:pPr>
        <w:pStyle w:val="TextBody"/>
        <w:spacing w:before="240" w:after="283"/>
        <w:jc w:val="left"/>
        <w:rPr>
          <w:rFonts w:ascii="Helvetica;Arial;sans-serif" w:hAnsi="Helvetica;Arial;sans-serif"/>
          <w:sz w:val="17"/>
        </w:rPr>
      </w:pPr>
      <w:r>
        <w:rPr>
          <w:rFonts w:ascii="Helvetica;Arial;sans-serif" w:hAnsi="Helvetica;Arial;sans-serif"/>
          <w:b/>
          <w:i/>
          <w:sz w:val="17"/>
        </w:rPr>
        <w:t>A. Earning Assets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average interest-earning assets of the Corporation were 92.9%, 93.4%, and 93.7% of average total assets for the years ended December 31, 2005, 2004, and 2003 respectively. </w:t>
      </w:r>
    </w:p>
    <w:p>
      <w:pPr>
        <w:pStyle w:val="TextBody"/>
        <w:spacing w:before="240" w:after="283"/>
        <w:jc w:val="left"/>
        <w:rPr>
          <w:rFonts w:ascii="Helvetica;Arial;sans-serif" w:hAnsi="Helvetica;Arial;sans-serif"/>
          <w:sz w:val="17"/>
        </w:rPr>
      </w:pPr>
      <w:r>
        <w:rPr>
          <w:rFonts w:ascii="Helvetica;Arial;sans-serif" w:hAnsi="Helvetica;Arial;sans-serif"/>
          <w:b/>
          <w:i/>
          <w:sz w:val="17"/>
        </w:rPr>
        <w:t>B. Investment Securities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Corporation has classified all investment securities as securities available for sale. These securities are held with the option of their disposal in the foreseeable future to meet investment objectives or for other operational needs. Securities available for sale are carried at fair value. As of December 31, 2005, the fair value of these securities was $331,237,000 and the amortized cost was $319,151,000. There were $14,680,000 of gross unrealized gains and $2,594,000 of gross unrealized losses for a net unrealized gain of $12,086,000. The after-tax effect of $7,282,000 of this unrealized gain has been included in stockholders equity. The decrease in market value for the debt securities in this classification was a result of increasing interest rates.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composition of securities available for sale is as follows: </w:t>
      </w:r>
    </w:p>
    <w:tbl>
      <w:tblPr>
        <w:tblW w:w="5000" w:type="pct"/>
        <w:jc w:val="center"/>
        <w:tblInd w:w="0" w:type="dxa"/>
        <w:tblCellMar>
          <w:top w:w="0" w:type="dxa"/>
          <w:left w:w="0" w:type="dxa"/>
          <w:bottom w:w="0" w:type="dxa"/>
          <w:right w:w="0" w:type="dxa"/>
        </w:tblCellMar>
      </w:tblPr>
      <w:tblGrid>
        <w:gridCol w:w="2581"/>
        <w:gridCol w:w="204"/>
        <w:gridCol w:w="223"/>
        <w:gridCol w:w="801"/>
        <w:gridCol w:w="295"/>
        <w:gridCol w:w="204"/>
        <w:gridCol w:w="223"/>
        <w:gridCol w:w="801"/>
        <w:gridCol w:w="295"/>
        <w:gridCol w:w="204"/>
        <w:gridCol w:w="223"/>
        <w:gridCol w:w="801"/>
        <w:gridCol w:w="295"/>
        <w:gridCol w:w="204"/>
        <w:gridCol w:w="223"/>
        <w:gridCol w:w="801"/>
        <w:gridCol w:w="295"/>
        <w:gridCol w:w="204"/>
        <w:gridCol w:w="223"/>
        <w:gridCol w:w="800"/>
        <w:gridCol w:w="305"/>
      </w:tblGrid>
      <w:tr>
        <w:trPr/>
        <w:tc>
          <w:tcPr>
            <w:tcW w:w="258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258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115" w:type="dxa"/>
            <w:gridSpan w:val="18"/>
            <w:tcBorders>
              <w:bottom w:val="single" w:sz="2" w:space="0" w:color="000000"/>
            </w:tcBorders>
            <w:shd w:fill="auto" w:val="clear"/>
            <w:tcMar>
              <w:bottom w:w="28" w:type="dxa"/>
            </w:tcMar>
            <w:vAlign w:val="bottom"/>
          </w:tcPr>
          <w:p>
            <w:pPr>
              <w:pStyle w:val="TableContents"/>
              <w:spacing w:before="0" w:after="283"/>
              <w:jc w:val="center"/>
              <w:rPr/>
            </w:pPr>
            <w:r>
              <w:rPr/>
              <w:t>As of December 31,</w:t>
            </w:r>
          </w:p>
        </w:tc>
        <w:tc>
          <w:tcPr>
            <w:tcW w:w="305" w:type="dxa"/>
            <w:tcBorders/>
            <w:shd w:fill="auto" w:val="clear"/>
            <w:vAlign w:val="bottom"/>
          </w:tcPr>
          <w:p>
            <w:pPr>
              <w:pStyle w:val="TableContents"/>
              <w:spacing w:before="0" w:after="283"/>
              <w:rPr/>
            </w:pPr>
            <w:r>
              <w:rPr/>
              <w:t> </w:t>
            </w:r>
          </w:p>
        </w:tc>
      </w:tr>
      <w:tr>
        <w:trPr/>
        <w:tc>
          <w:tcPr>
            <w:tcW w:w="258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2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295" w:type="dxa"/>
            <w:tcBorders>
              <w:bottom w:val="single" w:sz="2" w:space="0" w:color="000000"/>
            </w:tcBorders>
            <w:shd w:fill="auto" w:val="clear"/>
            <w:tcMar>
              <w:bottom w:w="28" w:type="dxa"/>
            </w:tcMar>
            <w:vAlign w:val="bottom"/>
          </w:tcPr>
          <w:p>
            <w:pPr>
              <w:pStyle w:val="TableContents"/>
              <w:spacing w:before="0" w:after="283"/>
              <w:rPr/>
            </w:pPr>
            <w:r>
              <w:rPr/>
              <w:t> </w:t>
            </w:r>
          </w:p>
        </w:tc>
        <w:tc>
          <w:tcPr>
            <w:tcW w:w="204" w:type="dxa"/>
            <w:tcBorders>
              <w:bottom w:val="single" w:sz="2" w:space="0" w:color="000000"/>
            </w:tcBorders>
            <w:shd w:fill="auto" w:val="clear"/>
            <w:tcMar>
              <w:bottom w:w="28" w:type="dxa"/>
            </w:tcMar>
            <w:vAlign w:val="bottom"/>
          </w:tcPr>
          <w:p>
            <w:pPr>
              <w:pStyle w:val="TableContents"/>
              <w:spacing w:before="0" w:after="283"/>
              <w:rPr/>
            </w:pPr>
            <w:r>
              <w:rPr/>
              <w:t> </w:t>
            </w:r>
          </w:p>
        </w:tc>
        <w:tc>
          <w:tcPr>
            <w:tcW w:w="102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295" w:type="dxa"/>
            <w:tcBorders>
              <w:bottom w:val="single" w:sz="2" w:space="0" w:color="000000"/>
            </w:tcBorders>
            <w:shd w:fill="auto" w:val="clear"/>
            <w:tcMar>
              <w:bottom w:w="28" w:type="dxa"/>
            </w:tcMar>
            <w:vAlign w:val="bottom"/>
          </w:tcPr>
          <w:p>
            <w:pPr>
              <w:pStyle w:val="TableContents"/>
              <w:spacing w:before="0" w:after="283"/>
              <w:rPr/>
            </w:pPr>
            <w:r>
              <w:rPr/>
              <w:t> </w:t>
            </w:r>
          </w:p>
        </w:tc>
        <w:tc>
          <w:tcPr>
            <w:tcW w:w="204" w:type="dxa"/>
            <w:tcBorders>
              <w:bottom w:val="single" w:sz="2" w:space="0" w:color="000000"/>
            </w:tcBorders>
            <w:shd w:fill="auto" w:val="clear"/>
            <w:tcMar>
              <w:bottom w:w="28" w:type="dxa"/>
            </w:tcMar>
            <w:vAlign w:val="bottom"/>
          </w:tcPr>
          <w:p>
            <w:pPr>
              <w:pStyle w:val="TableContents"/>
              <w:spacing w:before="0" w:after="283"/>
              <w:rPr/>
            </w:pPr>
            <w:r>
              <w:rPr/>
              <w:t> </w:t>
            </w:r>
          </w:p>
        </w:tc>
        <w:tc>
          <w:tcPr>
            <w:tcW w:w="102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295" w:type="dxa"/>
            <w:tcBorders>
              <w:bottom w:val="single" w:sz="2" w:space="0" w:color="000000"/>
            </w:tcBorders>
            <w:shd w:fill="auto" w:val="clear"/>
            <w:tcMar>
              <w:bottom w:w="28" w:type="dxa"/>
            </w:tcMar>
            <w:vAlign w:val="bottom"/>
          </w:tcPr>
          <w:p>
            <w:pPr>
              <w:pStyle w:val="TableContents"/>
              <w:spacing w:before="0" w:after="283"/>
              <w:rPr/>
            </w:pPr>
            <w:r>
              <w:rPr/>
              <w:t> </w:t>
            </w:r>
          </w:p>
        </w:tc>
        <w:tc>
          <w:tcPr>
            <w:tcW w:w="204" w:type="dxa"/>
            <w:tcBorders>
              <w:bottom w:val="single" w:sz="2" w:space="0" w:color="000000"/>
            </w:tcBorders>
            <w:shd w:fill="auto" w:val="clear"/>
            <w:tcMar>
              <w:bottom w:w="28" w:type="dxa"/>
            </w:tcMar>
            <w:vAlign w:val="bottom"/>
          </w:tcPr>
          <w:p>
            <w:pPr>
              <w:pStyle w:val="TableContents"/>
              <w:spacing w:before="0" w:after="283"/>
              <w:rPr/>
            </w:pPr>
            <w:r>
              <w:rPr/>
              <w:t> </w:t>
            </w:r>
          </w:p>
        </w:tc>
        <w:tc>
          <w:tcPr>
            <w:tcW w:w="102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2002</w:t>
            </w:r>
          </w:p>
        </w:tc>
        <w:tc>
          <w:tcPr>
            <w:tcW w:w="295" w:type="dxa"/>
            <w:tcBorders>
              <w:bottom w:val="single" w:sz="2" w:space="0" w:color="000000"/>
            </w:tcBorders>
            <w:shd w:fill="auto" w:val="clear"/>
            <w:tcMar>
              <w:bottom w:w="28" w:type="dxa"/>
            </w:tcMar>
            <w:vAlign w:val="bottom"/>
          </w:tcPr>
          <w:p>
            <w:pPr>
              <w:pStyle w:val="TableContents"/>
              <w:spacing w:before="0" w:after="283"/>
              <w:rPr/>
            </w:pPr>
            <w:r>
              <w:rPr/>
              <w:t> </w:t>
            </w:r>
          </w:p>
        </w:tc>
        <w:tc>
          <w:tcPr>
            <w:tcW w:w="204" w:type="dxa"/>
            <w:tcBorders>
              <w:bottom w:val="single" w:sz="2" w:space="0" w:color="000000"/>
            </w:tcBorders>
            <w:shd w:fill="auto" w:val="clear"/>
            <w:tcMar>
              <w:bottom w:w="28" w:type="dxa"/>
            </w:tcMar>
            <w:vAlign w:val="bottom"/>
          </w:tcPr>
          <w:p>
            <w:pPr>
              <w:pStyle w:val="TableContents"/>
              <w:spacing w:before="0" w:after="283"/>
              <w:rPr/>
            </w:pPr>
            <w:r>
              <w:rPr/>
              <w:t> </w:t>
            </w:r>
          </w:p>
        </w:tc>
        <w:tc>
          <w:tcPr>
            <w:tcW w:w="102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2001</w:t>
            </w:r>
          </w:p>
        </w:tc>
        <w:tc>
          <w:tcPr>
            <w:tcW w:w="305"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258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115" w:type="dxa"/>
            <w:gridSpan w:val="18"/>
            <w:tcBorders/>
            <w:shd w:fill="auto" w:val="clear"/>
            <w:vAlign w:val="bottom"/>
          </w:tcPr>
          <w:p>
            <w:pPr>
              <w:pStyle w:val="TableContents"/>
              <w:spacing w:before="0" w:after="283"/>
              <w:jc w:val="center"/>
              <w:rPr/>
            </w:pPr>
            <w:r>
              <w:rPr/>
              <w:t>(</w:t>
            </w:r>
            <w:r>
              <w:rPr>
                <w:i/>
              </w:rPr>
              <w:t>dollars in thousands)</w:t>
            </w:r>
          </w:p>
        </w:tc>
        <w:tc>
          <w:tcPr>
            <w:tcW w:w="305" w:type="dxa"/>
            <w:tcBorders/>
            <w:shd w:fill="auto" w:val="clear"/>
            <w:vAlign w:val="bottom"/>
          </w:tcPr>
          <w:p>
            <w:pPr>
              <w:pStyle w:val="TableContents"/>
              <w:spacing w:before="0" w:after="283"/>
              <w:rPr/>
            </w:pPr>
            <w:r>
              <w:rPr/>
              <w:t> </w:t>
            </w:r>
          </w:p>
        </w:tc>
      </w:tr>
      <w:tr>
        <w:trPr/>
        <w:tc>
          <w:tcPr>
            <w:tcW w:w="2581" w:type="dxa"/>
            <w:tcBorders/>
            <w:shd w:fill="CCEEFF" w:val="clear"/>
            <w:vAlign w:val="bottom"/>
          </w:tcPr>
          <w:p>
            <w:pPr>
              <w:pStyle w:val="TableContents"/>
              <w:spacing w:before="0" w:after="0"/>
              <w:ind w:left="225" w:right="0" w:hanging="225"/>
              <w:rPr/>
            </w:pPr>
            <w:r>
              <w:rPr/>
              <w:t>U.S. Treasury securities and obligations of U.S. government corporations and Agencies</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202,924</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249,150</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150,898</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158,324</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143,490</w:t>
            </w:r>
          </w:p>
        </w:tc>
        <w:tc>
          <w:tcPr>
            <w:tcW w:w="305" w:type="dxa"/>
            <w:tcBorders/>
            <w:shd w:fill="CCEEFF" w:val="clear"/>
            <w:vAlign w:val="bottom"/>
          </w:tcPr>
          <w:p>
            <w:pPr>
              <w:pStyle w:val="TableContents"/>
              <w:spacing w:before="0" w:after="283"/>
              <w:rPr/>
            </w:pPr>
            <w:r>
              <w:rPr/>
              <w:t> </w:t>
            </w:r>
          </w:p>
        </w:tc>
      </w:tr>
      <w:tr>
        <w:trPr/>
        <w:tc>
          <w:tcPr>
            <w:tcW w:w="2581" w:type="dxa"/>
            <w:tcBorders/>
            <w:shd w:fill="auto" w:val="clear"/>
            <w:vAlign w:val="bottom"/>
          </w:tcPr>
          <w:p>
            <w:pPr>
              <w:pStyle w:val="TableContents"/>
              <w:spacing w:before="0" w:after="0"/>
              <w:ind w:left="225" w:right="0" w:hanging="225"/>
              <w:rPr/>
            </w:pPr>
            <w:r>
              <w:rPr/>
              <w:t>Obligations of states and political subdivisions</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82,057</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51,768</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48,235</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51,434</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43,767</w:t>
            </w:r>
          </w:p>
        </w:tc>
        <w:tc>
          <w:tcPr>
            <w:tcW w:w="305" w:type="dxa"/>
            <w:tcBorders/>
            <w:shd w:fill="auto" w:val="clear"/>
            <w:vAlign w:val="bottom"/>
          </w:tcPr>
          <w:p>
            <w:pPr>
              <w:pStyle w:val="TableContents"/>
              <w:spacing w:before="0" w:after="283"/>
              <w:rPr/>
            </w:pPr>
            <w:r>
              <w:rPr/>
              <w:t> </w:t>
            </w:r>
          </w:p>
        </w:tc>
      </w:tr>
      <w:tr>
        <w:trPr/>
        <w:tc>
          <w:tcPr>
            <w:tcW w:w="2581" w:type="dxa"/>
            <w:tcBorders/>
            <w:shd w:fill="CCEEFF" w:val="clear"/>
            <w:vAlign w:val="bottom"/>
          </w:tcPr>
          <w:p>
            <w:pPr>
              <w:pStyle w:val="TableContents"/>
              <w:spacing w:before="0" w:after="0"/>
              <w:ind w:left="225" w:right="0" w:hanging="225"/>
              <w:rPr/>
            </w:pPr>
            <w:r>
              <w:rPr/>
              <w:t>Mortgage-backed securities</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16,837</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23,170</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305" w:type="dxa"/>
            <w:tcBorders/>
            <w:shd w:fill="CCEEFF" w:val="clear"/>
            <w:vAlign w:val="bottom"/>
          </w:tcPr>
          <w:p>
            <w:pPr>
              <w:pStyle w:val="TableContents"/>
              <w:spacing w:before="0" w:after="283"/>
              <w:rPr/>
            </w:pPr>
            <w:r>
              <w:rPr/>
              <w:t> </w:t>
            </w:r>
          </w:p>
        </w:tc>
      </w:tr>
      <w:tr>
        <w:trPr/>
        <w:tc>
          <w:tcPr>
            <w:tcW w:w="2581" w:type="dxa"/>
            <w:tcBorders/>
            <w:shd w:fill="auto" w:val="clear"/>
            <w:vAlign w:val="bottom"/>
          </w:tcPr>
          <w:p>
            <w:pPr>
              <w:pStyle w:val="TableContents"/>
              <w:spacing w:before="0" w:after="0"/>
              <w:ind w:left="225" w:right="0" w:hanging="225"/>
              <w:rPr/>
            </w:pPr>
            <w:r>
              <w:rPr/>
              <w:t>Corporate debt securities</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2,926</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2,220</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4,265</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3,746</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5,554</w:t>
            </w:r>
          </w:p>
        </w:tc>
        <w:tc>
          <w:tcPr>
            <w:tcW w:w="305" w:type="dxa"/>
            <w:tcBorders/>
            <w:shd w:fill="auto" w:val="clear"/>
            <w:vAlign w:val="bottom"/>
          </w:tcPr>
          <w:p>
            <w:pPr>
              <w:pStyle w:val="TableContents"/>
              <w:spacing w:before="0" w:after="283"/>
              <w:rPr/>
            </w:pPr>
            <w:r>
              <w:rPr/>
              <w:t> </w:t>
            </w:r>
          </w:p>
        </w:tc>
      </w:tr>
      <w:tr>
        <w:trPr/>
        <w:tc>
          <w:tcPr>
            <w:tcW w:w="2581" w:type="dxa"/>
            <w:tcBorders/>
            <w:shd w:fill="CCEEFF" w:val="clear"/>
            <w:vAlign w:val="bottom"/>
          </w:tcPr>
          <w:p>
            <w:pPr>
              <w:pStyle w:val="TableContents"/>
              <w:spacing w:before="0" w:after="0"/>
              <w:ind w:left="225" w:right="0" w:hanging="225"/>
              <w:rPr/>
            </w:pPr>
            <w:r>
              <w:rPr/>
              <w:t>Mutual funds and other equity securities</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26,493</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25,948</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21,335</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20,326</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18,058</w:t>
            </w:r>
          </w:p>
        </w:tc>
        <w:tc>
          <w:tcPr>
            <w:tcW w:w="305" w:type="dxa"/>
            <w:tcBorders/>
            <w:shd w:fill="CCEEFF" w:val="clear"/>
            <w:vAlign w:val="bottom"/>
          </w:tcPr>
          <w:p>
            <w:pPr>
              <w:pStyle w:val="TableContents"/>
              <w:spacing w:before="0" w:after="283"/>
              <w:rPr/>
            </w:pPr>
            <w:r>
              <w:rPr/>
              <w:t> </w:t>
            </w:r>
          </w:p>
        </w:tc>
      </w:tr>
      <w:tr>
        <w:trPr/>
        <w:tc>
          <w:tcPr>
            <w:tcW w:w="2581"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7420"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581" w:type="dxa"/>
            <w:tcBorders/>
            <w:shd w:fill="auto" w:val="clear"/>
            <w:vAlign w:val="bottom"/>
          </w:tcPr>
          <w:p>
            <w:pPr>
              <w:pStyle w:val="TableContents"/>
              <w:spacing w:before="0" w:after="0"/>
              <w:ind w:left="225" w:right="0" w:hanging="225"/>
              <w:rPr/>
            </w:pPr>
            <w:r>
              <w:rPr/>
              <w:t>Fair value of securities available for sale</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331,237</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352,256</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224,733</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233,830</w:t>
            </w:r>
          </w:p>
        </w:tc>
        <w:tc>
          <w:tcPr>
            <w:tcW w:w="29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210,869</w:t>
            </w:r>
          </w:p>
        </w:tc>
        <w:tc>
          <w:tcPr>
            <w:tcW w:w="305" w:type="dxa"/>
            <w:tcBorders/>
            <w:shd w:fill="auto" w:val="clear"/>
            <w:vAlign w:val="bottom"/>
          </w:tcPr>
          <w:p>
            <w:pPr>
              <w:pStyle w:val="TableContents"/>
              <w:spacing w:before="0" w:after="283"/>
              <w:rPr/>
            </w:pPr>
            <w:r>
              <w:rPr/>
              <w:t> </w:t>
            </w:r>
          </w:p>
        </w:tc>
      </w:tr>
      <w:tr>
        <w:trPr/>
        <w:tc>
          <w:tcPr>
            <w:tcW w:w="2581"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7420"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2581" w:type="dxa"/>
            <w:tcBorders/>
            <w:shd w:fill="CCEEFF" w:val="clear"/>
            <w:vAlign w:val="bottom"/>
          </w:tcPr>
          <w:p>
            <w:pPr>
              <w:pStyle w:val="TableContents"/>
              <w:spacing w:before="0" w:after="0"/>
              <w:ind w:left="225" w:right="0" w:hanging="225"/>
              <w:rPr/>
            </w:pPr>
            <w:r>
              <w:rPr/>
              <w:t>Amortized cost</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319,151</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337,037</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209,482</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216,801</w:t>
            </w:r>
          </w:p>
        </w:tc>
        <w:tc>
          <w:tcPr>
            <w:tcW w:w="29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197,398</w:t>
            </w:r>
          </w:p>
        </w:tc>
        <w:tc>
          <w:tcPr>
            <w:tcW w:w="305" w:type="dxa"/>
            <w:tcBorders/>
            <w:shd w:fill="CCEEFF" w:val="clear"/>
            <w:vAlign w:val="bottom"/>
          </w:tcPr>
          <w:p>
            <w:pPr>
              <w:pStyle w:val="TableContents"/>
              <w:spacing w:before="0" w:after="283"/>
              <w:rPr/>
            </w:pPr>
            <w:r>
              <w:rPr/>
              <w:t> </w:t>
            </w:r>
          </w:p>
        </w:tc>
      </w:tr>
      <w:tr>
        <w:trPr/>
        <w:tc>
          <w:tcPr>
            <w:tcW w:w="2581"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7420"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2581" w:type="dxa"/>
            <w:tcBorders/>
            <w:shd w:fill="auto" w:val="clear"/>
            <w:vAlign w:val="bottom"/>
          </w:tcPr>
          <w:p>
            <w:pPr>
              <w:pStyle w:val="TableContents"/>
              <w:spacing w:before="0" w:after="0"/>
              <w:ind w:left="225" w:right="0" w:hanging="225"/>
              <w:rPr/>
            </w:pPr>
            <w:r>
              <w:rPr/>
              <w:t>Fair value as a percentage of amortized cost</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801" w:type="dxa"/>
            <w:tcBorders/>
            <w:shd w:fill="auto" w:val="clear"/>
            <w:vAlign w:val="bottom"/>
          </w:tcPr>
          <w:p>
            <w:pPr>
              <w:pStyle w:val="TableContents"/>
              <w:spacing w:before="0" w:after="283"/>
              <w:jc w:val="right"/>
              <w:rPr/>
            </w:pPr>
            <w:r>
              <w:rPr/>
              <w:t>103.79</w:t>
            </w:r>
          </w:p>
        </w:tc>
        <w:tc>
          <w:tcPr>
            <w:tcW w:w="295" w:type="dxa"/>
            <w:tcBorders/>
            <w:shd w:fill="auto" w:val="clear"/>
            <w:vAlign w:val="bottom"/>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801" w:type="dxa"/>
            <w:tcBorders/>
            <w:shd w:fill="auto" w:val="clear"/>
            <w:vAlign w:val="bottom"/>
          </w:tcPr>
          <w:p>
            <w:pPr>
              <w:pStyle w:val="TableContents"/>
              <w:spacing w:before="0" w:after="283"/>
              <w:jc w:val="right"/>
              <w:rPr/>
            </w:pPr>
            <w:r>
              <w:rPr/>
              <w:t>104.52</w:t>
            </w:r>
          </w:p>
        </w:tc>
        <w:tc>
          <w:tcPr>
            <w:tcW w:w="295" w:type="dxa"/>
            <w:tcBorders/>
            <w:shd w:fill="auto" w:val="clear"/>
            <w:vAlign w:val="bottom"/>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801" w:type="dxa"/>
            <w:tcBorders/>
            <w:shd w:fill="auto" w:val="clear"/>
            <w:vAlign w:val="bottom"/>
          </w:tcPr>
          <w:p>
            <w:pPr>
              <w:pStyle w:val="TableContents"/>
              <w:spacing w:before="0" w:after="283"/>
              <w:jc w:val="right"/>
              <w:rPr/>
            </w:pPr>
            <w:r>
              <w:rPr/>
              <w:t>107.28</w:t>
            </w:r>
          </w:p>
        </w:tc>
        <w:tc>
          <w:tcPr>
            <w:tcW w:w="295" w:type="dxa"/>
            <w:tcBorders/>
            <w:shd w:fill="auto" w:val="clear"/>
            <w:vAlign w:val="bottom"/>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801" w:type="dxa"/>
            <w:tcBorders/>
            <w:shd w:fill="auto" w:val="clear"/>
            <w:vAlign w:val="bottom"/>
          </w:tcPr>
          <w:p>
            <w:pPr>
              <w:pStyle w:val="TableContents"/>
              <w:spacing w:before="0" w:after="283"/>
              <w:jc w:val="right"/>
              <w:rPr/>
            </w:pPr>
            <w:r>
              <w:rPr/>
              <w:t>107.85</w:t>
            </w:r>
          </w:p>
        </w:tc>
        <w:tc>
          <w:tcPr>
            <w:tcW w:w="295" w:type="dxa"/>
            <w:tcBorders/>
            <w:shd w:fill="auto" w:val="clear"/>
            <w:vAlign w:val="bottom"/>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106.82</w:t>
            </w:r>
          </w:p>
        </w:tc>
        <w:tc>
          <w:tcPr>
            <w:tcW w:w="305" w:type="dxa"/>
            <w:tcBorders/>
            <w:shd w:fill="auto" w:val="clear"/>
            <w:vAlign w:val="bottom"/>
          </w:tcPr>
          <w:p>
            <w:pPr>
              <w:pStyle w:val="TableContents"/>
              <w:spacing w:before="0" w:after="283"/>
              <w:rPr/>
            </w:pPr>
            <w:r>
              <w:rPr/>
              <w:t>%</w:t>
            </w:r>
          </w:p>
        </w:tc>
      </w:tr>
      <w:tr>
        <w:trPr/>
        <w:tc>
          <w:tcPr>
            <w:tcW w:w="2581"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7420"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maturities, fair values and weighted average yields of debt securities available for sale as of December 31, 2005 are: </w:t>
      </w:r>
    </w:p>
    <w:tbl>
      <w:tblPr>
        <w:tblW w:w="11395" w:type="dxa"/>
        <w:jc w:val="center"/>
        <w:tblInd w:w="0" w:type="dxa"/>
        <w:tblCellMar>
          <w:top w:w="0" w:type="dxa"/>
          <w:left w:w="0" w:type="dxa"/>
          <w:bottom w:w="0" w:type="dxa"/>
          <w:right w:w="0" w:type="dxa"/>
        </w:tblCellMar>
      </w:tblPr>
      <w:tblGrid>
        <w:gridCol w:w="2150"/>
        <w:gridCol w:w="60"/>
        <w:gridCol w:w="176"/>
        <w:gridCol w:w="1010"/>
        <w:gridCol w:w="75"/>
        <w:gridCol w:w="75"/>
        <w:gridCol w:w="110"/>
        <w:gridCol w:w="825"/>
        <w:gridCol w:w="215"/>
        <w:gridCol w:w="60"/>
        <w:gridCol w:w="140"/>
        <w:gridCol w:w="800"/>
        <w:gridCol w:w="60"/>
        <w:gridCol w:w="60"/>
        <w:gridCol w:w="112"/>
        <w:gridCol w:w="823"/>
        <w:gridCol w:w="215"/>
        <w:gridCol w:w="60"/>
        <w:gridCol w:w="159"/>
        <w:gridCol w:w="774"/>
        <w:gridCol w:w="68"/>
        <w:gridCol w:w="68"/>
        <w:gridCol w:w="111"/>
        <w:gridCol w:w="824"/>
        <w:gridCol w:w="215"/>
        <w:gridCol w:w="60"/>
        <w:gridCol w:w="140"/>
        <w:gridCol w:w="680"/>
        <w:gridCol w:w="60"/>
        <w:gridCol w:w="60"/>
        <w:gridCol w:w="112"/>
        <w:gridCol w:w="823"/>
        <w:gridCol w:w="215"/>
      </w:tblGrid>
      <w:tr>
        <w:trPr/>
        <w:tc>
          <w:tcPr>
            <w:tcW w:w="2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2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1" w:type="dxa"/>
            <w:gridSpan w:val="6"/>
            <w:tcBorders>
              <w:bottom w:val="single" w:sz="2" w:space="0" w:color="000000"/>
            </w:tcBorders>
            <w:shd w:fill="auto" w:val="clear"/>
            <w:tcMar>
              <w:bottom w:w="28" w:type="dxa"/>
            </w:tcMar>
            <w:vAlign w:val="bottom"/>
          </w:tcPr>
          <w:p>
            <w:pPr>
              <w:pStyle w:val="TableContents"/>
              <w:spacing w:before="0" w:after="283"/>
              <w:jc w:val="center"/>
              <w:rPr/>
            </w:pPr>
            <w:r>
              <w:rPr/>
              <w:t>Due in 1 year or less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95" w:type="dxa"/>
            <w:gridSpan w:val="6"/>
            <w:tcBorders/>
            <w:shd w:fill="auto" w:val="clear"/>
            <w:vAlign w:val="bottom"/>
          </w:tcPr>
          <w:p>
            <w:pPr>
              <w:pStyle w:val="TableContents"/>
              <w:spacing w:before="0" w:after="283"/>
              <w:jc w:val="center"/>
              <w:rPr/>
            </w:pPr>
            <w:r>
              <w:rPr/>
              <w:t>Due after 1 year</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4" w:type="dxa"/>
            <w:gridSpan w:val="6"/>
            <w:tcBorders/>
            <w:shd w:fill="auto" w:val="clear"/>
            <w:vAlign w:val="bottom"/>
          </w:tcPr>
          <w:p>
            <w:pPr>
              <w:pStyle w:val="TableContents"/>
              <w:spacing w:before="0" w:after="283"/>
              <w:jc w:val="center"/>
              <w:rPr/>
            </w:pPr>
            <w:r>
              <w:rPr/>
              <w:t>Due after 5 years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5" w:type="dxa"/>
            <w:gridSpan w:val="6"/>
            <w:tcBorders/>
            <w:shd w:fill="auto" w:val="clear"/>
            <w:vAlign w:val="bottom"/>
          </w:tcPr>
          <w:p>
            <w:pPr>
              <w:pStyle w:val="TableContents"/>
              <w:spacing w:before="0" w:after="283"/>
              <w:jc w:val="center"/>
              <w:rPr/>
            </w:pPr>
            <w:r>
              <w:rPr/>
              <w:t>Due after</w:t>
            </w:r>
          </w:p>
        </w:tc>
        <w:tc>
          <w:tcPr>
            <w:tcW w:w="215" w:type="dxa"/>
            <w:tcBorders/>
            <w:shd w:fill="auto" w:val="clear"/>
            <w:vAlign w:val="bottom"/>
          </w:tcPr>
          <w:p>
            <w:pPr>
              <w:pStyle w:val="TableContents"/>
              <w:spacing w:before="0" w:after="283"/>
              <w:rPr/>
            </w:pPr>
            <w:r>
              <w:rPr/>
              <w:t> </w:t>
            </w:r>
          </w:p>
        </w:tc>
      </w:tr>
      <w:tr>
        <w:trPr/>
        <w:tc>
          <w:tcPr>
            <w:tcW w:w="2150" w:type="dxa"/>
            <w:tcBorders/>
            <w:shd w:fill="auto" w:val="cle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76" w:type="dxa"/>
            <w:tcBorders>
              <w:bottom w:val="single" w:sz="2" w:space="0" w:color="000000"/>
            </w:tcBorders>
            <w:shd w:fill="auto" w:val="clear"/>
            <w:tcMar>
              <w:bottom w:w="28" w:type="dxa"/>
            </w:tcMar>
            <w:vAlign w:val="bottom"/>
          </w:tcPr>
          <w:p>
            <w:pPr>
              <w:pStyle w:val="TableContents"/>
              <w:spacing w:before="0" w:after="283"/>
              <w:rPr/>
            </w:pPr>
            <w:r>
              <w:rPr/>
              <w:t> </w:t>
            </w:r>
          </w:p>
        </w:tc>
        <w:tc>
          <w:tcPr>
            <w:tcW w:w="1010" w:type="dxa"/>
            <w:tcBorders>
              <w:bottom w:val="single" w:sz="2" w:space="0" w:color="000000"/>
            </w:tcBorders>
            <w:shd w:fill="auto" w:val="clear"/>
            <w:tcMar>
              <w:bottom w:w="28" w:type="dxa"/>
            </w:tcMar>
            <w:vAlign w:val="bottom"/>
          </w:tcPr>
          <w:p>
            <w:pPr>
              <w:pStyle w:val="TableContents"/>
              <w:spacing w:before="0" w:after="283"/>
              <w:rPr/>
            </w:pPr>
            <w:r>
              <w:rPr/>
              <w:t> </w:t>
            </w:r>
          </w:p>
        </w:tc>
        <w:tc>
          <w:tcPr>
            <w:tcW w:w="75" w:type="dxa"/>
            <w:tcBorders>
              <w:bottom w:val="single" w:sz="2" w:space="0" w:color="000000"/>
            </w:tcBorders>
            <w:shd w:fill="auto" w:val="clear"/>
            <w:tcMar>
              <w:bottom w:w="28" w:type="dxa"/>
            </w:tcMar>
            <w:vAlign w:val="bottom"/>
          </w:tcPr>
          <w:p>
            <w:pPr>
              <w:pStyle w:val="TableContents"/>
              <w:spacing w:before="0" w:after="283"/>
              <w:rPr/>
            </w:pPr>
            <w:r>
              <w:rPr/>
              <w:t> </w:t>
            </w:r>
          </w:p>
        </w:tc>
        <w:tc>
          <w:tcPr>
            <w:tcW w:w="75" w:type="dxa"/>
            <w:tcBorders>
              <w:bottom w:val="single" w:sz="2" w:space="0" w:color="000000"/>
            </w:tcBorders>
            <w:shd w:fill="auto" w:val="clear"/>
            <w:tcMar>
              <w:bottom w:w="28" w:type="dxa"/>
            </w:tcMar>
            <w:vAlign w:val="bottom"/>
          </w:tcPr>
          <w:p>
            <w:pPr>
              <w:pStyle w:val="TableContents"/>
              <w:spacing w:before="0" w:after="283"/>
              <w:rPr/>
            </w:pPr>
            <w:r>
              <w:rPr/>
              <w:t> </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825" w:type="dxa"/>
            <w:tcBorders>
              <w:bottom w:val="single" w:sz="2" w:space="0" w:color="000000"/>
            </w:tcBorders>
            <w:shd w:fill="auto" w:val="clear"/>
            <w:tcMar>
              <w:bottom w:w="28" w:type="dxa"/>
            </w:tcMar>
            <w:vAlign w:val="bottom"/>
          </w:tcPr>
          <w:p>
            <w:pPr>
              <w:pStyle w:val="TableContents"/>
              <w:spacing w:before="0" w:after="283"/>
              <w:rPr/>
            </w:pPr>
            <w:r>
              <w:rPr/>
              <w:t> </w:t>
            </w:r>
          </w:p>
        </w:tc>
        <w:tc>
          <w:tcPr>
            <w:tcW w:w="21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995" w:type="dxa"/>
            <w:gridSpan w:val="6"/>
            <w:tcBorders>
              <w:bottom w:val="single" w:sz="2" w:space="0" w:color="000000"/>
            </w:tcBorders>
            <w:shd w:fill="auto" w:val="clear"/>
            <w:tcMar>
              <w:bottom w:w="28" w:type="dxa"/>
            </w:tcMar>
            <w:vAlign w:val="bottom"/>
          </w:tcPr>
          <w:p>
            <w:pPr>
              <w:pStyle w:val="TableContents"/>
              <w:spacing w:before="0" w:after="283"/>
              <w:jc w:val="center"/>
              <w:rPr/>
            </w:pPr>
            <w:r>
              <w:rPr/>
              <w:t>through 5 years</w:t>
            </w:r>
          </w:p>
        </w:tc>
        <w:tc>
          <w:tcPr>
            <w:tcW w:w="21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2004" w:type="dxa"/>
            <w:gridSpan w:val="6"/>
            <w:tcBorders>
              <w:bottom w:val="single" w:sz="2" w:space="0" w:color="000000"/>
            </w:tcBorders>
            <w:shd w:fill="auto" w:val="clear"/>
            <w:tcMar>
              <w:bottom w:w="28" w:type="dxa"/>
            </w:tcMar>
            <w:vAlign w:val="bottom"/>
          </w:tcPr>
          <w:p>
            <w:pPr>
              <w:pStyle w:val="TableContents"/>
              <w:spacing w:before="0" w:after="283"/>
              <w:jc w:val="center"/>
              <w:rPr/>
            </w:pPr>
            <w:r>
              <w:rPr/>
              <w:t>through 10 years</w:t>
            </w:r>
          </w:p>
        </w:tc>
        <w:tc>
          <w:tcPr>
            <w:tcW w:w="21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875" w:type="dxa"/>
            <w:gridSpan w:val="6"/>
            <w:tcBorders>
              <w:bottom w:val="single" w:sz="2" w:space="0" w:color="000000"/>
            </w:tcBorders>
            <w:shd w:fill="auto" w:val="clear"/>
            <w:tcMar>
              <w:bottom w:w="28" w:type="dxa"/>
            </w:tcMar>
            <w:vAlign w:val="bottom"/>
          </w:tcPr>
          <w:p>
            <w:pPr>
              <w:pStyle w:val="TableContents"/>
              <w:spacing w:before="0" w:after="283"/>
              <w:jc w:val="center"/>
              <w:rPr/>
            </w:pPr>
            <w:r>
              <w:rPr/>
              <w:t>10 years</w:t>
            </w:r>
          </w:p>
        </w:tc>
        <w:tc>
          <w:tcPr>
            <w:tcW w:w="215"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2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pPr>
            <w:r>
              <w:rPr/>
              <w:t>Weighted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pPr>
            <w:r>
              <w:rPr/>
              <w:t>Weighted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pPr>
            <w:r>
              <w:rPr/>
              <w:t>Weighted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pPr>
            <w:r>
              <w:rPr/>
              <w:t>Weighted</w:t>
            </w:r>
          </w:p>
        </w:tc>
        <w:tc>
          <w:tcPr>
            <w:tcW w:w="215" w:type="dxa"/>
            <w:tcBorders/>
            <w:shd w:fill="auto" w:val="clear"/>
            <w:vAlign w:val="bottom"/>
          </w:tcPr>
          <w:p>
            <w:pPr>
              <w:pStyle w:val="TableContents"/>
              <w:spacing w:before="0" w:after="283"/>
              <w:rPr/>
            </w:pPr>
            <w:r>
              <w:rPr/>
              <w:t> </w:t>
            </w:r>
          </w:p>
        </w:tc>
      </w:tr>
      <w:tr>
        <w:trPr/>
        <w:tc>
          <w:tcPr>
            <w:tcW w:w="2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spacing w:before="0" w:after="283"/>
              <w:jc w:val="center"/>
              <w:rPr/>
            </w:pPr>
            <w:r>
              <w:rPr/>
              <w:t>Fair</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pPr>
            <w:r>
              <w:rPr/>
              <w:t>Average</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Fair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pPr>
            <w:r>
              <w:rPr/>
              <w:t>Average</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3" w:type="dxa"/>
            <w:gridSpan w:val="2"/>
            <w:tcBorders/>
            <w:shd w:fill="auto" w:val="clear"/>
            <w:vAlign w:val="bottom"/>
          </w:tcPr>
          <w:p>
            <w:pPr>
              <w:pStyle w:val="TableContents"/>
              <w:spacing w:before="0" w:after="283"/>
              <w:jc w:val="center"/>
              <w:rPr/>
            </w:pPr>
            <w:r>
              <w:rPr/>
              <w:t>Fair</w:t>
            </w:r>
          </w:p>
        </w:tc>
        <w:tc>
          <w:tcPr>
            <w:tcW w:w="6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pPr>
            <w:r>
              <w:rPr/>
              <w:t>Average</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jc w:val="center"/>
              <w:rPr/>
            </w:pPr>
            <w:r>
              <w:rPr/>
              <w:t>Fair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pPr>
            <w:r>
              <w:rPr/>
              <w:t>Average</w:t>
            </w:r>
          </w:p>
        </w:tc>
        <w:tc>
          <w:tcPr>
            <w:tcW w:w="215" w:type="dxa"/>
            <w:tcBorders/>
            <w:shd w:fill="auto" w:val="clear"/>
            <w:vAlign w:val="bottom"/>
          </w:tcPr>
          <w:p>
            <w:pPr>
              <w:pStyle w:val="TableContents"/>
              <w:spacing w:before="0" w:after="283"/>
              <w:rPr/>
            </w:pPr>
            <w:r>
              <w:rPr/>
              <w:t> </w:t>
            </w:r>
          </w:p>
        </w:tc>
      </w:tr>
      <w:tr>
        <w:trPr/>
        <w:tc>
          <w:tcPr>
            <w:tcW w:w="2150" w:type="dxa"/>
            <w:tcBorders>
              <w:bottom w:val="single" w:sz="2" w:space="0" w:color="000000"/>
            </w:tcBorders>
            <w:shd w:fill="auto" w:val="clear"/>
            <w:tcMar>
              <w:bottom w:w="28" w:type="dxa"/>
            </w:tcMar>
            <w:vAlign w:val="bottom"/>
          </w:tcPr>
          <w:p>
            <w:pPr>
              <w:pStyle w:val="TableContents"/>
              <w:spacing w:before="0" w:after="283"/>
              <w:jc w:val="left"/>
              <w:rPr/>
            </w:pPr>
            <w:r>
              <w:rPr/>
              <w:t>Investment Securities1</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186"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75" w:type="dxa"/>
            <w:tcBorders>
              <w:bottom w:val="single" w:sz="2" w:space="0" w:color="000000"/>
            </w:tcBorders>
            <w:shd w:fill="auto" w:val="clear"/>
            <w:tcMar>
              <w:bottom w:w="28" w:type="dxa"/>
            </w:tcMar>
            <w:vAlign w:val="bottom"/>
          </w:tcPr>
          <w:p>
            <w:pPr>
              <w:pStyle w:val="TableContents"/>
              <w:spacing w:before="0" w:after="283"/>
              <w:rPr/>
            </w:pPr>
            <w:r>
              <w:rPr/>
              <w:t> </w:t>
            </w:r>
          </w:p>
        </w:tc>
        <w:tc>
          <w:tcPr>
            <w:tcW w:w="75" w:type="dxa"/>
            <w:tcBorders>
              <w:bottom w:val="single" w:sz="2" w:space="0" w:color="000000"/>
            </w:tcBorders>
            <w:shd w:fill="auto" w:val="clear"/>
            <w:tcMar>
              <w:bottom w:w="28" w:type="dxa"/>
            </w:tcM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center"/>
              <w:rPr/>
            </w:pPr>
            <w:r>
              <w:rPr/>
              <w:t>Yield</w:t>
            </w:r>
          </w:p>
        </w:tc>
        <w:tc>
          <w:tcPr>
            <w:tcW w:w="21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center"/>
              <w:rPr/>
            </w:pPr>
            <w:r>
              <w:rPr/>
              <w:t>Yield</w:t>
            </w:r>
          </w:p>
        </w:tc>
        <w:tc>
          <w:tcPr>
            <w:tcW w:w="21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933"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68" w:type="dxa"/>
            <w:tcBorders>
              <w:bottom w:val="single" w:sz="2" w:space="0" w:color="000000"/>
            </w:tcBorders>
            <w:shd w:fill="auto" w:val="clear"/>
            <w:tcMar>
              <w:bottom w:w="28" w:type="dxa"/>
            </w:tcMar>
            <w:vAlign w:val="bottom"/>
          </w:tcPr>
          <w:p>
            <w:pPr>
              <w:pStyle w:val="TableContents"/>
              <w:spacing w:before="0" w:after="283"/>
              <w:rPr/>
            </w:pPr>
            <w:r>
              <w:rPr/>
              <w:t> </w:t>
            </w:r>
          </w:p>
        </w:tc>
        <w:tc>
          <w:tcPr>
            <w:tcW w:w="68" w:type="dxa"/>
            <w:tcBorders>
              <w:bottom w:val="single" w:sz="2" w:space="0" w:color="000000"/>
            </w:tcBorders>
            <w:shd w:fill="auto" w:val="clear"/>
            <w:tcMar>
              <w:bottom w:w="28" w:type="dxa"/>
            </w:tcM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center"/>
              <w:rPr/>
            </w:pPr>
            <w:r>
              <w:rPr/>
              <w:t>Yield</w:t>
            </w:r>
          </w:p>
        </w:tc>
        <w:tc>
          <w:tcPr>
            <w:tcW w:w="21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center"/>
              <w:rPr/>
            </w:pPr>
            <w:r>
              <w:rPr/>
              <w:t>Yield</w:t>
            </w:r>
          </w:p>
        </w:tc>
        <w:tc>
          <w:tcPr>
            <w:tcW w:w="215"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2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70" w:type="dxa"/>
            <w:gridSpan w:val="30"/>
            <w:tcBorders/>
            <w:shd w:fill="auto" w:val="clear"/>
            <w:vAlign w:val="bottom"/>
          </w:tcPr>
          <w:p>
            <w:pPr>
              <w:pStyle w:val="TableContents"/>
              <w:spacing w:before="0" w:after="283"/>
              <w:jc w:val="center"/>
              <w:rPr>
                <w:i/>
              </w:rPr>
            </w:pPr>
            <w:r>
              <w:rPr>
                <w:i/>
              </w:rPr>
              <w:t>(dollars in thousands)</w:t>
            </w:r>
          </w:p>
        </w:tc>
        <w:tc>
          <w:tcPr>
            <w:tcW w:w="215" w:type="dxa"/>
            <w:tcBorders/>
            <w:shd w:fill="auto" w:val="clear"/>
            <w:vAlign w:val="bottom"/>
          </w:tcPr>
          <w:p>
            <w:pPr>
              <w:pStyle w:val="TableContents"/>
              <w:spacing w:before="0" w:after="283"/>
              <w:rPr/>
            </w:pPr>
            <w:r>
              <w:rPr/>
              <w:t> </w:t>
            </w:r>
          </w:p>
        </w:tc>
      </w:tr>
      <w:tr>
        <w:trPr/>
        <w:tc>
          <w:tcPr>
            <w:tcW w:w="2150" w:type="dxa"/>
            <w:tcBorders/>
            <w:shd w:fill="CCEEFF" w:val="clear"/>
            <w:vAlign w:val="bottom"/>
          </w:tcPr>
          <w:p>
            <w:pPr>
              <w:pStyle w:val="TableContents"/>
              <w:spacing w:before="0" w:after="0"/>
              <w:ind w:left="225" w:right="0" w:hanging="225"/>
              <w:rPr/>
            </w:pPr>
            <w:r>
              <w:rPr/>
              <w:t>U.S. Treasury securities and obligations of U.S. government corporations and agencies</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w:t>
            </w:r>
          </w:p>
        </w:tc>
        <w:tc>
          <w:tcPr>
            <w:tcW w:w="1010" w:type="dxa"/>
            <w:tcBorders/>
            <w:shd w:fill="CCEEFF" w:val="clear"/>
            <w:vAlign w:val="bottom"/>
          </w:tcPr>
          <w:p>
            <w:pPr>
              <w:pStyle w:val="TableContents"/>
              <w:spacing w:before="0" w:after="283"/>
              <w:jc w:val="right"/>
              <w:rPr/>
            </w:pPr>
            <w:r>
              <w:rPr/>
              <w:t>105,552</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3.28</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96,898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4.03</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774" w:type="dxa"/>
            <w:tcBorders/>
            <w:shd w:fill="CCEEFF" w:val="clear"/>
            <w:vAlign w:val="bottom"/>
          </w:tcPr>
          <w:p>
            <w:pPr>
              <w:pStyle w:val="TableContents"/>
              <w:spacing w:before="0" w:after="283"/>
              <w:jc w:val="right"/>
              <w:rPr/>
            </w:pPr>
            <w:r>
              <w:rPr/>
              <w:t>474</w:t>
            </w:r>
          </w:p>
        </w:tc>
        <w:tc>
          <w:tcPr>
            <w:tcW w:w="6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824" w:type="dxa"/>
            <w:tcBorders/>
            <w:shd w:fill="CCEEFF" w:val="clear"/>
            <w:vAlign w:val="bottom"/>
          </w:tcPr>
          <w:p>
            <w:pPr>
              <w:pStyle w:val="TableContents"/>
              <w:spacing w:before="0" w:after="283"/>
              <w:jc w:val="right"/>
              <w:rPr/>
            </w:pPr>
            <w:r>
              <w:rPr/>
              <w:t>2.38</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0.00</w:t>
            </w:r>
          </w:p>
        </w:tc>
        <w:tc>
          <w:tcPr>
            <w:tcW w:w="215" w:type="dxa"/>
            <w:tcBorders/>
            <w:shd w:fill="CCEEFF" w:val="clear"/>
            <w:vAlign w:val="bottom"/>
          </w:tcPr>
          <w:p>
            <w:pPr>
              <w:pStyle w:val="TableContents"/>
              <w:spacing w:before="0" w:after="283"/>
              <w:rPr/>
            </w:pPr>
            <w:r>
              <w:rPr/>
              <w:t>%</w:t>
            </w:r>
          </w:p>
        </w:tc>
      </w:tr>
      <w:tr>
        <w:trPr/>
        <w:tc>
          <w:tcPr>
            <w:tcW w:w="2150" w:type="dxa"/>
            <w:tcBorders/>
            <w:shd w:fill="auto" w:val="clear"/>
            <w:vAlign w:val="bottom"/>
          </w:tcPr>
          <w:p>
            <w:pPr>
              <w:pStyle w:val="TableContents"/>
              <w:spacing w:before="0" w:after="0"/>
              <w:ind w:left="225" w:right="0" w:hanging="225"/>
              <w:rPr/>
            </w:pPr>
            <w:r>
              <w:rPr/>
              <w:t>Obligations of states and political subdivisions 2</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5,974</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5.41</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27,128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6.18</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30,101</w:t>
            </w:r>
          </w:p>
        </w:tc>
        <w:tc>
          <w:tcPr>
            <w:tcW w:w="6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824" w:type="dxa"/>
            <w:tcBorders/>
            <w:shd w:fill="auto" w:val="clear"/>
            <w:vAlign w:val="bottom"/>
          </w:tcPr>
          <w:p>
            <w:pPr>
              <w:pStyle w:val="TableContents"/>
              <w:spacing w:before="0" w:after="283"/>
              <w:jc w:val="right"/>
              <w:rPr/>
            </w:pPr>
            <w:r>
              <w:rPr/>
              <w:t>5.74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18,854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6.08</w:t>
            </w:r>
          </w:p>
        </w:tc>
        <w:tc>
          <w:tcPr>
            <w:tcW w:w="215" w:type="dxa"/>
            <w:tcBorders/>
            <w:shd w:fill="auto" w:val="clear"/>
            <w:vAlign w:val="bottom"/>
          </w:tcPr>
          <w:p>
            <w:pPr>
              <w:pStyle w:val="TableContents"/>
              <w:spacing w:before="0" w:after="283"/>
              <w:rPr/>
            </w:pPr>
            <w:r>
              <w:rPr/>
              <w:t>%</w:t>
            </w:r>
          </w:p>
        </w:tc>
      </w:tr>
      <w:tr>
        <w:trPr/>
        <w:tc>
          <w:tcPr>
            <w:tcW w:w="2150" w:type="dxa"/>
            <w:tcBorders/>
            <w:shd w:fill="CCEEFF" w:val="clear"/>
            <w:vAlign w:val="bottom"/>
          </w:tcPr>
          <w:p>
            <w:pPr>
              <w:pStyle w:val="TableContents"/>
              <w:spacing w:before="0" w:after="0"/>
              <w:ind w:left="225" w:right="0" w:hanging="225"/>
              <w:rPr/>
            </w:pPr>
            <w:r>
              <w:rPr/>
              <w:t>Mortgage-backed securities</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0.00</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5.35</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3,673</w:t>
            </w:r>
          </w:p>
        </w:tc>
        <w:tc>
          <w:tcPr>
            <w:tcW w:w="6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824" w:type="dxa"/>
            <w:tcBorders/>
            <w:shd w:fill="CCEEFF" w:val="clear"/>
            <w:vAlign w:val="bottom"/>
          </w:tcPr>
          <w:p>
            <w:pPr>
              <w:pStyle w:val="TableContents"/>
              <w:spacing w:before="0" w:after="283"/>
              <w:jc w:val="right"/>
              <w:rPr/>
            </w:pPr>
            <w:r>
              <w:rPr/>
              <w:t>5.03</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13,126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5.64</w:t>
            </w:r>
          </w:p>
        </w:tc>
        <w:tc>
          <w:tcPr>
            <w:tcW w:w="215" w:type="dxa"/>
            <w:tcBorders/>
            <w:shd w:fill="CCEEFF" w:val="clear"/>
            <w:vAlign w:val="bottom"/>
          </w:tcPr>
          <w:p>
            <w:pPr>
              <w:pStyle w:val="TableContents"/>
              <w:spacing w:before="0" w:after="283"/>
              <w:rPr/>
            </w:pPr>
            <w:r>
              <w:rPr/>
              <w:t>%</w:t>
            </w:r>
          </w:p>
        </w:tc>
      </w:tr>
      <w:tr>
        <w:trPr/>
        <w:tc>
          <w:tcPr>
            <w:tcW w:w="2150" w:type="dxa"/>
            <w:tcBorders/>
            <w:shd w:fill="auto" w:val="clear"/>
            <w:vAlign w:val="bottom"/>
          </w:tcPr>
          <w:p>
            <w:pPr>
              <w:pStyle w:val="TableContents"/>
              <w:spacing w:before="0" w:after="0"/>
              <w:ind w:left="225" w:right="0" w:hanging="225"/>
              <w:rPr/>
            </w:pPr>
            <w:r>
              <w:rPr/>
              <w:t>Corporate debt securities</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528</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6.33</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2,116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4.54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282</w:t>
            </w:r>
          </w:p>
        </w:tc>
        <w:tc>
          <w:tcPr>
            <w:tcW w:w="6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824" w:type="dxa"/>
            <w:tcBorders/>
            <w:shd w:fill="auto" w:val="clear"/>
            <w:vAlign w:val="bottom"/>
          </w:tcPr>
          <w:p>
            <w:pPr>
              <w:pStyle w:val="TableContents"/>
              <w:spacing w:before="0" w:after="283"/>
              <w:jc w:val="right"/>
              <w:rPr/>
            </w:pPr>
            <w:r>
              <w:rPr/>
              <w:t>4.80</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823" w:type="dxa"/>
            <w:tcBorders/>
            <w:shd w:fill="auto" w:val="clear"/>
            <w:vAlign w:val="bottom"/>
          </w:tcPr>
          <w:p>
            <w:pPr>
              <w:pStyle w:val="TableContents"/>
              <w:spacing w:before="0" w:after="283"/>
              <w:jc w:val="right"/>
              <w:rPr/>
            </w:pPr>
            <w:r>
              <w:rPr/>
              <w:t>0.00</w:t>
            </w:r>
          </w:p>
        </w:tc>
        <w:tc>
          <w:tcPr>
            <w:tcW w:w="215" w:type="dxa"/>
            <w:tcBorders/>
            <w:shd w:fill="auto" w:val="clear"/>
            <w:vAlign w:val="bottom"/>
          </w:tcPr>
          <w:p>
            <w:pPr>
              <w:pStyle w:val="TableContents"/>
              <w:spacing w:before="0" w:after="283"/>
              <w:rPr/>
            </w:pPr>
            <w:r>
              <w:rPr/>
              <w:t>%</w:t>
            </w:r>
          </w:p>
        </w:tc>
      </w:tr>
      <w:tr>
        <w:trPr/>
        <w:tc>
          <w:tcPr>
            <w:tcW w:w="21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85" w:type="dxa"/>
            <w:gridSpan w:val="3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150" w:type="dxa"/>
            <w:tcBorders/>
            <w:shd w:fill="CCEEFF" w:val="clear"/>
            <w:vAlign w:val="bottom"/>
          </w:tcPr>
          <w:p>
            <w:pPr>
              <w:pStyle w:val="TableContents"/>
              <w:spacing w:before="0" w:after="0"/>
              <w:ind w:left="225" w:right="0" w:hanging="225"/>
              <w:rPr/>
            </w:pPr>
            <w:r>
              <w:rPr/>
              <w:t>Total</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w:t>
            </w:r>
          </w:p>
        </w:tc>
        <w:tc>
          <w:tcPr>
            <w:tcW w:w="1010" w:type="dxa"/>
            <w:tcBorders/>
            <w:shd w:fill="CCEEFF" w:val="clear"/>
            <w:vAlign w:val="bottom"/>
          </w:tcPr>
          <w:p>
            <w:pPr>
              <w:pStyle w:val="TableContents"/>
              <w:spacing w:before="0" w:after="283"/>
              <w:jc w:val="right"/>
              <w:rPr/>
            </w:pPr>
            <w:r>
              <w:rPr/>
              <w:t>112,054</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3.41</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126,180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4.50</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774" w:type="dxa"/>
            <w:tcBorders/>
            <w:shd w:fill="CCEEFF" w:val="clear"/>
            <w:vAlign w:val="bottom"/>
          </w:tcPr>
          <w:p>
            <w:pPr>
              <w:pStyle w:val="TableContents"/>
              <w:spacing w:before="0" w:after="283"/>
              <w:jc w:val="right"/>
              <w:rPr/>
            </w:pPr>
            <w:r>
              <w:rPr/>
              <w:t>34,530</w:t>
            </w:r>
          </w:p>
        </w:tc>
        <w:tc>
          <w:tcPr>
            <w:tcW w:w="6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left"/>
              <w:rPr/>
            </w:pPr>
            <w:r>
              <w:rPr/>
              <w:t> </w:t>
            </w:r>
          </w:p>
        </w:tc>
        <w:tc>
          <w:tcPr>
            <w:tcW w:w="824" w:type="dxa"/>
            <w:tcBorders/>
            <w:shd w:fill="CCEEFF" w:val="clear"/>
            <w:vAlign w:val="bottom"/>
          </w:tcPr>
          <w:p>
            <w:pPr>
              <w:pStyle w:val="TableContents"/>
              <w:spacing w:before="0" w:after="283"/>
              <w:jc w:val="right"/>
              <w:rPr/>
            </w:pPr>
            <w:r>
              <w:rPr/>
              <w:t>5.61</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80" w:type="dxa"/>
            <w:tcBorders/>
            <w:shd w:fill="CCEEFF" w:val="clear"/>
            <w:vAlign w:val="bottom"/>
          </w:tcPr>
          <w:p>
            <w:pPr>
              <w:pStyle w:val="TableContents"/>
              <w:spacing w:before="0" w:after="283"/>
              <w:jc w:val="right"/>
              <w:rPr/>
            </w:pPr>
            <w:r>
              <w:rPr/>
              <w:t>31,980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5.90</w:t>
            </w:r>
          </w:p>
        </w:tc>
        <w:tc>
          <w:tcPr>
            <w:tcW w:w="215" w:type="dxa"/>
            <w:tcBorders/>
            <w:shd w:fill="CCEEFF" w:val="clear"/>
            <w:vAlign w:val="bottom"/>
          </w:tcPr>
          <w:p>
            <w:pPr>
              <w:pStyle w:val="TableContents"/>
              <w:spacing w:before="0" w:after="283"/>
              <w:rPr/>
            </w:pPr>
            <w:r>
              <w:rPr/>
              <w:t>%</w:t>
            </w:r>
          </w:p>
        </w:tc>
      </w:tr>
      <w:tr>
        <w:trPr/>
        <w:tc>
          <w:tcPr>
            <w:tcW w:w="21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85" w:type="dxa"/>
            <w:gridSpan w:val="3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139"/>
        <w:gridCol w:w="115"/>
        <w:gridCol w:w="9951"/>
      </w:tblGrid>
      <w:tr>
        <w:trPr/>
        <w:tc>
          <w:tcPr>
            <w:tcW w:w="139" w:type="dxa"/>
            <w:tcBorders/>
            <w:shd w:fill="auto" w:val="clear"/>
          </w:tcPr>
          <w:p>
            <w:pPr>
              <w:pStyle w:val="TableContents"/>
              <w:spacing w:before="0" w:after="283"/>
              <w:jc w:val="left"/>
              <w:rPr/>
            </w:pPr>
            <w:r>
              <w:rPr/>
              <w:t>1</w:t>
            </w:r>
          </w:p>
        </w:tc>
        <w:tc>
          <w:tcPr>
            <w:tcW w:w="115" w:type="dxa"/>
            <w:tcBorders/>
            <w:shd w:fill="auto" w:val="clear"/>
          </w:tcPr>
          <w:p>
            <w:pPr>
              <w:pStyle w:val="TableContents"/>
              <w:spacing w:before="0" w:after="283"/>
              <w:rPr/>
            </w:pPr>
            <w:r>
              <w:rPr/>
              <w:t> </w:t>
            </w:r>
          </w:p>
        </w:tc>
        <w:tc>
          <w:tcPr>
            <w:tcW w:w="9951" w:type="dxa"/>
            <w:tcBorders/>
            <w:shd w:fill="auto" w:val="clear"/>
          </w:tcPr>
          <w:p>
            <w:pPr>
              <w:pStyle w:val="TableContents"/>
              <w:spacing w:before="0" w:after="283"/>
              <w:rPr/>
            </w:pPr>
            <w:r>
              <w:rPr/>
              <w:t>Excludes mutual funds and other equity securities.</w:t>
            </w:r>
          </w:p>
        </w:tc>
      </w:tr>
      <w:tr>
        <w:trPr/>
        <w:tc>
          <w:tcPr>
            <w:tcW w:w="139" w:type="dxa"/>
            <w:tcBorders/>
            <w:shd w:fill="auto" w:val="clear"/>
            <w:vAlign w:val="center"/>
          </w:tcPr>
          <w:p>
            <w:pPr>
              <w:pStyle w:val="TableContents"/>
              <w:spacing w:before="0" w:after="283"/>
              <w:rPr/>
            </w:pPr>
            <w:r>
              <w:rPr/>
              <w:t> </w:t>
            </w:r>
          </w:p>
        </w:tc>
        <w:tc>
          <w:tcPr>
            <w:tcW w:w="10066" w:type="dxa"/>
            <w:gridSpan w:val="2"/>
            <w:tcBorders/>
            <w:shd w:fill="auto" w:val="clear"/>
          </w:tcPr>
          <w:p>
            <w:pPr>
              <w:pStyle w:val="TableContents"/>
              <w:spacing w:before="0" w:after="283"/>
              <w:rPr>
                <w:sz w:val="4"/>
                <w:szCs w:val="4"/>
              </w:rPr>
            </w:pPr>
            <w:r>
              <w:rPr>
                <w:sz w:val="4"/>
                <w:szCs w:val="4"/>
              </w:rPr>
            </w:r>
          </w:p>
        </w:tc>
      </w:tr>
      <w:tr>
        <w:trPr/>
        <w:tc>
          <w:tcPr>
            <w:tcW w:w="139" w:type="dxa"/>
            <w:tcBorders/>
            <w:shd w:fill="auto" w:val="clear"/>
          </w:tcPr>
          <w:p>
            <w:pPr>
              <w:pStyle w:val="TableContents"/>
              <w:spacing w:before="0" w:after="283"/>
              <w:jc w:val="left"/>
              <w:rPr/>
            </w:pPr>
            <w:r>
              <w:rPr/>
              <w:t>2</w:t>
            </w:r>
          </w:p>
        </w:tc>
        <w:tc>
          <w:tcPr>
            <w:tcW w:w="115" w:type="dxa"/>
            <w:tcBorders/>
            <w:shd w:fill="auto" w:val="clear"/>
          </w:tcPr>
          <w:p>
            <w:pPr>
              <w:pStyle w:val="TableContents"/>
              <w:spacing w:before="0" w:after="283"/>
              <w:rPr/>
            </w:pPr>
            <w:r>
              <w:rPr/>
              <w:t> </w:t>
            </w:r>
          </w:p>
        </w:tc>
        <w:tc>
          <w:tcPr>
            <w:tcW w:w="9951" w:type="dxa"/>
            <w:tcBorders/>
            <w:shd w:fill="auto" w:val="clear"/>
          </w:tcPr>
          <w:p>
            <w:pPr>
              <w:pStyle w:val="TableContents"/>
              <w:spacing w:before="0" w:after="283"/>
              <w:rPr/>
            </w:pPr>
            <w:r>
              <w:rPr/>
              <w:t>On a tax-equivalent basis, assuming a federal income tax rate of 35% (the effective federal income tax rate as of December 31, 2005)</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Corporation also uses its investment portfolio to manage its tax position. Depending upon projected levels of taxable income for the Corporation, periodic changes are made in the mix of tax-exempt and taxable securities to achieve maximum yields on a tax-equivalent basis. U.S. government and agency securities as a percentage of total securities decreased to 61.3% at December 31, 2005, from 70.7% at December 31, 2004, while obligations of state and political subdivisions (tax-exempt obligations) as a percentage of total securities increased to 24.8% at December 31, 2005, from 14.7% at December 31, 2004. </w:t>
      </w:r>
    </w:p>
    <w:p>
      <w:pPr>
        <w:pStyle w:val="TextBody"/>
        <w:spacing w:before="240" w:after="283"/>
        <w:jc w:val="left"/>
        <w:rPr>
          <w:rFonts w:ascii="Helvetica;Arial;sans-serif" w:hAnsi="Helvetica;Arial;sans-serif"/>
          <w:sz w:val="17"/>
        </w:rPr>
      </w:pPr>
      <w:r>
        <w:rPr>
          <w:rFonts w:ascii="Helvetica;Arial;sans-serif" w:hAnsi="Helvetica;Arial;sans-serif"/>
          <w:b/>
          <w:i/>
          <w:sz w:val="17"/>
        </w:rPr>
        <w:t>Loan Portfolio</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Loans, including loans held for sale, before allowance for loan losses, increased 18.5% to $1,749,162,000 as of December 31, 2005 from $1,475,900,000 at December 31, 2004. A significant portion of the overall loan growth occurred in non-farm nonresidential mortgages, which increased 30.8% or $106,786,000 to $470,779,000 at December 31, 2005 from $363,993,000 at the end of 2004. This increase reflects managements emphasis on commercial loans secured by mortgages.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Corporation also experienced significant growth in real estate construction loans which grew 46.7% or $109,907,000 to $345,454,000 at December 31, 2005, compared to $235,547,000 at the end of 2004. Of the growth in real estate construction loans, $39,542,000 is attributable to the addition of Tarpon Coast National Bank. Busey Bank contributed $30,705,000 of this growth through loans originated out of its Fort Myers loan production office. Most of these loans were made to developers of commercial and multifamily real estate projects. Busey Bank Florida contributed $26,378,000 of the growth in real estate construction loans, primarily through its short-term construction lending program, which was instituted in March, 2003. The lending program was developed at Busey Bank Florida and was meant to capitalize on the tremendous growth in the Southwest Florida real estate market. As a result of some concern regarding the accelerated growth rate of loans made pursuant to this program, the Corporation has terminated activity under the program. However, management believes the loans provided under such program do not contain excessive risk and otherwise meet the underwriting standards of Busey Bank Florida. While management believes growth will continue in real estate construction loans as long as the real estate market remains strong, particularly in Southwest Florida, management does not expect this growth rate will be as significant as that recorded over the past two years.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Also, 1-to-4 family residential real estate mortgage loans (not held for sale) increased $73,865,000, or 16.7%, to $517,185,000 as of December 31, 2005, from $443,320,000 at December 31, 2004. The addition of Tarpon Coast National Bank contributed $45,423,000 of this growth in 1-4 family mortgage loans. Busey Bank Florida is responsible for the additional growth in this category. </w:t>
      </w:r>
    </w:p>
    <w:p>
      <w:pPr>
        <w:pStyle w:val="TextBody"/>
        <w:jc w:val="center"/>
        <w:rPr>
          <w:rFonts w:ascii="Helvetica;Arial;sans-serif" w:hAnsi="Helvetica;Arial;sans-serif"/>
          <w:sz w:val="17"/>
        </w:rPr>
      </w:pPr>
      <w:r>
        <w:rPr>
          <w:rFonts w:ascii="Helvetica;Arial;sans-serif" w:hAnsi="Helvetica;Arial;san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Corporation has no loans to customers engaged in oil and gas exploration or to foreign companies or governments. Commitments under standby letters of credit, unused lines of credit and other conditionally approved credit lines, totaled approximately $559,847,000 as of December 31, 2005.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loan portfolio includes a concentration of loans for commercial real estate amounting to approximately $575,281,000 and $470,156,000 as of December 31, 2005 and 2004, respectively. Generally, these loans are collateralized by assets of the borrowers. The loans are expected to be repaid from cash flows or from proceeds from the sale of selected assets of the borrowers. Credit losses arising from lending transactions for commercial real estate entities are comparable with the Corporations credit loss experience on its loan portfolio as a whole.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composition of loans is as follows: </w:t>
      </w:r>
    </w:p>
    <w:tbl>
      <w:tblPr>
        <w:tblW w:w="5000" w:type="pct"/>
        <w:jc w:val="center"/>
        <w:tblInd w:w="0" w:type="dxa"/>
        <w:tblCellMar>
          <w:top w:w="0" w:type="dxa"/>
          <w:left w:w="0" w:type="dxa"/>
          <w:bottom w:w="0" w:type="dxa"/>
          <w:right w:w="0" w:type="dxa"/>
        </w:tblCellMar>
      </w:tblPr>
      <w:tblGrid>
        <w:gridCol w:w="2641"/>
        <w:gridCol w:w="200"/>
        <w:gridCol w:w="221"/>
        <w:gridCol w:w="982"/>
        <w:gridCol w:w="143"/>
        <w:gridCol w:w="200"/>
        <w:gridCol w:w="221"/>
        <w:gridCol w:w="982"/>
        <w:gridCol w:w="143"/>
        <w:gridCol w:w="200"/>
        <w:gridCol w:w="221"/>
        <w:gridCol w:w="982"/>
        <w:gridCol w:w="143"/>
        <w:gridCol w:w="200"/>
        <w:gridCol w:w="221"/>
        <w:gridCol w:w="982"/>
        <w:gridCol w:w="143"/>
        <w:gridCol w:w="200"/>
        <w:gridCol w:w="221"/>
        <w:gridCol w:w="807"/>
        <w:gridCol w:w="152"/>
      </w:tblGrid>
      <w:tr>
        <w:trPr/>
        <w:tc>
          <w:tcPr>
            <w:tcW w:w="264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364" w:type="dxa"/>
            <w:gridSpan w:val="19"/>
            <w:tcBorders>
              <w:bottom w:val="single" w:sz="2" w:space="0" w:color="000000"/>
            </w:tcBorders>
            <w:shd w:fill="auto" w:val="clear"/>
            <w:tcMar>
              <w:bottom w:w="28" w:type="dxa"/>
            </w:tcMar>
            <w:vAlign w:val="bottom"/>
          </w:tcPr>
          <w:p>
            <w:pPr>
              <w:pStyle w:val="TableContents"/>
              <w:spacing w:before="0" w:after="283"/>
              <w:jc w:val="center"/>
              <w:rPr/>
            </w:pPr>
            <w:r>
              <w:rPr/>
              <w:t>As of December 31,</w:t>
            </w:r>
          </w:p>
        </w:tc>
      </w:tr>
      <w:tr>
        <w:trPr/>
        <w:tc>
          <w:tcPr>
            <w:tcW w:w="264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346" w:type="dxa"/>
            <w:gridSpan w:val="3"/>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200" w:type="dxa"/>
            <w:tcBorders/>
            <w:shd w:fill="auto" w:val="clear"/>
            <w:vAlign w:val="bottom"/>
          </w:tcPr>
          <w:p>
            <w:pPr>
              <w:pStyle w:val="TableContents"/>
              <w:spacing w:before="0" w:after="283"/>
              <w:rPr/>
            </w:pPr>
            <w:r>
              <w:rPr/>
              <w:t> </w:t>
            </w:r>
          </w:p>
        </w:tc>
        <w:tc>
          <w:tcPr>
            <w:tcW w:w="1346" w:type="dxa"/>
            <w:gridSpan w:val="3"/>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200" w:type="dxa"/>
            <w:tcBorders/>
            <w:shd w:fill="auto" w:val="clear"/>
            <w:vAlign w:val="bottom"/>
          </w:tcPr>
          <w:p>
            <w:pPr>
              <w:pStyle w:val="TableContents"/>
              <w:spacing w:before="0" w:after="283"/>
              <w:rPr/>
            </w:pPr>
            <w:r>
              <w:rPr/>
              <w:t> </w:t>
            </w:r>
          </w:p>
        </w:tc>
        <w:tc>
          <w:tcPr>
            <w:tcW w:w="1346" w:type="dxa"/>
            <w:gridSpan w:val="3"/>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200" w:type="dxa"/>
            <w:tcBorders/>
            <w:shd w:fill="auto" w:val="clear"/>
            <w:vAlign w:val="bottom"/>
          </w:tcPr>
          <w:p>
            <w:pPr>
              <w:pStyle w:val="TableContents"/>
              <w:spacing w:before="0" w:after="283"/>
              <w:rPr/>
            </w:pPr>
            <w:r>
              <w:rPr/>
              <w:t> </w:t>
            </w:r>
          </w:p>
        </w:tc>
        <w:tc>
          <w:tcPr>
            <w:tcW w:w="1346" w:type="dxa"/>
            <w:gridSpan w:val="3"/>
            <w:tcBorders>
              <w:bottom w:val="single" w:sz="2" w:space="0" w:color="000000"/>
            </w:tcBorders>
            <w:shd w:fill="auto" w:val="clear"/>
            <w:tcMar>
              <w:bottom w:w="28" w:type="dxa"/>
            </w:tcMar>
            <w:vAlign w:val="bottom"/>
          </w:tcPr>
          <w:p>
            <w:pPr>
              <w:pStyle w:val="TableContents"/>
              <w:spacing w:before="0" w:after="283"/>
              <w:jc w:val="center"/>
              <w:rPr/>
            </w:pPr>
            <w:r>
              <w:rPr/>
              <w:t>2002</w:t>
            </w:r>
          </w:p>
        </w:tc>
        <w:tc>
          <w:tcPr>
            <w:tcW w:w="200" w:type="dxa"/>
            <w:tcBorders/>
            <w:shd w:fill="auto" w:val="clear"/>
            <w:vAlign w:val="bottom"/>
          </w:tcPr>
          <w:p>
            <w:pPr>
              <w:pStyle w:val="TableContents"/>
              <w:spacing w:before="0" w:after="283"/>
              <w:rPr/>
            </w:pPr>
            <w:r>
              <w:rPr/>
              <w:t> </w:t>
            </w:r>
          </w:p>
        </w:tc>
        <w:tc>
          <w:tcPr>
            <w:tcW w:w="1180" w:type="dxa"/>
            <w:gridSpan w:val="3"/>
            <w:tcBorders>
              <w:bottom w:val="single" w:sz="2" w:space="0" w:color="000000"/>
            </w:tcBorders>
            <w:shd w:fill="auto" w:val="clear"/>
            <w:tcMar>
              <w:bottom w:w="28" w:type="dxa"/>
            </w:tcMar>
            <w:vAlign w:val="bottom"/>
          </w:tcPr>
          <w:p>
            <w:pPr>
              <w:pStyle w:val="TableContents"/>
              <w:spacing w:before="0" w:after="283"/>
              <w:jc w:val="center"/>
              <w:rPr/>
            </w:pPr>
            <w:r>
              <w:rPr/>
              <w:t>2001</w:t>
            </w:r>
          </w:p>
        </w:tc>
      </w:tr>
      <w:tr>
        <w:trPr/>
        <w:tc>
          <w:tcPr>
            <w:tcW w:w="2641"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7364"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64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364" w:type="dxa"/>
            <w:gridSpan w:val="19"/>
            <w:tcBorders/>
            <w:shd w:fill="auto" w:val="clear"/>
            <w:vAlign w:val="bottom"/>
          </w:tcPr>
          <w:p>
            <w:pPr>
              <w:pStyle w:val="TableContents"/>
              <w:spacing w:before="0" w:after="283"/>
              <w:jc w:val="center"/>
              <w:rPr/>
            </w:pPr>
            <w:r>
              <w:rPr/>
              <w:t>(dollars in thousands)</w:t>
            </w:r>
          </w:p>
        </w:tc>
      </w:tr>
      <w:tr>
        <w:trPr/>
        <w:tc>
          <w:tcPr>
            <w:tcW w:w="2641" w:type="dxa"/>
            <w:tcBorders/>
            <w:shd w:fill="CCEEFF" w:val="clear"/>
            <w:vAlign w:val="bottom"/>
          </w:tcPr>
          <w:p>
            <w:pPr>
              <w:pStyle w:val="TableContents"/>
              <w:spacing w:before="0" w:after="0"/>
              <w:ind w:left="225" w:right="0" w:hanging="225"/>
              <w:rPr/>
            </w:pPr>
            <w:r>
              <w:rPr/>
              <w:t>Commercial and financial</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982" w:type="dxa"/>
            <w:tcBorders/>
            <w:shd w:fill="CCEEFF" w:val="clear"/>
            <w:vAlign w:val="bottom"/>
          </w:tcPr>
          <w:p>
            <w:pPr>
              <w:pStyle w:val="TableContents"/>
              <w:spacing w:before="0" w:after="283"/>
              <w:jc w:val="right"/>
              <w:rPr/>
            </w:pPr>
            <w:r>
              <w:rPr/>
              <w:t>219,134</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982" w:type="dxa"/>
            <w:tcBorders/>
            <w:shd w:fill="CCEEFF" w:val="clear"/>
            <w:vAlign w:val="bottom"/>
          </w:tcPr>
          <w:p>
            <w:pPr>
              <w:pStyle w:val="TableContents"/>
              <w:spacing w:before="0" w:after="283"/>
              <w:jc w:val="right"/>
              <w:rPr/>
            </w:pPr>
            <w:r>
              <w:rPr/>
              <w:t>216,290</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982" w:type="dxa"/>
            <w:tcBorders/>
            <w:shd w:fill="CCEEFF" w:val="clear"/>
            <w:vAlign w:val="bottom"/>
          </w:tcPr>
          <w:p>
            <w:pPr>
              <w:pStyle w:val="TableContents"/>
              <w:spacing w:before="0" w:after="283"/>
              <w:jc w:val="right"/>
              <w:rPr/>
            </w:pPr>
            <w:r>
              <w:rPr/>
              <w:t>138,272</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982" w:type="dxa"/>
            <w:tcBorders/>
            <w:shd w:fill="CCEEFF" w:val="clear"/>
            <w:vAlign w:val="bottom"/>
          </w:tcPr>
          <w:p>
            <w:pPr>
              <w:pStyle w:val="TableContents"/>
              <w:spacing w:before="0" w:after="283"/>
              <w:jc w:val="right"/>
              <w:rPr/>
            </w:pPr>
            <w:r>
              <w:rPr/>
              <w:t>118,004</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807" w:type="dxa"/>
            <w:tcBorders/>
            <w:shd w:fill="CCEEFF" w:val="clear"/>
            <w:vAlign w:val="bottom"/>
          </w:tcPr>
          <w:p>
            <w:pPr>
              <w:pStyle w:val="TableContents"/>
              <w:spacing w:before="0" w:after="283"/>
              <w:jc w:val="right"/>
              <w:rPr/>
            </w:pPr>
            <w:r>
              <w:rPr/>
              <w:t>121,694</w:t>
            </w:r>
          </w:p>
        </w:tc>
        <w:tc>
          <w:tcPr>
            <w:tcW w:w="152" w:type="dxa"/>
            <w:tcBorders/>
            <w:shd w:fill="CCEEFF"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Agricultural</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23,433</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25,224</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22,300</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22,034</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21,022</w:t>
            </w:r>
          </w:p>
        </w:tc>
        <w:tc>
          <w:tcPr>
            <w:tcW w:w="152" w:type="dxa"/>
            <w:tcBorders/>
            <w:shd w:fill="auto" w:val="clear"/>
            <w:vAlign w:val="bottom"/>
          </w:tcPr>
          <w:p>
            <w:pPr>
              <w:pStyle w:val="TableContents"/>
              <w:spacing w:before="0" w:after="283"/>
              <w:rPr/>
            </w:pPr>
            <w:r>
              <w:rPr/>
              <w:t> </w:t>
            </w:r>
          </w:p>
        </w:tc>
      </w:tr>
      <w:tr>
        <w:trPr/>
        <w:tc>
          <w:tcPr>
            <w:tcW w:w="2641" w:type="dxa"/>
            <w:tcBorders/>
            <w:shd w:fill="CCEEFF" w:val="clear"/>
            <w:vAlign w:val="bottom"/>
          </w:tcPr>
          <w:p>
            <w:pPr>
              <w:pStyle w:val="TableContents"/>
              <w:spacing w:before="0" w:after="0"/>
              <w:ind w:left="225" w:right="0" w:hanging="225"/>
              <w:rPr/>
            </w:pPr>
            <w:r>
              <w:rPr/>
              <w:t>Real estate-farmland</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10,188</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11,750</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11,890</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13,421</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14,414</w:t>
            </w:r>
          </w:p>
        </w:tc>
        <w:tc>
          <w:tcPr>
            <w:tcW w:w="152" w:type="dxa"/>
            <w:tcBorders/>
            <w:shd w:fill="CCEEFF"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Real estate-construction</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345,454</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235,547</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168,141</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129,872</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83,701</w:t>
            </w:r>
          </w:p>
        </w:tc>
        <w:tc>
          <w:tcPr>
            <w:tcW w:w="152" w:type="dxa"/>
            <w:tcBorders/>
            <w:shd w:fill="auto" w:val="clear"/>
            <w:vAlign w:val="bottom"/>
          </w:tcPr>
          <w:p>
            <w:pPr>
              <w:pStyle w:val="TableContents"/>
              <w:spacing w:before="0" w:after="283"/>
              <w:rPr/>
            </w:pPr>
            <w:r>
              <w:rPr/>
              <w:t> </w:t>
            </w:r>
          </w:p>
        </w:tc>
      </w:tr>
      <w:tr>
        <w:trPr/>
        <w:tc>
          <w:tcPr>
            <w:tcW w:w="2641" w:type="dxa"/>
            <w:tcBorders/>
            <w:shd w:fill="CCEEFF" w:val="clear"/>
            <w:vAlign w:val="bottom"/>
          </w:tcPr>
          <w:p>
            <w:pPr>
              <w:pStyle w:val="TableContents"/>
              <w:spacing w:before="0" w:after="0"/>
              <w:ind w:left="225" w:right="0" w:hanging="225"/>
              <w:rPr/>
            </w:pPr>
            <w:r>
              <w:rPr/>
              <w:t>Real estate-mortgage</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1,104,798</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923,291</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790,089</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761,901</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679,351</w:t>
            </w:r>
          </w:p>
        </w:tc>
        <w:tc>
          <w:tcPr>
            <w:tcW w:w="152" w:type="dxa"/>
            <w:tcBorders/>
            <w:shd w:fill="CCEEFF" w:val="clear"/>
            <w:vAlign w:val="bottom"/>
          </w:tcPr>
          <w:p>
            <w:pPr>
              <w:pStyle w:val="TableContents"/>
              <w:spacing w:before="0" w:after="283"/>
              <w:rPr/>
            </w:pPr>
            <w:r>
              <w:rPr/>
              <w:t> </w:t>
            </w:r>
          </w:p>
        </w:tc>
      </w:tr>
      <w:tr>
        <w:trPr/>
        <w:tc>
          <w:tcPr>
            <w:tcW w:w="2641" w:type="dxa"/>
            <w:tcBorders/>
            <w:shd w:fill="auto" w:val="clear"/>
            <w:vAlign w:val="bottom"/>
          </w:tcPr>
          <w:p>
            <w:pPr>
              <w:pStyle w:val="TableContents"/>
              <w:spacing w:before="0" w:after="0"/>
              <w:ind w:left="225" w:right="0" w:hanging="225"/>
              <w:rPr/>
            </w:pPr>
            <w:r>
              <w:rPr/>
              <w:t>Installment loans to individuals</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46,155</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63,798</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61,704</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55,811</w:t>
            </w:r>
          </w:p>
        </w:tc>
        <w:tc>
          <w:tcPr>
            <w:tcW w:w="14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57,924</w:t>
            </w:r>
          </w:p>
        </w:tc>
        <w:tc>
          <w:tcPr>
            <w:tcW w:w="152" w:type="dxa"/>
            <w:tcBorders/>
            <w:shd w:fill="auto" w:val="clear"/>
            <w:vAlign w:val="bottom"/>
          </w:tcPr>
          <w:p>
            <w:pPr>
              <w:pStyle w:val="TableContents"/>
              <w:spacing w:before="0" w:after="283"/>
              <w:rPr/>
            </w:pPr>
            <w:r>
              <w:rPr/>
              <w:t> </w:t>
            </w:r>
          </w:p>
        </w:tc>
      </w:tr>
      <w:tr>
        <w:trPr/>
        <w:tc>
          <w:tcPr>
            <w:tcW w:w="2641"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7364"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641" w:type="dxa"/>
            <w:tcBorders/>
            <w:shd w:fill="CCEEFF" w:val="clear"/>
            <w:vAlign w:val="bottom"/>
          </w:tcPr>
          <w:p>
            <w:pPr>
              <w:pStyle w:val="TableContents"/>
              <w:spacing w:before="0" w:after="0"/>
              <w:ind w:left="225" w:right="0" w:hanging="225"/>
              <w:rPr/>
            </w:pPr>
            <w:r>
              <w:rPr/>
              <w:t>Loans</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982" w:type="dxa"/>
            <w:tcBorders/>
            <w:shd w:fill="CCEEFF" w:val="clear"/>
            <w:vAlign w:val="bottom"/>
          </w:tcPr>
          <w:p>
            <w:pPr>
              <w:pStyle w:val="TableContents"/>
              <w:spacing w:before="0" w:after="283"/>
              <w:jc w:val="right"/>
              <w:rPr/>
            </w:pPr>
            <w:r>
              <w:rPr/>
              <w:t>1,749,162</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982" w:type="dxa"/>
            <w:tcBorders/>
            <w:shd w:fill="CCEEFF" w:val="clear"/>
            <w:vAlign w:val="bottom"/>
          </w:tcPr>
          <w:p>
            <w:pPr>
              <w:pStyle w:val="TableContents"/>
              <w:spacing w:before="0" w:after="283"/>
              <w:jc w:val="right"/>
              <w:rPr/>
            </w:pPr>
            <w:r>
              <w:rPr/>
              <w:t>1,475,900</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982" w:type="dxa"/>
            <w:tcBorders/>
            <w:shd w:fill="CCEEFF" w:val="clear"/>
            <w:vAlign w:val="bottom"/>
          </w:tcPr>
          <w:p>
            <w:pPr>
              <w:pStyle w:val="TableContents"/>
              <w:spacing w:before="0" w:after="283"/>
              <w:jc w:val="right"/>
              <w:rPr/>
            </w:pPr>
            <w:r>
              <w:rPr/>
              <w:t>1,192,396</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982" w:type="dxa"/>
            <w:tcBorders/>
            <w:shd w:fill="CCEEFF" w:val="clear"/>
            <w:vAlign w:val="bottom"/>
          </w:tcPr>
          <w:p>
            <w:pPr>
              <w:pStyle w:val="TableContents"/>
              <w:spacing w:before="0" w:after="283"/>
              <w:jc w:val="right"/>
              <w:rPr/>
            </w:pPr>
            <w:r>
              <w:rPr/>
              <w:t>1,101,043</w:t>
            </w:r>
          </w:p>
        </w:tc>
        <w:tc>
          <w:tcPr>
            <w:tcW w:w="14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807" w:type="dxa"/>
            <w:tcBorders/>
            <w:shd w:fill="CCEEFF" w:val="clear"/>
            <w:vAlign w:val="bottom"/>
          </w:tcPr>
          <w:p>
            <w:pPr>
              <w:pStyle w:val="TableContents"/>
              <w:spacing w:before="0" w:after="283"/>
              <w:jc w:val="right"/>
              <w:rPr/>
            </w:pPr>
            <w:r>
              <w:rPr/>
              <w:t>978,106</w:t>
            </w:r>
          </w:p>
        </w:tc>
        <w:tc>
          <w:tcPr>
            <w:tcW w:w="152" w:type="dxa"/>
            <w:tcBorders/>
            <w:shd w:fill="CCEEFF" w:val="clear"/>
            <w:vAlign w:val="bottom"/>
          </w:tcPr>
          <w:p>
            <w:pPr>
              <w:pStyle w:val="TableContents"/>
              <w:spacing w:before="0" w:after="283"/>
              <w:rPr/>
            </w:pPr>
            <w:r>
              <w:rPr/>
              <w:t> </w:t>
            </w:r>
          </w:p>
        </w:tc>
      </w:tr>
      <w:tr>
        <w:trPr/>
        <w:tc>
          <w:tcPr>
            <w:tcW w:w="2641"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7364"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sets forth remaining maturities of selected loans (excluding certain real estate-farmland, real estate-mortgage loans and installment loans to individuals) at December 31, 2005 </w:t>
      </w:r>
    </w:p>
    <w:tbl>
      <w:tblPr>
        <w:tblW w:w="5000" w:type="pct"/>
        <w:jc w:val="center"/>
        <w:tblInd w:w="0" w:type="dxa"/>
        <w:tblCellMar>
          <w:top w:w="0" w:type="dxa"/>
          <w:left w:w="0" w:type="dxa"/>
          <w:bottom w:w="0" w:type="dxa"/>
          <w:right w:w="0" w:type="dxa"/>
        </w:tblCellMar>
      </w:tblPr>
      <w:tblGrid>
        <w:gridCol w:w="3438"/>
        <w:gridCol w:w="244"/>
        <w:gridCol w:w="303"/>
        <w:gridCol w:w="1137"/>
        <w:gridCol w:w="194"/>
        <w:gridCol w:w="244"/>
        <w:gridCol w:w="270"/>
        <w:gridCol w:w="949"/>
        <w:gridCol w:w="180"/>
        <w:gridCol w:w="244"/>
        <w:gridCol w:w="311"/>
        <w:gridCol w:w="1009"/>
        <w:gridCol w:w="197"/>
        <w:gridCol w:w="244"/>
        <w:gridCol w:w="247"/>
        <w:gridCol w:w="814"/>
        <w:gridCol w:w="180"/>
      </w:tblGrid>
      <w:tr>
        <w:trPr/>
        <w:tc>
          <w:tcPr>
            <w:tcW w:w="343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4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343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634" w:type="dxa"/>
            <w:gridSpan w:val="3"/>
            <w:tcBorders>
              <w:bottom w:val="single" w:sz="2" w:space="0" w:color="000000"/>
            </w:tcBorders>
            <w:shd w:fill="auto" w:val="clear"/>
            <w:tcMar>
              <w:bottom w:w="28" w:type="dxa"/>
            </w:tcMar>
            <w:vAlign w:val="bottom"/>
          </w:tcPr>
          <w:p>
            <w:pPr>
              <w:pStyle w:val="TableContents"/>
              <w:spacing w:before="0" w:after="283"/>
              <w:jc w:val="center"/>
              <w:rPr/>
            </w:pPr>
            <w:r>
              <w:rPr/>
              <w:t>1 Year or Less</w:t>
            </w:r>
          </w:p>
        </w:tc>
        <w:tc>
          <w:tcPr>
            <w:tcW w:w="244" w:type="dxa"/>
            <w:tcBorders/>
            <w:shd w:fill="auto" w:val="clear"/>
            <w:vAlign w:val="bottom"/>
          </w:tcPr>
          <w:p>
            <w:pPr>
              <w:pStyle w:val="TableContents"/>
              <w:spacing w:before="0" w:after="283"/>
              <w:rPr/>
            </w:pPr>
            <w:r>
              <w:rPr/>
              <w:t> </w:t>
            </w:r>
          </w:p>
        </w:tc>
        <w:tc>
          <w:tcPr>
            <w:tcW w:w="1399" w:type="dxa"/>
            <w:gridSpan w:val="3"/>
            <w:tcBorders>
              <w:bottom w:val="single" w:sz="2" w:space="0" w:color="000000"/>
            </w:tcBorders>
            <w:shd w:fill="auto" w:val="clear"/>
            <w:tcMar>
              <w:bottom w:w="28" w:type="dxa"/>
            </w:tcMar>
            <w:vAlign w:val="bottom"/>
          </w:tcPr>
          <w:p>
            <w:pPr>
              <w:pStyle w:val="TableContents"/>
              <w:spacing w:before="0" w:after="283"/>
              <w:jc w:val="center"/>
              <w:rPr/>
            </w:pPr>
            <w:r>
              <w:rPr/>
              <w:t>1 to 5 Years</w:t>
            </w:r>
          </w:p>
        </w:tc>
        <w:tc>
          <w:tcPr>
            <w:tcW w:w="244" w:type="dxa"/>
            <w:tcBorders/>
            <w:shd w:fill="auto" w:val="clear"/>
            <w:vAlign w:val="bottom"/>
          </w:tcPr>
          <w:p>
            <w:pPr>
              <w:pStyle w:val="TableContents"/>
              <w:spacing w:before="0" w:after="283"/>
              <w:rPr/>
            </w:pPr>
            <w:r>
              <w:rPr/>
              <w:t> </w:t>
            </w:r>
          </w:p>
        </w:tc>
        <w:tc>
          <w:tcPr>
            <w:tcW w:w="1517" w:type="dxa"/>
            <w:gridSpan w:val="3"/>
            <w:tcBorders>
              <w:bottom w:val="single" w:sz="2" w:space="0" w:color="000000"/>
            </w:tcBorders>
            <w:shd w:fill="auto" w:val="clear"/>
            <w:tcMar>
              <w:bottom w:w="28" w:type="dxa"/>
            </w:tcMar>
            <w:vAlign w:val="bottom"/>
          </w:tcPr>
          <w:p>
            <w:pPr>
              <w:pStyle w:val="TableContents"/>
              <w:spacing w:before="0" w:after="283"/>
              <w:jc w:val="center"/>
              <w:rPr/>
            </w:pPr>
            <w:r>
              <w:rPr/>
              <w:t>Over 5 Years</w:t>
            </w:r>
          </w:p>
        </w:tc>
        <w:tc>
          <w:tcPr>
            <w:tcW w:w="244" w:type="dxa"/>
            <w:tcBorders/>
            <w:shd w:fill="auto" w:val="clear"/>
            <w:vAlign w:val="bottom"/>
          </w:tcPr>
          <w:p>
            <w:pPr>
              <w:pStyle w:val="TableContents"/>
              <w:spacing w:before="0" w:after="283"/>
              <w:rPr/>
            </w:pPr>
            <w:r>
              <w:rPr/>
              <w:t> </w:t>
            </w:r>
          </w:p>
        </w:tc>
        <w:tc>
          <w:tcPr>
            <w:tcW w:w="1241" w:type="dxa"/>
            <w:gridSpan w:val="3"/>
            <w:tcBorders>
              <w:bottom w:val="single" w:sz="2" w:space="0" w:color="000000"/>
            </w:tcBorders>
            <w:shd w:fill="auto" w:val="clear"/>
            <w:tcMar>
              <w:bottom w:w="28" w:type="dxa"/>
            </w:tcMar>
            <w:vAlign w:val="bottom"/>
          </w:tcPr>
          <w:p>
            <w:pPr>
              <w:pStyle w:val="TableContents"/>
              <w:spacing w:before="0" w:after="283"/>
              <w:jc w:val="center"/>
              <w:rPr/>
            </w:pPr>
            <w:r>
              <w:rPr/>
              <w:t>Total</w:t>
            </w:r>
          </w:p>
        </w:tc>
      </w:tr>
      <w:tr>
        <w:trPr/>
        <w:tc>
          <w:tcPr>
            <w:tcW w:w="3438"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6523"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43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6523" w:type="dxa"/>
            <w:gridSpan w:val="15"/>
            <w:tcBorders/>
            <w:shd w:fill="auto" w:val="clear"/>
            <w:vAlign w:val="bottom"/>
          </w:tcPr>
          <w:p>
            <w:pPr>
              <w:pStyle w:val="TableContents"/>
              <w:spacing w:before="0" w:after="283"/>
              <w:jc w:val="center"/>
              <w:rPr/>
            </w:pPr>
            <w:r>
              <w:rPr/>
              <w:t>(dollars in thousands)</w:t>
            </w:r>
          </w:p>
        </w:tc>
      </w:tr>
      <w:tr>
        <w:trPr/>
        <w:tc>
          <w:tcPr>
            <w:tcW w:w="3438" w:type="dxa"/>
            <w:tcBorders/>
            <w:shd w:fill="CCEEFF" w:val="clear"/>
            <w:vAlign w:val="bottom"/>
          </w:tcPr>
          <w:p>
            <w:pPr>
              <w:pStyle w:val="TableContents"/>
              <w:spacing w:before="0" w:after="0"/>
              <w:ind w:left="225" w:right="0" w:hanging="225"/>
              <w:rPr/>
            </w:pPr>
            <w:r>
              <w:rPr/>
              <w:t>Commercial, financial and agricultural</w:t>
            </w:r>
          </w:p>
        </w:tc>
        <w:tc>
          <w:tcPr>
            <w:tcW w:w="24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jc w:val="right"/>
              <w:rPr/>
            </w:pPr>
            <w:r>
              <w:rPr/>
              <w:t>$</w:t>
            </w:r>
          </w:p>
        </w:tc>
        <w:tc>
          <w:tcPr>
            <w:tcW w:w="1137" w:type="dxa"/>
            <w:tcBorders/>
            <w:shd w:fill="CCEEFF" w:val="clear"/>
            <w:vAlign w:val="bottom"/>
          </w:tcPr>
          <w:p>
            <w:pPr>
              <w:pStyle w:val="TableContents"/>
              <w:spacing w:before="0" w:after="283"/>
              <w:jc w:val="right"/>
              <w:rPr/>
            </w:pPr>
            <w:r>
              <w:rPr/>
              <w:t>137,205</w:t>
            </w:r>
          </w:p>
        </w:tc>
        <w:tc>
          <w:tcPr>
            <w:tcW w:w="194"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right"/>
              <w:rPr/>
            </w:pPr>
            <w:r>
              <w:rPr/>
              <w:t>$</w:t>
            </w:r>
          </w:p>
        </w:tc>
        <w:tc>
          <w:tcPr>
            <w:tcW w:w="949" w:type="dxa"/>
            <w:tcBorders/>
            <w:shd w:fill="CCEEFF" w:val="clear"/>
            <w:vAlign w:val="bottom"/>
          </w:tcPr>
          <w:p>
            <w:pPr>
              <w:pStyle w:val="TableContents"/>
              <w:spacing w:before="0" w:after="283"/>
              <w:jc w:val="right"/>
              <w:rPr/>
            </w:pPr>
            <w:r>
              <w:rPr/>
              <w:t>59,101</w:t>
            </w:r>
          </w:p>
        </w:tc>
        <w:tc>
          <w:tcPr>
            <w:tcW w:w="18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pPr>
            <w:r>
              <w:rPr/>
              <w:t>$</w:t>
            </w:r>
          </w:p>
        </w:tc>
        <w:tc>
          <w:tcPr>
            <w:tcW w:w="1009" w:type="dxa"/>
            <w:tcBorders/>
            <w:shd w:fill="CCEEFF" w:val="clear"/>
            <w:vAlign w:val="bottom"/>
          </w:tcPr>
          <w:p>
            <w:pPr>
              <w:pStyle w:val="TableContents"/>
              <w:spacing w:before="0" w:after="283"/>
              <w:jc w:val="right"/>
              <w:rPr/>
            </w:pPr>
            <w:r>
              <w:rPr/>
              <w:t>46,261</w:t>
            </w:r>
          </w:p>
        </w:tc>
        <w:tc>
          <w:tcPr>
            <w:tcW w:w="19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w:t>
            </w:r>
          </w:p>
        </w:tc>
        <w:tc>
          <w:tcPr>
            <w:tcW w:w="814" w:type="dxa"/>
            <w:tcBorders/>
            <w:shd w:fill="CCEEFF" w:val="clear"/>
            <w:vAlign w:val="bottom"/>
          </w:tcPr>
          <w:p>
            <w:pPr>
              <w:pStyle w:val="TableContents"/>
              <w:spacing w:before="0" w:after="283"/>
              <w:jc w:val="right"/>
              <w:rPr/>
            </w:pPr>
            <w:r>
              <w:rPr/>
              <w:t>242,567</w:t>
            </w:r>
          </w:p>
        </w:tc>
        <w:tc>
          <w:tcPr>
            <w:tcW w:w="180" w:type="dxa"/>
            <w:tcBorders/>
            <w:shd w:fill="CCEEFF" w:val="clear"/>
            <w:vAlign w:val="bottom"/>
          </w:tcPr>
          <w:p>
            <w:pPr>
              <w:pStyle w:val="TableContents"/>
              <w:spacing w:before="0" w:after="283"/>
              <w:rPr/>
            </w:pPr>
            <w:r>
              <w:rPr/>
              <w:t> </w:t>
            </w:r>
          </w:p>
        </w:tc>
      </w:tr>
      <w:tr>
        <w:trPr/>
        <w:tc>
          <w:tcPr>
            <w:tcW w:w="3438" w:type="dxa"/>
            <w:tcBorders/>
            <w:shd w:fill="auto" w:val="clear"/>
            <w:vAlign w:val="bottom"/>
          </w:tcPr>
          <w:p>
            <w:pPr>
              <w:pStyle w:val="TableContents"/>
              <w:spacing w:before="0" w:after="0"/>
              <w:ind w:left="225" w:right="0" w:hanging="225"/>
              <w:rPr/>
            </w:pPr>
            <w:r>
              <w:rPr/>
              <w:t>Real estate-construction</w:t>
            </w:r>
          </w:p>
        </w:tc>
        <w:tc>
          <w:tcPr>
            <w:tcW w:w="24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211,616</w:t>
            </w:r>
          </w:p>
        </w:tc>
        <w:tc>
          <w:tcPr>
            <w:tcW w:w="19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49" w:type="dxa"/>
            <w:tcBorders/>
            <w:shd w:fill="auto" w:val="clear"/>
            <w:vAlign w:val="bottom"/>
          </w:tcPr>
          <w:p>
            <w:pPr>
              <w:pStyle w:val="TableContents"/>
              <w:spacing w:before="0" w:after="283"/>
              <w:jc w:val="right"/>
              <w:rPr/>
            </w:pPr>
            <w:r>
              <w:rPr/>
              <w:t>89,924</w:t>
            </w:r>
          </w:p>
        </w:tc>
        <w:tc>
          <w:tcPr>
            <w:tcW w:w="18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43,914</w:t>
            </w:r>
          </w:p>
        </w:tc>
        <w:tc>
          <w:tcPr>
            <w:tcW w:w="19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345,454</w:t>
            </w:r>
          </w:p>
        </w:tc>
        <w:tc>
          <w:tcPr>
            <w:tcW w:w="180" w:type="dxa"/>
            <w:tcBorders/>
            <w:shd w:fill="auto" w:val="clear"/>
            <w:vAlign w:val="bottom"/>
          </w:tcPr>
          <w:p>
            <w:pPr>
              <w:pStyle w:val="TableContents"/>
              <w:spacing w:before="0" w:after="283"/>
              <w:rPr/>
            </w:pPr>
            <w:r>
              <w:rPr/>
              <w:t> </w:t>
            </w:r>
          </w:p>
        </w:tc>
      </w:tr>
      <w:tr>
        <w:trPr/>
        <w:tc>
          <w:tcPr>
            <w:tcW w:w="3438"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6523"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438" w:type="dxa"/>
            <w:tcBorders/>
            <w:shd w:fill="CCEEFF" w:val="clear"/>
            <w:vAlign w:val="bottom"/>
          </w:tcPr>
          <w:p>
            <w:pPr>
              <w:pStyle w:val="TableContents"/>
              <w:spacing w:before="0" w:after="0"/>
              <w:ind w:left="225" w:right="0" w:hanging="225"/>
              <w:rPr/>
            </w:pPr>
            <w:r>
              <w:rPr/>
              <w:t>Total</w:t>
            </w:r>
          </w:p>
        </w:tc>
        <w:tc>
          <w:tcPr>
            <w:tcW w:w="24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jc w:val="right"/>
              <w:rPr/>
            </w:pPr>
            <w:r>
              <w:rPr/>
              <w:t>$</w:t>
            </w:r>
          </w:p>
        </w:tc>
        <w:tc>
          <w:tcPr>
            <w:tcW w:w="1137" w:type="dxa"/>
            <w:tcBorders/>
            <w:shd w:fill="CCEEFF" w:val="clear"/>
            <w:vAlign w:val="bottom"/>
          </w:tcPr>
          <w:p>
            <w:pPr>
              <w:pStyle w:val="TableContents"/>
              <w:spacing w:before="0" w:after="283"/>
              <w:jc w:val="right"/>
              <w:rPr/>
            </w:pPr>
            <w:r>
              <w:rPr/>
              <w:t>348,821</w:t>
            </w:r>
          </w:p>
        </w:tc>
        <w:tc>
          <w:tcPr>
            <w:tcW w:w="194"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right"/>
              <w:rPr/>
            </w:pPr>
            <w:r>
              <w:rPr/>
              <w:t>$</w:t>
            </w:r>
          </w:p>
        </w:tc>
        <w:tc>
          <w:tcPr>
            <w:tcW w:w="949" w:type="dxa"/>
            <w:tcBorders/>
            <w:shd w:fill="CCEEFF" w:val="clear"/>
            <w:vAlign w:val="bottom"/>
          </w:tcPr>
          <w:p>
            <w:pPr>
              <w:pStyle w:val="TableContents"/>
              <w:spacing w:before="0" w:after="283"/>
              <w:jc w:val="right"/>
              <w:rPr/>
            </w:pPr>
            <w:r>
              <w:rPr/>
              <w:t>149,025</w:t>
            </w:r>
          </w:p>
        </w:tc>
        <w:tc>
          <w:tcPr>
            <w:tcW w:w="18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pPr>
            <w:r>
              <w:rPr/>
              <w:t>$</w:t>
            </w:r>
          </w:p>
        </w:tc>
        <w:tc>
          <w:tcPr>
            <w:tcW w:w="1009" w:type="dxa"/>
            <w:tcBorders/>
            <w:shd w:fill="CCEEFF" w:val="clear"/>
            <w:vAlign w:val="bottom"/>
          </w:tcPr>
          <w:p>
            <w:pPr>
              <w:pStyle w:val="TableContents"/>
              <w:spacing w:before="0" w:after="283"/>
              <w:jc w:val="right"/>
              <w:rPr/>
            </w:pPr>
            <w:r>
              <w:rPr/>
              <w:t>90,175</w:t>
            </w:r>
          </w:p>
        </w:tc>
        <w:tc>
          <w:tcPr>
            <w:tcW w:w="19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w:t>
            </w:r>
          </w:p>
        </w:tc>
        <w:tc>
          <w:tcPr>
            <w:tcW w:w="814" w:type="dxa"/>
            <w:tcBorders/>
            <w:shd w:fill="CCEEFF" w:val="clear"/>
            <w:vAlign w:val="bottom"/>
          </w:tcPr>
          <w:p>
            <w:pPr>
              <w:pStyle w:val="TableContents"/>
              <w:spacing w:before="0" w:after="283"/>
              <w:jc w:val="right"/>
              <w:rPr/>
            </w:pPr>
            <w:r>
              <w:rPr/>
              <w:t>588,021</w:t>
            </w:r>
          </w:p>
        </w:tc>
        <w:tc>
          <w:tcPr>
            <w:tcW w:w="180" w:type="dxa"/>
            <w:tcBorders/>
            <w:shd w:fill="CCEEFF" w:val="clear"/>
            <w:vAlign w:val="bottom"/>
          </w:tcPr>
          <w:p>
            <w:pPr>
              <w:pStyle w:val="TableContents"/>
              <w:spacing w:before="0" w:after="283"/>
              <w:rPr/>
            </w:pPr>
            <w:r>
              <w:rPr/>
              <w:t> </w:t>
            </w:r>
          </w:p>
        </w:tc>
      </w:tr>
      <w:tr>
        <w:trPr/>
        <w:tc>
          <w:tcPr>
            <w:tcW w:w="3438"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6523" w:type="dxa"/>
            <w:gridSpan w:val="15"/>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3438" w:type="dxa"/>
            <w:tcBorders/>
            <w:shd w:fill="auto" w:val="clear"/>
            <w:vAlign w:val="bottom"/>
          </w:tcPr>
          <w:p>
            <w:pPr>
              <w:pStyle w:val="TableContents"/>
              <w:spacing w:before="0" w:after="0"/>
              <w:ind w:left="225" w:right="0" w:hanging="225"/>
              <w:rPr/>
            </w:pPr>
            <w:r>
              <w:rPr/>
              <w:t> </w:t>
            </w:r>
          </w:p>
        </w:tc>
        <w:tc>
          <w:tcPr>
            <w:tcW w:w="24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94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3438" w:type="dxa"/>
            <w:tcBorders/>
            <w:shd w:fill="auto" w:val="clear"/>
            <w:vAlign w:val="bottom"/>
          </w:tcPr>
          <w:p>
            <w:pPr>
              <w:pStyle w:val="TableContents"/>
              <w:spacing w:before="0" w:after="0"/>
              <w:ind w:left="225" w:right="0" w:hanging="225"/>
              <w:rPr/>
            </w:pPr>
            <w:r>
              <w:rPr/>
              <w:t>Interest rate sensitivity of selected loans Fixed rate</w:t>
            </w:r>
          </w:p>
        </w:tc>
        <w:tc>
          <w:tcPr>
            <w:tcW w:w="24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jc w:val="right"/>
              <w:rPr/>
            </w:pPr>
            <w:r>
              <w:rPr/>
              <w:t>$</w:t>
            </w:r>
          </w:p>
        </w:tc>
        <w:tc>
          <w:tcPr>
            <w:tcW w:w="1137" w:type="dxa"/>
            <w:tcBorders/>
            <w:shd w:fill="auto" w:val="clear"/>
            <w:vAlign w:val="bottom"/>
          </w:tcPr>
          <w:p>
            <w:pPr>
              <w:pStyle w:val="TableContents"/>
              <w:spacing w:before="0" w:after="283"/>
              <w:jc w:val="right"/>
              <w:rPr/>
            </w:pPr>
            <w:r>
              <w:rPr/>
              <w:t>154,549</w:t>
            </w:r>
          </w:p>
        </w:tc>
        <w:tc>
          <w:tcPr>
            <w:tcW w:w="19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w:t>
            </w:r>
          </w:p>
        </w:tc>
        <w:tc>
          <w:tcPr>
            <w:tcW w:w="949" w:type="dxa"/>
            <w:tcBorders/>
            <w:shd w:fill="auto" w:val="clear"/>
            <w:vAlign w:val="bottom"/>
          </w:tcPr>
          <w:p>
            <w:pPr>
              <w:pStyle w:val="TableContents"/>
              <w:spacing w:before="0" w:after="283"/>
              <w:jc w:val="right"/>
              <w:rPr/>
            </w:pPr>
            <w:r>
              <w:rPr/>
              <w:t>50,453</w:t>
            </w:r>
          </w:p>
        </w:tc>
        <w:tc>
          <w:tcPr>
            <w:tcW w:w="18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w:t>
            </w:r>
          </w:p>
        </w:tc>
        <w:tc>
          <w:tcPr>
            <w:tcW w:w="1009" w:type="dxa"/>
            <w:tcBorders/>
            <w:shd w:fill="auto" w:val="clear"/>
            <w:vAlign w:val="bottom"/>
          </w:tcPr>
          <w:p>
            <w:pPr>
              <w:pStyle w:val="TableContents"/>
              <w:spacing w:before="0" w:after="283"/>
              <w:jc w:val="right"/>
              <w:rPr/>
            </w:pPr>
            <w:r>
              <w:rPr/>
              <w:t>27,407</w:t>
            </w:r>
          </w:p>
        </w:tc>
        <w:tc>
          <w:tcPr>
            <w:tcW w:w="19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right"/>
              <w:rPr/>
            </w:pPr>
            <w:r>
              <w:rPr/>
              <w:t>$</w:t>
            </w:r>
          </w:p>
        </w:tc>
        <w:tc>
          <w:tcPr>
            <w:tcW w:w="814" w:type="dxa"/>
            <w:tcBorders/>
            <w:shd w:fill="auto" w:val="clear"/>
            <w:vAlign w:val="bottom"/>
          </w:tcPr>
          <w:p>
            <w:pPr>
              <w:pStyle w:val="TableContents"/>
              <w:spacing w:before="0" w:after="283"/>
              <w:jc w:val="right"/>
              <w:rPr/>
            </w:pPr>
            <w:r>
              <w:rPr/>
              <w:t>232,409</w:t>
            </w:r>
          </w:p>
        </w:tc>
        <w:tc>
          <w:tcPr>
            <w:tcW w:w="180" w:type="dxa"/>
            <w:tcBorders/>
            <w:shd w:fill="auto" w:val="clear"/>
            <w:vAlign w:val="bottom"/>
          </w:tcPr>
          <w:p>
            <w:pPr>
              <w:pStyle w:val="TableContents"/>
              <w:spacing w:before="0" w:after="283"/>
              <w:rPr/>
            </w:pPr>
            <w:r>
              <w:rPr/>
              <w:t> </w:t>
            </w:r>
          </w:p>
        </w:tc>
      </w:tr>
      <w:tr>
        <w:trPr/>
        <w:tc>
          <w:tcPr>
            <w:tcW w:w="3438" w:type="dxa"/>
            <w:tcBorders/>
            <w:shd w:fill="CCEEFF" w:val="clear"/>
            <w:vAlign w:val="bottom"/>
          </w:tcPr>
          <w:p>
            <w:pPr>
              <w:pStyle w:val="TableContents"/>
              <w:spacing w:before="0" w:after="0"/>
              <w:ind w:left="225" w:right="0" w:hanging="225"/>
              <w:rPr/>
            </w:pPr>
            <w:r>
              <w:rPr/>
              <w:t>Adjustable rate</w:t>
            </w:r>
          </w:p>
        </w:tc>
        <w:tc>
          <w:tcPr>
            <w:tcW w:w="24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pPr>
            <w:r>
              <w:rPr/>
              <w:t>194,273</w:t>
            </w:r>
          </w:p>
        </w:tc>
        <w:tc>
          <w:tcPr>
            <w:tcW w:w="194"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pPr>
            <w:r>
              <w:rPr/>
              <w:t>98,572</w:t>
            </w:r>
          </w:p>
        </w:tc>
        <w:tc>
          <w:tcPr>
            <w:tcW w:w="18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62,767</w:t>
            </w:r>
          </w:p>
        </w:tc>
        <w:tc>
          <w:tcPr>
            <w:tcW w:w="19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355,612</w:t>
            </w:r>
          </w:p>
        </w:tc>
        <w:tc>
          <w:tcPr>
            <w:tcW w:w="180" w:type="dxa"/>
            <w:tcBorders/>
            <w:shd w:fill="CCEEFF" w:val="clear"/>
            <w:vAlign w:val="bottom"/>
          </w:tcPr>
          <w:p>
            <w:pPr>
              <w:pStyle w:val="TableContents"/>
              <w:spacing w:before="0" w:after="283"/>
              <w:rPr/>
            </w:pPr>
            <w:r>
              <w:rPr/>
              <w:t> </w:t>
            </w:r>
          </w:p>
        </w:tc>
      </w:tr>
      <w:tr>
        <w:trPr/>
        <w:tc>
          <w:tcPr>
            <w:tcW w:w="3438"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6523"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438" w:type="dxa"/>
            <w:tcBorders/>
            <w:shd w:fill="auto" w:val="clear"/>
            <w:vAlign w:val="bottom"/>
          </w:tcPr>
          <w:p>
            <w:pPr>
              <w:pStyle w:val="TableContents"/>
              <w:spacing w:before="0" w:after="0"/>
              <w:ind w:left="225" w:right="0" w:hanging="225"/>
              <w:rPr/>
            </w:pPr>
            <w:r>
              <w:rPr/>
              <w:t>Total</w:t>
            </w:r>
          </w:p>
        </w:tc>
        <w:tc>
          <w:tcPr>
            <w:tcW w:w="24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jc w:val="right"/>
              <w:rPr/>
            </w:pPr>
            <w:r>
              <w:rPr/>
              <w:t>$</w:t>
            </w:r>
          </w:p>
        </w:tc>
        <w:tc>
          <w:tcPr>
            <w:tcW w:w="1137" w:type="dxa"/>
            <w:tcBorders/>
            <w:shd w:fill="auto" w:val="clear"/>
            <w:vAlign w:val="bottom"/>
          </w:tcPr>
          <w:p>
            <w:pPr>
              <w:pStyle w:val="TableContents"/>
              <w:spacing w:before="0" w:after="283"/>
              <w:jc w:val="right"/>
              <w:rPr/>
            </w:pPr>
            <w:r>
              <w:rPr/>
              <w:t>348,822</w:t>
            </w:r>
          </w:p>
        </w:tc>
        <w:tc>
          <w:tcPr>
            <w:tcW w:w="19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w:t>
            </w:r>
          </w:p>
        </w:tc>
        <w:tc>
          <w:tcPr>
            <w:tcW w:w="949" w:type="dxa"/>
            <w:tcBorders/>
            <w:shd w:fill="auto" w:val="clear"/>
            <w:vAlign w:val="bottom"/>
          </w:tcPr>
          <w:p>
            <w:pPr>
              <w:pStyle w:val="TableContents"/>
              <w:spacing w:before="0" w:after="283"/>
              <w:jc w:val="right"/>
              <w:rPr/>
            </w:pPr>
            <w:r>
              <w:rPr/>
              <w:t>149,025</w:t>
            </w:r>
          </w:p>
        </w:tc>
        <w:tc>
          <w:tcPr>
            <w:tcW w:w="18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w:t>
            </w:r>
          </w:p>
        </w:tc>
        <w:tc>
          <w:tcPr>
            <w:tcW w:w="1009" w:type="dxa"/>
            <w:tcBorders/>
            <w:shd w:fill="auto" w:val="clear"/>
            <w:vAlign w:val="bottom"/>
          </w:tcPr>
          <w:p>
            <w:pPr>
              <w:pStyle w:val="TableContents"/>
              <w:spacing w:before="0" w:after="283"/>
              <w:jc w:val="right"/>
              <w:rPr/>
            </w:pPr>
            <w:r>
              <w:rPr/>
              <w:t>90,174</w:t>
            </w:r>
          </w:p>
        </w:tc>
        <w:tc>
          <w:tcPr>
            <w:tcW w:w="19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right"/>
              <w:rPr/>
            </w:pPr>
            <w:r>
              <w:rPr/>
              <w:t>$</w:t>
            </w:r>
          </w:p>
        </w:tc>
        <w:tc>
          <w:tcPr>
            <w:tcW w:w="814" w:type="dxa"/>
            <w:tcBorders/>
            <w:shd w:fill="auto" w:val="clear"/>
            <w:vAlign w:val="bottom"/>
          </w:tcPr>
          <w:p>
            <w:pPr>
              <w:pStyle w:val="TableContents"/>
              <w:spacing w:before="0" w:after="283"/>
              <w:jc w:val="right"/>
              <w:rPr/>
            </w:pPr>
            <w:r>
              <w:rPr/>
              <w:t>588,021</w:t>
            </w:r>
          </w:p>
        </w:tc>
        <w:tc>
          <w:tcPr>
            <w:tcW w:w="180" w:type="dxa"/>
            <w:tcBorders/>
            <w:shd w:fill="auto" w:val="clear"/>
            <w:vAlign w:val="bottom"/>
          </w:tcPr>
          <w:p>
            <w:pPr>
              <w:pStyle w:val="TableContents"/>
              <w:spacing w:before="0" w:after="283"/>
              <w:rPr/>
            </w:pPr>
            <w:r>
              <w:rPr/>
              <w:t> </w:t>
            </w:r>
          </w:p>
        </w:tc>
      </w:tr>
      <w:tr>
        <w:trPr/>
        <w:tc>
          <w:tcPr>
            <w:tcW w:w="3438"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6523" w:type="dxa"/>
            <w:gridSpan w:val="15"/>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i/>
          <w:sz w:val="17"/>
        </w:rPr>
        <w:t>Allowance for Loan Losses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shows activity affecting the allowance for loan losses: </w:t>
      </w:r>
    </w:p>
    <w:tbl>
      <w:tblPr>
        <w:tblW w:w="5000" w:type="pct"/>
        <w:jc w:val="center"/>
        <w:tblInd w:w="0" w:type="dxa"/>
        <w:tblCellMar>
          <w:top w:w="0" w:type="dxa"/>
          <w:left w:w="0" w:type="dxa"/>
          <w:bottom w:w="0" w:type="dxa"/>
          <w:right w:w="0" w:type="dxa"/>
        </w:tblCellMar>
      </w:tblPr>
      <w:tblGrid>
        <w:gridCol w:w="2327"/>
        <w:gridCol w:w="159"/>
        <w:gridCol w:w="197"/>
        <w:gridCol w:w="981"/>
        <w:gridCol w:w="271"/>
        <w:gridCol w:w="159"/>
        <w:gridCol w:w="197"/>
        <w:gridCol w:w="981"/>
        <w:gridCol w:w="271"/>
        <w:gridCol w:w="159"/>
        <w:gridCol w:w="197"/>
        <w:gridCol w:w="981"/>
        <w:gridCol w:w="271"/>
        <w:gridCol w:w="159"/>
        <w:gridCol w:w="197"/>
        <w:gridCol w:w="981"/>
        <w:gridCol w:w="271"/>
        <w:gridCol w:w="159"/>
        <w:gridCol w:w="197"/>
        <w:gridCol w:w="804"/>
        <w:gridCol w:w="286"/>
      </w:tblGrid>
      <w:tr>
        <w:trPr/>
        <w:tc>
          <w:tcPr>
            <w:tcW w:w="2327"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719" w:type="dxa"/>
            <w:gridSpan w:val="19"/>
            <w:tcBorders>
              <w:bottom w:val="single" w:sz="2" w:space="0" w:color="000000"/>
            </w:tcBorders>
            <w:shd w:fill="auto" w:val="clear"/>
            <w:tcMar>
              <w:bottom w:w="28" w:type="dxa"/>
            </w:tcMar>
            <w:vAlign w:val="bottom"/>
          </w:tcPr>
          <w:p>
            <w:pPr>
              <w:pStyle w:val="TableContents"/>
              <w:spacing w:before="0" w:after="283"/>
              <w:jc w:val="center"/>
              <w:rPr/>
            </w:pPr>
            <w:r>
              <w:rPr/>
              <w:t>Years ended December 31</w:t>
            </w:r>
          </w:p>
        </w:tc>
      </w:tr>
      <w:tr>
        <w:trPr/>
        <w:tc>
          <w:tcPr>
            <w:tcW w:w="2327"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449" w:type="dxa"/>
            <w:gridSpan w:val="3"/>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59" w:type="dxa"/>
            <w:tcBorders/>
            <w:shd w:fill="auto" w:val="clear"/>
            <w:vAlign w:val="bottom"/>
          </w:tcPr>
          <w:p>
            <w:pPr>
              <w:pStyle w:val="TableContents"/>
              <w:spacing w:before="0" w:after="283"/>
              <w:rPr/>
            </w:pPr>
            <w:r>
              <w:rPr/>
              <w:t> </w:t>
            </w:r>
          </w:p>
        </w:tc>
        <w:tc>
          <w:tcPr>
            <w:tcW w:w="1449" w:type="dxa"/>
            <w:gridSpan w:val="3"/>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59" w:type="dxa"/>
            <w:tcBorders/>
            <w:shd w:fill="auto" w:val="clear"/>
            <w:vAlign w:val="bottom"/>
          </w:tcPr>
          <w:p>
            <w:pPr>
              <w:pStyle w:val="TableContents"/>
              <w:spacing w:before="0" w:after="283"/>
              <w:rPr/>
            </w:pPr>
            <w:r>
              <w:rPr/>
              <w:t> </w:t>
            </w:r>
          </w:p>
        </w:tc>
        <w:tc>
          <w:tcPr>
            <w:tcW w:w="1449" w:type="dxa"/>
            <w:gridSpan w:val="3"/>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159" w:type="dxa"/>
            <w:tcBorders/>
            <w:shd w:fill="auto" w:val="clear"/>
            <w:vAlign w:val="bottom"/>
          </w:tcPr>
          <w:p>
            <w:pPr>
              <w:pStyle w:val="TableContents"/>
              <w:spacing w:before="0" w:after="283"/>
              <w:rPr/>
            </w:pPr>
            <w:r>
              <w:rPr/>
              <w:t> </w:t>
            </w:r>
          </w:p>
        </w:tc>
        <w:tc>
          <w:tcPr>
            <w:tcW w:w="1449" w:type="dxa"/>
            <w:gridSpan w:val="3"/>
            <w:tcBorders>
              <w:bottom w:val="single" w:sz="2" w:space="0" w:color="000000"/>
            </w:tcBorders>
            <w:shd w:fill="auto" w:val="clear"/>
            <w:tcMar>
              <w:bottom w:w="28" w:type="dxa"/>
            </w:tcMar>
            <w:vAlign w:val="bottom"/>
          </w:tcPr>
          <w:p>
            <w:pPr>
              <w:pStyle w:val="TableContents"/>
              <w:spacing w:before="0" w:after="283"/>
              <w:jc w:val="center"/>
              <w:rPr/>
            </w:pPr>
            <w:r>
              <w:rPr/>
              <w:t>2002</w:t>
            </w:r>
          </w:p>
        </w:tc>
        <w:tc>
          <w:tcPr>
            <w:tcW w:w="159" w:type="dxa"/>
            <w:tcBorders/>
            <w:shd w:fill="auto" w:val="clear"/>
            <w:vAlign w:val="bottom"/>
          </w:tcPr>
          <w:p>
            <w:pPr>
              <w:pStyle w:val="TableContents"/>
              <w:spacing w:before="0" w:after="283"/>
              <w:rPr/>
            </w:pPr>
            <w:r>
              <w:rPr/>
              <w:t> </w:t>
            </w:r>
          </w:p>
        </w:tc>
        <w:tc>
          <w:tcPr>
            <w:tcW w:w="1287" w:type="dxa"/>
            <w:gridSpan w:val="3"/>
            <w:tcBorders>
              <w:bottom w:val="single" w:sz="2" w:space="0" w:color="000000"/>
            </w:tcBorders>
            <w:shd w:fill="auto" w:val="clear"/>
            <w:tcMar>
              <w:bottom w:w="28" w:type="dxa"/>
            </w:tcMar>
            <w:vAlign w:val="bottom"/>
          </w:tcPr>
          <w:p>
            <w:pPr>
              <w:pStyle w:val="TableContents"/>
              <w:spacing w:before="0" w:after="283"/>
              <w:jc w:val="center"/>
              <w:rPr/>
            </w:pPr>
            <w:r>
              <w:rPr/>
              <w:t>2001</w:t>
            </w:r>
          </w:p>
        </w:tc>
      </w:tr>
      <w:tr>
        <w:trPr/>
        <w:tc>
          <w:tcPr>
            <w:tcW w:w="232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19"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327"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719" w:type="dxa"/>
            <w:gridSpan w:val="19"/>
            <w:tcBorders/>
            <w:shd w:fill="auto" w:val="clear"/>
            <w:vAlign w:val="bottom"/>
          </w:tcPr>
          <w:p>
            <w:pPr>
              <w:pStyle w:val="TableContents"/>
              <w:spacing w:before="0" w:after="283"/>
              <w:jc w:val="center"/>
              <w:rPr/>
            </w:pPr>
            <w:r>
              <w:rPr/>
              <w:t>(dollars in thousands)</w:t>
            </w:r>
          </w:p>
        </w:tc>
      </w:tr>
      <w:tr>
        <w:trPr/>
        <w:tc>
          <w:tcPr>
            <w:tcW w:w="2327" w:type="dxa"/>
            <w:tcBorders/>
            <w:shd w:fill="CCEEFF" w:val="clear"/>
            <w:vAlign w:val="bottom"/>
          </w:tcPr>
          <w:p>
            <w:pPr>
              <w:pStyle w:val="TableContents"/>
              <w:spacing w:before="0" w:after="0"/>
              <w:ind w:left="225" w:right="0" w:hanging="225"/>
              <w:rPr/>
            </w:pPr>
            <w:r>
              <w:rPr/>
              <w:t>Average loans outstanding during period</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1,604,198</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1,355,487</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1,118,667</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1,015,073</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804" w:type="dxa"/>
            <w:tcBorders/>
            <w:shd w:fill="CCEEFF" w:val="clear"/>
            <w:vAlign w:val="bottom"/>
          </w:tcPr>
          <w:p>
            <w:pPr>
              <w:pStyle w:val="TableContents"/>
              <w:spacing w:before="0" w:after="283"/>
              <w:jc w:val="right"/>
              <w:rPr/>
            </w:pPr>
            <w:r>
              <w:rPr/>
              <w:t>961,779</w:t>
            </w:r>
          </w:p>
        </w:tc>
        <w:tc>
          <w:tcPr>
            <w:tcW w:w="286" w:type="dxa"/>
            <w:tcBorders/>
            <w:shd w:fill="CCEEFF"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19"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2327" w:type="dxa"/>
            <w:tcBorders/>
            <w:shd w:fill="auto" w:val="clear"/>
            <w:vAlign w:val="bottom"/>
          </w:tcPr>
          <w:p>
            <w:pPr>
              <w:pStyle w:val="TableContents"/>
              <w:spacing w:before="0" w:after="0"/>
              <w:ind w:left="225" w:right="0" w:hanging="225"/>
              <w:rPr/>
            </w:pPr>
            <w:r>
              <w:rPr/>
              <w:t>Allowance for loan losses:</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r>
      <w:tr>
        <w:trPr/>
        <w:tc>
          <w:tcPr>
            <w:tcW w:w="2327" w:type="dxa"/>
            <w:tcBorders/>
            <w:shd w:fill="CCEEFF" w:val="clear"/>
            <w:vAlign w:val="bottom"/>
          </w:tcPr>
          <w:p>
            <w:pPr>
              <w:pStyle w:val="TableContents"/>
              <w:spacing w:before="0" w:after="0"/>
              <w:ind w:left="450" w:right="0" w:hanging="225"/>
              <w:rPr/>
            </w:pPr>
            <w:r>
              <w:rPr/>
              <w:t>Balance at beginning of period</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19,217</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16,228</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15,460</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13,688</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804" w:type="dxa"/>
            <w:tcBorders/>
            <w:shd w:fill="CCEEFF" w:val="clear"/>
            <w:vAlign w:val="bottom"/>
          </w:tcPr>
          <w:p>
            <w:pPr>
              <w:pStyle w:val="TableContents"/>
              <w:spacing w:before="0" w:after="283"/>
              <w:jc w:val="right"/>
              <w:rPr/>
            </w:pPr>
            <w:r>
              <w:rPr/>
              <w:t>12,268</w:t>
            </w:r>
          </w:p>
        </w:tc>
        <w:tc>
          <w:tcPr>
            <w:tcW w:w="286" w:type="dxa"/>
            <w:tcBorders/>
            <w:shd w:fill="CCEEFF"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19"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327" w:type="dxa"/>
            <w:tcBorders/>
            <w:shd w:fill="auto" w:val="clear"/>
            <w:vAlign w:val="bottom"/>
          </w:tcPr>
          <w:p>
            <w:pPr>
              <w:pStyle w:val="TableContents"/>
              <w:spacing w:before="0" w:after="0"/>
              <w:ind w:left="225" w:right="0" w:hanging="225"/>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0"/>
              <w:ind w:left="225" w:right="0" w:hanging="225"/>
              <w:rPr/>
            </w:pPr>
            <w:r>
              <w:rPr/>
              <w:t>Loans charged-off:</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r>
      <w:tr>
        <w:trPr/>
        <w:tc>
          <w:tcPr>
            <w:tcW w:w="2327" w:type="dxa"/>
            <w:tcBorders/>
            <w:shd w:fill="CCEEFF" w:val="clear"/>
            <w:vAlign w:val="bottom"/>
          </w:tcPr>
          <w:p>
            <w:pPr>
              <w:pStyle w:val="TableContents"/>
              <w:spacing w:before="0" w:after="0"/>
              <w:ind w:left="450" w:right="0" w:hanging="225"/>
              <w:rPr/>
            </w:pPr>
            <w:r>
              <w:rPr/>
              <w:t>Commercial, financial and agricultural</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152</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1,782</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2,123</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775</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804" w:type="dxa"/>
            <w:tcBorders/>
            <w:shd w:fill="CCEEFF" w:val="clear"/>
            <w:vAlign w:val="bottom"/>
          </w:tcPr>
          <w:p>
            <w:pPr>
              <w:pStyle w:val="TableContents"/>
              <w:spacing w:before="0" w:after="283"/>
              <w:jc w:val="right"/>
              <w:rPr/>
            </w:pPr>
            <w:r>
              <w:rPr/>
              <w:t>103</w:t>
            </w:r>
          </w:p>
        </w:tc>
        <w:tc>
          <w:tcPr>
            <w:tcW w:w="286" w:type="dxa"/>
            <w:tcBorders/>
            <w:shd w:fill="CCEEFF"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0"/>
              <w:ind w:left="450" w:right="0" w:hanging="225"/>
              <w:rPr/>
            </w:pPr>
            <w:r>
              <w:rPr/>
              <w:t>Real estate-construction</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48</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76</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w:t>
            </w:r>
          </w:p>
        </w:tc>
        <w:tc>
          <w:tcPr>
            <w:tcW w:w="286" w:type="dxa"/>
            <w:tcBorders/>
            <w:shd w:fill="auto" w:val="clear"/>
            <w:vAlign w:val="bottom"/>
          </w:tcPr>
          <w:p>
            <w:pPr>
              <w:pStyle w:val="TableContents"/>
              <w:spacing w:before="0" w:after="283"/>
              <w:rPr/>
            </w:pPr>
            <w:r>
              <w:rPr/>
              <w:t> </w:t>
            </w:r>
          </w:p>
        </w:tc>
      </w:tr>
      <w:tr>
        <w:trPr/>
        <w:tc>
          <w:tcPr>
            <w:tcW w:w="2327" w:type="dxa"/>
            <w:tcBorders/>
            <w:shd w:fill="CCEEFF" w:val="clear"/>
            <w:vAlign w:val="bottom"/>
          </w:tcPr>
          <w:p>
            <w:pPr>
              <w:pStyle w:val="TableContents"/>
              <w:spacing w:before="0" w:after="0"/>
              <w:ind w:left="450" w:right="0" w:hanging="225"/>
              <w:rPr/>
            </w:pPr>
            <w:r>
              <w:rPr/>
              <w:t>Real estate-mortgage</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628</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141</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172</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659</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408</w:t>
            </w:r>
          </w:p>
        </w:tc>
        <w:tc>
          <w:tcPr>
            <w:tcW w:w="286" w:type="dxa"/>
            <w:tcBorders/>
            <w:shd w:fill="CCEEFF"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0"/>
              <w:ind w:left="450" w:right="0" w:hanging="225"/>
              <w:rPr/>
            </w:pPr>
            <w:r>
              <w:rPr/>
              <w:t>Installment loans to individuals</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160</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216</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220</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319</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265</w:t>
            </w:r>
          </w:p>
        </w:tc>
        <w:tc>
          <w:tcPr>
            <w:tcW w:w="286" w:type="dxa"/>
            <w:tcBorders/>
            <w:shd w:fill="auto"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19"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327" w:type="dxa"/>
            <w:tcBorders/>
            <w:shd w:fill="CCEEFF" w:val="clear"/>
            <w:vAlign w:val="bottom"/>
          </w:tcPr>
          <w:p>
            <w:pPr>
              <w:pStyle w:val="TableContents"/>
              <w:spacing w:before="0" w:after="0"/>
              <w:ind w:left="225" w:right="0" w:hanging="225"/>
              <w:rPr/>
            </w:pPr>
            <w:r>
              <w:rPr/>
              <w:t>Total charge-offs</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940</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2,187</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2,515</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1,829</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804" w:type="dxa"/>
            <w:tcBorders/>
            <w:shd w:fill="CCEEFF" w:val="clear"/>
            <w:vAlign w:val="bottom"/>
          </w:tcPr>
          <w:p>
            <w:pPr>
              <w:pStyle w:val="TableContents"/>
              <w:spacing w:before="0" w:after="283"/>
              <w:jc w:val="right"/>
              <w:rPr/>
            </w:pPr>
            <w:r>
              <w:rPr/>
              <w:t>776</w:t>
            </w:r>
          </w:p>
        </w:tc>
        <w:tc>
          <w:tcPr>
            <w:tcW w:w="286" w:type="dxa"/>
            <w:tcBorders/>
            <w:shd w:fill="CCEEFF"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19"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327" w:type="dxa"/>
            <w:tcBorders/>
            <w:shd w:fill="auto" w:val="clear"/>
            <w:vAlign w:val="bottom"/>
          </w:tcPr>
          <w:p>
            <w:pPr>
              <w:pStyle w:val="TableContents"/>
              <w:spacing w:before="0" w:after="0"/>
              <w:ind w:left="225" w:right="0" w:hanging="225"/>
              <w:rPr/>
            </w:pPr>
            <w:r>
              <w:rPr/>
              <w:t>Recoveries:</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r>
      <w:tr>
        <w:trPr/>
        <w:tc>
          <w:tcPr>
            <w:tcW w:w="2327" w:type="dxa"/>
            <w:tcBorders/>
            <w:shd w:fill="CCEEFF" w:val="clear"/>
            <w:vAlign w:val="bottom"/>
          </w:tcPr>
          <w:p>
            <w:pPr>
              <w:pStyle w:val="TableContents"/>
              <w:spacing w:before="0" w:after="0"/>
              <w:ind w:left="450" w:right="0" w:hanging="225"/>
              <w:rPr/>
            </w:pPr>
            <w:r>
              <w:rPr/>
              <w:t>Commercial, financial and agricultural</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133</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57</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69</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349</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804" w:type="dxa"/>
            <w:tcBorders/>
            <w:shd w:fill="CCEEFF" w:val="clear"/>
            <w:vAlign w:val="bottom"/>
          </w:tcPr>
          <w:p>
            <w:pPr>
              <w:pStyle w:val="TableContents"/>
              <w:spacing w:before="0" w:after="283"/>
              <w:jc w:val="right"/>
              <w:rPr/>
            </w:pPr>
            <w:r>
              <w:rPr/>
              <w:t>15</w:t>
            </w:r>
          </w:p>
        </w:tc>
        <w:tc>
          <w:tcPr>
            <w:tcW w:w="286" w:type="dxa"/>
            <w:tcBorders/>
            <w:shd w:fill="CCEEFF"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0"/>
              <w:ind w:left="450" w:right="0" w:hanging="225"/>
              <w:rPr/>
            </w:pPr>
            <w:r>
              <w:rPr/>
              <w:t>Real estate-construction</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w:t>
            </w:r>
          </w:p>
        </w:tc>
        <w:tc>
          <w:tcPr>
            <w:tcW w:w="286" w:type="dxa"/>
            <w:tcBorders/>
            <w:shd w:fill="auto" w:val="clear"/>
            <w:vAlign w:val="bottom"/>
          </w:tcPr>
          <w:p>
            <w:pPr>
              <w:pStyle w:val="TableContents"/>
              <w:spacing w:before="0" w:after="283"/>
              <w:rPr/>
            </w:pPr>
            <w:r>
              <w:rPr/>
              <w:t> </w:t>
            </w:r>
          </w:p>
        </w:tc>
      </w:tr>
      <w:tr>
        <w:trPr/>
        <w:tc>
          <w:tcPr>
            <w:tcW w:w="2327" w:type="dxa"/>
            <w:tcBorders/>
            <w:shd w:fill="CCEEFF" w:val="clear"/>
            <w:vAlign w:val="bottom"/>
          </w:tcPr>
          <w:p>
            <w:pPr>
              <w:pStyle w:val="TableContents"/>
              <w:spacing w:before="0" w:after="0"/>
              <w:ind w:left="450" w:right="0" w:hanging="225"/>
              <w:rPr/>
            </w:pPr>
            <w:r>
              <w:rPr/>
              <w:t>Real estate-mortgage</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7</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28</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6</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26</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42</w:t>
            </w:r>
          </w:p>
        </w:tc>
        <w:tc>
          <w:tcPr>
            <w:tcW w:w="286" w:type="dxa"/>
            <w:tcBorders/>
            <w:shd w:fill="CCEEFF"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0"/>
              <w:ind w:left="450" w:right="0" w:hanging="225"/>
              <w:rPr/>
            </w:pPr>
            <w:r>
              <w:rPr/>
              <w:t>Installment loans to individuals</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75</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117</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150</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101</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119</w:t>
            </w:r>
          </w:p>
        </w:tc>
        <w:tc>
          <w:tcPr>
            <w:tcW w:w="286" w:type="dxa"/>
            <w:tcBorders/>
            <w:shd w:fill="auto"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19"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327" w:type="dxa"/>
            <w:tcBorders/>
            <w:shd w:fill="CCEEFF" w:val="clear"/>
            <w:vAlign w:val="bottom"/>
          </w:tcPr>
          <w:p>
            <w:pPr>
              <w:pStyle w:val="TableContents"/>
              <w:spacing w:before="0" w:after="0"/>
              <w:ind w:left="225" w:right="0" w:hanging="225"/>
              <w:rPr/>
            </w:pPr>
            <w:r>
              <w:rPr/>
              <w:t>Total recoveries</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215</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202</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225</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476</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804" w:type="dxa"/>
            <w:tcBorders/>
            <w:shd w:fill="CCEEFF" w:val="clear"/>
            <w:vAlign w:val="bottom"/>
          </w:tcPr>
          <w:p>
            <w:pPr>
              <w:pStyle w:val="TableContents"/>
              <w:spacing w:before="0" w:after="283"/>
              <w:jc w:val="right"/>
              <w:rPr/>
            </w:pPr>
            <w:r>
              <w:rPr/>
              <w:t>176</w:t>
            </w:r>
          </w:p>
        </w:tc>
        <w:tc>
          <w:tcPr>
            <w:tcW w:w="286" w:type="dxa"/>
            <w:tcBorders/>
            <w:shd w:fill="CCEEFF"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19"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327" w:type="dxa"/>
            <w:tcBorders/>
            <w:shd w:fill="auto" w:val="clear"/>
            <w:vAlign w:val="bottom"/>
          </w:tcPr>
          <w:p>
            <w:pPr>
              <w:pStyle w:val="TableContents"/>
              <w:spacing w:before="0" w:after="0"/>
              <w:ind w:left="225" w:right="0" w:hanging="225"/>
              <w:rPr/>
            </w:pPr>
            <w:r>
              <w:rPr/>
              <w:t>Net loans charged-off</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981" w:type="dxa"/>
            <w:tcBorders/>
            <w:shd w:fill="auto" w:val="clear"/>
            <w:vAlign w:val="bottom"/>
          </w:tcPr>
          <w:p>
            <w:pPr>
              <w:pStyle w:val="TableContents"/>
              <w:spacing w:before="0" w:after="283"/>
              <w:jc w:val="right"/>
              <w:rPr/>
            </w:pPr>
            <w:r>
              <w:rPr/>
              <w:t>725</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981" w:type="dxa"/>
            <w:tcBorders/>
            <w:shd w:fill="auto" w:val="clear"/>
            <w:vAlign w:val="bottom"/>
          </w:tcPr>
          <w:p>
            <w:pPr>
              <w:pStyle w:val="TableContents"/>
              <w:spacing w:before="0" w:after="283"/>
              <w:jc w:val="right"/>
              <w:rPr/>
            </w:pPr>
            <w:r>
              <w:rPr/>
              <w:t>1,985</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981" w:type="dxa"/>
            <w:tcBorders/>
            <w:shd w:fill="auto" w:val="clear"/>
            <w:vAlign w:val="bottom"/>
          </w:tcPr>
          <w:p>
            <w:pPr>
              <w:pStyle w:val="TableContents"/>
              <w:spacing w:before="0" w:after="283"/>
              <w:jc w:val="right"/>
              <w:rPr/>
            </w:pPr>
            <w:r>
              <w:rPr/>
              <w:t>2,290</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981" w:type="dxa"/>
            <w:tcBorders/>
            <w:shd w:fill="auto" w:val="clear"/>
            <w:vAlign w:val="bottom"/>
          </w:tcPr>
          <w:p>
            <w:pPr>
              <w:pStyle w:val="TableContents"/>
              <w:spacing w:before="0" w:after="283"/>
              <w:jc w:val="right"/>
              <w:rPr/>
            </w:pPr>
            <w:r>
              <w:rPr/>
              <w:t>1,353</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804" w:type="dxa"/>
            <w:tcBorders/>
            <w:shd w:fill="auto" w:val="clear"/>
            <w:vAlign w:val="bottom"/>
          </w:tcPr>
          <w:p>
            <w:pPr>
              <w:pStyle w:val="TableContents"/>
              <w:spacing w:before="0" w:after="283"/>
              <w:jc w:val="right"/>
              <w:rPr/>
            </w:pPr>
            <w:r>
              <w:rPr/>
              <w:t>600</w:t>
            </w:r>
          </w:p>
        </w:tc>
        <w:tc>
          <w:tcPr>
            <w:tcW w:w="286" w:type="dxa"/>
            <w:tcBorders/>
            <w:shd w:fill="auto"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19"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327" w:type="dxa"/>
            <w:tcBorders/>
            <w:shd w:fill="CCEEFF" w:val="clear"/>
            <w:vAlign w:val="bottom"/>
          </w:tcPr>
          <w:p>
            <w:pPr>
              <w:pStyle w:val="TableContents"/>
              <w:spacing w:before="0" w:after="0"/>
              <w:ind w:left="225" w:right="0" w:hanging="225"/>
              <w:rPr/>
            </w:pPr>
            <w:r>
              <w:rPr/>
              <w:t>Provision for loan losses</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3,490</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2,905</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3,058</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3,125</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804" w:type="dxa"/>
            <w:tcBorders/>
            <w:shd w:fill="CCEEFF" w:val="clear"/>
            <w:vAlign w:val="bottom"/>
          </w:tcPr>
          <w:p>
            <w:pPr>
              <w:pStyle w:val="TableContents"/>
              <w:spacing w:before="0" w:after="283"/>
              <w:jc w:val="right"/>
              <w:rPr/>
            </w:pPr>
            <w:r>
              <w:rPr/>
              <w:t>2,020</w:t>
            </w:r>
          </w:p>
        </w:tc>
        <w:tc>
          <w:tcPr>
            <w:tcW w:w="286" w:type="dxa"/>
            <w:tcBorders/>
            <w:shd w:fill="CCEEFF"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19"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327" w:type="dxa"/>
            <w:tcBorders/>
            <w:shd w:fill="auto" w:val="clear"/>
            <w:vAlign w:val="bottom"/>
          </w:tcPr>
          <w:p>
            <w:pPr>
              <w:pStyle w:val="TableContents"/>
              <w:spacing w:before="0" w:after="0"/>
              <w:ind w:left="225" w:right="0" w:hanging="225"/>
              <w:rPr/>
            </w:pPr>
            <w:r>
              <w:rPr/>
              <w:t>Net additions due to acquisition</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981" w:type="dxa"/>
            <w:tcBorders/>
            <w:shd w:fill="auto" w:val="clear"/>
            <w:vAlign w:val="bottom"/>
          </w:tcPr>
          <w:p>
            <w:pPr>
              <w:pStyle w:val="TableContents"/>
              <w:spacing w:before="0" w:after="283"/>
              <w:jc w:val="right"/>
              <w:rPr/>
            </w:pPr>
            <w:r>
              <w:rPr/>
              <w:t>1,208</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981" w:type="dxa"/>
            <w:tcBorders/>
            <w:shd w:fill="auto" w:val="clear"/>
            <w:vAlign w:val="bottom"/>
          </w:tcPr>
          <w:p>
            <w:pPr>
              <w:pStyle w:val="TableContents"/>
              <w:spacing w:before="0" w:after="283"/>
              <w:jc w:val="right"/>
              <w:rPr/>
            </w:pPr>
            <w:r>
              <w:rPr/>
              <w:t>2,069</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981" w:type="dxa"/>
            <w:tcBorders/>
            <w:shd w:fill="auto" w:val="clear"/>
            <w:vAlign w:val="bottom"/>
          </w:tcPr>
          <w:p>
            <w:pPr>
              <w:pStyle w:val="TableContents"/>
              <w:spacing w:before="0" w:after="283"/>
              <w:jc w:val="right"/>
              <w:rPr/>
            </w:pPr>
            <w:r>
              <w:rPr/>
              <w:t></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981" w:type="dxa"/>
            <w:tcBorders/>
            <w:shd w:fill="auto" w:val="clear"/>
            <w:vAlign w:val="bottom"/>
          </w:tcPr>
          <w:p>
            <w:pPr>
              <w:pStyle w:val="TableContents"/>
              <w:spacing w:before="0" w:after="283"/>
              <w:jc w:val="right"/>
              <w:rPr/>
            </w:pPr>
            <w:r>
              <w:rPr/>
              <w:t></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804" w:type="dxa"/>
            <w:tcBorders/>
            <w:shd w:fill="auto" w:val="clear"/>
            <w:vAlign w:val="bottom"/>
          </w:tcPr>
          <w:p>
            <w:pPr>
              <w:pStyle w:val="TableContents"/>
              <w:spacing w:before="0" w:after="283"/>
              <w:jc w:val="right"/>
              <w:rPr/>
            </w:pPr>
            <w:r>
              <w:rPr/>
              <w:t></w:t>
            </w:r>
          </w:p>
        </w:tc>
        <w:tc>
          <w:tcPr>
            <w:tcW w:w="286" w:type="dxa"/>
            <w:tcBorders/>
            <w:shd w:fill="auto"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19"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327" w:type="dxa"/>
            <w:tcBorders/>
            <w:shd w:fill="CCEEFF" w:val="clear"/>
            <w:vAlign w:val="bottom"/>
          </w:tcPr>
          <w:p>
            <w:pPr>
              <w:pStyle w:val="TableContents"/>
              <w:spacing w:before="0" w:after="0"/>
              <w:ind w:left="225" w:right="0" w:hanging="225"/>
              <w:rPr/>
            </w:pPr>
            <w:r>
              <w:rPr/>
              <w:t>Balance at end of period</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23,190</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19,217</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16,228</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981" w:type="dxa"/>
            <w:tcBorders/>
            <w:shd w:fill="CCEEFF" w:val="clear"/>
            <w:vAlign w:val="bottom"/>
          </w:tcPr>
          <w:p>
            <w:pPr>
              <w:pStyle w:val="TableContents"/>
              <w:spacing w:before="0" w:after="283"/>
              <w:jc w:val="right"/>
              <w:rPr/>
            </w:pPr>
            <w:r>
              <w:rPr/>
              <w:t>15,460</w:t>
            </w:r>
          </w:p>
        </w:tc>
        <w:tc>
          <w:tcPr>
            <w:tcW w:w="27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w:t>
            </w:r>
          </w:p>
        </w:tc>
        <w:tc>
          <w:tcPr>
            <w:tcW w:w="804" w:type="dxa"/>
            <w:tcBorders/>
            <w:shd w:fill="CCEEFF" w:val="clear"/>
            <w:vAlign w:val="bottom"/>
          </w:tcPr>
          <w:p>
            <w:pPr>
              <w:pStyle w:val="TableContents"/>
              <w:spacing w:before="0" w:after="283"/>
              <w:jc w:val="right"/>
              <w:rPr/>
            </w:pPr>
            <w:r>
              <w:rPr/>
              <w:t>13,688</w:t>
            </w:r>
          </w:p>
        </w:tc>
        <w:tc>
          <w:tcPr>
            <w:tcW w:w="286" w:type="dxa"/>
            <w:tcBorders/>
            <w:shd w:fill="CCEEFF"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19"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2327" w:type="dxa"/>
            <w:tcBorders/>
            <w:shd w:fill="auto" w:val="clear"/>
            <w:vAlign w:val="bottom"/>
          </w:tcPr>
          <w:p>
            <w:pPr>
              <w:pStyle w:val="TableContents"/>
              <w:spacing w:before="0" w:after="0"/>
              <w:ind w:left="225" w:right="0" w:hanging="225"/>
              <w:rPr/>
            </w:pPr>
            <w:r>
              <w:rPr/>
              <w:t>Ratios:</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r>
      <w:tr>
        <w:trPr/>
        <w:tc>
          <w:tcPr>
            <w:tcW w:w="2327" w:type="dxa"/>
            <w:tcBorders/>
            <w:shd w:fill="CCEEFF" w:val="clear"/>
            <w:vAlign w:val="bottom"/>
          </w:tcPr>
          <w:p>
            <w:pPr>
              <w:pStyle w:val="TableContents"/>
              <w:spacing w:before="0" w:after="0"/>
              <w:ind w:left="450" w:right="0" w:hanging="225"/>
              <w:rPr/>
            </w:pPr>
            <w:r>
              <w:rPr/>
              <w:t>Net charge-offs to average loans</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 </w:t>
            </w:r>
          </w:p>
        </w:tc>
        <w:tc>
          <w:tcPr>
            <w:tcW w:w="981" w:type="dxa"/>
            <w:tcBorders/>
            <w:shd w:fill="CCEEFF" w:val="clear"/>
            <w:vAlign w:val="bottom"/>
          </w:tcPr>
          <w:p>
            <w:pPr>
              <w:pStyle w:val="TableContents"/>
              <w:spacing w:before="0" w:after="283"/>
              <w:jc w:val="right"/>
              <w:rPr/>
            </w:pPr>
            <w:r>
              <w:rPr/>
              <w:t>0.05</w:t>
            </w:r>
          </w:p>
        </w:tc>
        <w:tc>
          <w:tcPr>
            <w:tcW w:w="271"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 </w:t>
            </w:r>
          </w:p>
        </w:tc>
        <w:tc>
          <w:tcPr>
            <w:tcW w:w="981" w:type="dxa"/>
            <w:tcBorders/>
            <w:shd w:fill="CCEEFF" w:val="clear"/>
            <w:vAlign w:val="bottom"/>
          </w:tcPr>
          <w:p>
            <w:pPr>
              <w:pStyle w:val="TableContents"/>
              <w:spacing w:before="0" w:after="283"/>
              <w:jc w:val="right"/>
              <w:rPr/>
            </w:pPr>
            <w:r>
              <w:rPr/>
              <w:t>0.15</w:t>
            </w:r>
          </w:p>
        </w:tc>
        <w:tc>
          <w:tcPr>
            <w:tcW w:w="271"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 </w:t>
            </w:r>
          </w:p>
        </w:tc>
        <w:tc>
          <w:tcPr>
            <w:tcW w:w="981" w:type="dxa"/>
            <w:tcBorders/>
            <w:shd w:fill="CCEEFF" w:val="clear"/>
            <w:vAlign w:val="bottom"/>
          </w:tcPr>
          <w:p>
            <w:pPr>
              <w:pStyle w:val="TableContents"/>
              <w:spacing w:before="0" w:after="283"/>
              <w:jc w:val="right"/>
              <w:rPr/>
            </w:pPr>
            <w:r>
              <w:rPr/>
              <w:t>0.20</w:t>
            </w:r>
          </w:p>
        </w:tc>
        <w:tc>
          <w:tcPr>
            <w:tcW w:w="271"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 </w:t>
            </w:r>
          </w:p>
        </w:tc>
        <w:tc>
          <w:tcPr>
            <w:tcW w:w="981" w:type="dxa"/>
            <w:tcBorders/>
            <w:shd w:fill="CCEEFF" w:val="clear"/>
            <w:vAlign w:val="bottom"/>
          </w:tcPr>
          <w:p>
            <w:pPr>
              <w:pStyle w:val="TableContents"/>
              <w:spacing w:before="0" w:after="283"/>
              <w:jc w:val="right"/>
              <w:rPr/>
            </w:pPr>
            <w:r>
              <w:rPr/>
              <w:t>0.13</w:t>
            </w:r>
          </w:p>
        </w:tc>
        <w:tc>
          <w:tcPr>
            <w:tcW w:w="271"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right"/>
              <w:rPr/>
            </w:pPr>
            <w:r>
              <w:rPr/>
              <w:t> </w:t>
            </w:r>
          </w:p>
        </w:tc>
        <w:tc>
          <w:tcPr>
            <w:tcW w:w="804" w:type="dxa"/>
            <w:tcBorders/>
            <w:shd w:fill="CCEEFF" w:val="clear"/>
            <w:vAlign w:val="bottom"/>
          </w:tcPr>
          <w:p>
            <w:pPr>
              <w:pStyle w:val="TableContents"/>
              <w:spacing w:before="0" w:after="283"/>
              <w:jc w:val="right"/>
              <w:rPr/>
            </w:pPr>
            <w:r>
              <w:rPr/>
              <w:t>0.06</w:t>
            </w:r>
          </w:p>
        </w:tc>
        <w:tc>
          <w:tcPr>
            <w:tcW w:w="286" w:type="dxa"/>
            <w:tcBorders/>
            <w:shd w:fill="CCEEFF" w:val="clear"/>
            <w:vAlign w:val="bottom"/>
          </w:tcPr>
          <w:p>
            <w:pPr>
              <w:pStyle w:val="TableContents"/>
              <w:spacing w:before="0" w:after="283"/>
              <w:rPr/>
            </w:pPr>
            <w:r>
              <w:rPr/>
              <w:t>%</w:t>
            </w:r>
          </w:p>
        </w:tc>
      </w:tr>
      <w:tr>
        <w:trPr/>
        <w:tc>
          <w:tcPr>
            <w:tcW w:w="232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19"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2327" w:type="dxa"/>
            <w:tcBorders/>
            <w:shd w:fill="auto" w:val="clear"/>
            <w:vAlign w:val="bottom"/>
          </w:tcPr>
          <w:p>
            <w:pPr>
              <w:pStyle w:val="TableContents"/>
              <w:spacing w:before="0" w:after="0"/>
              <w:ind w:left="450" w:right="0" w:hanging="225"/>
              <w:rPr/>
            </w:pPr>
            <w:r>
              <w:rPr/>
              <w:t>Allowance for loan losses to total loans at period end</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 </w:t>
            </w:r>
          </w:p>
        </w:tc>
        <w:tc>
          <w:tcPr>
            <w:tcW w:w="981" w:type="dxa"/>
            <w:tcBorders/>
            <w:shd w:fill="auto" w:val="clear"/>
            <w:vAlign w:val="bottom"/>
          </w:tcPr>
          <w:p>
            <w:pPr>
              <w:pStyle w:val="TableContents"/>
              <w:spacing w:before="0" w:after="283"/>
              <w:jc w:val="right"/>
              <w:rPr/>
            </w:pPr>
            <w:r>
              <w:rPr/>
              <w:t>1.33</w:t>
            </w:r>
          </w:p>
        </w:tc>
        <w:tc>
          <w:tcPr>
            <w:tcW w:w="271" w:type="dxa"/>
            <w:tcBorders/>
            <w:shd w:fill="auto" w:val="clear"/>
            <w:vAlign w:val="bottom"/>
          </w:tcPr>
          <w:p>
            <w:pPr>
              <w:pStyle w:val="TableContents"/>
              <w:spacing w:before="0" w:after="283"/>
              <w:rPr/>
            </w:pPr>
            <w:r>
              <w:rPr/>
              <w:t>%</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 </w:t>
            </w:r>
          </w:p>
        </w:tc>
        <w:tc>
          <w:tcPr>
            <w:tcW w:w="981" w:type="dxa"/>
            <w:tcBorders/>
            <w:shd w:fill="auto" w:val="clear"/>
            <w:vAlign w:val="bottom"/>
          </w:tcPr>
          <w:p>
            <w:pPr>
              <w:pStyle w:val="TableContents"/>
              <w:spacing w:before="0" w:after="283"/>
              <w:jc w:val="right"/>
              <w:rPr/>
            </w:pPr>
            <w:r>
              <w:rPr/>
              <w:t>1.30</w:t>
            </w:r>
          </w:p>
        </w:tc>
        <w:tc>
          <w:tcPr>
            <w:tcW w:w="271" w:type="dxa"/>
            <w:tcBorders/>
            <w:shd w:fill="auto" w:val="clear"/>
            <w:vAlign w:val="bottom"/>
          </w:tcPr>
          <w:p>
            <w:pPr>
              <w:pStyle w:val="TableContents"/>
              <w:spacing w:before="0" w:after="283"/>
              <w:rPr/>
            </w:pPr>
            <w:r>
              <w:rPr/>
              <w:t>%</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 </w:t>
            </w:r>
          </w:p>
        </w:tc>
        <w:tc>
          <w:tcPr>
            <w:tcW w:w="981" w:type="dxa"/>
            <w:tcBorders/>
            <w:shd w:fill="auto" w:val="clear"/>
            <w:vAlign w:val="bottom"/>
          </w:tcPr>
          <w:p>
            <w:pPr>
              <w:pStyle w:val="TableContents"/>
              <w:spacing w:before="0" w:after="283"/>
              <w:jc w:val="right"/>
              <w:rPr/>
            </w:pPr>
            <w:r>
              <w:rPr/>
              <w:t>1.36</w:t>
            </w:r>
          </w:p>
        </w:tc>
        <w:tc>
          <w:tcPr>
            <w:tcW w:w="271" w:type="dxa"/>
            <w:tcBorders/>
            <w:shd w:fill="auto" w:val="clear"/>
            <w:vAlign w:val="bottom"/>
          </w:tcPr>
          <w:p>
            <w:pPr>
              <w:pStyle w:val="TableContents"/>
              <w:spacing w:before="0" w:after="283"/>
              <w:rPr/>
            </w:pPr>
            <w:r>
              <w:rPr/>
              <w:t>%</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 </w:t>
            </w:r>
          </w:p>
        </w:tc>
        <w:tc>
          <w:tcPr>
            <w:tcW w:w="981" w:type="dxa"/>
            <w:tcBorders/>
            <w:shd w:fill="auto" w:val="clear"/>
            <w:vAlign w:val="bottom"/>
          </w:tcPr>
          <w:p>
            <w:pPr>
              <w:pStyle w:val="TableContents"/>
              <w:spacing w:before="0" w:after="283"/>
              <w:jc w:val="right"/>
              <w:rPr/>
            </w:pPr>
            <w:r>
              <w:rPr/>
              <w:t>1.40</w:t>
            </w:r>
          </w:p>
        </w:tc>
        <w:tc>
          <w:tcPr>
            <w:tcW w:w="271" w:type="dxa"/>
            <w:tcBorders/>
            <w:shd w:fill="auto" w:val="clear"/>
            <w:vAlign w:val="bottom"/>
          </w:tcPr>
          <w:p>
            <w:pPr>
              <w:pStyle w:val="TableContents"/>
              <w:spacing w:before="0" w:after="283"/>
              <w:rPr/>
            </w:pPr>
            <w:r>
              <w:rPr/>
              <w:t>%</w:t>
            </w:r>
          </w:p>
        </w:tc>
        <w:tc>
          <w:tcPr>
            <w:tcW w:w="15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 </w:t>
            </w:r>
          </w:p>
        </w:tc>
        <w:tc>
          <w:tcPr>
            <w:tcW w:w="804" w:type="dxa"/>
            <w:tcBorders/>
            <w:shd w:fill="auto" w:val="clear"/>
            <w:vAlign w:val="bottom"/>
          </w:tcPr>
          <w:p>
            <w:pPr>
              <w:pStyle w:val="TableContents"/>
              <w:spacing w:before="0" w:after="283"/>
              <w:jc w:val="right"/>
              <w:rPr/>
            </w:pPr>
            <w:r>
              <w:rPr/>
              <w:t>1.40</w:t>
            </w:r>
          </w:p>
        </w:tc>
        <w:tc>
          <w:tcPr>
            <w:tcW w:w="286" w:type="dxa"/>
            <w:tcBorders/>
            <w:shd w:fill="auto" w:val="clear"/>
            <w:vAlign w:val="bottom"/>
          </w:tcPr>
          <w:p>
            <w:pPr>
              <w:pStyle w:val="TableContents"/>
              <w:spacing w:before="0" w:after="283"/>
              <w:rPr/>
            </w:pPr>
            <w:r>
              <w:rPr/>
              <w:t>%</w:t>
            </w:r>
          </w:p>
        </w:tc>
      </w:tr>
      <w:tr>
        <w:trPr/>
        <w:tc>
          <w:tcPr>
            <w:tcW w:w="232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19"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sets forth the allowance for loan losses by loan categories as of December 31 for each of the years indicated: </w:t>
      </w:r>
    </w:p>
    <w:tbl>
      <w:tblPr>
        <w:tblW w:w="12125" w:type="dxa"/>
        <w:jc w:val="center"/>
        <w:tblInd w:w="0" w:type="dxa"/>
        <w:tblCellMar>
          <w:top w:w="0" w:type="dxa"/>
          <w:left w:w="0" w:type="dxa"/>
          <w:bottom w:w="0" w:type="dxa"/>
          <w:right w:w="0" w:type="dxa"/>
        </w:tblCellMar>
      </w:tblPr>
      <w:tblGrid>
        <w:gridCol w:w="1550"/>
        <w:gridCol w:w="60"/>
        <w:gridCol w:w="140"/>
        <w:gridCol w:w="680"/>
        <w:gridCol w:w="60"/>
        <w:gridCol w:w="60"/>
        <w:gridCol w:w="80"/>
        <w:gridCol w:w="747"/>
        <w:gridCol w:w="288"/>
        <w:gridCol w:w="60"/>
        <w:gridCol w:w="140"/>
        <w:gridCol w:w="680"/>
        <w:gridCol w:w="60"/>
        <w:gridCol w:w="60"/>
        <w:gridCol w:w="80"/>
        <w:gridCol w:w="747"/>
        <w:gridCol w:w="288"/>
        <w:gridCol w:w="60"/>
        <w:gridCol w:w="140"/>
        <w:gridCol w:w="680"/>
        <w:gridCol w:w="60"/>
        <w:gridCol w:w="60"/>
        <w:gridCol w:w="80"/>
        <w:gridCol w:w="747"/>
        <w:gridCol w:w="288"/>
        <w:gridCol w:w="60"/>
        <w:gridCol w:w="140"/>
        <w:gridCol w:w="680"/>
        <w:gridCol w:w="60"/>
        <w:gridCol w:w="60"/>
        <w:gridCol w:w="80"/>
        <w:gridCol w:w="747"/>
        <w:gridCol w:w="288"/>
        <w:gridCol w:w="60"/>
        <w:gridCol w:w="140"/>
        <w:gridCol w:w="680"/>
        <w:gridCol w:w="60"/>
        <w:gridCol w:w="60"/>
        <w:gridCol w:w="80"/>
        <w:gridCol w:w="747"/>
        <w:gridCol w:w="288"/>
      </w:tblGrid>
      <w:tr>
        <w:trPr/>
        <w:tc>
          <w:tcPr>
            <w:tcW w:w="15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15" w:type="dxa"/>
            <w:gridSpan w:val="3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5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5" w:type="dxa"/>
            <w:gridSpan w:val="7"/>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60" w:type="dxa"/>
            <w:tcBorders/>
            <w:shd w:fill="auto" w:val="clear"/>
            <w:vAlign w:val="bottom"/>
          </w:tcPr>
          <w:p>
            <w:pPr>
              <w:pStyle w:val="TableContents"/>
              <w:spacing w:before="0" w:after="283"/>
              <w:rPr/>
            </w:pPr>
            <w:r>
              <w:rPr/>
              <w:t> </w:t>
            </w:r>
          </w:p>
        </w:tc>
        <w:tc>
          <w:tcPr>
            <w:tcW w:w="2055" w:type="dxa"/>
            <w:gridSpan w:val="7"/>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60" w:type="dxa"/>
            <w:tcBorders/>
            <w:shd w:fill="auto" w:val="clear"/>
            <w:vAlign w:val="bottom"/>
          </w:tcPr>
          <w:p>
            <w:pPr>
              <w:pStyle w:val="TableContents"/>
              <w:spacing w:before="0" w:after="283"/>
              <w:rPr/>
            </w:pPr>
            <w:r>
              <w:rPr/>
              <w:t> </w:t>
            </w:r>
          </w:p>
        </w:tc>
        <w:tc>
          <w:tcPr>
            <w:tcW w:w="2055" w:type="dxa"/>
            <w:gridSpan w:val="7"/>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60" w:type="dxa"/>
            <w:tcBorders/>
            <w:shd w:fill="auto" w:val="clear"/>
            <w:vAlign w:val="bottom"/>
          </w:tcPr>
          <w:p>
            <w:pPr>
              <w:pStyle w:val="TableContents"/>
              <w:spacing w:before="0" w:after="283"/>
              <w:rPr/>
            </w:pPr>
            <w:r>
              <w:rPr/>
              <w:t> </w:t>
            </w:r>
          </w:p>
        </w:tc>
        <w:tc>
          <w:tcPr>
            <w:tcW w:w="2055" w:type="dxa"/>
            <w:gridSpan w:val="7"/>
            <w:tcBorders>
              <w:bottom w:val="single" w:sz="2" w:space="0" w:color="000000"/>
            </w:tcBorders>
            <w:shd w:fill="auto" w:val="clear"/>
            <w:tcMar>
              <w:bottom w:w="28" w:type="dxa"/>
            </w:tcMar>
            <w:vAlign w:val="bottom"/>
          </w:tcPr>
          <w:p>
            <w:pPr>
              <w:pStyle w:val="TableContents"/>
              <w:spacing w:before="0" w:after="283"/>
              <w:jc w:val="center"/>
              <w:rPr/>
            </w:pPr>
            <w:r>
              <w:rPr/>
              <w:t>2002</w:t>
            </w:r>
          </w:p>
        </w:tc>
        <w:tc>
          <w:tcPr>
            <w:tcW w:w="60" w:type="dxa"/>
            <w:tcBorders/>
            <w:shd w:fill="auto" w:val="clear"/>
            <w:vAlign w:val="bottom"/>
          </w:tcPr>
          <w:p>
            <w:pPr>
              <w:pStyle w:val="TableContents"/>
              <w:spacing w:before="0" w:after="283"/>
              <w:rPr/>
            </w:pPr>
            <w:r>
              <w:rPr/>
              <w:t> </w:t>
            </w:r>
          </w:p>
        </w:tc>
        <w:tc>
          <w:tcPr>
            <w:tcW w:w="2055" w:type="dxa"/>
            <w:gridSpan w:val="7"/>
            <w:tcBorders>
              <w:bottom w:val="single" w:sz="2" w:space="0" w:color="000000"/>
            </w:tcBorders>
            <w:shd w:fill="auto" w:val="clear"/>
            <w:tcMar>
              <w:bottom w:w="28" w:type="dxa"/>
            </w:tcMar>
            <w:vAlign w:val="bottom"/>
          </w:tcPr>
          <w:p>
            <w:pPr>
              <w:pStyle w:val="TableContents"/>
              <w:spacing w:before="0" w:after="283"/>
              <w:jc w:val="center"/>
              <w:rPr/>
            </w:pPr>
            <w:r>
              <w:rPr/>
              <w:t>2001</w:t>
            </w:r>
          </w:p>
        </w:tc>
      </w:tr>
      <w:tr>
        <w:trPr/>
        <w:tc>
          <w:tcPr>
            <w:tcW w:w="15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15" w:type="dxa"/>
            <w:gridSpan w:val="3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5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3"/>
            <w:tcBorders/>
            <w:shd w:fill="auto" w:val="clear"/>
            <w:vAlign w:val="bottom"/>
          </w:tcPr>
          <w:p>
            <w:pPr>
              <w:pStyle w:val="TableContents"/>
              <w:spacing w:before="0" w:after="283"/>
              <w:jc w:val="center"/>
              <w:rPr/>
            </w:pPr>
            <w:r>
              <w:rPr/>
              <w:t>% of Loans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3"/>
            <w:tcBorders/>
            <w:shd w:fill="auto" w:val="clear"/>
            <w:vAlign w:val="bottom"/>
          </w:tcPr>
          <w:p>
            <w:pPr>
              <w:pStyle w:val="TableContents"/>
              <w:spacing w:before="0" w:after="283"/>
              <w:jc w:val="center"/>
              <w:rPr/>
            </w:pPr>
            <w:r>
              <w:rPr/>
              <w:t>% of Loans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3"/>
            <w:tcBorders/>
            <w:shd w:fill="auto" w:val="clear"/>
            <w:vAlign w:val="bottom"/>
          </w:tcPr>
          <w:p>
            <w:pPr>
              <w:pStyle w:val="TableContents"/>
              <w:spacing w:before="0" w:after="283"/>
              <w:jc w:val="center"/>
              <w:rPr/>
            </w:pPr>
            <w:r>
              <w:rPr/>
              <w:t>% of Loans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3"/>
            <w:tcBorders/>
            <w:shd w:fill="auto" w:val="clear"/>
            <w:vAlign w:val="bottom"/>
          </w:tcPr>
          <w:p>
            <w:pPr>
              <w:pStyle w:val="TableContents"/>
              <w:spacing w:before="0" w:after="283"/>
              <w:jc w:val="center"/>
              <w:rPr/>
            </w:pPr>
            <w:r>
              <w:rPr/>
              <w:t>% of Loans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3"/>
            <w:tcBorders/>
            <w:shd w:fill="auto" w:val="clear"/>
            <w:vAlign w:val="bottom"/>
          </w:tcPr>
          <w:p>
            <w:pPr>
              <w:pStyle w:val="TableContents"/>
              <w:spacing w:before="0" w:after="283"/>
              <w:jc w:val="center"/>
              <w:rPr/>
            </w:pPr>
            <w:r>
              <w:rPr/>
              <w:t>% of Loans</w:t>
            </w:r>
          </w:p>
        </w:tc>
      </w:tr>
      <w:tr>
        <w:trPr/>
        <w:tc>
          <w:tcPr>
            <w:tcW w:w="15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3"/>
            <w:tcBorders/>
            <w:shd w:fill="auto" w:val="clear"/>
            <w:vAlign w:val="bottom"/>
          </w:tcPr>
          <w:p>
            <w:pPr>
              <w:pStyle w:val="TableContents"/>
              <w:spacing w:before="0" w:after="283"/>
              <w:jc w:val="center"/>
              <w:rPr/>
            </w:pPr>
            <w:r>
              <w:rPr/>
              <w:t>to Total</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3"/>
            <w:tcBorders/>
            <w:shd w:fill="auto" w:val="clear"/>
            <w:vAlign w:val="bottom"/>
          </w:tcPr>
          <w:p>
            <w:pPr>
              <w:pStyle w:val="TableContents"/>
              <w:spacing w:before="0" w:after="283"/>
              <w:jc w:val="center"/>
              <w:rPr/>
            </w:pPr>
            <w:r>
              <w:rPr/>
              <w:t>to Total</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3"/>
            <w:tcBorders/>
            <w:shd w:fill="auto" w:val="clear"/>
            <w:vAlign w:val="bottom"/>
          </w:tcPr>
          <w:p>
            <w:pPr>
              <w:pStyle w:val="TableContents"/>
              <w:spacing w:before="0" w:after="283"/>
              <w:jc w:val="center"/>
              <w:rPr/>
            </w:pPr>
            <w:r>
              <w:rPr/>
              <w:t>to Total</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3"/>
            <w:tcBorders/>
            <w:shd w:fill="auto" w:val="clear"/>
            <w:vAlign w:val="bottom"/>
          </w:tcPr>
          <w:p>
            <w:pPr>
              <w:pStyle w:val="TableContents"/>
              <w:spacing w:before="0" w:after="283"/>
              <w:jc w:val="center"/>
              <w:rPr/>
            </w:pPr>
            <w:r>
              <w:rPr/>
              <w:t>to Total</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3"/>
            <w:tcBorders/>
            <w:shd w:fill="auto" w:val="clear"/>
            <w:vAlign w:val="bottom"/>
          </w:tcPr>
          <w:p>
            <w:pPr>
              <w:pStyle w:val="TableContents"/>
              <w:spacing w:before="0" w:after="283"/>
              <w:jc w:val="center"/>
              <w:rPr/>
            </w:pPr>
            <w:r>
              <w:rPr/>
              <w:t>to Total</w:t>
            </w:r>
          </w:p>
        </w:tc>
      </w:tr>
      <w:tr>
        <w:trPr/>
        <w:tc>
          <w:tcPr>
            <w:tcW w:w="15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3"/>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60" w:type="dxa"/>
            <w:tcBorders/>
            <w:shd w:fill="auto" w:val="clear"/>
            <w:vAlign w:val="bottom"/>
          </w:tcPr>
          <w:p>
            <w:pPr>
              <w:pStyle w:val="TableContents"/>
              <w:spacing w:before="0" w:after="283"/>
              <w:rPr/>
            </w:pPr>
            <w:r>
              <w:rPr/>
              <w:t> </w:t>
            </w:r>
          </w:p>
        </w:tc>
        <w:tc>
          <w:tcPr>
            <w:tcW w:w="1115" w:type="dxa"/>
            <w:gridSpan w:val="3"/>
            <w:tcBorders>
              <w:bottom w:val="single" w:sz="2" w:space="0" w:color="000000"/>
            </w:tcBorders>
            <w:shd w:fill="auto" w:val="clear"/>
            <w:tcMar>
              <w:bottom w:w="28" w:type="dxa"/>
            </w:tcMar>
            <w:vAlign w:val="bottom"/>
          </w:tcPr>
          <w:p>
            <w:pPr>
              <w:pStyle w:val="TableContents"/>
              <w:spacing w:before="0" w:after="283"/>
              <w:jc w:val="center"/>
              <w:rPr/>
            </w:pPr>
            <w:r>
              <w:rPr/>
              <w:t>Loans</w:t>
            </w:r>
          </w:p>
        </w:tc>
        <w:tc>
          <w:tcPr>
            <w:tcW w:w="60" w:type="dxa"/>
            <w:tcBorders/>
            <w:shd w:fill="auto" w:val="clear"/>
            <w:vAlign w:val="bottom"/>
          </w:tcPr>
          <w:p>
            <w:pPr>
              <w:pStyle w:val="TableContents"/>
              <w:spacing w:before="0" w:after="283"/>
              <w:rPr/>
            </w:pPr>
            <w:r>
              <w:rPr/>
              <w:t> </w:t>
            </w:r>
          </w:p>
        </w:tc>
        <w:tc>
          <w:tcPr>
            <w:tcW w:w="880" w:type="dxa"/>
            <w:gridSpan w:val="3"/>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60" w:type="dxa"/>
            <w:tcBorders/>
            <w:shd w:fill="auto" w:val="clear"/>
            <w:vAlign w:val="bottom"/>
          </w:tcPr>
          <w:p>
            <w:pPr>
              <w:pStyle w:val="TableContents"/>
              <w:spacing w:before="0" w:after="283"/>
              <w:rPr/>
            </w:pPr>
            <w:r>
              <w:rPr/>
              <w:t> </w:t>
            </w:r>
          </w:p>
        </w:tc>
        <w:tc>
          <w:tcPr>
            <w:tcW w:w="1115" w:type="dxa"/>
            <w:gridSpan w:val="3"/>
            <w:tcBorders>
              <w:bottom w:val="single" w:sz="2" w:space="0" w:color="000000"/>
            </w:tcBorders>
            <w:shd w:fill="auto" w:val="clear"/>
            <w:tcMar>
              <w:bottom w:w="28" w:type="dxa"/>
            </w:tcMar>
            <w:vAlign w:val="bottom"/>
          </w:tcPr>
          <w:p>
            <w:pPr>
              <w:pStyle w:val="TableContents"/>
              <w:spacing w:before="0" w:after="283"/>
              <w:jc w:val="center"/>
              <w:rPr/>
            </w:pPr>
            <w:r>
              <w:rPr/>
              <w:t>Loans</w:t>
            </w:r>
          </w:p>
        </w:tc>
        <w:tc>
          <w:tcPr>
            <w:tcW w:w="60" w:type="dxa"/>
            <w:tcBorders/>
            <w:shd w:fill="auto" w:val="clear"/>
            <w:vAlign w:val="bottom"/>
          </w:tcPr>
          <w:p>
            <w:pPr>
              <w:pStyle w:val="TableContents"/>
              <w:spacing w:before="0" w:after="283"/>
              <w:rPr/>
            </w:pPr>
            <w:r>
              <w:rPr/>
              <w:t> </w:t>
            </w:r>
          </w:p>
        </w:tc>
        <w:tc>
          <w:tcPr>
            <w:tcW w:w="880" w:type="dxa"/>
            <w:gridSpan w:val="3"/>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60" w:type="dxa"/>
            <w:tcBorders/>
            <w:shd w:fill="auto" w:val="clear"/>
            <w:vAlign w:val="bottom"/>
          </w:tcPr>
          <w:p>
            <w:pPr>
              <w:pStyle w:val="TableContents"/>
              <w:spacing w:before="0" w:after="283"/>
              <w:rPr/>
            </w:pPr>
            <w:r>
              <w:rPr/>
              <w:t> </w:t>
            </w:r>
          </w:p>
        </w:tc>
        <w:tc>
          <w:tcPr>
            <w:tcW w:w="1115" w:type="dxa"/>
            <w:gridSpan w:val="3"/>
            <w:tcBorders>
              <w:bottom w:val="single" w:sz="2" w:space="0" w:color="000000"/>
            </w:tcBorders>
            <w:shd w:fill="auto" w:val="clear"/>
            <w:tcMar>
              <w:bottom w:w="28" w:type="dxa"/>
            </w:tcMar>
            <w:vAlign w:val="bottom"/>
          </w:tcPr>
          <w:p>
            <w:pPr>
              <w:pStyle w:val="TableContents"/>
              <w:spacing w:before="0" w:after="283"/>
              <w:jc w:val="center"/>
              <w:rPr/>
            </w:pPr>
            <w:r>
              <w:rPr/>
              <w:t>Loans</w:t>
            </w:r>
          </w:p>
        </w:tc>
        <w:tc>
          <w:tcPr>
            <w:tcW w:w="60" w:type="dxa"/>
            <w:tcBorders/>
            <w:shd w:fill="auto" w:val="clear"/>
            <w:vAlign w:val="bottom"/>
          </w:tcPr>
          <w:p>
            <w:pPr>
              <w:pStyle w:val="TableContents"/>
              <w:spacing w:before="0" w:after="283"/>
              <w:rPr/>
            </w:pPr>
            <w:r>
              <w:rPr/>
              <w:t> </w:t>
            </w:r>
          </w:p>
        </w:tc>
        <w:tc>
          <w:tcPr>
            <w:tcW w:w="880" w:type="dxa"/>
            <w:gridSpan w:val="3"/>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60" w:type="dxa"/>
            <w:tcBorders/>
            <w:shd w:fill="auto" w:val="clear"/>
            <w:vAlign w:val="bottom"/>
          </w:tcPr>
          <w:p>
            <w:pPr>
              <w:pStyle w:val="TableContents"/>
              <w:spacing w:before="0" w:after="283"/>
              <w:rPr/>
            </w:pPr>
            <w:r>
              <w:rPr/>
              <w:t> </w:t>
            </w:r>
          </w:p>
        </w:tc>
        <w:tc>
          <w:tcPr>
            <w:tcW w:w="1115" w:type="dxa"/>
            <w:gridSpan w:val="3"/>
            <w:tcBorders>
              <w:bottom w:val="single" w:sz="2" w:space="0" w:color="000000"/>
            </w:tcBorders>
            <w:shd w:fill="auto" w:val="clear"/>
            <w:tcMar>
              <w:bottom w:w="28" w:type="dxa"/>
            </w:tcMar>
            <w:vAlign w:val="bottom"/>
          </w:tcPr>
          <w:p>
            <w:pPr>
              <w:pStyle w:val="TableContents"/>
              <w:spacing w:before="0" w:after="283"/>
              <w:jc w:val="center"/>
              <w:rPr/>
            </w:pPr>
            <w:r>
              <w:rPr/>
              <w:t>Loans</w:t>
            </w:r>
          </w:p>
        </w:tc>
        <w:tc>
          <w:tcPr>
            <w:tcW w:w="60" w:type="dxa"/>
            <w:tcBorders/>
            <w:shd w:fill="auto" w:val="clear"/>
            <w:vAlign w:val="bottom"/>
          </w:tcPr>
          <w:p>
            <w:pPr>
              <w:pStyle w:val="TableContents"/>
              <w:spacing w:before="0" w:after="283"/>
              <w:rPr/>
            </w:pPr>
            <w:r>
              <w:rPr/>
              <w:t> </w:t>
            </w:r>
          </w:p>
        </w:tc>
        <w:tc>
          <w:tcPr>
            <w:tcW w:w="880" w:type="dxa"/>
            <w:gridSpan w:val="3"/>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60" w:type="dxa"/>
            <w:tcBorders/>
            <w:shd w:fill="auto" w:val="clear"/>
            <w:vAlign w:val="bottom"/>
          </w:tcPr>
          <w:p>
            <w:pPr>
              <w:pStyle w:val="TableContents"/>
              <w:spacing w:before="0" w:after="283"/>
              <w:rPr/>
            </w:pPr>
            <w:r>
              <w:rPr/>
              <w:t> </w:t>
            </w:r>
          </w:p>
        </w:tc>
        <w:tc>
          <w:tcPr>
            <w:tcW w:w="1115" w:type="dxa"/>
            <w:gridSpan w:val="3"/>
            <w:tcBorders>
              <w:bottom w:val="single" w:sz="2" w:space="0" w:color="000000"/>
            </w:tcBorders>
            <w:shd w:fill="auto" w:val="clear"/>
            <w:tcMar>
              <w:bottom w:w="28" w:type="dxa"/>
            </w:tcMar>
            <w:vAlign w:val="bottom"/>
          </w:tcPr>
          <w:p>
            <w:pPr>
              <w:pStyle w:val="TableContents"/>
              <w:spacing w:before="0" w:after="283"/>
              <w:jc w:val="center"/>
              <w:rPr/>
            </w:pPr>
            <w:r>
              <w:rPr/>
              <w:t>Loans</w:t>
            </w:r>
          </w:p>
        </w:tc>
      </w:tr>
      <w:tr>
        <w:trPr/>
        <w:tc>
          <w:tcPr>
            <w:tcW w:w="15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15" w:type="dxa"/>
            <w:gridSpan w:val="3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5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15" w:type="dxa"/>
            <w:gridSpan w:val="39"/>
            <w:tcBorders/>
            <w:shd w:fill="auto" w:val="clear"/>
            <w:vAlign w:val="bottom"/>
          </w:tcPr>
          <w:p>
            <w:pPr>
              <w:pStyle w:val="TableContents"/>
              <w:spacing w:before="0" w:after="283"/>
              <w:jc w:val="center"/>
              <w:rPr/>
            </w:pPr>
            <w:r>
              <w:rPr/>
              <w:t>(dollars in thousands)</w:t>
            </w:r>
          </w:p>
        </w:tc>
      </w:tr>
      <w:tr>
        <w:trPr/>
        <w:tc>
          <w:tcPr>
            <w:tcW w:w="1550" w:type="dxa"/>
            <w:tcBorders/>
            <w:shd w:fill="CCEEFF" w:val="clear"/>
            <w:vAlign w:val="bottom"/>
          </w:tcPr>
          <w:p>
            <w:pPr>
              <w:pStyle w:val="TableContents"/>
              <w:spacing w:before="0" w:after="0"/>
              <w:ind w:left="225" w:right="0" w:hanging="225"/>
              <w:rPr/>
            </w:pPr>
            <w:r>
              <w:rPr/>
              <w:t>Commercial, financial, agricultural and real estate-farmland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680" w:type="dxa"/>
            <w:tcBorders/>
            <w:shd w:fill="CCEEFF" w:val="clear"/>
            <w:vAlign w:val="bottom"/>
          </w:tcPr>
          <w:p>
            <w:pPr>
              <w:pStyle w:val="TableContents"/>
              <w:spacing w:before="0" w:after="283"/>
              <w:jc w:val="right"/>
              <w:rPr/>
            </w:pPr>
            <w:r>
              <w:rPr/>
              <w:t>4,221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jc w:val="right"/>
              <w:rPr/>
            </w:pPr>
            <w:r>
              <w:rPr/>
              <w:t> </w:t>
            </w:r>
          </w:p>
        </w:tc>
        <w:tc>
          <w:tcPr>
            <w:tcW w:w="747" w:type="dxa"/>
            <w:tcBorders/>
            <w:shd w:fill="CCEEFF" w:val="clear"/>
            <w:vAlign w:val="bottom"/>
          </w:tcPr>
          <w:p>
            <w:pPr>
              <w:pStyle w:val="TableContents"/>
              <w:spacing w:before="0" w:after="283"/>
              <w:jc w:val="right"/>
              <w:rPr/>
            </w:pPr>
            <w:r>
              <w:rPr/>
              <w:t>14.4</w:t>
            </w:r>
          </w:p>
        </w:tc>
        <w:tc>
          <w:tcPr>
            <w:tcW w:w="288"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680" w:type="dxa"/>
            <w:tcBorders/>
            <w:shd w:fill="CCEEFF" w:val="clear"/>
            <w:vAlign w:val="bottom"/>
          </w:tcPr>
          <w:p>
            <w:pPr>
              <w:pStyle w:val="TableContents"/>
              <w:spacing w:before="0" w:after="283"/>
              <w:jc w:val="right"/>
              <w:rPr/>
            </w:pPr>
            <w:r>
              <w:rPr/>
              <w:t>4,337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jc w:val="right"/>
              <w:rPr/>
            </w:pPr>
            <w:r>
              <w:rPr/>
              <w:t> </w:t>
            </w:r>
          </w:p>
        </w:tc>
        <w:tc>
          <w:tcPr>
            <w:tcW w:w="747" w:type="dxa"/>
            <w:tcBorders/>
            <w:shd w:fill="CCEEFF" w:val="clear"/>
            <w:vAlign w:val="bottom"/>
          </w:tcPr>
          <w:p>
            <w:pPr>
              <w:pStyle w:val="TableContents"/>
              <w:spacing w:before="0" w:after="283"/>
              <w:jc w:val="right"/>
              <w:rPr/>
            </w:pPr>
            <w:r>
              <w:rPr/>
              <w:t>17.2</w:t>
            </w:r>
          </w:p>
        </w:tc>
        <w:tc>
          <w:tcPr>
            <w:tcW w:w="288"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680" w:type="dxa"/>
            <w:tcBorders/>
            <w:shd w:fill="CCEEFF" w:val="clear"/>
            <w:vAlign w:val="bottom"/>
          </w:tcPr>
          <w:p>
            <w:pPr>
              <w:pStyle w:val="TableContents"/>
              <w:spacing w:before="0" w:after="283"/>
              <w:jc w:val="right"/>
              <w:rPr/>
            </w:pPr>
            <w:r>
              <w:rPr/>
              <w:t>2,295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jc w:val="right"/>
              <w:rPr/>
            </w:pPr>
            <w:r>
              <w:rPr/>
              <w:t> </w:t>
            </w:r>
          </w:p>
        </w:tc>
        <w:tc>
          <w:tcPr>
            <w:tcW w:w="747" w:type="dxa"/>
            <w:tcBorders/>
            <w:shd w:fill="CCEEFF" w:val="clear"/>
            <w:vAlign w:val="bottom"/>
          </w:tcPr>
          <w:p>
            <w:pPr>
              <w:pStyle w:val="TableContents"/>
              <w:spacing w:before="0" w:after="283"/>
              <w:jc w:val="right"/>
              <w:rPr/>
            </w:pPr>
            <w:r>
              <w:rPr/>
              <w:t>14.5</w:t>
            </w:r>
          </w:p>
        </w:tc>
        <w:tc>
          <w:tcPr>
            <w:tcW w:w="288"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680" w:type="dxa"/>
            <w:tcBorders/>
            <w:shd w:fill="CCEEFF" w:val="clear"/>
            <w:vAlign w:val="bottom"/>
          </w:tcPr>
          <w:p>
            <w:pPr>
              <w:pStyle w:val="TableContents"/>
              <w:spacing w:before="0" w:after="283"/>
              <w:jc w:val="right"/>
              <w:rPr/>
            </w:pPr>
            <w:r>
              <w:rPr/>
              <w:t>2,143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jc w:val="right"/>
              <w:rPr/>
            </w:pPr>
            <w:r>
              <w:rPr/>
              <w:t> </w:t>
            </w:r>
          </w:p>
        </w:tc>
        <w:tc>
          <w:tcPr>
            <w:tcW w:w="747" w:type="dxa"/>
            <w:tcBorders/>
            <w:shd w:fill="CCEEFF" w:val="clear"/>
            <w:vAlign w:val="bottom"/>
          </w:tcPr>
          <w:p>
            <w:pPr>
              <w:pStyle w:val="TableContents"/>
              <w:spacing w:before="0" w:after="283"/>
              <w:jc w:val="right"/>
              <w:rPr/>
            </w:pPr>
            <w:r>
              <w:rPr/>
              <w:t>13.9</w:t>
            </w:r>
          </w:p>
        </w:tc>
        <w:tc>
          <w:tcPr>
            <w:tcW w:w="288"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680" w:type="dxa"/>
            <w:tcBorders/>
            <w:shd w:fill="CCEEFF" w:val="clear"/>
            <w:vAlign w:val="bottom"/>
          </w:tcPr>
          <w:p>
            <w:pPr>
              <w:pStyle w:val="TableContents"/>
              <w:spacing w:before="0" w:after="283"/>
              <w:jc w:val="right"/>
              <w:rPr/>
            </w:pPr>
            <w:r>
              <w:rPr/>
              <w:t>1,880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jc w:val="right"/>
              <w:rPr/>
            </w:pPr>
            <w:r>
              <w:rPr/>
              <w:t> </w:t>
            </w:r>
          </w:p>
        </w:tc>
        <w:tc>
          <w:tcPr>
            <w:tcW w:w="747" w:type="dxa"/>
            <w:tcBorders/>
            <w:shd w:fill="CCEEFF" w:val="clear"/>
            <w:vAlign w:val="bottom"/>
          </w:tcPr>
          <w:p>
            <w:pPr>
              <w:pStyle w:val="TableContents"/>
              <w:spacing w:before="0" w:after="283"/>
              <w:jc w:val="right"/>
              <w:rPr/>
            </w:pPr>
            <w:r>
              <w:rPr/>
              <w:t>16.1</w:t>
            </w:r>
          </w:p>
        </w:tc>
        <w:tc>
          <w:tcPr>
            <w:tcW w:w="288" w:type="dxa"/>
            <w:tcBorders/>
            <w:shd w:fill="CCEEFF" w:val="clear"/>
            <w:vAlign w:val="bottom"/>
          </w:tcPr>
          <w:p>
            <w:pPr>
              <w:pStyle w:val="TableContents"/>
              <w:spacing w:before="0" w:after="283"/>
              <w:rPr/>
            </w:pPr>
            <w:r>
              <w:rPr/>
              <w:t>%</w:t>
            </w:r>
          </w:p>
        </w:tc>
      </w:tr>
      <w:tr>
        <w:trPr/>
        <w:tc>
          <w:tcPr>
            <w:tcW w:w="1550" w:type="dxa"/>
            <w:tcBorders/>
            <w:shd w:fill="auto" w:val="clear"/>
            <w:vAlign w:val="bottom"/>
          </w:tcPr>
          <w:p>
            <w:pPr>
              <w:pStyle w:val="TableContents"/>
              <w:spacing w:before="0" w:after="0"/>
              <w:ind w:left="225" w:right="0" w:hanging="225"/>
              <w:rPr/>
            </w:pPr>
            <w:r>
              <w:rPr/>
              <w:t>Real estate-construction</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5,743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19.8</w:t>
            </w:r>
          </w:p>
        </w:tc>
        <w:tc>
          <w:tcPr>
            <w:tcW w:w="288"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16.0</w:t>
            </w:r>
          </w:p>
        </w:tc>
        <w:tc>
          <w:tcPr>
            <w:tcW w:w="288"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14.1</w:t>
            </w:r>
          </w:p>
        </w:tc>
        <w:tc>
          <w:tcPr>
            <w:tcW w:w="288"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11.8</w:t>
            </w:r>
          </w:p>
        </w:tc>
        <w:tc>
          <w:tcPr>
            <w:tcW w:w="288"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8.6</w:t>
            </w:r>
          </w:p>
        </w:tc>
        <w:tc>
          <w:tcPr>
            <w:tcW w:w="288" w:type="dxa"/>
            <w:tcBorders/>
            <w:shd w:fill="auto" w:val="clear"/>
            <w:vAlign w:val="bottom"/>
          </w:tcPr>
          <w:p>
            <w:pPr>
              <w:pStyle w:val="TableContents"/>
              <w:spacing w:before="0" w:after="283"/>
              <w:rPr/>
            </w:pPr>
            <w:r>
              <w:rPr/>
              <w:t>%</w:t>
            </w:r>
          </w:p>
        </w:tc>
      </w:tr>
      <w:tr>
        <w:trPr/>
        <w:tc>
          <w:tcPr>
            <w:tcW w:w="1550" w:type="dxa"/>
            <w:tcBorders/>
            <w:shd w:fill="CCEEFF" w:val="clear"/>
            <w:vAlign w:val="bottom"/>
          </w:tcPr>
          <w:p>
            <w:pPr>
              <w:pStyle w:val="TableContents"/>
              <w:spacing w:before="0" w:after="0"/>
              <w:ind w:left="225" w:right="0" w:hanging="225"/>
              <w:rPr/>
            </w:pPr>
            <w:r>
              <w:rPr/>
              <w:t>Real estate-mortgage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12,455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jc w:val="right"/>
              <w:rPr/>
            </w:pPr>
            <w:r>
              <w:rPr/>
              <w:t> </w:t>
            </w:r>
          </w:p>
        </w:tc>
        <w:tc>
          <w:tcPr>
            <w:tcW w:w="747" w:type="dxa"/>
            <w:tcBorders/>
            <w:shd w:fill="CCEEFF" w:val="clear"/>
            <w:vAlign w:val="bottom"/>
          </w:tcPr>
          <w:p>
            <w:pPr>
              <w:pStyle w:val="TableContents"/>
              <w:spacing w:before="0" w:after="283"/>
              <w:jc w:val="right"/>
              <w:rPr/>
            </w:pPr>
            <w:r>
              <w:rPr/>
              <w:t>63.2</w:t>
            </w:r>
          </w:p>
        </w:tc>
        <w:tc>
          <w:tcPr>
            <w:tcW w:w="288"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13,053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jc w:val="right"/>
              <w:rPr/>
            </w:pPr>
            <w:r>
              <w:rPr/>
              <w:t> </w:t>
            </w:r>
          </w:p>
        </w:tc>
        <w:tc>
          <w:tcPr>
            <w:tcW w:w="747" w:type="dxa"/>
            <w:tcBorders/>
            <w:shd w:fill="CCEEFF" w:val="clear"/>
            <w:vAlign w:val="bottom"/>
          </w:tcPr>
          <w:p>
            <w:pPr>
              <w:pStyle w:val="TableContents"/>
              <w:spacing w:before="0" w:after="283"/>
              <w:jc w:val="right"/>
              <w:rPr/>
            </w:pPr>
            <w:r>
              <w:rPr/>
              <w:t>62.5</w:t>
            </w:r>
          </w:p>
        </w:tc>
        <w:tc>
          <w:tcPr>
            <w:tcW w:w="288"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12,752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jc w:val="right"/>
              <w:rPr/>
            </w:pPr>
            <w:r>
              <w:rPr/>
              <w:t> </w:t>
            </w:r>
          </w:p>
        </w:tc>
        <w:tc>
          <w:tcPr>
            <w:tcW w:w="747" w:type="dxa"/>
            <w:tcBorders/>
            <w:shd w:fill="CCEEFF" w:val="clear"/>
            <w:vAlign w:val="bottom"/>
          </w:tcPr>
          <w:p>
            <w:pPr>
              <w:pStyle w:val="TableContents"/>
              <w:spacing w:before="0" w:after="283"/>
              <w:jc w:val="right"/>
              <w:rPr/>
            </w:pPr>
            <w:r>
              <w:rPr/>
              <w:t>66.2</w:t>
            </w:r>
          </w:p>
        </w:tc>
        <w:tc>
          <w:tcPr>
            <w:tcW w:w="288"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12,451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jc w:val="right"/>
              <w:rPr/>
            </w:pPr>
            <w:r>
              <w:rPr/>
              <w:t> </w:t>
            </w:r>
          </w:p>
        </w:tc>
        <w:tc>
          <w:tcPr>
            <w:tcW w:w="747" w:type="dxa"/>
            <w:tcBorders/>
            <w:shd w:fill="CCEEFF" w:val="clear"/>
            <w:vAlign w:val="bottom"/>
          </w:tcPr>
          <w:p>
            <w:pPr>
              <w:pStyle w:val="TableContents"/>
              <w:spacing w:before="0" w:after="283"/>
              <w:jc w:val="right"/>
              <w:rPr/>
            </w:pPr>
            <w:r>
              <w:rPr/>
              <w:t>69.2</w:t>
            </w:r>
          </w:p>
        </w:tc>
        <w:tc>
          <w:tcPr>
            <w:tcW w:w="288"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10,880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jc w:val="right"/>
              <w:rPr/>
            </w:pPr>
            <w:r>
              <w:rPr/>
              <w:t> </w:t>
            </w:r>
          </w:p>
        </w:tc>
        <w:tc>
          <w:tcPr>
            <w:tcW w:w="747" w:type="dxa"/>
            <w:tcBorders/>
            <w:shd w:fill="CCEEFF" w:val="clear"/>
            <w:vAlign w:val="bottom"/>
          </w:tcPr>
          <w:p>
            <w:pPr>
              <w:pStyle w:val="TableContents"/>
              <w:spacing w:before="0" w:after="283"/>
              <w:jc w:val="right"/>
              <w:rPr/>
            </w:pPr>
            <w:r>
              <w:rPr/>
              <w:t>69.4</w:t>
            </w:r>
          </w:p>
        </w:tc>
        <w:tc>
          <w:tcPr>
            <w:tcW w:w="288" w:type="dxa"/>
            <w:tcBorders/>
            <w:shd w:fill="CCEEFF" w:val="clear"/>
            <w:vAlign w:val="bottom"/>
          </w:tcPr>
          <w:p>
            <w:pPr>
              <w:pStyle w:val="TableContents"/>
              <w:spacing w:before="0" w:after="283"/>
              <w:rPr/>
            </w:pPr>
            <w:r>
              <w:rPr/>
              <w:t>%</w:t>
            </w:r>
          </w:p>
        </w:tc>
      </w:tr>
      <w:tr>
        <w:trPr/>
        <w:tc>
          <w:tcPr>
            <w:tcW w:w="1550" w:type="dxa"/>
            <w:tcBorders/>
            <w:shd w:fill="auto" w:val="clear"/>
            <w:vAlign w:val="bottom"/>
          </w:tcPr>
          <w:p>
            <w:pPr>
              <w:pStyle w:val="TableContents"/>
              <w:spacing w:before="0" w:after="0"/>
              <w:ind w:left="225" w:right="0" w:hanging="225"/>
              <w:rPr/>
            </w:pPr>
            <w:r>
              <w:rPr/>
              <w:t>Installment loans to individuals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2.6</w:t>
            </w:r>
          </w:p>
        </w:tc>
        <w:tc>
          <w:tcPr>
            <w:tcW w:w="288"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481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4.3</w:t>
            </w:r>
          </w:p>
        </w:tc>
        <w:tc>
          <w:tcPr>
            <w:tcW w:w="288"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821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5.2</w:t>
            </w:r>
          </w:p>
        </w:tc>
        <w:tc>
          <w:tcPr>
            <w:tcW w:w="288"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779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5.1</w:t>
            </w:r>
          </w:p>
        </w:tc>
        <w:tc>
          <w:tcPr>
            <w:tcW w:w="288"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811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5.9</w:t>
            </w:r>
          </w:p>
        </w:tc>
        <w:tc>
          <w:tcPr>
            <w:tcW w:w="288" w:type="dxa"/>
            <w:tcBorders/>
            <w:shd w:fill="auto" w:val="clear"/>
            <w:vAlign w:val="bottom"/>
          </w:tcPr>
          <w:p>
            <w:pPr>
              <w:pStyle w:val="TableContents"/>
              <w:spacing w:before="0" w:after="283"/>
              <w:rPr/>
            </w:pPr>
            <w:r>
              <w:rPr/>
              <w:t>%</w:t>
            </w:r>
          </w:p>
        </w:tc>
      </w:tr>
      <w:tr>
        <w:trPr/>
        <w:tc>
          <w:tcPr>
            <w:tcW w:w="1550" w:type="dxa"/>
            <w:tcBorders/>
            <w:shd w:fill="CCEEFF" w:val="clear"/>
            <w:vAlign w:val="bottom"/>
          </w:tcPr>
          <w:p>
            <w:pPr>
              <w:pStyle w:val="TableContents"/>
              <w:spacing w:before="0" w:after="0"/>
              <w:ind w:left="225" w:right="0" w:hanging="225"/>
              <w:rPr/>
            </w:pPr>
            <w:r>
              <w:rPr/>
              <w:t>Unallocated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503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N/A</w:t>
            </w:r>
          </w:p>
        </w:tc>
        <w:tc>
          <w:tcPr>
            <w:tcW w:w="2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1,319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N/A</w:t>
            </w:r>
          </w:p>
        </w:tc>
        <w:tc>
          <w:tcPr>
            <w:tcW w:w="2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N/A</w:t>
            </w:r>
          </w:p>
        </w:tc>
        <w:tc>
          <w:tcPr>
            <w:tcW w:w="2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N/A</w:t>
            </w:r>
          </w:p>
        </w:tc>
        <w:tc>
          <w:tcPr>
            <w:tcW w:w="2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N/A</w:t>
            </w:r>
          </w:p>
        </w:tc>
        <w:tc>
          <w:tcPr>
            <w:tcW w:w="288" w:type="dxa"/>
            <w:tcBorders/>
            <w:shd w:fill="CCEEFF" w:val="clear"/>
            <w:vAlign w:val="bottom"/>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15" w:type="dxa"/>
            <w:gridSpan w:val="3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550" w:type="dxa"/>
            <w:tcBorders/>
            <w:shd w:fill="auto" w:val="clear"/>
            <w:vAlign w:val="bottom"/>
          </w:tcPr>
          <w:p>
            <w:pPr>
              <w:pStyle w:val="TableContents"/>
              <w:spacing w:before="0" w:after="0"/>
              <w:ind w:left="225" w:right="0" w:hanging="225"/>
              <w:rPr/>
            </w:pPr>
            <w:r>
              <w:rPr/>
              <w:t>Total</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23,190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100.0</w:t>
            </w:r>
          </w:p>
        </w:tc>
        <w:tc>
          <w:tcPr>
            <w:tcW w:w="288"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19,217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100.0</w:t>
            </w:r>
          </w:p>
        </w:tc>
        <w:tc>
          <w:tcPr>
            <w:tcW w:w="288"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16,228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100.0</w:t>
            </w:r>
          </w:p>
        </w:tc>
        <w:tc>
          <w:tcPr>
            <w:tcW w:w="288"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15,460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100.0</w:t>
            </w:r>
          </w:p>
        </w:tc>
        <w:tc>
          <w:tcPr>
            <w:tcW w:w="288"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13,688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pPr>
            <w:r>
              <w:rPr/>
              <w:t> </w:t>
            </w:r>
          </w:p>
        </w:tc>
        <w:tc>
          <w:tcPr>
            <w:tcW w:w="747" w:type="dxa"/>
            <w:tcBorders/>
            <w:shd w:fill="auto" w:val="clear"/>
            <w:vAlign w:val="bottom"/>
          </w:tcPr>
          <w:p>
            <w:pPr>
              <w:pStyle w:val="TableContents"/>
              <w:spacing w:before="0" w:after="283"/>
              <w:jc w:val="right"/>
              <w:rPr/>
            </w:pPr>
            <w:r>
              <w:rPr/>
              <w:t>100.0</w:t>
            </w:r>
          </w:p>
        </w:tc>
        <w:tc>
          <w:tcPr>
            <w:tcW w:w="288" w:type="dxa"/>
            <w:tcBorders/>
            <w:shd w:fill="auto" w:val="clear"/>
            <w:vAlign w:val="bottom"/>
          </w:tcPr>
          <w:p>
            <w:pPr>
              <w:pStyle w:val="TableContents"/>
              <w:spacing w:before="0" w:after="283"/>
              <w:rPr/>
            </w:pPr>
            <w:r>
              <w:rPr/>
              <w:t>%</w:t>
            </w:r>
          </w:p>
        </w:tc>
      </w:tr>
      <w:tr>
        <w:trPr/>
        <w:tc>
          <w:tcPr>
            <w:tcW w:w="15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15" w:type="dxa"/>
            <w:gridSpan w:val="39"/>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pPr>
      <w:r>
        <w:rPr/>
        <w:t>     </w:t>
      </w:r>
      <w:r>
        <w:rPr>
          <w:rFonts w:ascii="Helvetica;Arial;sans-serif" w:hAnsi="Helvetica;Arial;sans-serif"/>
          <w:sz w:val="17"/>
        </w:rPr>
        <w:t xml:space="preserve">This table indicates growth in the allowance for loan losses for real estate construction as of December 31, 2005, as compared to December 31, 2004. This increase is due primarily to growth in the outstanding balances in this loan category. </w:t>
      </w:r>
    </w:p>
    <w:p>
      <w:pPr>
        <w:pStyle w:val="TextBody"/>
        <w:jc w:val="center"/>
        <w:rPr>
          <w:rFonts w:ascii="Helvetica;Arial;sans-serif" w:hAnsi="Helvetica;Arial;sans-serif"/>
          <w:sz w:val="17"/>
        </w:rPr>
      </w:pPr>
      <w:r>
        <w:rPr>
          <w:rFonts w:ascii="Helvetica;Arial;sans-serif" w:hAnsi="Helvetica;Arial;san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i/>
          <w:sz w:val="17"/>
        </w:rPr>
        <w:t>Non-performing Loans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It is managements policy to place commercial and mortgage loans on non-accrual status when interest or principal is 90 days or more past due. Such loans may continue on accrual status only if they are both well-secured and in the process of collection.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sets forth information concerning non-performing loans at December 31 for each of the years indicated: </w:t>
      </w:r>
    </w:p>
    <w:tbl>
      <w:tblPr>
        <w:tblW w:w="5000" w:type="pct"/>
        <w:jc w:val="center"/>
        <w:tblInd w:w="0" w:type="dxa"/>
        <w:tblCellMar>
          <w:top w:w="0" w:type="dxa"/>
          <w:left w:w="0" w:type="dxa"/>
          <w:bottom w:w="0" w:type="dxa"/>
          <w:right w:w="0" w:type="dxa"/>
        </w:tblCellMar>
      </w:tblPr>
      <w:tblGrid>
        <w:gridCol w:w="3025"/>
        <w:gridCol w:w="279"/>
        <w:gridCol w:w="263"/>
        <w:gridCol w:w="560"/>
        <w:gridCol w:w="332"/>
        <w:gridCol w:w="279"/>
        <w:gridCol w:w="263"/>
        <w:gridCol w:w="560"/>
        <w:gridCol w:w="332"/>
        <w:gridCol w:w="279"/>
        <w:gridCol w:w="263"/>
        <w:gridCol w:w="560"/>
        <w:gridCol w:w="332"/>
        <w:gridCol w:w="278"/>
        <w:gridCol w:w="263"/>
        <w:gridCol w:w="560"/>
        <w:gridCol w:w="332"/>
        <w:gridCol w:w="279"/>
        <w:gridCol w:w="263"/>
        <w:gridCol w:w="560"/>
        <w:gridCol w:w="343"/>
      </w:tblGrid>
      <w:tr>
        <w:trPr/>
        <w:tc>
          <w:tcPr>
            <w:tcW w:w="302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r>
      <w:tr>
        <w:trPr/>
        <w:tc>
          <w:tcPr>
            <w:tcW w:w="302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6901" w:type="dxa"/>
            <w:gridSpan w:val="19"/>
            <w:tcBorders>
              <w:bottom w:val="single" w:sz="2" w:space="0" w:color="000000"/>
            </w:tcBorders>
            <w:shd w:fill="auto" w:val="clear"/>
            <w:tcMar>
              <w:bottom w:w="28" w:type="dxa"/>
            </w:tcMar>
            <w:vAlign w:val="bottom"/>
          </w:tcPr>
          <w:p>
            <w:pPr>
              <w:pStyle w:val="TableContents"/>
              <w:spacing w:before="0" w:after="283"/>
              <w:jc w:val="center"/>
              <w:rPr/>
            </w:pPr>
            <w:r>
              <w:rPr/>
              <w:t>Years ended December 31,</w:t>
            </w:r>
          </w:p>
        </w:tc>
      </w:tr>
      <w:tr>
        <w:trPr/>
        <w:tc>
          <w:tcPr>
            <w:tcW w:w="302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55" w:type="dxa"/>
            <w:gridSpan w:val="3"/>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279" w:type="dxa"/>
            <w:tcBorders/>
            <w:shd w:fill="auto" w:val="clear"/>
            <w:vAlign w:val="bottom"/>
          </w:tcPr>
          <w:p>
            <w:pPr>
              <w:pStyle w:val="TableContents"/>
              <w:spacing w:before="0" w:after="283"/>
              <w:rPr/>
            </w:pPr>
            <w:r>
              <w:rPr/>
              <w:t> </w:t>
            </w:r>
          </w:p>
        </w:tc>
        <w:tc>
          <w:tcPr>
            <w:tcW w:w="1155" w:type="dxa"/>
            <w:gridSpan w:val="3"/>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279" w:type="dxa"/>
            <w:tcBorders/>
            <w:shd w:fill="auto" w:val="clear"/>
            <w:vAlign w:val="bottom"/>
          </w:tcPr>
          <w:p>
            <w:pPr>
              <w:pStyle w:val="TableContents"/>
              <w:spacing w:before="0" w:after="283"/>
              <w:rPr/>
            </w:pPr>
            <w:r>
              <w:rPr/>
              <w:t> </w:t>
            </w:r>
          </w:p>
        </w:tc>
        <w:tc>
          <w:tcPr>
            <w:tcW w:w="1155" w:type="dxa"/>
            <w:gridSpan w:val="3"/>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278" w:type="dxa"/>
            <w:tcBorders/>
            <w:shd w:fill="auto" w:val="clear"/>
            <w:vAlign w:val="bottom"/>
          </w:tcPr>
          <w:p>
            <w:pPr>
              <w:pStyle w:val="TableContents"/>
              <w:spacing w:before="0" w:after="283"/>
              <w:rPr/>
            </w:pPr>
            <w:r>
              <w:rPr/>
              <w:t> </w:t>
            </w:r>
          </w:p>
        </w:tc>
        <w:tc>
          <w:tcPr>
            <w:tcW w:w="1155" w:type="dxa"/>
            <w:gridSpan w:val="3"/>
            <w:tcBorders>
              <w:bottom w:val="single" w:sz="2" w:space="0" w:color="000000"/>
            </w:tcBorders>
            <w:shd w:fill="auto" w:val="clear"/>
            <w:tcMar>
              <w:bottom w:w="28" w:type="dxa"/>
            </w:tcMar>
            <w:vAlign w:val="bottom"/>
          </w:tcPr>
          <w:p>
            <w:pPr>
              <w:pStyle w:val="TableContents"/>
              <w:spacing w:before="0" w:after="283"/>
              <w:jc w:val="center"/>
              <w:rPr/>
            </w:pPr>
            <w:r>
              <w:rPr/>
              <w:t>2002</w:t>
            </w:r>
          </w:p>
        </w:tc>
        <w:tc>
          <w:tcPr>
            <w:tcW w:w="279" w:type="dxa"/>
            <w:tcBorders/>
            <w:shd w:fill="auto" w:val="clear"/>
            <w:vAlign w:val="bottom"/>
          </w:tcPr>
          <w:p>
            <w:pPr>
              <w:pStyle w:val="TableContents"/>
              <w:spacing w:before="0" w:after="283"/>
              <w:rPr/>
            </w:pPr>
            <w:r>
              <w:rPr/>
              <w:t> </w:t>
            </w:r>
          </w:p>
        </w:tc>
        <w:tc>
          <w:tcPr>
            <w:tcW w:w="1166" w:type="dxa"/>
            <w:gridSpan w:val="3"/>
            <w:tcBorders>
              <w:bottom w:val="single" w:sz="2" w:space="0" w:color="000000"/>
            </w:tcBorders>
            <w:shd w:fill="auto" w:val="clear"/>
            <w:tcMar>
              <w:bottom w:w="28" w:type="dxa"/>
            </w:tcMar>
            <w:vAlign w:val="bottom"/>
          </w:tcPr>
          <w:p>
            <w:pPr>
              <w:pStyle w:val="TableContents"/>
              <w:spacing w:before="0" w:after="283"/>
              <w:jc w:val="center"/>
              <w:rPr/>
            </w:pPr>
            <w:r>
              <w:rPr/>
              <w:t>2001</w:t>
            </w:r>
          </w:p>
        </w:tc>
      </w:tr>
      <w:tr>
        <w:trPr/>
        <w:tc>
          <w:tcPr>
            <w:tcW w:w="302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6901"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02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6901" w:type="dxa"/>
            <w:gridSpan w:val="19"/>
            <w:tcBorders/>
            <w:shd w:fill="auto" w:val="clear"/>
            <w:vAlign w:val="bottom"/>
          </w:tcPr>
          <w:p>
            <w:pPr>
              <w:pStyle w:val="TableContents"/>
              <w:spacing w:before="0" w:after="283"/>
              <w:jc w:val="center"/>
              <w:rPr/>
            </w:pPr>
            <w:r>
              <w:rPr/>
              <w:t>(dollars in thousands)</w:t>
            </w:r>
          </w:p>
        </w:tc>
      </w:tr>
      <w:tr>
        <w:trPr/>
        <w:tc>
          <w:tcPr>
            <w:tcW w:w="3025" w:type="dxa"/>
            <w:tcBorders/>
            <w:shd w:fill="CCEEFF" w:val="clear"/>
            <w:vAlign w:val="bottom"/>
          </w:tcPr>
          <w:p>
            <w:pPr>
              <w:pStyle w:val="TableContents"/>
              <w:spacing w:before="0" w:after="0"/>
              <w:ind w:left="225" w:right="0" w:hanging="225"/>
              <w:rPr/>
            </w:pPr>
            <w:r>
              <w:rPr/>
              <w:t>Non-accrual loans</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4,483</w:t>
            </w:r>
          </w:p>
        </w:tc>
        <w:tc>
          <w:tcPr>
            <w:tcW w:w="33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1,523</w:t>
            </w:r>
          </w:p>
        </w:tc>
        <w:tc>
          <w:tcPr>
            <w:tcW w:w="33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2,638</w:t>
            </w:r>
          </w:p>
        </w:tc>
        <w:tc>
          <w:tcPr>
            <w:tcW w:w="332"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1,265</w:t>
            </w:r>
          </w:p>
        </w:tc>
        <w:tc>
          <w:tcPr>
            <w:tcW w:w="33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1,265</w:t>
            </w:r>
          </w:p>
        </w:tc>
        <w:tc>
          <w:tcPr>
            <w:tcW w:w="343" w:type="dxa"/>
            <w:tcBorders/>
            <w:shd w:fill="CCEEFF" w:val="clear"/>
            <w:vAlign w:val="bottom"/>
          </w:tcPr>
          <w:p>
            <w:pPr>
              <w:pStyle w:val="TableContents"/>
              <w:spacing w:before="0" w:after="283"/>
              <w:rPr/>
            </w:pPr>
            <w:r>
              <w:rPr/>
              <w:t> </w:t>
            </w:r>
          </w:p>
        </w:tc>
      </w:tr>
      <w:tr>
        <w:trPr/>
        <w:tc>
          <w:tcPr>
            <w:tcW w:w="3025" w:type="dxa"/>
            <w:tcBorders/>
            <w:shd w:fill="auto" w:val="clear"/>
            <w:vAlign w:val="bottom"/>
          </w:tcPr>
          <w:p>
            <w:pPr>
              <w:pStyle w:val="TableContents"/>
              <w:spacing w:before="0" w:after="0"/>
              <w:ind w:left="225" w:right="0" w:hanging="225"/>
              <w:rPr/>
            </w:pPr>
            <w:r>
              <w:rPr/>
              <w:t>Loans 90 days past due and still accruing</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1,420</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2,141</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581</w:t>
            </w:r>
          </w:p>
        </w:tc>
        <w:tc>
          <w:tcPr>
            <w:tcW w:w="332"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963</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959</w:t>
            </w:r>
          </w:p>
        </w:tc>
        <w:tc>
          <w:tcPr>
            <w:tcW w:w="343" w:type="dxa"/>
            <w:tcBorders/>
            <w:shd w:fill="auto" w:val="clear"/>
            <w:vAlign w:val="bottom"/>
          </w:tcPr>
          <w:p>
            <w:pPr>
              <w:pStyle w:val="TableContents"/>
              <w:spacing w:before="0" w:after="283"/>
              <w:rPr/>
            </w:pPr>
            <w:r>
              <w:rPr/>
              <w:t> </w:t>
            </w:r>
          </w:p>
        </w:tc>
      </w:tr>
      <w:tr>
        <w:trPr/>
        <w:tc>
          <w:tcPr>
            <w:tcW w:w="3025" w:type="dxa"/>
            <w:tcBorders/>
            <w:shd w:fill="CCEEFF" w:val="clear"/>
            <w:vAlign w:val="bottom"/>
          </w:tcPr>
          <w:p>
            <w:pPr>
              <w:pStyle w:val="TableContents"/>
              <w:spacing w:before="0" w:after="0"/>
              <w:ind w:left="225" w:right="0" w:hanging="225"/>
              <w:rPr/>
            </w:pPr>
            <w:r>
              <w:rPr/>
              <w:t>Restructured loans</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33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33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332"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33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w:t>
            </w:r>
          </w:p>
        </w:tc>
        <w:tc>
          <w:tcPr>
            <w:tcW w:w="343" w:type="dxa"/>
            <w:tcBorders/>
            <w:shd w:fill="CCEEFF" w:val="clear"/>
            <w:vAlign w:val="bottom"/>
          </w:tcPr>
          <w:p>
            <w:pPr>
              <w:pStyle w:val="TableContents"/>
              <w:spacing w:before="0" w:after="283"/>
              <w:rPr/>
            </w:pPr>
            <w:r>
              <w:rPr/>
              <w:t> </w:t>
            </w:r>
          </w:p>
        </w:tc>
      </w:tr>
      <w:tr>
        <w:trPr/>
        <w:tc>
          <w:tcPr>
            <w:tcW w:w="302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6901"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025" w:type="dxa"/>
            <w:tcBorders/>
            <w:shd w:fill="auto" w:val="clear"/>
            <w:vAlign w:val="bottom"/>
          </w:tcPr>
          <w:p>
            <w:pPr>
              <w:pStyle w:val="TableContents"/>
              <w:spacing w:before="0" w:after="0"/>
              <w:ind w:left="225" w:right="0" w:hanging="225"/>
              <w:rPr/>
            </w:pPr>
            <w:r>
              <w:rPr/>
              <w:t>Total non-performing loans</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5,903</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3,664</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3,219</w:t>
            </w:r>
          </w:p>
        </w:tc>
        <w:tc>
          <w:tcPr>
            <w:tcW w:w="332"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2,228</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2,224</w:t>
            </w:r>
          </w:p>
        </w:tc>
        <w:tc>
          <w:tcPr>
            <w:tcW w:w="343" w:type="dxa"/>
            <w:tcBorders/>
            <w:shd w:fill="auto" w:val="clear"/>
            <w:vAlign w:val="bottom"/>
          </w:tcPr>
          <w:p>
            <w:pPr>
              <w:pStyle w:val="TableContents"/>
              <w:spacing w:before="0" w:after="283"/>
              <w:rPr/>
            </w:pPr>
            <w:r>
              <w:rPr/>
              <w:t> </w:t>
            </w:r>
          </w:p>
        </w:tc>
      </w:tr>
      <w:tr>
        <w:trPr/>
        <w:tc>
          <w:tcPr>
            <w:tcW w:w="302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6901"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025" w:type="dxa"/>
            <w:tcBorders/>
            <w:shd w:fill="auto" w:val="clear"/>
            <w:vAlign w:val="bottom"/>
          </w:tcPr>
          <w:p>
            <w:pPr>
              <w:pStyle w:val="TableContents"/>
              <w:spacing w:before="0" w:after="0"/>
              <w:ind w:left="225" w:right="0" w:hanging="225"/>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r>
      <w:tr>
        <w:trPr/>
        <w:tc>
          <w:tcPr>
            <w:tcW w:w="3025" w:type="dxa"/>
            <w:tcBorders/>
            <w:shd w:fill="CCEEFF" w:val="clear"/>
            <w:vAlign w:val="bottom"/>
          </w:tcPr>
          <w:p>
            <w:pPr>
              <w:pStyle w:val="TableContents"/>
              <w:spacing w:before="0" w:after="0"/>
              <w:ind w:left="225" w:right="0" w:hanging="225"/>
              <w:rPr/>
            </w:pPr>
            <w:r>
              <w:rPr/>
              <w:t>Repossessed assets</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236</w:t>
            </w:r>
          </w:p>
        </w:tc>
        <w:tc>
          <w:tcPr>
            <w:tcW w:w="33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4,212</w:t>
            </w:r>
          </w:p>
        </w:tc>
        <w:tc>
          <w:tcPr>
            <w:tcW w:w="33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4,781</w:t>
            </w:r>
          </w:p>
        </w:tc>
        <w:tc>
          <w:tcPr>
            <w:tcW w:w="332"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5,724</w:t>
            </w:r>
          </w:p>
        </w:tc>
        <w:tc>
          <w:tcPr>
            <w:tcW w:w="33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30</w:t>
            </w:r>
          </w:p>
        </w:tc>
        <w:tc>
          <w:tcPr>
            <w:tcW w:w="343" w:type="dxa"/>
            <w:tcBorders/>
            <w:shd w:fill="CCEEFF" w:val="clear"/>
            <w:vAlign w:val="bottom"/>
          </w:tcPr>
          <w:p>
            <w:pPr>
              <w:pStyle w:val="TableContents"/>
              <w:spacing w:before="0" w:after="283"/>
              <w:rPr/>
            </w:pPr>
            <w:r>
              <w:rPr/>
              <w:t> </w:t>
            </w:r>
          </w:p>
        </w:tc>
      </w:tr>
      <w:tr>
        <w:trPr/>
        <w:tc>
          <w:tcPr>
            <w:tcW w:w="3025" w:type="dxa"/>
            <w:tcBorders/>
            <w:shd w:fill="auto" w:val="clear"/>
            <w:vAlign w:val="bottom"/>
          </w:tcPr>
          <w:p>
            <w:pPr>
              <w:pStyle w:val="TableContents"/>
              <w:spacing w:before="0" w:after="0"/>
              <w:ind w:left="225" w:right="0" w:hanging="225"/>
              <w:rPr/>
            </w:pPr>
            <w:r>
              <w:rPr/>
              <w:t>Other assets acquired in satisfaction of debts previously contracted</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1</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23</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10</w:t>
            </w:r>
          </w:p>
        </w:tc>
        <w:tc>
          <w:tcPr>
            <w:tcW w:w="332"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1</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1</w:t>
            </w:r>
          </w:p>
        </w:tc>
        <w:tc>
          <w:tcPr>
            <w:tcW w:w="343" w:type="dxa"/>
            <w:tcBorders/>
            <w:shd w:fill="auto" w:val="clear"/>
            <w:vAlign w:val="bottom"/>
          </w:tcPr>
          <w:p>
            <w:pPr>
              <w:pStyle w:val="TableContents"/>
              <w:spacing w:before="0" w:after="283"/>
              <w:rPr/>
            </w:pPr>
            <w:r>
              <w:rPr/>
              <w:t> </w:t>
            </w:r>
          </w:p>
        </w:tc>
      </w:tr>
      <w:tr>
        <w:trPr/>
        <w:tc>
          <w:tcPr>
            <w:tcW w:w="302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6901"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025" w:type="dxa"/>
            <w:tcBorders/>
            <w:shd w:fill="CCEEFF" w:val="clear"/>
            <w:vAlign w:val="bottom"/>
          </w:tcPr>
          <w:p>
            <w:pPr>
              <w:pStyle w:val="TableContents"/>
              <w:spacing w:before="0" w:after="0"/>
              <w:ind w:left="225" w:right="0" w:hanging="225"/>
              <w:rPr/>
            </w:pPr>
            <w:r>
              <w:rPr/>
              <w:t>Total non-performing other assets</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237</w:t>
            </w:r>
          </w:p>
        </w:tc>
        <w:tc>
          <w:tcPr>
            <w:tcW w:w="33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4,235</w:t>
            </w:r>
          </w:p>
        </w:tc>
        <w:tc>
          <w:tcPr>
            <w:tcW w:w="33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4,791</w:t>
            </w:r>
          </w:p>
        </w:tc>
        <w:tc>
          <w:tcPr>
            <w:tcW w:w="332"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5,725</w:t>
            </w:r>
          </w:p>
        </w:tc>
        <w:tc>
          <w:tcPr>
            <w:tcW w:w="33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31</w:t>
            </w:r>
          </w:p>
        </w:tc>
        <w:tc>
          <w:tcPr>
            <w:tcW w:w="343" w:type="dxa"/>
            <w:tcBorders/>
            <w:shd w:fill="CCEEFF" w:val="clear"/>
            <w:vAlign w:val="bottom"/>
          </w:tcPr>
          <w:p>
            <w:pPr>
              <w:pStyle w:val="TableContents"/>
              <w:spacing w:before="0" w:after="283"/>
              <w:rPr/>
            </w:pPr>
            <w:r>
              <w:rPr/>
              <w:t> </w:t>
            </w:r>
          </w:p>
        </w:tc>
      </w:tr>
      <w:tr>
        <w:trPr/>
        <w:tc>
          <w:tcPr>
            <w:tcW w:w="302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6901"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025" w:type="dxa"/>
            <w:tcBorders/>
            <w:shd w:fill="auto" w:val="clear"/>
            <w:vAlign w:val="bottom"/>
          </w:tcPr>
          <w:p>
            <w:pPr>
              <w:pStyle w:val="TableContents"/>
              <w:spacing w:before="0" w:after="0"/>
              <w:ind w:left="225" w:right="0" w:hanging="225"/>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r>
      <w:tr>
        <w:trPr/>
        <w:tc>
          <w:tcPr>
            <w:tcW w:w="3025" w:type="dxa"/>
            <w:tcBorders/>
            <w:shd w:fill="auto" w:val="clear"/>
            <w:vAlign w:val="bottom"/>
          </w:tcPr>
          <w:p>
            <w:pPr>
              <w:pStyle w:val="TableContents"/>
              <w:spacing w:before="0" w:after="0"/>
              <w:ind w:left="225" w:right="0" w:hanging="225"/>
              <w:rPr/>
            </w:pPr>
            <w:r>
              <w:rPr/>
              <w:t>Total non-performing loans and non- performing other assets</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6,140</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7,899</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8,010</w:t>
            </w:r>
          </w:p>
        </w:tc>
        <w:tc>
          <w:tcPr>
            <w:tcW w:w="332"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7,953</w:t>
            </w:r>
          </w:p>
        </w:tc>
        <w:tc>
          <w:tcPr>
            <w:tcW w:w="33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2,255</w:t>
            </w:r>
          </w:p>
        </w:tc>
        <w:tc>
          <w:tcPr>
            <w:tcW w:w="343" w:type="dxa"/>
            <w:tcBorders/>
            <w:shd w:fill="auto" w:val="clear"/>
            <w:vAlign w:val="bottom"/>
          </w:tcPr>
          <w:p>
            <w:pPr>
              <w:pStyle w:val="TableContents"/>
              <w:spacing w:before="0" w:after="283"/>
              <w:rPr/>
            </w:pPr>
            <w:r>
              <w:rPr/>
              <w:t> </w:t>
            </w:r>
          </w:p>
        </w:tc>
      </w:tr>
      <w:tr>
        <w:trPr/>
        <w:tc>
          <w:tcPr>
            <w:tcW w:w="302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6901"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3025" w:type="dxa"/>
            <w:tcBorders/>
            <w:shd w:fill="CCEEFF" w:val="clear"/>
            <w:vAlign w:val="bottom"/>
          </w:tcPr>
          <w:p>
            <w:pPr>
              <w:pStyle w:val="TableContents"/>
              <w:spacing w:before="0" w:after="0"/>
              <w:ind w:left="225" w:right="0" w:hanging="225"/>
              <w:rPr/>
            </w:pPr>
            <w:r>
              <w:rPr/>
              <w:t>Non-performing loans to loans, before allowance for loan losses</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0.34</w:t>
            </w:r>
          </w:p>
        </w:tc>
        <w:tc>
          <w:tcPr>
            <w:tcW w:w="332"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0.25</w:t>
            </w:r>
          </w:p>
        </w:tc>
        <w:tc>
          <w:tcPr>
            <w:tcW w:w="332"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0.27</w:t>
            </w:r>
          </w:p>
        </w:tc>
        <w:tc>
          <w:tcPr>
            <w:tcW w:w="332" w:type="dxa"/>
            <w:tcBorders/>
            <w:shd w:fill="CCEEFF" w:val="clear"/>
            <w:vAlign w:val="bottom"/>
          </w:tcPr>
          <w:p>
            <w:pPr>
              <w:pStyle w:val="TableContents"/>
              <w:spacing w:before="0" w:after="283"/>
              <w:rPr/>
            </w:pPr>
            <w:r>
              <w:rPr/>
              <w:t>%</w:t>
            </w:r>
          </w:p>
        </w:tc>
        <w:tc>
          <w:tcPr>
            <w:tcW w:w="278"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0.20</w:t>
            </w:r>
          </w:p>
        </w:tc>
        <w:tc>
          <w:tcPr>
            <w:tcW w:w="332"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0.23</w:t>
            </w:r>
          </w:p>
        </w:tc>
        <w:tc>
          <w:tcPr>
            <w:tcW w:w="343" w:type="dxa"/>
            <w:tcBorders/>
            <w:shd w:fill="CCEEFF" w:val="clear"/>
            <w:vAlign w:val="bottom"/>
          </w:tcPr>
          <w:p>
            <w:pPr>
              <w:pStyle w:val="TableContents"/>
              <w:spacing w:before="0" w:after="283"/>
              <w:rPr/>
            </w:pPr>
            <w:r>
              <w:rPr/>
              <w:t>%</w:t>
            </w:r>
          </w:p>
        </w:tc>
      </w:tr>
      <w:tr>
        <w:trPr/>
        <w:tc>
          <w:tcPr>
            <w:tcW w:w="302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6901"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3025" w:type="dxa"/>
            <w:tcBorders/>
            <w:shd w:fill="auto" w:val="clear"/>
            <w:vAlign w:val="bottom"/>
          </w:tcPr>
          <w:p>
            <w:pPr>
              <w:pStyle w:val="TableContents"/>
              <w:spacing w:before="0" w:after="0"/>
              <w:ind w:left="225" w:right="0" w:hanging="225"/>
              <w:rPr/>
            </w:pPr>
            <w:r>
              <w:rPr/>
              <w:t>Non-performing loans and non-performing other assets to loans, before allowance for loan losses</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 </w:t>
            </w:r>
          </w:p>
        </w:tc>
        <w:tc>
          <w:tcPr>
            <w:tcW w:w="560" w:type="dxa"/>
            <w:tcBorders/>
            <w:shd w:fill="auto" w:val="clear"/>
            <w:vAlign w:val="bottom"/>
          </w:tcPr>
          <w:p>
            <w:pPr>
              <w:pStyle w:val="TableContents"/>
              <w:spacing w:before="0" w:after="283"/>
              <w:jc w:val="right"/>
              <w:rPr/>
            </w:pPr>
            <w:r>
              <w:rPr/>
              <w:t>0.35</w:t>
            </w:r>
          </w:p>
        </w:tc>
        <w:tc>
          <w:tcPr>
            <w:tcW w:w="332"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 </w:t>
            </w:r>
          </w:p>
        </w:tc>
        <w:tc>
          <w:tcPr>
            <w:tcW w:w="560" w:type="dxa"/>
            <w:tcBorders/>
            <w:shd w:fill="auto" w:val="clear"/>
            <w:vAlign w:val="bottom"/>
          </w:tcPr>
          <w:p>
            <w:pPr>
              <w:pStyle w:val="TableContents"/>
              <w:spacing w:before="0" w:after="283"/>
              <w:jc w:val="right"/>
              <w:rPr/>
            </w:pPr>
            <w:r>
              <w:rPr/>
              <w:t>0.54</w:t>
            </w:r>
          </w:p>
        </w:tc>
        <w:tc>
          <w:tcPr>
            <w:tcW w:w="332"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 </w:t>
            </w:r>
          </w:p>
        </w:tc>
        <w:tc>
          <w:tcPr>
            <w:tcW w:w="560" w:type="dxa"/>
            <w:tcBorders/>
            <w:shd w:fill="auto" w:val="clear"/>
            <w:vAlign w:val="bottom"/>
          </w:tcPr>
          <w:p>
            <w:pPr>
              <w:pStyle w:val="TableContents"/>
              <w:spacing w:before="0" w:after="283"/>
              <w:jc w:val="right"/>
              <w:rPr/>
            </w:pPr>
            <w:r>
              <w:rPr/>
              <w:t>0.67</w:t>
            </w:r>
          </w:p>
        </w:tc>
        <w:tc>
          <w:tcPr>
            <w:tcW w:w="332" w:type="dxa"/>
            <w:tcBorders/>
            <w:shd w:fill="auto" w:val="clear"/>
            <w:vAlign w:val="bottom"/>
          </w:tcPr>
          <w:p>
            <w:pPr>
              <w:pStyle w:val="TableContents"/>
              <w:spacing w:before="0" w:after="283"/>
              <w:rPr/>
            </w:pPr>
            <w:r>
              <w:rPr/>
              <w:t>%</w:t>
            </w:r>
          </w:p>
        </w:tc>
        <w:tc>
          <w:tcPr>
            <w:tcW w:w="278"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 </w:t>
            </w:r>
          </w:p>
        </w:tc>
        <w:tc>
          <w:tcPr>
            <w:tcW w:w="560" w:type="dxa"/>
            <w:tcBorders/>
            <w:shd w:fill="auto" w:val="clear"/>
            <w:vAlign w:val="bottom"/>
          </w:tcPr>
          <w:p>
            <w:pPr>
              <w:pStyle w:val="TableContents"/>
              <w:spacing w:before="0" w:after="283"/>
              <w:jc w:val="right"/>
              <w:rPr/>
            </w:pPr>
            <w:r>
              <w:rPr/>
              <w:t>0.72</w:t>
            </w:r>
          </w:p>
        </w:tc>
        <w:tc>
          <w:tcPr>
            <w:tcW w:w="332"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 </w:t>
            </w:r>
          </w:p>
        </w:tc>
        <w:tc>
          <w:tcPr>
            <w:tcW w:w="560" w:type="dxa"/>
            <w:tcBorders/>
            <w:shd w:fill="auto" w:val="clear"/>
            <w:vAlign w:val="bottom"/>
          </w:tcPr>
          <w:p>
            <w:pPr>
              <w:pStyle w:val="TableContents"/>
              <w:spacing w:before="0" w:after="283"/>
              <w:jc w:val="right"/>
              <w:rPr/>
            </w:pPr>
            <w:r>
              <w:rPr/>
              <w:t>0.23</w:t>
            </w:r>
          </w:p>
        </w:tc>
        <w:tc>
          <w:tcPr>
            <w:tcW w:w="343" w:type="dxa"/>
            <w:tcBorders/>
            <w:shd w:fill="auto" w:val="clear"/>
            <w:vAlign w:val="bottom"/>
          </w:tcPr>
          <w:p>
            <w:pPr>
              <w:pStyle w:val="TableContents"/>
              <w:spacing w:before="0" w:after="283"/>
              <w:rPr/>
            </w:pPr>
            <w:r>
              <w:rPr/>
              <w:t>%</w:t>
            </w:r>
          </w:p>
        </w:tc>
      </w:tr>
      <w:tr>
        <w:trPr/>
        <w:tc>
          <w:tcPr>
            <w:tcW w:w="302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6901"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ratio of non-performing loans and non-performing other assets to loans, before allowance for loan losses, decreased from 0.54% as of December 31, 2004, to 0.35% as of December 31, 2005, due primarily to a large reduction in repossessed assets combined with a reduction in loans 90 days past due and still accruing. These reductions in non-performing loans and non-performing other assets were partially offset by a substantial increase in non-accrual loans. Of the increase in non-accrual loans, $1,920,000 is related to two credits which had previously been identified as potential problem loans.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Busey Bank became mortgagee in possession of a hotel property in June, 2002, and remained so until September, 2003, when it took title to the property upon completion of foreclosure proceedings. The property was included in repossessed assets from June, 2002, until it was sold in September, 2005.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 loan is considered to be impaired when, based on current information and events, it is probable the Corporation will not be able to collect all amounts due. The accrual of interest income on impaired loans is discontinued when there is reasonable doubt as to the borrowers ability to meet contractual payments of interest or principal. Interest income on these loans is recognized to the extent interest payments are received and the principal is considered fully collectible. The Corporation recognized $250,000 and $28,000 in interest income on these loans in 2005 and 2004, respectively. No interest income was recognized on these loans during 2003.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gross interest income that would have been recorded in the years ended December 31, 2005, 2004 and 2003 if the non-accrual and restructured loans had been current in accordance with their original terms was $380,000, $307,000, and $268,000, respectively. The amount of interest collected on those loans that was included in interest income was $250,000 for the year ended December 31, 2005, $28,000 for the year ended December 31, 2004, $0 for the year ended December 31, 2003. </w:t>
      </w:r>
    </w:p>
    <w:p>
      <w:pPr>
        <w:pStyle w:val="TextBody"/>
        <w:jc w:val="center"/>
        <w:rPr>
          <w:rFonts w:ascii="Helvetica;Arial;sans-serif" w:hAnsi="Helvetica;Arial;sans-serif"/>
          <w:sz w:val="17"/>
        </w:rPr>
      </w:pPr>
      <w:r>
        <w:rPr>
          <w:rFonts w:ascii="Helvetica;Arial;sans-serif" w:hAnsi="Helvetica;Arial;san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i/>
          <w:sz w:val="17"/>
        </w:rPr>
        <w:t>Potential Problem Loans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Potential problem loans are those loans which are not categorized as impaired, non-accrual, 90-days past due or restructured,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$11,691,000 at December 31, 2005 and $3,245,000 at December 31, 2004. Of this increase $6,990,000 is related to six commercial customers. These loans are performing under existing terms and continue to accrue interest. Management continues to monitor these credits and anticipates that restructure, guarantee, additional collateral or other planned action will result in full repayment of the debts. Management has identified no other loans that represent or result from trends or uncertainties which management reasonably expects will materially impact future operating results, liquidity or capital resources. Management is not aware of any information about any other credits which cause management to have serious doubts as to the ability of such borrower(s) to comply with the loan repayment terms. </w:t>
      </w:r>
    </w:p>
    <w:p>
      <w:pPr>
        <w:pStyle w:val="TextBody"/>
        <w:spacing w:before="240" w:after="283"/>
        <w:jc w:val="left"/>
        <w:rPr>
          <w:rFonts w:ascii="Helvetica;Arial;sans-serif" w:hAnsi="Helvetica;Arial;sans-serif"/>
          <w:sz w:val="17"/>
        </w:rPr>
      </w:pPr>
      <w:r>
        <w:rPr>
          <w:rFonts w:ascii="Helvetica;Arial;sans-serif" w:hAnsi="Helvetica;Arial;sans-serif"/>
          <w:b/>
          <w:i/>
          <w:sz w:val="17"/>
        </w:rPr>
        <w:t>Other Interest-bearing Assets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No other interest-bearing assets are categorized as impaired. </w:t>
      </w:r>
    </w:p>
    <w:p>
      <w:pPr>
        <w:pStyle w:val="TextBody"/>
        <w:spacing w:before="240" w:after="283"/>
        <w:jc w:val="left"/>
        <w:rPr>
          <w:rFonts w:ascii="Helvetica;Arial;sans-serif" w:hAnsi="Helvetica;Arial;sans-serif"/>
          <w:sz w:val="17"/>
        </w:rPr>
      </w:pPr>
      <w:r>
        <w:rPr>
          <w:rFonts w:ascii="Helvetica;Arial;sans-serif" w:hAnsi="Helvetica;Arial;sans-serif"/>
          <w:b/>
          <w:i/>
          <w:sz w:val="17"/>
        </w:rPr>
        <w:t>Deposits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 indicated in the following table, average non-interest-bearing deposits as a percentage of average total deposits increased to 13.3% for the year ended December 31, 2005, from 12.5% for the year ended December 31, 2004, which was an increase from 12.2% for the year ended December 31, 2003. The acquisition of Tarpon Coast National Bank had positive impact on this ratio. At acquisition 33.8% of the banks deposits were non-interest bearing demand deposits. </w:t>
      </w:r>
    </w:p>
    <w:tbl>
      <w:tblPr>
        <w:tblW w:w="12950" w:type="dxa"/>
        <w:jc w:val="center"/>
        <w:tblInd w:w="0" w:type="dxa"/>
        <w:tblCellMar>
          <w:top w:w="0" w:type="dxa"/>
          <w:left w:w="0" w:type="dxa"/>
          <w:bottom w:w="0" w:type="dxa"/>
          <w:right w:w="0" w:type="dxa"/>
        </w:tblCellMar>
      </w:tblPr>
      <w:tblGrid>
        <w:gridCol w:w="965"/>
        <w:gridCol w:w="60"/>
        <w:gridCol w:w="196"/>
        <w:gridCol w:w="1374"/>
        <w:gridCol w:w="85"/>
        <w:gridCol w:w="60"/>
        <w:gridCol w:w="60"/>
        <w:gridCol w:w="560"/>
        <w:gridCol w:w="215"/>
        <w:gridCol w:w="60"/>
        <w:gridCol w:w="111"/>
        <w:gridCol w:w="815"/>
        <w:gridCol w:w="399"/>
        <w:gridCol w:w="60"/>
        <w:gridCol w:w="196"/>
        <w:gridCol w:w="1374"/>
        <w:gridCol w:w="85"/>
        <w:gridCol w:w="60"/>
        <w:gridCol w:w="60"/>
        <w:gridCol w:w="560"/>
        <w:gridCol w:w="215"/>
        <w:gridCol w:w="60"/>
        <w:gridCol w:w="111"/>
        <w:gridCol w:w="815"/>
        <w:gridCol w:w="399"/>
        <w:gridCol w:w="60"/>
        <w:gridCol w:w="196"/>
        <w:gridCol w:w="1374"/>
        <w:gridCol w:w="85"/>
        <w:gridCol w:w="60"/>
        <w:gridCol w:w="60"/>
        <w:gridCol w:w="560"/>
        <w:gridCol w:w="215"/>
        <w:gridCol w:w="60"/>
        <w:gridCol w:w="111"/>
        <w:gridCol w:w="815"/>
        <w:gridCol w:w="399"/>
      </w:tblGrid>
      <w:tr>
        <w:trPr/>
        <w:tc>
          <w:tcPr>
            <w:tcW w:w="9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25" w:type="dxa"/>
            <w:gridSpan w:val="35"/>
            <w:tcBorders>
              <w:bottom w:val="single" w:sz="2" w:space="0" w:color="000000"/>
            </w:tcBorders>
            <w:shd w:fill="auto" w:val="clear"/>
            <w:tcMar>
              <w:bottom w:w="28" w:type="dxa"/>
            </w:tcMar>
            <w:vAlign w:val="bottom"/>
          </w:tcPr>
          <w:p>
            <w:pPr>
              <w:pStyle w:val="TableContents"/>
              <w:spacing w:before="0" w:after="283"/>
              <w:jc w:val="center"/>
              <w:rPr/>
            </w:pPr>
            <w:r>
              <w:rPr/>
              <w:t>December 31,</w:t>
            </w:r>
          </w:p>
        </w:tc>
      </w:tr>
      <w:tr>
        <w:trPr/>
        <w:tc>
          <w:tcPr>
            <w:tcW w:w="9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35" w:type="dxa"/>
            <w:gridSpan w:val="11"/>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60" w:type="dxa"/>
            <w:tcBorders/>
            <w:shd w:fill="auto" w:val="clear"/>
            <w:vAlign w:val="bottom"/>
          </w:tcPr>
          <w:p>
            <w:pPr>
              <w:pStyle w:val="TableContents"/>
              <w:spacing w:before="0" w:after="283"/>
              <w:rPr/>
            </w:pPr>
            <w:r>
              <w:rPr/>
              <w:t> </w:t>
            </w:r>
          </w:p>
        </w:tc>
        <w:tc>
          <w:tcPr>
            <w:tcW w:w="3935" w:type="dxa"/>
            <w:gridSpan w:val="11"/>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60" w:type="dxa"/>
            <w:tcBorders/>
            <w:shd w:fill="auto" w:val="clear"/>
            <w:vAlign w:val="bottom"/>
          </w:tcPr>
          <w:p>
            <w:pPr>
              <w:pStyle w:val="TableContents"/>
              <w:spacing w:before="0" w:after="283"/>
              <w:rPr/>
            </w:pPr>
            <w:r>
              <w:rPr/>
              <w:t> </w:t>
            </w:r>
          </w:p>
        </w:tc>
        <w:tc>
          <w:tcPr>
            <w:tcW w:w="3935" w:type="dxa"/>
            <w:gridSpan w:val="11"/>
            <w:tcBorders>
              <w:bottom w:val="single" w:sz="2" w:space="0" w:color="000000"/>
            </w:tcBorders>
            <w:shd w:fill="auto" w:val="clear"/>
            <w:tcMar>
              <w:bottom w:w="28" w:type="dxa"/>
            </w:tcMar>
            <w:vAlign w:val="bottom"/>
          </w:tcPr>
          <w:p>
            <w:pPr>
              <w:pStyle w:val="TableContents"/>
              <w:spacing w:before="0" w:after="283"/>
              <w:jc w:val="center"/>
              <w:rPr/>
            </w:pPr>
            <w:r>
              <w:rPr/>
              <w:t>2003</w:t>
            </w:r>
          </w:p>
        </w:tc>
      </w:tr>
      <w:tr>
        <w:trPr/>
        <w:tc>
          <w:tcPr>
            <w:tcW w:w="9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25" w:type="dxa"/>
            <w:gridSpan w:val="3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9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25" w:type="dxa"/>
            <w:gridSpan w:val="35"/>
            <w:tcBorders>
              <w:bottom w:val="single" w:sz="2" w:space="0" w:color="000000"/>
            </w:tcBorders>
            <w:shd w:fill="auto" w:val="clear"/>
            <w:tcMar>
              <w:bottom w:w="28" w:type="dxa"/>
            </w:tcMar>
            <w:vAlign w:val="bottom"/>
          </w:tcPr>
          <w:p>
            <w:pPr>
              <w:pStyle w:val="TableContents"/>
              <w:spacing w:before="0" w:after="283"/>
              <w:jc w:val="center"/>
              <w:rPr/>
            </w:pPr>
            <w:r>
              <w:rPr/>
              <w:t>(dollars in thousands)</w:t>
            </w:r>
          </w:p>
        </w:tc>
      </w:tr>
      <w:tr>
        <w:trPr/>
        <w:tc>
          <w:tcPr>
            <w:tcW w:w="9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5" w:type="dxa"/>
            <w:gridSpan w:val="3"/>
            <w:tcBorders/>
            <w:shd w:fill="auto" w:val="clear"/>
            <w:vAlign w:val="bottom"/>
          </w:tcPr>
          <w:p>
            <w:pPr>
              <w:pStyle w:val="TableContents"/>
              <w:spacing w:before="0" w:after="283"/>
              <w:jc w:val="center"/>
              <w:rPr/>
            </w:pPr>
            <w:r>
              <w:rPr/>
              <w:t>Average Balance</w:t>
            </w:r>
          </w:p>
        </w:tc>
        <w:tc>
          <w:tcPr>
            <w:tcW w:w="60" w:type="dxa"/>
            <w:tcBorders/>
            <w:shd w:fill="auto" w:val="clear"/>
            <w:vAlign w:val="bottom"/>
          </w:tcPr>
          <w:p>
            <w:pPr>
              <w:pStyle w:val="TableContents"/>
              <w:spacing w:before="0" w:after="283"/>
              <w:rPr/>
            </w:pPr>
            <w:r>
              <w:rPr/>
              <w:t> </w:t>
            </w:r>
          </w:p>
        </w:tc>
        <w:tc>
          <w:tcPr>
            <w:tcW w:w="835" w:type="dxa"/>
            <w:gridSpan w:val="3"/>
            <w:tcBorders/>
            <w:shd w:fill="auto" w:val="clear"/>
            <w:vAlign w:val="bottom"/>
          </w:tcPr>
          <w:p>
            <w:pPr>
              <w:pStyle w:val="TableContents"/>
              <w:spacing w:before="0" w:after="283"/>
              <w:jc w:val="center"/>
              <w:rPr/>
            </w:pPr>
            <w:r>
              <w:rPr/>
              <w:t>% Total</w:t>
            </w:r>
          </w:p>
        </w:tc>
        <w:tc>
          <w:tcPr>
            <w:tcW w:w="60" w:type="dxa"/>
            <w:tcBorders/>
            <w:shd w:fill="auto" w:val="clear"/>
            <w:vAlign w:val="bottom"/>
          </w:tcPr>
          <w:p>
            <w:pPr>
              <w:pStyle w:val="TableContents"/>
              <w:spacing w:before="0" w:after="283"/>
              <w:rPr/>
            </w:pPr>
            <w:r>
              <w:rPr/>
              <w:t> </w:t>
            </w:r>
          </w:p>
        </w:tc>
        <w:tc>
          <w:tcPr>
            <w:tcW w:w="1325" w:type="dxa"/>
            <w:gridSpan w:val="3"/>
            <w:tcBorders/>
            <w:shd w:fill="auto" w:val="clear"/>
            <w:vAlign w:val="bottom"/>
          </w:tcPr>
          <w:p>
            <w:pPr>
              <w:pStyle w:val="TableContents"/>
              <w:spacing w:before="0" w:after="283"/>
              <w:jc w:val="center"/>
              <w:rPr/>
            </w:pPr>
            <w:r>
              <w:rPr/>
              <w:t>Average Rate</w:t>
            </w:r>
          </w:p>
        </w:tc>
        <w:tc>
          <w:tcPr>
            <w:tcW w:w="60" w:type="dxa"/>
            <w:tcBorders/>
            <w:shd w:fill="auto" w:val="clear"/>
            <w:vAlign w:val="bottom"/>
          </w:tcPr>
          <w:p>
            <w:pPr>
              <w:pStyle w:val="TableContents"/>
              <w:spacing w:before="0" w:after="283"/>
              <w:rPr/>
            </w:pPr>
            <w:r>
              <w:rPr/>
              <w:t> </w:t>
            </w:r>
          </w:p>
        </w:tc>
        <w:tc>
          <w:tcPr>
            <w:tcW w:w="1655" w:type="dxa"/>
            <w:gridSpan w:val="3"/>
            <w:tcBorders/>
            <w:shd w:fill="auto" w:val="clear"/>
            <w:vAlign w:val="bottom"/>
          </w:tcPr>
          <w:p>
            <w:pPr>
              <w:pStyle w:val="TableContents"/>
              <w:spacing w:before="0" w:after="283"/>
              <w:jc w:val="center"/>
              <w:rPr/>
            </w:pPr>
            <w:r>
              <w:rPr/>
              <w:t>Average Balance</w:t>
            </w:r>
          </w:p>
        </w:tc>
        <w:tc>
          <w:tcPr>
            <w:tcW w:w="60" w:type="dxa"/>
            <w:tcBorders/>
            <w:shd w:fill="auto" w:val="clear"/>
            <w:vAlign w:val="bottom"/>
          </w:tcPr>
          <w:p>
            <w:pPr>
              <w:pStyle w:val="TableContents"/>
              <w:spacing w:before="0" w:after="283"/>
              <w:rPr/>
            </w:pPr>
            <w:r>
              <w:rPr/>
              <w:t> </w:t>
            </w:r>
          </w:p>
        </w:tc>
        <w:tc>
          <w:tcPr>
            <w:tcW w:w="835" w:type="dxa"/>
            <w:gridSpan w:val="3"/>
            <w:tcBorders/>
            <w:shd w:fill="auto" w:val="clear"/>
            <w:vAlign w:val="bottom"/>
          </w:tcPr>
          <w:p>
            <w:pPr>
              <w:pStyle w:val="TableContents"/>
              <w:spacing w:before="0" w:after="283"/>
              <w:jc w:val="center"/>
              <w:rPr/>
            </w:pPr>
            <w:r>
              <w:rPr/>
              <w:t>% Total</w:t>
            </w:r>
          </w:p>
        </w:tc>
        <w:tc>
          <w:tcPr>
            <w:tcW w:w="60" w:type="dxa"/>
            <w:tcBorders/>
            <w:shd w:fill="auto" w:val="clear"/>
            <w:vAlign w:val="bottom"/>
          </w:tcPr>
          <w:p>
            <w:pPr>
              <w:pStyle w:val="TableContents"/>
              <w:spacing w:before="0" w:after="283"/>
              <w:rPr/>
            </w:pPr>
            <w:r>
              <w:rPr/>
              <w:t> </w:t>
            </w:r>
          </w:p>
        </w:tc>
        <w:tc>
          <w:tcPr>
            <w:tcW w:w="1325" w:type="dxa"/>
            <w:gridSpan w:val="3"/>
            <w:tcBorders/>
            <w:shd w:fill="auto" w:val="clear"/>
            <w:vAlign w:val="bottom"/>
          </w:tcPr>
          <w:p>
            <w:pPr>
              <w:pStyle w:val="TableContents"/>
              <w:spacing w:before="0" w:after="283"/>
              <w:jc w:val="center"/>
              <w:rPr/>
            </w:pPr>
            <w:r>
              <w:rPr/>
              <w:t>Average Rate</w:t>
            </w:r>
          </w:p>
        </w:tc>
        <w:tc>
          <w:tcPr>
            <w:tcW w:w="60" w:type="dxa"/>
            <w:tcBorders/>
            <w:shd w:fill="auto" w:val="clear"/>
            <w:vAlign w:val="bottom"/>
          </w:tcPr>
          <w:p>
            <w:pPr>
              <w:pStyle w:val="TableContents"/>
              <w:spacing w:before="0" w:after="283"/>
              <w:rPr/>
            </w:pPr>
            <w:r>
              <w:rPr/>
              <w:t> </w:t>
            </w:r>
          </w:p>
        </w:tc>
        <w:tc>
          <w:tcPr>
            <w:tcW w:w="1655" w:type="dxa"/>
            <w:gridSpan w:val="3"/>
            <w:tcBorders/>
            <w:shd w:fill="auto" w:val="clear"/>
            <w:vAlign w:val="bottom"/>
          </w:tcPr>
          <w:p>
            <w:pPr>
              <w:pStyle w:val="TableContents"/>
              <w:spacing w:before="0" w:after="283"/>
              <w:jc w:val="center"/>
              <w:rPr/>
            </w:pPr>
            <w:r>
              <w:rPr/>
              <w:t>Average Balance</w:t>
            </w:r>
          </w:p>
        </w:tc>
        <w:tc>
          <w:tcPr>
            <w:tcW w:w="60" w:type="dxa"/>
            <w:tcBorders/>
            <w:shd w:fill="auto" w:val="clear"/>
            <w:vAlign w:val="bottom"/>
          </w:tcPr>
          <w:p>
            <w:pPr>
              <w:pStyle w:val="TableContents"/>
              <w:spacing w:before="0" w:after="283"/>
              <w:rPr/>
            </w:pPr>
            <w:r>
              <w:rPr/>
              <w:t> </w:t>
            </w:r>
          </w:p>
        </w:tc>
        <w:tc>
          <w:tcPr>
            <w:tcW w:w="835" w:type="dxa"/>
            <w:gridSpan w:val="3"/>
            <w:tcBorders/>
            <w:shd w:fill="auto" w:val="clear"/>
            <w:vAlign w:val="bottom"/>
          </w:tcPr>
          <w:p>
            <w:pPr>
              <w:pStyle w:val="TableContents"/>
              <w:spacing w:before="0" w:after="283"/>
              <w:jc w:val="center"/>
              <w:rPr/>
            </w:pPr>
            <w:r>
              <w:rPr/>
              <w:t>% Total</w:t>
            </w:r>
          </w:p>
        </w:tc>
        <w:tc>
          <w:tcPr>
            <w:tcW w:w="60" w:type="dxa"/>
            <w:tcBorders/>
            <w:shd w:fill="auto" w:val="clear"/>
            <w:vAlign w:val="bottom"/>
          </w:tcPr>
          <w:p>
            <w:pPr>
              <w:pStyle w:val="TableContents"/>
              <w:spacing w:before="0" w:after="283"/>
              <w:rPr/>
            </w:pPr>
            <w:r>
              <w:rPr/>
              <w:t> </w:t>
            </w:r>
          </w:p>
        </w:tc>
        <w:tc>
          <w:tcPr>
            <w:tcW w:w="1325" w:type="dxa"/>
            <w:gridSpan w:val="3"/>
            <w:tcBorders/>
            <w:shd w:fill="auto" w:val="clear"/>
            <w:vAlign w:val="bottom"/>
          </w:tcPr>
          <w:p>
            <w:pPr>
              <w:pStyle w:val="TableContents"/>
              <w:spacing w:before="0" w:after="283"/>
              <w:jc w:val="center"/>
              <w:rPr/>
            </w:pPr>
            <w:r>
              <w:rPr/>
              <w:t>Average Rate</w:t>
            </w:r>
          </w:p>
        </w:tc>
      </w:tr>
      <w:tr>
        <w:trPr/>
        <w:tc>
          <w:tcPr>
            <w:tcW w:w="9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25" w:type="dxa"/>
            <w:gridSpan w:val="3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965" w:type="dxa"/>
            <w:tcBorders/>
            <w:shd w:fill="CCEEFF" w:val="clear"/>
            <w:vAlign w:val="bottom"/>
          </w:tcPr>
          <w:p>
            <w:pPr>
              <w:pStyle w:val="TableContents"/>
              <w:spacing w:before="0" w:after="0"/>
              <w:ind w:left="225" w:right="0" w:hanging="225"/>
              <w:rPr/>
            </w:pPr>
            <w:r>
              <w:rPr/>
              <w:t>Non-interest bearing demand deposits</w:t>
            </w:r>
          </w:p>
        </w:tc>
        <w:tc>
          <w:tcPr>
            <w:tcW w:w="6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right"/>
              <w:rPr/>
            </w:pPr>
            <w:r>
              <w:rPr/>
              <w:t>$</w:t>
            </w:r>
          </w:p>
        </w:tc>
        <w:tc>
          <w:tcPr>
            <w:tcW w:w="1374" w:type="dxa"/>
            <w:tcBorders/>
            <w:shd w:fill="CCEEFF" w:val="clear"/>
            <w:vAlign w:val="bottom"/>
          </w:tcPr>
          <w:p>
            <w:pPr>
              <w:pStyle w:val="TableContents"/>
              <w:spacing w:before="0" w:after="283"/>
              <w:jc w:val="right"/>
              <w:rPr/>
            </w:pPr>
            <w:r>
              <w:rPr/>
              <w:t>221,632</w:t>
            </w:r>
          </w:p>
        </w:tc>
        <w:tc>
          <w:tcPr>
            <w:tcW w:w="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13.3</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right"/>
              <w:rPr/>
            </w:pPr>
            <w:r>
              <w:rPr/>
              <w:t> </w:t>
            </w:r>
          </w:p>
        </w:tc>
        <w:tc>
          <w:tcPr>
            <w:tcW w:w="815" w:type="dxa"/>
            <w:tcBorders/>
            <w:shd w:fill="CCEEFF" w:val="clear"/>
            <w:vAlign w:val="bottom"/>
          </w:tcPr>
          <w:p>
            <w:pPr>
              <w:pStyle w:val="TableContents"/>
              <w:spacing w:before="0" w:after="283"/>
              <w:jc w:val="right"/>
              <w:rPr/>
            </w:pPr>
            <w:r>
              <w:rPr/>
              <w:t>0.00</w:t>
            </w:r>
          </w:p>
        </w:tc>
        <w:tc>
          <w:tcPr>
            <w:tcW w:w="399"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right"/>
              <w:rPr/>
            </w:pPr>
            <w:r>
              <w:rPr/>
              <w:t>$</w:t>
            </w:r>
          </w:p>
        </w:tc>
        <w:tc>
          <w:tcPr>
            <w:tcW w:w="1374" w:type="dxa"/>
            <w:tcBorders/>
            <w:shd w:fill="CCEEFF" w:val="clear"/>
            <w:vAlign w:val="bottom"/>
          </w:tcPr>
          <w:p>
            <w:pPr>
              <w:pStyle w:val="TableContents"/>
              <w:spacing w:before="0" w:after="283"/>
              <w:jc w:val="right"/>
              <w:rPr/>
            </w:pPr>
            <w:r>
              <w:rPr/>
              <w:t>175,463</w:t>
            </w:r>
          </w:p>
        </w:tc>
        <w:tc>
          <w:tcPr>
            <w:tcW w:w="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12.5</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right"/>
              <w:rPr/>
            </w:pPr>
            <w:r>
              <w:rPr/>
              <w:t> </w:t>
            </w:r>
          </w:p>
        </w:tc>
        <w:tc>
          <w:tcPr>
            <w:tcW w:w="815" w:type="dxa"/>
            <w:tcBorders/>
            <w:shd w:fill="CCEEFF" w:val="clear"/>
            <w:vAlign w:val="bottom"/>
          </w:tcPr>
          <w:p>
            <w:pPr>
              <w:pStyle w:val="TableContents"/>
              <w:spacing w:before="0" w:after="283"/>
              <w:jc w:val="right"/>
              <w:rPr/>
            </w:pPr>
            <w:r>
              <w:rPr/>
              <w:t>0.00</w:t>
            </w:r>
          </w:p>
        </w:tc>
        <w:tc>
          <w:tcPr>
            <w:tcW w:w="399"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right"/>
              <w:rPr/>
            </w:pPr>
            <w:r>
              <w:rPr/>
              <w:t>$</w:t>
            </w:r>
          </w:p>
        </w:tc>
        <w:tc>
          <w:tcPr>
            <w:tcW w:w="1374" w:type="dxa"/>
            <w:tcBorders/>
            <w:shd w:fill="CCEEFF" w:val="clear"/>
            <w:vAlign w:val="bottom"/>
          </w:tcPr>
          <w:p>
            <w:pPr>
              <w:pStyle w:val="TableContents"/>
              <w:spacing w:before="0" w:after="283"/>
              <w:jc w:val="right"/>
              <w:rPr/>
            </w:pPr>
            <w:r>
              <w:rPr/>
              <w:t>149,030</w:t>
            </w:r>
          </w:p>
        </w:tc>
        <w:tc>
          <w:tcPr>
            <w:tcW w:w="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12.2</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right"/>
              <w:rPr/>
            </w:pPr>
            <w:r>
              <w:rPr/>
              <w:t> </w:t>
            </w:r>
          </w:p>
        </w:tc>
        <w:tc>
          <w:tcPr>
            <w:tcW w:w="815" w:type="dxa"/>
            <w:tcBorders/>
            <w:shd w:fill="CCEEFF" w:val="clear"/>
            <w:vAlign w:val="bottom"/>
          </w:tcPr>
          <w:p>
            <w:pPr>
              <w:pStyle w:val="TableContents"/>
              <w:spacing w:before="0" w:after="283"/>
              <w:jc w:val="right"/>
              <w:rPr/>
            </w:pPr>
            <w:r>
              <w:rPr/>
              <w:t>0.00</w:t>
            </w:r>
          </w:p>
        </w:tc>
        <w:tc>
          <w:tcPr>
            <w:tcW w:w="399" w:type="dxa"/>
            <w:tcBorders/>
            <w:shd w:fill="CCEEFF" w:val="clear"/>
            <w:vAlign w:val="bottom"/>
          </w:tcPr>
          <w:p>
            <w:pPr>
              <w:pStyle w:val="TableContents"/>
              <w:spacing w:before="0" w:after="283"/>
              <w:rPr/>
            </w:pPr>
            <w:r>
              <w:rPr/>
              <w:t>%</w:t>
            </w:r>
          </w:p>
        </w:tc>
      </w:tr>
      <w:tr>
        <w:trPr/>
        <w:tc>
          <w:tcPr>
            <w:tcW w:w="965" w:type="dxa"/>
            <w:tcBorders/>
            <w:shd w:fill="auto" w:val="clear"/>
            <w:vAlign w:val="bottom"/>
          </w:tcPr>
          <w:p>
            <w:pPr>
              <w:pStyle w:val="TableContents"/>
              <w:spacing w:before="0" w:after="0"/>
              <w:ind w:left="225" w:right="0" w:hanging="225"/>
              <w:rPr/>
            </w:pPr>
            <w:r>
              <w:rPr/>
              <w:t>Interest bearing demand deposits</w:t>
            </w:r>
          </w:p>
        </w:tc>
        <w:tc>
          <w:tcPr>
            <w:tcW w:w="6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42,150</w:t>
            </w:r>
          </w:p>
        </w:tc>
        <w:tc>
          <w:tcPr>
            <w:tcW w:w="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560" w:type="dxa"/>
            <w:tcBorders/>
            <w:shd w:fill="auto" w:val="clear"/>
            <w:vAlign w:val="bottom"/>
          </w:tcPr>
          <w:p>
            <w:pPr>
              <w:pStyle w:val="TableContents"/>
              <w:spacing w:before="0" w:after="283"/>
              <w:jc w:val="right"/>
              <w:rPr/>
            </w:pPr>
            <w:r>
              <w:rPr/>
              <w:t>2.5</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right"/>
              <w:rPr/>
            </w:pPr>
            <w:r>
              <w:rPr/>
              <w:t> </w:t>
            </w:r>
          </w:p>
        </w:tc>
        <w:tc>
          <w:tcPr>
            <w:tcW w:w="815" w:type="dxa"/>
            <w:tcBorders/>
            <w:shd w:fill="auto" w:val="clear"/>
            <w:vAlign w:val="bottom"/>
          </w:tcPr>
          <w:p>
            <w:pPr>
              <w:pStyle w:val="TableContents"/>
              <w:spacing w:before="0" w:after="283"/>
              <w:jc w:val="right"/>
              <w:rPr/>
            </w:pPr>
            <w:r>
              <w:rPr/>
              <w:t>0.74</w:t>
            </w:r>
          </w:p>
        </w:tc>
        <w:tc>
          <w:tcPr>
            <w:tcW w:w="399"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26,917</w:t>
            </w:r>
          </w:p>
        </w:tc>
        <w:tc>
          <w:tcPr>
            <w:tcW w:w="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560" w:type="dxa"/>
            <w:tcBorders/>
            <w:shd w:fill="auto" w:val="clear"/>
            <w:vAlign w:val="bottom"/>
          </w:tcPr>
          <w:p>
            <w:pPr>
              <w:pStyle w:val="TableContents"/>
              <w:spacing w:before="0" w:after="283"/>
              <w:jc w:val="right"/>
              <w:rPr/>
            </w:pPr>
            <w:r>
              <w:rPr/>
              <w:t>1.9</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right"/>
              <w:rPr/>
            </w:pPr>
            <w:r>
              <w:rPr/>
              <w:t> </w:t>
            </w:r>
          </w:p>
        </w:tc>
        <w:tc>
          <w:tcPr>
            <w:tcW w:w="815" w:type="dxa"/>
            <w:tcBorders/>
            <w:shd w:fill="auto" w:val="clear"/>
            <w:vAlign w:val="bottom"/>
          </w:tcPr>
          <w:p>
            <w:pPr>
              <w:pStyle w:val="TableContents"/>
              <w:spacing w:before="0" w:after="283"/>
              <w:jc w:val="right"/>
              <w:rPr/>
            </w:pPr>
            <w:r>
              <w:rPr/>
              <w:t>0.70</w:t>
            </w:r>
          </w:p>
        </w:tc>
        <w:tc>
          <w:tcPr>
            <w:tcW w:w="399"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18,194</w:t>
            </w:r>
          </w:p>
        </w:tc>
        <w:tc>
          <w:tcPr>
            <w:tcW w:w="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560" w:type="dxa"/>
            <w:tcBorders/>
            <w:shd w:fill="auto" w:val="clear"/>
            <w:vAlign w:val="bottom"/>
          </w:tcPr>
          <w:p>
            <w:pPr>
              <w:pStyle w:val="TableContents"/>
              <w:spacing w:before="0" w:after="283"/>
              <w:jc w:val="right"/>
              <w:rPr/>
            </w:pPr>
            <w:r>
              <w:rPr/>
              <w:t>1.5</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right"/>
              <w:rPr/>
            </w:pPr>
            <w:r>
              <w:rPr/>
              <w:t> </w:t>
            </w:r>
          </w:p>
        </w:tc>
        <w:tc>
          <w:tcPr>
            <w:tcW w:w="815" w:type="dxa"/>
            <w:tcBorders/>
            <w:shd w:fill="auto" w:val="clear"/>
            <w:vAlign w:val="bottom"/>
          </w:tcPr>
          <w:p>
            <w:pPr>
              <w:pStyle w:val="TableContents"/>
              <w:spacing w:before="0" w:after="283"/>
              <w:jc w:val="right"/>
              <w:rPr/>
            </w:pPr>
            <w:r>
              <w:rPr/>
              <w:t>0.48</w:t>
            </w:r>
          </w:p>
        </w:tc>
        <w:tc>
          <w:tcPr>
            <w:tcW w:w="399" w:type="dxa"/>
            <w:tcBorders/>
            <w:shd w:fill="auto" w:val="clear"/>
            <w:vAlign w:val="bottom"/>
          </w:tcPr>
          <w:p>
            <w:pPr>
              <w:pStyle w:val="TableContents"/>
              <w:spacing w:before="0" w:after="283"/>
              <w:rPr/>
            </w:pPr>
            <w:r>
              <w:rPr/>
              <w:t>%</w:t>
            </w:r>
          </w:p>
        </w:tc>
      </w:tr>
      <w:tr>
        <w:trPr/>
        <w:tc>
          <w:tcPr>
            <w:tcW w:w="965" w:type="dxa"/>
            <w:tcBorders/>
            <w:shd w:fill="CCEEFF" w:val="clear"/>
            <w:vAlign w:val="bottom"/>
          </w:tcPr>
          <w:p>
            <w:pPr>
              <w:pStyle w:val="TableContents"/>
              <w:spacing w:before="0" w:after="0"/>
              <w:ind w:left="225" w:right="0" w:hanging="225"/>
              <w:rPr/>
            </w:pPr>
            <w:r>
              <w:rPr/>
              <w:t>Savings/Money Market</w:t>
            </w:r>
          </w:p>
        </w:tc>
        <w:tc>
          <w:tcPr>
            <w:tcW w:w="6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714,891</w:t>
            </w:r>
          </w:p>
        </w:tc>
        <w:tc>
          <w:tcPr>
            <w:tcW w:w="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42.8</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right"/>
              <w:rPr/>
            </w:pPr>
            <w:r>
              <w:rPr/>
              <w:t> </w:t>
            </w:r>
          </w:p>
        </w:tc>
        <w:tc>
          <w:tcPr>
            <w:tcW w:w="815" w:type="dxa"/>
            <w:tcBorders/>
            <w:shd w:fill="CCEEFF" w:val="clear"/>
            <w:vAlign w:val="bottom"/>
          </w:tcPr>
          <w:p>
            <w:pPr>
              <w:pStyle w:val="TableContents"/>
              <w:spacing w:before="0" w:after="283"/>
              <w:jc w:val="right"/>
              <w:rPr/>
            </w:pPr>
            <w:r>
              <w:rPr/>
              <w:t>1.49</w:t>
            </w:r>
          </w:p>
        </w:tc>
        <w:tc>
          <w:tcPr>
            <w:tcW w:w="399"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622,660</w:t>
            </w:r>
          </w:p>
        </w:tc>
        <w:tc>
          <w:tcPr>
            <w:tcW w:w="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44.4</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right"/>
              <w:rPr/>
            </w:pPr>
            <w:r>
              <w:rPr/>
              <w:t> </w:t>
            </w:r>
          </w:p>
        </w:tc>
        <w:tc>
          <w:tcPr>
            <w:tcW w:w="815" w:type="dxa"/>
            <w:tcBorders/>
            <w:shd w:fill="CCEEFF" w:val="clear"/>
            <w:vAlign w:val="bottom"/>
          </w:tcPr>
          <w:p>
            <w:pPr>
              <w:pStyle w:val="TableContents"/>
              <w:spacing w:before="0" w:after="283"/>
              <w:jc w:val="right"/>
              <w:rPr/>
            </w:pPr>
            <w:r>
              <w:rPr/>
              <w:t>0.78</w:t>
            </w:r>
          </w:p>
        </w:tc>
        <w:tc>
          <w:tcPr>
            <w:tcW w:w="399"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555,193</w:t>
            </w:r>
          </w:p>
        </w:tc>
        <w:tc>
          <w:tcPr>
            <w:tcW w:w="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45.5</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right"/>
              <w:rPr/>
            </w:pPr>
            <w:r>
              <w:rPr/>
              <w:t> </w:t>
            </w:r>
          </w:p>
        </w:tc>
        <w:tc>
          <w:tcPr>
            <w:tcW w:w="815" w:type="dxa"/>
            <w:tcBorders/>
            <w:shd w:fill="CCEEFF" w:val="clear"/>
            <w:vAlign w:val="bottom"/>
          </w:tcPr>
          <w:p>
            <w:pPr>
              <w:pStyle w:val="TableContents"/>
              <w:spacing w:before="0" w:after="283"/>
              <w:jc w:val="right"/>
              <w:rPr/>
            </w:pPr>
            <w:r>
              <w:rPr/>
              <w:t>0.74</w:t>
            </w:r>
          </w:p>
        </w:tc>
        <w:tc>
          <w:tcPr>
            <w:tcW w:w="399" w:type="dxa"/>
            <w:tcBorders/>
            <w:shd w:fill="CCEEFF" w:val="clear"/>
            <w:vAlign w:val="bottom"/>
          </w:tcPr>
          <w:p>
            <w:pPr>
              <w:pStyle w:val="TableContents"/>
              <w:spacing w:before="0" w:after="283"/>
              <w:rPr/>
            </w:pPr>
            <w:r>
              <w:rPr/>
              <w:t>%</w:t>
            </w:r>
          </w:p>
        </w:tc>
      </w:tr>
      <w:tr>
        <w:trPr/>
        <w:tc>
          <w:tcPr>
            <w:tcW w:w="965" w:type="dxa"/>
            <w:tcBorders/>
            <w:shd w:fill="auto" w:val="clear"/>
            <w:vAlign w:val="bottom"/>
          </w:tcPr>
          <w:p>
            <w:pPr>
              <w:pStyle w:val="TableContents"/>
              <w:spacing w:before="0" w:after="0"/>
              <w:ind w:left="225" w:right="0" w:hanging="225"/>
              <w:rPr/>
            </w:pPr>
            <w:r>
              <w:rPr/>
              <w:t>Time deposits</w:t>
            </w:r>
          </w:p>
        </w:tc>
        <w:tc>
          <w:tcPr>
            <w:tcW w:w="6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691,790</w:t>
            </w:r>
          </w:p>
        </w:tc>
        <w:tc>
          <w:tcPr>
            <w:tcW w:w="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560" w:type="dxa"/>
            <w:tcBorders/>
            <w:shd w:fill="auto" w:val="clear"/>
            <w:vAlign w:val="bottom"/>
          </w:tcPr>
          <w:p>
            <w:pPr>
              <w:pStyle w:val="TableContents"/>
              <w:spacing w:before="0" w:after="283"/>
              <w:jc w:val="right"/>
              <w:rPr/>
            </w:pPr>
            <w:r>
              <w:rPr/>
              <w:t>41.4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right"/>
              <w:rPr/>
            </w:pPr>
            <w:r>
              <w:rPr/>
              <w:t> </w:t>
            </w:r>
          </w:p>
        </w:tc>
        <w:tc>
          <w:tcPr>
            <w:tcW w:w="815" w:type="dxa"/>
            <w:tcBorders/>
            <w:shd w:fill="auto" w:val="clear"/>
            <w:vAlign w:val="bottom"/>
          </w:tcPr>
          <w:p>
            <w:pPr>
              <w:pStyle w:val="TableContents"/>
              <w:spacing w:before="0" w:after="283"/>
              <w:jc w:val="right"/>
              <w:rPr/>
            </w:pPr>
            <w:r>
              <w:rPr/>
              <w:t>3.30</w:t>
            </w:r>
          </w:p>
        </w:tc>
        <w:tc>
          <w:tcPr>
            <w:tcW w:w="399"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578,808</w:t>
            </w:r>
          </w:p>
        </w:tc>
        <w:tc>
          <w:tcPr>
            <w:tcW w:w="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560" w:type="dxa"/>
            <w:tcBorders/>
            <w:shd w:fill="auto" w:val="clear"/>
            <w:vAlign w:val="bottom"/>
          </w:tcPr>
          <w:p>
            <w:pPr>
              <w:pStyle w:val="TableContents"/>
              <w:spacing w:before="0" w:after="283"/>
              <w:jc w:val="right"/>
              <w:rPr/>
            </w:pPr>
            <w:r>
              <w:rPr/>
              <w:t>41.2</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right"/>
              <w:rPr/>
            </w:pPr>
            <w:r>
              <w:rPr/>
              <w:t> </w:t>
            </w:r>
          </w:p>
        </w:tc>
        <w:tc>
          <w:tcPr>
            <w:tcW w:w="815" w:type="dxa"/>
            <w:tcBorders/>
            <w:shd w:fill="auto" w:val="clear"/>
            <w:vAlign w:val="bottom"/>
          </w:tcPr>
          <w:p>
            <w:pPr>
              <w:pStyle w:val="TableContents"/>
              <w:spacing w:before="0" w:after="283"/>
              <w:jc w:val="right"/>
              <w:rPr/>
            </w:pPr>
            <w:r>
              <w:rPr/>
              <w:t>2.83</w:t>
            </w:r>
          </w:p>
        </w:tc>
        <w:tc>
          <w:tcPr>
            <w:tcW w:w="399"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497,875</w:t>
            </w:r>
          </w:p>
        </w:tc>
        <w:tc>
          <w:tcPr>
            <w:tcW w:w="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560" w:type="dxa"/>
            <w:tcBorders/>
            <w:shd w:fill="auto" w:val="clear"/>
            <w:vAlign w:val="bottom"/>
          </w:tcPr>
          <w:p>
            <w:pPr>
              <w:pStyle w:val="TableContents"/>
              <w:spacing w:before="0" w:after="283"/>
              <w:jc w:val="right"/>
              <w:rPr/>
            </w:pPr>
            <w:r>
              <w:rPr/>
              <w:t>40.8</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right"/>
              <w:rPr/>
            </w:pPr>
            <w:r>
              <w:rPr/>
              <w:t> </w:t>
            </w:r>
          </w:p>
        </w:tc>
        <w:tc>
          <w:tcPr>
            <w:tcW w:w="815" w:type="dxa"/>
            <w:tcBorders/>
            <w:shd w:fill="auto" w:val="clear"/>
            <w:vAlign w:val="bottom"/>
          </w:tcPr>
          <w:p>
            <w:pPr>
              <w:pStyle w:val="TableContents"/>
              <w:spacing w:before="0" w:after="283"/>
              <w:jc w:val="right"/>
              <w:rPr/>
            </w:pPr>
            <w:r>
              <w:rPr/>
              <w:t>3.10</w:t>
            </w:r>
          </w:p>
        </w:tc>
        <w:tc>
          <w:tcPr>
            <w:tcW w:w="399" w:type="dxa"/>
            <w:tcBorders/>
            <w:shd w:fill="auto" w:val="clear"/>
            <w:vAlign w:val="bottom"/>
          </w:tcPr>
          <w:p>
            <w:pPr>
              <w:pStyle w:val="TableContents"/>
              <w:spacing w:before="0" w:after="283"/>
              <w:rPr/>
            </w:pPr>
            <w:r>
              <w:rPr/>
              <w:t>%</w:t>
            </w:r>
          </w:p>
        </w:tc>
      </w:tr>
      <w:tr>
        <w:trPr/>
        <w:tc>
          <w:tcPr>
            <w:tcW w:w="9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25" w:type="dxa"/>
            <w:gridSpan w:val="3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965" w:type="dxa"/>
            <w:tcBorders/>
            <w:shd w:fill="CCEEFF" w:val="clear"/>
            <w:vAlign w:val="bottom"/>
          </w:tcPr>
          <w:p>
            <w:pPr>
              <w:pStyle w:val="TableContents"/>
              <w:spacing w:before="0" w:after="0"/>
              <w:ind w:left="225" w:right="0" w:hanging="225"/>
              <w:rPr/>
            </w:pPr>
            <w:r>
              <w:rPr/>
              <w:t>Total</w:t>
            </w:r>
          </w:p>
        </w:tc>
        <w:tc>
          <w:tcPr>
            <w:tcW w:w="6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right"/>
              <w:rPr/>
            </w:pPr>
            <w:r>
              <w:rPr/>
              <w:t>$</w:t>
            </w:r>
          </w:p>
        </w:tc>
        <w:tc>
          <w:tcPr>
            <w:tcW w:w="1374" w:type="dxa"/>
            <w:tcBorders/>
            <w:shd w:fill="CCEEFF" w:val="clear"/>
            <w:vAlign w:val="bottom"/>
          </w:tcPr>
          <w:p>
            <w:pPr>
              <w:pStyle w:val="TableContents"/>
              <w:spacing w:before="0" w:after="283"/>
              <w:jc w:val="right"/>
              <w:rPr/>
            </w:pPr>
            <w:r>
              <w:rPr/>
              <w:t>1,670,463</w:t>
            </w:r>
          </w:p>
        </w:tc>
        <w:tc>
          <w:tcPr>
            <w:tcW w:w="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100.0</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right"/>
              <w:rPr/>
            </w:pPr>
            <w:r>
              <w:rPr/>
              <w:t> </w:t>
            </w:r>
          </w:p>
        </w:tc>
        <w:tc>
          <w:tcPr>
            <w:tcW w:w="815" w:type="dxa"/>
            <w:tcBorders/>
            <w:shd w:fill="CCEEFF" w:val="clear"/>
            <w:vAlign w:val="bottom"/>
          </w:tcPr>
          <w:p>
            <w:pPr>
              <w:pStyle w:val="TableContents"/>
              <w:spacing w:before="0" w:after="283"/>
              <w:jc w:val="right"/>
              <w:rPr/>
            </w:pPr>
            <w:r>
              <w:rPr/>
              <w:t>2.03</w:t>
            </w:r>
          </w:p>
        </w:tc>
        <w:tc>
          <w:tcPr>
            <w:tcW w:w="399"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right"/>
              <w:rPr/>
            </w:pPr>
            <w:r>
              <w:rPr/>
              <w:t>$</w:t>
            </w:r>
          </w:p>
        </w:tc>
        <w:tc>
          <w:tcPr>
            <w:tcW w:w="1374" w:type="dxa"/>
            <w:tcBorders/>
            <w:shd w:fill="CCEEFF" w:val="clear"/>
            <w:vAlign w:val="bottom"/>
          </w:tcPr>
          <w:p>
            <w:pPr>
              <w:pStyle w:val="TableContents"/>
              <w:spacing w:before="0" w:after="283"/>
              <w:jc w:val="right"/>
              <w:rPr/>
            </w:pPr>
            <w:r>
              <w:rPr/>
              <w:t>1,403,848</w:t>
            </w:r>
          </w:p>
        </w:tc>
        <w:tc>
          <w:tcPr>
            <w:tcW w:w="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100.0</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right"/>
              <w:rPr/>
            </w:pPr>
            <w:r>
              <w:rPr/>
              <w:t> </w:t>
            </w:r>
          </w:p>
        </w:tc>
        <w:tc>
          <w:tcPr>
            <w:tcW w:w="815" w:type="dxa"/>
            <w:tcBorders/>
            <w:shd w:fill="CCEEFF" w:val="clear"/>
            <w:vAlign w:val="bottom"/>
          </w:tcPr>
          <w:p>
            <w:pPr>
              <w:pStyle w:val="TableContents"/>
              <w:spacing w:before="0" w:after="283"/>
              <w:jc w:val="right"/>
              <w:rPr/>
            </w:pPr>
            <w:r>
              <w:rPr/>
              <w:t>1.53</w:t>
            </w:r>
          </w:p>
        </w:tc>
        <w:tc>
          <w:tcPr>
            <w:tcW w:w="399"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right"/>
              <w:rPr/>
            </w:pPr>
            <w:r>
              <w:rPr/>
              <w:t>$</w:t>
            </w:r>
          </w:p>
        </w:tc>
        <w:tc>
          <w:tcPr>
            <w:tcW w:w="1374" w:type="dxa"/>
            <w:tcBorders/>
            <w:shd w:fill="CCEEFF" w:val="clear"/>
            <w:vAlign w:val="bottom"/>
          </w:tcPr>
          <w:p>
            <w:pPr>
              <w:pStyle w:val="TableContents"/>
              <w:spacing w:before="0" w:after="283"/>
              <w:jc w:val="right"/>
              <w:rPr/>
            </w:pPr>
            <w:r>
              <w:rPr/>
              <w:t>1,220,292</w:t>
            </w:r>
          </w:p>
        </w:tc>
        <w:tc>
          <w:tcPr>
            <w:tcW w:w="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jc w:val="right"/>
              <w:rPr/>
            </w:pPr>
            <w:r>
              <w:rPr/>
              <w:t>100.0</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jc w:val="right"/>
              <w:rPr/>
            </w:pPr>
            <w:r>
              <w:rPr/>
              <w:t> </w:t>
            </w:r>
          </w:p>
        </w:tc>
        <w:tc>
          <w:tcPr>
            <w:tcW w:w="815" w:type="dxa"/>
            <w:tcBorders/>
            <w:shd w:fill="CCEEFF" w:val="clear"/>
            <w:vAlign w:val="bottom"/>
          </w:tcPr>
          <w:p>
            <w:pPr>
              <w:pStyle w:val="TableContents"/>
              <w:spacing w:before="0" w:after="283"/>
              <w:jc w:val="right"/>
              <w:rPr/>
            </w:pPr>
            <w:r>
              <w:rPr/>
              <w:t>1.61</w:t>
            </w:r>
          </w:p>
        </w:tc>
        <w:tc>
          <w:tcPr>
            <w:tcW w:w="399" w:type="dxa"/>
            <w:tcBorders/>
            <w:shd w:fill="CCEEFF" w:val="clear"/>
            <w:vAlign w:val="bottom"/>
          </w:tcPr>
          <w:p>
            <w:pPr>
              <w:pStyle w:val="TableContents"/>
              <w:spacing w:before="0" w:after="283"/>
              <w:rPr/>
            </w:pPr>
            <w:r>
              <w:rPr/>
              <w:t>%</w:t>
            </w:r>
          </w:p>
        </w:tc>
      </w:tr>
      <w:tr>
        <w:trPr/>
        <w:tc>
          <w:tcPr>
            <w:tcW w:w="9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25" w:type="dxa"/>
            <w:gridSpan w:val="35"/>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Certificates of deposit of $100,000 and over and other time deposits of $100,000 and over at December 31, 2005 had the following maturities (dollars in thousands): </w:t>
      </w:r>
    </w:p>
    <w:tbl>
      <w:tblPr>
        <w:tblW w:w="5000" w:type="pct"/>
        <w:jc w:val="center"/>
        <w:tblInd w:w="0" w:type="dxa"/>
        <w:tblCellMar>
          <w:top w:w="0" w:type="dxa"/>
          <w:left w:w="0" w:type="dxa"/>
          <w:bottom w:w="0" w:type="dxa"/>
          <w:right w:w="0" w:type="dxa"/>
        </w:tblCellMar>
      </w:tblPr>
      <w:tblGrid>
        <w:gridCol w:w="8218"/>
        <w:gridCol w:w="480"/>
        <w:gridCol w:w="382"/>
        <w:gridCol w:w="811"/>
        <w:gridCol w:w="314"/>
      </w:tblGrid>
      <w:tr>
        <w:trPr/>
        <w:tc>
          <w:tcPr>
            <w:tcW w:w="8218"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r>
      <w:tr>
        <w:trPr/>
        <w:tc>
          <w:tcPr>
            <w:tcW w:w="8218" w:type="dxa"/>
            <w:tcBorders/>
            <w:shd w:fill="CCEEFF" w:val="clear"/>
            <w:vAlign w:val="bottom"/>
          </w:tcPr>
          <w:p>
            <w:pPr>
              <w:pStyle w:val="TableContents"/>
              <w:spacing w:before="0" w:after="0"/>
              <w:ind w:left="225" w:right="0" w:hanging="225"/>
              <w:rPr/>
            </w:pPr>
            <w:r>
              <w:rPr/>
              <w:t>Under 3 months</w:t>
            </w:r>
          </w:p>
        </w:tc>
        <w:tc>
          <w:tcPr>
            <w:tcW w:w="48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58,045</w:t>
            </w:r>
          </w:p>
        </w:tc>
        <w:tc>
          <w:tcPr>
            <w:tcW w:w="314" w:type="dxa"/>
            <w:tcBorders/>
            <w:shd w:fill="CCEEFF" w:val="clear"/>
            <w:vAlign w:val="bottom"/>
          </w:tcPr>
          <w:p>
            <w:pPr>
              <w:pStyle w:val="TableContents"/>
              <w:spacing w:before="0" w:after="283"/>
              <w:rPr/>
            </w:pPr>
            <w:r>
              <w:rPr/>
              <w:t> </w:t>
            </w:r>
          </w:p>
        </w:tc>
      </w:tr>
      <w:tr>
        <w:trPr/>
        <w:tc>
          <w:tcPr>
            <w:tcW w:w="8218" w:type="dxa"/>
            <w:tcBorders/>
            <w:shd w:fill="auto" w:val="clear"/>
            <w:vAlign w:val="bottom"/>
          </w:tcPr>
          <w:p>
            <w:pPr>
              <w:pStyle w:val="TableContents"/>
              <w:spacing w:before="0" w:after="0"/>
              <w:ind w:left="225" w:right="0" w:hanging="225"/>
              <w:rPr/>
            </w:pPr>
            <w:r>
              <w:rPr/>
              <w:t>3 to 6 months</w:t>
            </w:r>
          </w:p>
        </w:tc>
        <w:tc>
          <w:tcPr>
            <w:tcW w:w="48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46,749</w:t>
            </w:r>
          </w:p>
        </w:tc>
        <w:tc>
          <w:tcPr>
            <w:tcW w:w="314" w:type="dxa"/>
            <w:tcBorders/>
            <w:shd w:fill="auto" w:val="clear"/>
            <w:vAlign w:val="bottom"/>
          </w:tcPr>
          <w:p>
            <w:pPr>
              <w:pStyle w:val="TableContents"/>
              <w:spacing w:before="0" w:after="283"/>
              <w:rPr/>
            </w:pPr>
            <w:r>
              <w:rPr/>
              <w:t> </w:t>
            </w:r>
          </w:p>
        </w:tc>
      </w:tr>
      <w:tr>
        <w:trPr/>
        <w:tc>
          <w:tcPr>
            <w:tcW w:w="8218" w:type="dxa"/>
            <w:tcBorders/>
            <w:shd w:fill="CCEEFF" w:val="clear"/>
            <w:vAlign w:val="bottom"/>
          </w:tcPr>
          <w:p>
            <w:pPr>
              <w:pStyle w:val="TableContents"/>
              <w:spacing w:before="0" w:after="0"/>
              <w:ind w:left="225" w:right="0" w:hanging="225"/>
              <w:rPr/>
            </w:pPr>
            <w:r>
              <w:rPr/>
              <w:t>6 to 12 months</w:t>
            </w:r>
          </w:p>
        </w:tc>
        <w:tc>
          <w:tcPr>
            <w:tcW w:w="48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43,338</w:t>
            </w:r>
          </w:p>
        </w:tc>
        <w:tc>
          <w:tcPr>
            <w:tcW w:w="314" w:type="dxa"/>
            <w:tcBorders/>
            <w:shd w:fill="CCEEFF" w:val="clear"/>
            <w:vAlign w:val="bottom"/>
          </w:tcPr>
          <w:p>
            <w:pPr>
              <w:pStyle w:val="TableContents"/>
              <w:spacing w:before="0" w:after="283"/>
              <w:rPr/>
            </w:pPr>
            <w:r>
              <w:rPr/>
              <w:t> </w:t>
            </w:r>
          </w:p>
        </w:tc>
      </w:tr>
      <w:tr>
        <w:trPr/>
        <w:tc>
          <w:tcPr>
            <w:tcW w:w="8218" w:type="dxa"/>
            <w:tcBorders/>
            <w:shd w:fill="auto" w:val="clear"/>
            <w:vAlign w:val="bottom"/>
          </w:tcPr>
          <w:p>
            <w:pPr>
              <w:pStyle w:val="TableContents"/>
              <w:spacing w:before="0" w:after="0"/>
              <w:ind w:left="225" w:right="0" w:hanging="225"/>
              <w:rPr/>
            </w:pPr>
            <w:r>
              <w:rPr/>
              <w:t>Over 12 months</w:t>
            </w:r>
          </w:p>
        </w:tc>
        <w:tc>
          <w:tcPr>
            <w:tcW w:w="48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61,740</w:t>
            </w:r>
          </w:p>
        </w:tc>
        <w:tc>
          <w:tcPr>
            <w:tcW w:w="314" w:type="dxa"/>
            <w:tcBorders/>
            <w:shd w:fill="auto" w:val="clear"/>
            <w:vAlign w:val="bottom"/>
          </w:tcPr>
          <w:p>
            <w:pPr>
              <w:pStyle w:val="TableContents"/>
              <w:spacing w:before="0" w:after="283"/>
              <w:rPr/>
            </w:pPr>
            <w:r>
              <w:rPr/>
              <w:t> </w:t>
            </w:r>
          </w:p>
        </w:tc>
      </w:tr>
      <w:tr>
        <w:trPr/>
        <w:tc>
          <w:tcPr>
            <w:tcW w:w="8218" w:type="dxa"/>
            <w:tcBorders/>
            <w:shd w:fill="auto" w:val="clear"/>
            <w:vAlign w:val="center"/>
          </w:tcPr>
          <w:p>
            <w:pPr>
              <w:pStyle w:val="TableContents"/>
              <w:spacing w:before="0" w:after="0"/>
              <w:ind w:left="225" w:right="0" w:hanging="225"/>
              <w:rPr/>
            </w:pPr>
            <w:r>
              <w:rPr/>
              <w:t> </w:t>
            </w:r>
          </w:p>
        </w:tc>
        <w:tc>
          <w:tcPr>
            <w:tcW w:w="480"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4" w:type="dxa"/>
            <w:tcBorders/>
            <w:shd w:fill="auto" w:val="clear"/>
            <w:vAlign w:val="center"/>
          </w:tcPr>
          <w:p>
            <w:pPr>
              <w:pStyle w:val="TableContents"/>
              <w:spacing w:before="0" w:after="283"/>
              <w:rPr/>
            </w:pPr>
            <w:r>
              <w:rPr/>
              <w:t> </w:t>
            </w:r>
          </w:p>
        </w:tc>
      </w:tr>
      <w:tr>
        <w:trPr/>
        <w:tc>
          <w:tcPr>
            <w:tcW w:w="8218" w:type="dxa"/>
            <w:tcBorders/>
            <w:shd w:fill="CCEEFF" w:val="clear"/>
            <w:vAlign w:val="bottom"/>
          </w:tcPr>
          <w:p>
            <w:pPr>
              <w:pStyle w:val="TableContents"/>
              <w:spacing w:before="0" w:after="0"/>
              <w:ind w:left="225" w:right="0" w:hanging="225"/>
              <w:rPr/>
            </w:pPr>
            <w:r>
              <w:rPr/>
              <w:t>Total</w:t>
            </w:r>
          </w:p>
        </w:tc>
        <w:tc>
          <w:tcPr>
            <w:tcW w:w="48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209,872</w:t>
            </w:r>
          </w:p>
        </w:tc>
        <w:tc>
          <w:tcPr>
            <w:tcW w:w="314" w:type="dxa"/>
            <w:tcBorders/>
            <w:shd w:fill="CCEEFF" w:val="clear"/>
            <w:vAlign w:val="bottom"/>
          </w:tcPr>
          <w:p>
            <w:pPr>
              <w:pStyle w:val="TableContents"/>
              <w:spacing w:before="0" w:after="283"/>
              <w:rPr/>
            </w:pPr>
            <w:r>
              <w:rPr/>
              <w:t> </w:t>
            </w:r>
          </w:p>
        </w:tc>
      </w:tr>
      <w:tr>
        <w:trPr/>
        <w:tc>
          <w:tcPr>
            <w:tcW w:w="8218" w:type="dxa"/>
            <w:tcBorders/>
            <w:shd w:fill="auto" w:val="clear"/>
            <w:vAlign w:val="center"/>
          </w:tcPr>
          <w:p>
            <w:pPr>
              <w:pStyle w:val="TableContents"/>
              <w:spacing w:before="0" w:after="0"/>
              <w:ind w:left="225" w:right="0" w:hanging="225"/>
              <w:rPr/>
            </w:pPr>
            <w:r>
              <w:rPr/>
              <w:t> </w:t>
            </w:r>
          </w:p>
        </w:tc>
        <w:tc>
          <w:tcPr>
            <w:tcW w:w="480"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4" w:type="dxa"/>
            <w:tcBorders/>
            <w:shd w:fill="auto" w:val="clear"/>
            <w:vAlign w:val="center"/>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i/>
          <w:sz w:val="17"/>
        </w:rPr>
        <w:t>Short-term Borrowings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sets forth the distribution of short-term borrowings and weighted average interest rates thereon at the end of each of the last three years. Federal funds purchased and securities sold under agreements to repurchase generally represent overnight borrowing transactions. Other short-term borrowings consist of various demand notes and notes with maturities of less than one year. </w:t>
      </w:r>
    </w:p>
    <w:tbl>
      <w:tblPr>
        <w:tblW w:w="5000" w:type="pct"/>
        <w:jc w:val="center"/>
        <w:tblInd w:w="0" w:type="dxa"/>
        <w:tblCellMar>
          <w:top w:w="0" w:type="dxa"/>
          <w:left w:w="0" w:type="dxa"/>
          <w:bottom w:w="0" w:type="dxa"/>
          <w:right w:w="0" w:type="dxa"/>
        </w:tblCellMar>
      </w:tblPr>
      <w:tblGrid>
        <w:gridCol w:w="2818"/>
        <w:gridCol w:w="210"/>
        <w:gridCol w:w="383"/>
        <w:gridCol w:w="1452"/>
        <w:gridCol w:w="540"/>
        <w:gridCol w:w="279"/>
        <w:gridCol w:w="400"/>
        <w:gridCol w:w="1537"/>
        <w:gridCol w:w="568"/>
        <w:gridCol w:w="222"/>
        <w:gridCol w:w="300"/>
        <w:gridCol w:w="1050"/>
        <w:gridCol w:w="414"/>
        <w:gridCol w:w="32"/>
      </w:tblGrid>
      <w:tr>
        <w:trPr/>
        <w:tc>
          <w:tcPr>
            <w:tcW w:w="281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452" w:type="dxa"/>
            <w:tcBorders/>
            <w:shd w:fill="auto" w:val="clear"/>
            <w:vAlign w:val="bottom"/>
          </w:tcPr>
          <w:p>
            <w:pPr>
              <w:pStyle w:val="TableContents"/>
              <w:spacing w:before="0" w:after="283"/>
              <w:rPr/>
            </w:pPr>
            <w:r>
              <w:rPr/>
              <w:t> </w:t>
            </w:r>
          </w:p>
        </w:tc>
        <w:tc>
          <w:tcPr>
            <w:tcW w:w="54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2" w:type="dxa"/>
            <w:tcBorders/>
            <w:shd w:fill="auto" w:val="clea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452" w:type="dxa"/>
            <w:tcBorders/>
            <w:shd w:fill="auto" w:val="clear"/>
            <w:vAlign w:val="bottom"/>
          </w:tcPr>
          <w:p>
            <w:pPr>
              <w:pStyle w:val="TableContents"/>
              <w:spacing w:before="0" w:after="283"/>
              <w:rPr/>
            </w:pPr>
            <w:r>
              <w:rPr/>
              <w:t> </w:t>
            </w:r>
          </w:p>
        </w:tc>
        <w:tc>
          <w:tcPr>
            <w:tcW w:w="54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505" w:type="dxa"/>
            <w:gridSpan w:val="3"/>
            <w:tcBorders/>
            <w:shd w:fill="auto" w:val="clear"/>
            <w:vAlign w:val="bottom"/>
          </w:tcPr>
          <w:p>
            <w:pPr>
              <w:pStyle w:val="TableContents"/>
              <w:spacing w:before="0" w:after="283"/>
              <w:jc w:val="center"/>
              <w:rPr/>
            </w:pPr>
            <w:r>
              <w:rPr/>
              <w:t>Securities sold under</w:t>
            </w:r>
          </w:p>
        </w:tc>
        <w:tc>
          <w:tcPr>
            <w:tcW w:w="222" w:type="dxa"/>
            <w:tcBorders/>
            <w:shd w:fill="auto" w:val="clear"/>
            <w:vAlign w:val="bottom"/>
          </w:tcPr>
          <w:p>
            <w:pPr>
              <w:pStyle w:val="TableContents"/>
              <w:spacing w:before="0" w:after="283"/>
              <w:rPr/>
            </w:pPr>
            <w:r>
              <w:rPr/>
              <w:t> </w:t>
            </w:r>
          </w:p>
        </w:tc>
        <w:tc>
          <w:tcPr>
            <w:tcW w:w="1764" w:type="dxa"/>
            <w:gridSpan w:val="3"/>
            <w:tcBorders/>
            <w:shd w:fill="auto" w:val="clear"/>
            <w:vAlign w:val="bottom"/>
          </w:tcPr>
          <w:p>
            <w:pPr>
              <w:pStyle w:val="TableContents"/>
              <w:spacing w:before="0" w:after="283"/>
              <w:jc w:val="center"/>
              <w:rPr/>
            </w:pPr>
            <w:r>
              <w:rPr/>
              <w:t>Other short-term</w:t>
            </w:r>
          </w:p>
        </w:tc>
        <w:tc>
          <w:tcPr>
            <w:tcW w:w="32" w:type="dxa"/>
            <w:tcBorders/>
            <w:shd w:fill="auto" w:val="clea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654" w:type="dxa"/>
            <w:gridSpan w:val="4"/>
            <w:tcBorders>
              <w:bottom w:val="single" w:sz="2" w:space="0" w:color="000000"/>
            </w:tcBorders>
            <w:shd w:fill="auto" w:val="clear"/>
            <w:tcMar>
              <w:bottom w:w="28" w:type="dxa"/>
            </w:tcMar>
            <w:vAlign w:val="bottom"/>
          </w:tcPr>
          <w:p>
            <w:pPr>
              <w:pStyle w:val="TableContents"/>
              <w:spacing w:before="0" w:after="283"/>
              <w:jc w:val="center"/>
              <w:rPr/>
            </w:pPr>
            <w:r>
              <w:rPr/>
              <w:t>Federal funds purchased</w:t>
            </w:r>
          </w:p>
        </w:tc>
        <w:tc>
          <w:tcPr>
            <w:tcW w:w="2727" w:type="dxa"/>
            <w:gridSpan w:val="4"/>
            <w:tcBorders>
              <w:bottom w:val="single" w:sz="2" w:space="0" w:color="000000"/>
            </w:tcBorders>
            <w:shd w:fill="auto" w:val="clear"/>
            <w:tcMar>
              <w:bottom w:w="28" w:type="dxa"/>
            </w:tcMar>
            <w:vAlign w:val="bottom"/>
          </w:tcPr>
          <w:p>
            <w:pPr>
              <w:pStyle w:val="TableContents"/>
              <w:spacing w:before="0" w:after="283"/>
              <w:jc w:val="center"/>
              <w:rPr/>
            </w:pPr>
            <w:r>
              <w:rPr/>
              <w:t>agreements to repurchase</w:t>
            </w:r>
          </w:p>
        </w:tc>
        <w:tc>
          <w:tcPr>
            <w:tcW w:w="1796" w:type="dxa"/>
            <w:gridSpan w:val="4"/>
            <w:tcBorders>
              <w:bottom w:val="single" w:sz="2" w:space="0" w:color="000000"/>
            </w:tcBorders>
            <w:shd w:fill="auto" w:val="clear"/>
            <w:tcMar>
              <w:bottom w:w="28" w:type="dxa"/>
            </w:tcMar>
            <w:vAlign w:val="bottom"/>
          </w:tcPr>
          <w:p>
            <w:pPr>
              <w:pStyle w:val="TableContents"/>
              <w:spacing w:before="0" w:after="283"/>
              <w:jc w:val="center"/>
              <w:rPr/>
            </w:pPr>
            <w:r>
              <w:rPr/>
              <w:t>borrowings</w:t>
            </w:r>
          </w:p>
        </w:tc>
      </w:tr>
      <w:tr>
        <w:trPr/>
        <w:tc>
          <w:tcPr>
            <w:tcW w:w="281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145" w:type="dxa"/>
            <w:gridSpan w:val="11"/>
            <w:tcBorders/>
            <w:shd w:fill="auto" w:val="clear"/>
            <w:vAlign w:val="bottom"/>
          </w:tcPr>
          <w:p>
            <w:pPr>
              <w:pStyle w:val="TableContents"/>
              <w:spacing w:before="0" w:after="283"/>
              <w:jc w:val="center"/>
              <w:rPr/>
            </w:pPr>
            <w:r>
              <w:rPr/>
              <w:t>(dollars in thousands)</w:t>
            </w:r>
          </w:p>
        </w:tc>
        <w:tc>
          <w:tcPr>
            <w:tcW w:w="32" w:type="dxa"/>
            <w:tcBorders/>
            <w:shd w:fill="auto" w:val="clear"/>
          </w:tcPr>
          <w:p>
            <w:pPr>
              <w:pStyle w:val="TableContents"/>
              <w:spacing w:before="0" w:after="283"/>
              <w:rPr>
                <w:sz w:val="4"/>
                <w:szCs w:val="4"/>
              </w:rPr>
            </w:pPr>
            <w:r>
              <w:rPr>
                <w:sz w:val="4"/>
                <w:szCs w:val="4"/>
              </w:rPr>
            </w:r>
          </w:p>
        </w:tc>
      </w:tr>
      <w:tr>
        <w:trPr/>
        <w:tc>
          <w:tcPr>
            <w:tcW w:w="2818" w:type="dxa"/>
            <w:tcBorders/>
            <w:shd w:fill="CCEEFF" w:val="clear"/>
            <w:vAlign w:val="bottom"/>
          </w:tcPr>
          <w:p>
            <w:pPr>
              <w:pStyle w:val="TableContents"/>
              <w:spacing w:before="0" w:after="0"/>
              <w:ind w:left="225" w:right="0" w:hanging="225"/>
              <w:rPr>
                <w:b/>
              </w:rPr>
            </w:pPr>
            <w:r>
              <w:rPr>
                <w:b/>
              </w:rPr>
              <w:t>2005</w:t>
            </w:r>
          </w:p>
        </w:tc>
        <w:tc>
          <w:tcPr>
            <w:tcW w:w="21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452" w:type="dxa"/>
            <w:tcBorders/>
            <w:shd w:fill="CCEEFF" w:val="clear"/>
            <w:vAlign w:val="bottom"/>
          </w:tcPr>
          <w:p>
            <w:pPr>
              <w:pStyle w:val="TableContents"/>
              <w:spacing w:before="0" w:after="283"/>
              <w:rPr/>
            </w:pPr>
            <w:r>
              <w:rPr/>
              <w:t> </w:t>
            </w:r>
          </w:p>
        </w:tc>
        <w:tc>
          <w:tcPr>
            <w:tcW w:w="54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32" w:type="dxa"/>
            <w:tcBorders/>
            <w:shd w:fill="CCEEFF" w:val="clea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spacing w:before="0" w:after="0"/>
              <w:ind w:left="225" w:right="0" w:hanging="225"/>
              <w:rPr/>
            </w:pPr>
            <w:r>
              <w:rPr/>
              <w:t>Balance, December 31, 2005</w:t>
            </w:r>
          </w:p>
        </w:tc>
        <w:tc>
          <w:tcPr>
            <w:tcW w:w="21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w:t>
            </w:r>
          </w:p>
        </w:tc>
        <w:tc>
          <w:tcPr>
            <w:tcW w:w="1452" w:type="dxa"/>
            <w:tcBorders/>
            <w:shd w:fill="auto" w:val="clear"/>
            <w:vAlign w:val="bottom"/>
          </w:tcPr>
          <w:p>
            <w:pPr>
              <w:pStyle w:val="TableContents"/>
              <w:spacing w:before="0" w:after="283"/>
              <w:jc w:val="right"/>
              <w:rPr/>
            </w:pPr>
            <w:r>
              <w:rPr/>
              <w:t>7,885</w:t>
            </w:r>
          </w:p>
        </w:tc>
        <w:tc>
          <w:tcPr>
            <w:tcW w:w="54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w:t>
            </w:r>
          </w:p>
        </w:tc>
        <w:tc>
          <w:tcPr>
            <w:tcW w:w="1537" w:type="dxa"/>
            <w:tcBorders/>
            <w:shd w:fill="auto" w:val="clear"/>
            <w:vAlign w:val="bottom"/>
          </w:tcPr>
          <w:p>
            <w:pPr>
              <w:pStyle w:val="TableContents"/>
              <w:spacing w:before="0" w:after="283"/>
              <w:jc w:val="right"/>
              <w:rPr/>
            </w:pPr>
            <w:r>
              <w:rPr/>
              <w:t>42,228</w:t>
            </w:r>
          </w:p>
        </w:tc>
        <w:tc>
          <w:tcPr>
            <w:tcW w:w="568"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right"/>
              <w:rPr/>
            </w:pPr>
            <w:r>
              <w:rPr/>
              <w:t>$</w:t>
            </w:r>
          </w:p>
        </w:tc>
        <w:tc>
          <w:tcPr>
            <w:tcW w:w="1050" w:type="dxa"/>
            <w:tcBorders/>
            <w:shd w:fill="auto" w:val="clear"/>
            <w:vAlign w:val="bottom"/>
          </w:tcPr>
          <w:p>
            <w:pPr>
              <w:pStyle w:val="TableContents"/>
              <w:spacing w:before="0" w:after="283"/>
              <w:jc w:val="right"/>
              <w:rPr/>
            </w:pPr>
            <w:r>
              <w:rPr/>
              <w:t></w:t>
            </w:r>
          </w:p>
        </w:tc>
        <w:tc>
          <w:tcPr>
            <w:tcW w:w="414" w:type="dxa"/>
            <w:tcBorders/>
            <w:shd w:fill="auto" w:val="clear"/>
            <w:vAlign w:val="bottom"/>
          </w:tcPr>
          <w:p>
            <w:pPr>
              <w:pStyle w:val="TableContents"/>
              <w:spacing w:before="0" w:after="283"/>
              <w:rPr/>
            </w:pPr>
            <w:r>
              <w:rPr/>
              <w:t> </w:t>
            </w:r>
          </w:p>
        </w:tc>
        <w:tc>
          <w:tcPr>
            <w:tcW w:w="32" w:type="dxa"/>
            <w:tcBorders/>
            <w:shd w:fill="auto" w:val="clear"/>
          </w:tcPr>
          <w:p>
            <w:pPr>
              <w:pStyle w:val="TableContents"/>
              <w:spacing w:before="0" w:after="283"/>
              <w:rPr>
                <w:sz w:val="4"/>
                <w:szCs w:val="4"/>
              </w:rPr>
            </w:pPr>
            <w:r>
              <w:rPr>
                <w:sz w:val="4"/>
                <w:szCs w:val="4"/>
              </w:rPr>
            </w:r>
          </w:p>
        </w:tc>
      </w:tr>
      <w:tr>
        <w:trPr/>
        <w:tc>
          <w:tcPr>
            <w:tcW w:w="2818" w:type="dxa"/>
            <w:tcBorders/>
            <w:shd w:fill="CCEEFF" w:val="clear"/>
            <w:vAlign w:val="bottom"/>
          </w:tcPr>
          <w:p>
            <w:pPr>
              <w:pStyle w:val="TableContents"/>
              <w:spacing w:before="0" w:after="0"/>
              <w:ind w:left="225" w:right="0" w:hanging="225"/>
              <w:rPr/>
            </w:pPr>
            <w:r>
              <w:rPr/>
              <w:t>Weighted average interest rate at end of period</w:t>
            </w:r>
          </w:p>
        </w:tc>
        <w:tc>
          <w:tcPr>
            <w:tcW w:w="21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pPr>
            <w:r>
              <w:rPr/>
              <w:t> </w:t>
            </w:r>
          </w:p>
        </w:tc>
        <w:tc>
          <w:tcPr>
            <w:tcW w:w="1452" w:type="dxa"/>
            <w:tcBorders/>
            <w:shd w:fill="CCEEFF" w:val="clear"/>
            <w:vAlign w:val="bottom"/>
          </w:tcPr>
          <w:p>
            <w:pPr>
              <w:pStyle w:val="TableContents"/>
              <w:spacing w:before="0" w:after="283"/>
              <w:jc w:val="right"/>
              <w:rPr/>
            </w:pPr>
            <w:r>
              <w:rPr/>
              <w:t>4.62</w:t>
            </w:r>
          </w:p>
        </w:tc>
        <w:tc>
          <w:tcPr>
            <w:tcW w:w="540"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pPr>
            <w:r>
              <w:rPr/>
              <w:t> </w:t>
            </w:r>
          </w:p>
        </w:tc>
        <w:tc>
          <w:tcPr>
            <w:tcW w:w="1537" w:type="dxa"/>
            <w:tcBorders/>
            <w:shd w:fill="CCEEFF" w:val="clear"/>
            <w:vAlign w:val="bottom"/>
          </w:tcPr>
          <w:p>
            <w:pPr>
              <w:pStyle w:val="TableContents"/>
              <w:spacing w:before="0" w:after="283"/>
              <w:jc w:val="right"/>
              <w:rPr/>
            </w:pPr>
            <w:r>
              <w:rPr/>
              <w:t>2.79</w:t>
            </w:r>
          </w:p>
        </w:tc>
        <w:tc>
          <w:tcPr>
            <w:tcW w:w="568" w:type="dxa"/>
            <w:tcBorders/>
            <w:shd w:fill="CCEEFF" w:val="clear"/>
            <w:vAlign w:val="bottom"/>
          </w:tcPr>
          <w:p>
            <w:pPr>
              <w:pStyle w:val="TableContents"/>
              <w:spacing w:before="0" w:after="283"/>
              <w:rPr/>
            </w:pPr>
            <w:r>
              <w:rPr/>
              <w:t>%</w:t>
            </w:r>
          </w:p>
        </w:tc>
        <w:tc>
          <w:tcPr>
            <w:tcW w:w="22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right"/>
              <w:rPr/>
            </w:pPr>
            <w:r>
              <w:rPr/>
              <w:t> </w:t>
            </w:r>
          </w:p>
        </w:tc>
        <w:tc>
          <w:tcPr>
            <w:tcW w:w="1050" w:type="dxa"/>
            <w:tcBorders/>
            <w:shd w:fill="CCEEFF" w:val="clear"/>
            <w:vAlign w:val="bottom"/>
          </w:tcPr>
          <w:p>
            <w:pPr>
              <w:pStyle w:val="TableContents"/>
              <w:spacing w:before="0" w:after="283"/>
              <w:jc w:val="right"/>
              <w:rPr/>
            </w:pPr>
            <w:r>
              <w:rPr/>
              <w:t>0.00</w:t>
            </w:r>
          </w:p>
        </w:tc>
        <w:tc>
          <w:tcPr>
            <w:tcW w:w="414" w:type="dxa"/>
            <w:tcBorders/>
            <w:shd w:fill="CCEEFF" w:val="clear"/>
            <w:vAlign w:val="bottom"/>
          </w:tcPr>
          <w:p>
            <w:pPr>
              <w:pStyle w:val="TableContents"/>
              <w:spacing w:before="0" w:after="283"/>
              <w:rPr/>
            </w:pPr>
            <w:r>
              <w:rPr/>
              <w:t>%</w:t>
            </w:r>
          </w:p>
        </w:tc>
        <w:tc>
          <w:tcPr>
            <w:tcW w:w="32" w:type="dxa"/>
            <w:tcBorders/>
            <w:shd w:fill="CCEEFF" w:val="clea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spacing w:before="0" w:after="0"/>
              <w:ind w:left="225" w:right="0" w:hanging="225"/>
              <w:rPr/>
            </w:pPr>
            <w:r>
              <w:rPr/>
              <w:t>Maximum outstanding at any month end</w:t>
            </w:r>
          </w:p>
        </w:tc>
        <w:tc>
          <w:tcPr>
            <w:tcW w:w="21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w:t>
            </w:r>
          </w:p>
        </w:tc>
        <w:tc>
          <w:tcPr>
            <w:tcW w:w="1452" w:type="dxa"/>
            <w:tcBorders/>
            <w:shd w:fill="auto" w:val="clear"/>
            <w:vAlign w:val="bottom"/>
          </w:tcPr>
          <w:p>
            <w:pPr>
              <w:pStyle w:val="TableContents"/>
              <w:spacing w:before="0" w:after="283"/>
              <w:jc w:val="right"/>
              <w:rPr/>
            </w:pPr>
            <w:r>
              <w:rPr/>
              <w:t>32,000</w:t>
            </w:r>
          </w:p>
        </w:tc>
        <w:tc>
          <w:tcPr>
            <w:tcW w:w="54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w:t>
            </w:r>
          </w:p>
        </w:tc>
        <w:tc>
          <w:tcPr>
            <w:tcW w:w="1537" w:type="dxa"/>
            <w:tcBorders/>
            <w:shd w:fill="auto" w:val="clear"/>
            <w:vAlign w:val="bottom"/>
          </w:tcPr>
          <w:p>
            <w:pPr>
              <w:pStyle w:val="TableContents"/>
              <w:spacing w:before="0" w:after="283"/>
              <w:jc w:val="right"/>
              <w:rPr/>
            </w:pPr>
            <w:r>
              <w:rPr/>
              <w:t>53,369</w:t>
            </w:r>
          </w:p>
        </w:tc>
        <w:tc>
          <w:tcPr>
            <w:tcW w:w="568"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right"/>
              <w:rPr/>
            </w:pPr>
            <w:r>
              <w:rPr/>
              <w:t>$</w:t>
            </w:r>
          </w:p>
        </w:tc>
        <w:tc>
          <w:tcPr>
            <w:tcW w:w="1050" w:type="dxa"/>
            <w:tcBorders/>
            <w:shd w:fill="auto" w:val="clear"/>
            <w:vAlign w:val="bottom"/>
          </w:tcPr>
          <w:p>
            <w:pPr>
              <w:pStyle w:val="TableContents"/>
              <w:spacing w:before="0" w:after="283"/>
              <w:jc w:val="right"/>
              <w:rPr/>
            </w:pPr>
            <w:r>
              <w:rPr/>
              <w:t>9,000</w:t>
            </w:r>
          </w:p>
        </w:tc>
        <w:tc>
          <w:tcPr>
            <w:tcW w:w="414" w:type="dxa"/>
            <w:tcBorders/>
            <w:shd w:fill="auto" w:val="clear"/>
            <w:vAlign w:val="bottom"/>
          </w:tcPr>
          <w:p>
            <w:pPr>
              <w:pStyle w:val="TableContents"/>
              <w:spacing w:before="0" w:after="283"/>
              <w:rPr/>
            </w:pPr>
            <w:r>
              <w:rPr/>
              <w:t> </w:t>
            </w:r>
          </w:p>
        </w:tc>
        <w:tc>
          <w:tcPr>
            <w:tcW w:w="32" w:type="dxa"/>
            <w:tcBorders/>
            <w:shd w:fill="auto" w:val="clear"/>
          </w:tcPr>
          <w:p>
            <w:pPr>
              <w:pStyle w:val="TableContents"/>
              <w:spacing w:before="0" w:after="283"/>
              <w:rPr>
                <w:sz w:val="4"/>
                <w:szCs w:val="4"/>
              </w:rPr>
            </w:pPr>
            <w:r>
              <w:rPr>
                <w:sz w:val="4"/>
                <w:szCs w:val="4"/>
              </w:rPr>
            </w:r>
          </w:p>
        </w:tc>
      </w:tr>
      <w:tr>
        <w:trPr/>
        <w:tc>
          <w:tcPr>
            <w:tcW w:w="2818" w:type="dxa"/>
            <w:tcBorders/>
            <w:shd w:fill="CCEEFF" w:val="clear"/>
            <w:vAlign w:val="bottom"/>
          </w:tcPr>
          <w:p>
            <w:pPr>
              <w:pStyle w:val="TableContents"/>
              <w:spacing w:before="0" w:after="0"/>
              <w:ind w:left="225" w:right="0" w:hanging="225"/>
              <w:rPr/>
            </w:pPr>
            <w:r>
              <w:rPr/>
              <w:t>Average daily balance</w:t>
            </w:r>
          </w:p>
        </w:tc>
        <w:tc>
          <w:tcPr>
            <w:tcW w:w="21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pPr>
            <w:r>
              <w:rPr/>
              <w:t>$</w:t>
            </w:r>
          </w:p>
        </w:tc>
        <w:tc>
          <w:tcPr>
            <w:tcW w:w="1452" w:type="dxa"/>
            <w:tcBorders/>
            <w:shd w:fill="CCEEFF" w:val="clear"/>
            <w:vAlign w:val="bottom"/>
          </w:tcPr>
          <w:p>
            <w:pPr>
              <w:pStyle w:val="TableContents"/>
              <w:spacing w:before="0" w:after="283"/>
              <w:jc w:val="right"/>
              <w:rPr/>
            </w:pPr>
            <w:r>
              <w:rPr/>
              <w:t>9,865</w:t>
            </w:r>
          </w:p>
        </w:tc>
        <w:tc>
          <w:tcPr>
            <w:tcW w:w="54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pPr>
            <w:r>
              <w:rPr/>
              <w:t>$</w:t>
            </w:r>
          </w:p>
        </w:tc>
        <w:tc>
          <w:tcPr>
            <w:tcW w:w="1537" w:type="dxa"/>
            <w:tcBorders/>
            <w:shd w:fill="CCEEFF" w:val="clear"/>
            <w:vAlign w:val="bottom"/>
          </w:tcPr>
          <w:p>
            <w:pPr>
              <w:pStyle w:val="TableContents"/>
              <w:spacing w:before="0" w:after="283"/>
              <w:jc w:val="right"/>
              <w:rPr/>
            </w:pPr>
            <w:r>
              <w:rPr/>
              <w:t>44,998</w:t>
            </w:r>
          </w:p>
        </w:tc>
        <w:tc>
          <w:tcPr>
            <w:tcW w:w="568"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right"/>
              <w:rPr/>
            </w:pPr>
            <w:r>
              <w:rPr/>
              <w:t>$</w:t>
            </w:r>
          </w:p>
        </w:tc>
        <w:tc>
          <w:tcPr>
            <w:tcW w:w="1050" w:type="dxa"/>
            <w:tcBorders/>
            <w:shd w:fill="CCEEFF" w:val="clear"/>
            <w:vAlign w:val="bottom"/>
          </w:tcPr>
          <w:p>
            <w:pPr>
              <w:pStyle w:val="TableContents"/>
              <w:spacing w:before="0" w:after="283"/>
              <w:jc w:val="right"/>
              <w:rPr/>
            </w:pPr>
            <w:r>
              <w:rPr/>
              <w:t>4,112</w:t>
            </w:r>
          </w:p>
        </w:tc>
        <w:tc>
          <w:tcPr>
            <w:tcW w:w="414" w:type="dxa"/>
            <w:tcBorders/>
            <w:shd w:fill="CCEEFF" w:val="clear"/>
            <w:vAlign w:val="bottom"/>
          </w:tcPr>
          <w:p>
            <w:pPr>
              <w:pStyle w:val="TableContents"/>
              <w:spacing w:before="0" w:after="283"/>
              <w:rPr/>
            </w:pPr>
            <w:r>
              <w:rPr/>
              <w:t> </w:t>
            </w:r>
          </w:p>
        </w:tc>
        <w:tc>
          <w:tcPr>
            <w:tcW w:w="32" w:type="dxa"/>
            <w:tcBorders/>
            <w:shd w:fill="CCEEFF" w:val="clea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spacing w:before="0" w:after="0"/>
              <w:ind w:left="225" w:right="0" w:hanging="225"/>
              <w:rPr/>
            </w:pPr>
            <w:r>
              <w:rPr/>
              <w:t>Weighted average interest rate during period 1</w:t>
            </w:r>
          </w:p>
        </w:tc>
        <w:tc>
          <w:tcPr>
            <w:tcW w:w="21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 </w:t>
            </w:r>
          </w:p>
        </w:tc>
        <w:tc>
          <w:tcPr>
            <w:tcW w:w="1452" w:type="dxa"/>
            <w:tcBorders/>
            <w:shd w:fill="auto" w:val="clear"/>
            <w:vAlign w:val="bottom"/>
          </w:tcPr>
          <w:p>
            <w:pPr>
              <w:pStyle w:val="TableContents"/>
              <w:spacing w:before="0" w:after="283"/>
              <w:jc w:val="right"/>
              <w:rPr/>
            </w:pPr>
            <w:r>
              <w:rPr/>
              <w:t>2.37</w:t>
            </w:r>
          </w:p>
        </w:tc>
        <w:tc>
          <w:tcPr>
            <w:tcW w:w="540"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 </w:t>
            </w:r>
          </w:p>
        </w:tc>
        <w:tc>
          <w:tcPr>
            <w:tcW w:w="1537" w:type="dxa"/>
            <w:tcBorders/>
            <w:shd w:fill="auto" w:val="clear"/>
            <w:vAlign w:val="bottom"/>
          </w:tcPr>
          <w:p>
            <w:pPr>
              <w:pStyle w:val="TableContents"/>
              <w:spacing w:before="0" w:after="283"/>
              <w:jc w:val="right"/>
              <w:rPr/>
            </w:pPr>
            <w:r>
              <w:rPr/>
              <w:t>2.10</w:t>
            </w:r>
          </w:p>
        </w:tc>
        <w:tc>
          <w:tcPr>
            <w:tcW w:w="568" w:type="dxa"/>
            <w:tcBorders/>
            <w:shd w:fill="auto" w:val="clear"/>
            <w:vAlign w:val="bottom"/>
          </w:tcPr>
          <w:p>
            <w:pPr>
              <w:pStyle w:val="TableContents"/>
              <w:spacing w:before="0" w:after="283"/>
              <w:rPr/>
            </w:pPr>
            <w:r>
              <w:rPr/>
              <w:t>%</w:t>
            </w:r>
          </w:p>
        </w:tc>
        <w:tc>
          <w:tcPr>
            <w:tcW w:w="22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right"/>
              <w:rPr/>
            </w:pPr>
            <w:r>
              <w:rPr/>
              <w:t> </w:t>
            </w:r>
          </w:p>
        </w:tc>
        <w:tc>
          <w:tcPr>
            <w:tcW w:w="1050" w:type="dxa"/>
            <w:tcBorders/>
            <w:shd w:fill="auto" w:val="clear"/>
            <w:vAlign w:val="bottom"/>
          </w:tcPr>
          <w:p>
            <w:pPr>
              <w:pStyle w:val="TableContents"/>
              <w:spacing w:before="0" w:after="283"/>
              <w:jc w:val="right"/>
              <w:rPr/>
            </w:pPr>
            <w:r>
              <w:rPr/>
              <w:t>2.44</w:t>
            </w:r>
          </w:p>
        </w:tc>
        <w:tc>
          <w:tcPr>
            <w:tcW w:w="414" w:type="dxa"/>
            <w:tcBorders/>
            <w:shd w:fill="auto" w:val="clear"/>
            <w:vAlign w:val="bottom"/>
          </w:tcPr>
          <w:p>
            <w:pPr>
              <w:pStyle w:val="TableContents"/>
              <w:spacing w:before="0" w:after="283"/>
              <w:rPr/>
            </w:pPr>
            <w:r>
              <w:rPr/>
              <w:t>%</w:t>
            </w:r>
          </w:p>
        </w:tc>
        <w:tc>
          <w:tcPr>
            <w:tcW w:w="32" w:type="dxa"/>
            <w:tcBorders/>
            <w:shd w:fill="auto" w:val="clea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spacing w:before="0" w:after="0"/>
              <w:ind w:left="225" w:right="0" w:hanging="225"/>
              <w:rPr/>
            </w:pPr>
            <w:r>
              <w:rPr/>
              <w:t> </w:t>
            </w:r>
          </w:p>
        </w:tc>
        <w:tc>
          <w:tcPr>
            <w:tcW w:w="21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452" w:type="dxa"/>
            <w:tcBorders/>
            <w:shd w:fill="auto" w:val="clear"/>
            <w:vAlign w:val="bottom"/>
          </w:tcPr>
          <w:p>
            <w:pPr>
              <w:pStyle w:val="TableContents"/>
              <w:spacing w:before="0" w:after="283"/>
              <w:rPr/>
            </w:pPr>
            <w:r>
              <w:rPr/>
              <w:t> </w:t>
            </w:r>
          </w:p>
        </w:tc>
        <w:tc>
          <w:tcPr>
            <w:tcW w:w="54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2" w:type="dxa"/>
            <w:tcBorders/>
            <w:shd w:fill="auto" w:val="clear"/>
          </w:tcPr>
          <w:p>
            <w:pPr>
              <w:pStyle w:val="TableContents"/>
              <w:spacing w:before="0" w:after="283"/>
              <w:rPr>
                <w:sz w:val="4"/>
                <w:szCs w:val="4"/>
              </w:rPr>
            </w:pPr>
            <w:r>
              <w:rPr>
                <w:sz w:val="4"/>
                <w:szCs w:val="4"/>
              </w:rPr>
            </w:r>
          </w:p>
        </w:tc>
      </w:tr>
      <w:tr>
        <w:trPr/>
        <w:tc>
          <w:tcPr>
            <w:tcW w:w="2818" w:type="dxa"/>
            <w:tcBorders/>
            <w:shd w:fill="CCEEFF" w:val="clear"/>
            <w:vAlign w:val="bottom"/>
          </w:tcPr>
          <w:p>
            <w:pPr>
              <w:pStyle w:val="TableContents"/>
              <w:spacing w:before="0" w:after="0"/>
              <w:ind w:left="225" w:right="0" w:hanging="225"/>
              <w:rPr>
                <w:b/>
              </w:rPr>
            </w:pPr>
            <w:r>
              <w:rPr>
                <w:b/>
              </w:rPr>
              <w:t>2004</w:t>
            </w:r>
          </w:p>
        </w:tc>
        <w:tc>
          <w:tcPr>
            <w:tcW w:w="21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452" w:type="dxa"/>
            <w:tcBorders/>
            <w:shd w:fill="CCEEFF" w:val="clear"/>
            <w:vAlign w:val="bottom"/>
          </w:tcPr>
          <w:p>
            <w:pPr>
              <w:pStyle w:val="TableContents"/>
              <w:spacing w:before="0" w:after="283"/>
              <w:rPr/>
            </w:pPr>
            <w:r>
              <w:rPr/>
              <w:t> </w:t>
            </w:r>
          </w:p>
        </w:tc>
        <w:tc>
          <w:tcPr>
            <w:tcW w:w="54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32" w:type="dxa"/>
            <w:tcBorders/>
            <w:shd w:fill="CCEEFF" w:val="clea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spacing w:before="0" w:after="0"/>
              <w:ind w:left="225" w:right="0" w:hanging="225"/>
              <w:rPr/>
            </w:pPr>
            <w:r>
              <w:rPr/>
              <w:t>Balance, December 31, 2004</w:t>
            </w:r>
          </w:p>
        </w:tc>
        <w:tc>
          <w:tcPr>
            <w:tcW w:w="21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w:t>
            </w:r>
          </w:p>
        </w:tc>
        <w:tc>
          <w:tcPr>
            <w:tcW w:w="1452" w:type="dxa"/>
            <w:tcBorders/>
            <w:shd w:fill="auto" w:val="clear"/>
            <w:vAlign w:val="bottom"/>
          </w:tcPr>
          <w:p>
            <w:pPr>
              <w:pStyle w:val="TableContents"/>
              <w:spacing w:before="0" w:after="283"/>
              <w:jc w:val="right"/>
              <w:rPr/>
            </w:pPr>
            <w:r>
              <w:rPr/>
              <w:t></w:t>
            </w:r>
          </w:p>
        </w:tc>
        <w:tc>
          <w:tcPr>
            <w:tcW w:w="54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w:t>
            </w:r>
          </w:p>
        </w:tc>
        <w:tc>
          <w:tcPr>
            <w:tcW w:w="1537" w:type="dxa"/>
            <w:tcBorders/>
            <w:shd w:fill="auto" w:val="clear"/>
            <w:vAlign w:val="bottom"/>
          </w:tcPr>
          <w:p>
            <w:pPr>
              <w:pStyle w:val="TableContents"/>
              <w:spacing w:before="0" w:after="283"/>
              <w:jc w:val="right"/>
              <w:rPr/>
            </w:pPr>
            <w:r>
              <w:rPr/>
              <w:t>41,558</w:t>
            </w:r>
          </w:p>
        </w:tc>
        <w:tc>
          <w:tcPr>
            <w:tcW w:w="568"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right"/>
              <w:rPr/>
            </w:pPr>
            <w:r>
              <w:rPr/>
              <w:t>$</w:t>
            </w:r>
          </w:p>
        </w:tc>
        <w:tc>
          <w:tcPr>
            <w:tcW w:w="1050" w:type="dxa"/>
            <w:tcBorders/>
            <w:shd w:fill="auto" w:val="clear"/>
            <w:vAlign w:val="bottom"/>
          </w:tcPr>
          <w:p>
            <w:pPr>
              <w:pStyle w:val="TableContents"/>
              <w:spacing w:before="0" w:after="283"/>
              <w:jc w:val="right"/>
              <w:rPr/>
            </w:pPr>
            <w:r>
              <w:rPr/>
              <w:t>11,250</w:t>
            </w:r>
          </w:p>
        </w:tc>
        <w:tc>
          <w:tcPr>
            <w:tcW w:w="414" w:type="dxa"/>
            <w:tcBorders/>
            <w:shd w:fill="auto" w:val="clear"/>
            <w:vAlign w:val="bottom"/>
          </w:tcPr>
          <w:p>
            <w:pPr>
              <w:pStyle w:val="TableContents"/>
              <w:spacing w:before="0" w:after="283"/>
              <w:rPr/>
            </w:pPr>
            <w:r>
              <w:rPr/>
              <w:t> </w:t>
            </w:r>
          </w:p>
        </w:tc>
        <w:tc>
          <w:tcPr>
            <w:tcW w:w="32" w:type="dxa"/>
            <w:tcBorders/>
            <w:shd w:fill="auto" w:val="clear"/>
          </w:tcPr>
          <w:p>
            <w:pPr>
              <w:pStyle w:val="TableContents"/>
              <w:spacing w:before="0" w:after="283"/>
              <w:rPr>
                <w:sz w:val="4"/>
                <w:szCs w:val="4"/>
              </w:rPr>
            </w:pPr>
            <w:r>
              <w:rPr>
                <w:sz w:val="4"/>
                <w:szCs w:val="4"/>
              </w:rPr>
            </w:r>
          </w:p>
        </w:tc>
      </w:tr>
      <w:tr>
        <w:trPr/>
        <w:tc>
          <w:tcPr>
            <w:tcW w:w="2818" w:type="dxa"/>
            <w:tcBorders/>
            <w:shd w:fill="CCEEFF" w:val="clear"/>
            <w:vAlign w:val="bottom"/>
          </w:tcPr>
          <w:p>
            <w:pPr>
              <w:pStyle w:val="TableContents"/>
              <w:spacing w:before="0" w:after="0"/>
              <w:ind w:left="225" w:right="0" w:hanging="225"/>
              <w:rPr/>
            </w:pPr>
            <w:r>
              <w:rPr/>
              <w:t>Weighted average interest rate at end of period</w:t>
            </w:r>
          </w:p>
        </w:tc>
        <w:tc>
          <w:tcPr>
            <w:tcW w:w="21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pPr>
            <w:r>
              <w:rPr/>
              <w:t> </w:t>
            </w:r>
          </w:p>
        </w:tc>
        <w:tc>
          <w:tcPr>
            <w:tcW w:w="1452" w:type="dxa"/>
            <w:tcBorders/>
            <w:shd w:fill="CCEEFF" w:val="clear"/>
            <w:vAlign w:val="bottom"/>
          </w:tcPr>
          <w:p>
            <w:pPr>
              <w:pStyle w:val="TableContents"/>
              <w:spacing w:before="0" w:after="283"/>
              <w:jc w:val="right"/>
              <w:rPr/>
            </w:pPr>
            <w:r>
              <w:rPr/>
              <w:t>0.00</w:t>
            </w:r>
          </w:p>
        </w:tc>
        <w:tc>
          <w:tcPr>
            <w:tcW w:w="540"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pPr>
            <w:r>
              <w:rPr/>
              <w:t> </w:t>
            </w:r>
          </w:p>
        </w:tc>
        <w:tc>
          <w:tcPr>
            <w:tcW w:w="1537" w:type="dxa"/>
            <w:tcBorders/>
            <w:shd w:fill="CCEEFF" w:val="clear"/>
            <w:vAlign w:val="bottom"/>
          </w:tcPr>
          <w:p>
            <w:pPr>
              <w:pStyle w:val="TableContents"/>
              <w:spacing w:before="0" w:after="283"/>
              <w:jc w:val="right"/>
              <w:rPr/>
            </w:pPr>
            <w:r>
              <w:rPr/>
              <w:t>1.31</w:t>
            </w:r>
          </w:p>
        </w:tc>
        <w:tc>
          <w:tcPr>
            <w:tcW w:w="568" w:type="dxa"/>
            <w:tcBorders/>
            <w:shd w:fill="CCEEFF" w:val="clear"/>
            <w:vAlign w:val="bottom"/>
          </w:tcPr>
          <w:p>
            <w:pPr>
              <w:pStyle w:val="TableContents"/>
              <w:spacing w:before="0" w:after="283"/>
              <w:rPr/>
            </w:pPr>
            <w:r>
              <w:rPr/>
              <w:t>%</w:t>
            </w:r>
          </w:p>
        </w:tc>
        <w:tc>
          <w:tcPr>
            <w:tcW w:w="22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right"/>
              <w:rPr/>
            </w:pPr>
            <w:r>
              <w:rPr/>
              <w:t> </w:t>
            </w:r>
          </w:p>
        </w:tc>
        <w:tc>
          <w:tcPr>
            <w:tcW w:w="1050" w:type="dxa"/>
            <w:tcBorders/>
            <w:shd w:fill="CCEEFF" w:val="clear"/>
            <w:vAlign w:val="bottom"/>
          </w:tcPr>
          <w:p>
            <w:pPr>
              <w:pStyle w:val="TableContents"/>
              <w:spacing w:before="0" w:after="283"/>
              <w:jc w:val="right"/>
              <w:rPr/>
            </w:pPr>
            <w:r>
              <w:rPr/>
              <w:t>1.86</w:t>
            </w:r>
          </w:p>
        </w:tc>
        <w:tc>
          <w:tcPr>
            <w:tcW w:w="414" w:type="dxa"/>
            <w:tcBorders/>
            <w:shd w:fill="CCEEFF" w:val="clear"/>
            <w:vAlign w:val="bottom"/>
          </w:tcPr>
          <w:p>
            <w:pPr>
              <w:pStyle w:val="TableContents"/>
              <w:spacing w:before="0" w:after="283"/>
              <w:rPr/>
            </w:pPr>
            <w:r>
              <w:rPr/>
              <w:t>%</w:t>
            </w:r>
          </w:p>
        </w:tc>
        <w:tc>
          <w:tcPr>
            <w:tcW w:w="32" w:type="dxa"/>
            <w:tcBorders/>
            <w:shd w:fill="CCEEFF" w:val="clea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spacing w:before="0" w:after="0"/>
              <w:ind w:left="225" w:right="0" w:hanging="225"/>
              <w:rPr/>
            </w:pPr>
            <w:r>
              <w:rPr/>
              <w:t>Maximum outstanding at any month end</w:t>
            </w:r>
          </w:p>
        </w:tc>
        <w:tc>
          <w:tcPr>
            <w:tcW w:w="21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w:t>
            </w:r>
          </w:p>
        </w:tc>
        <w:tc>
          <w:tcPr>
            <w:tcW w:w="1452" w:type="dxa"/>
            <w:tcBorders/>
            <w:shd w:fill="auto" w:val="clear"/>
            <w:vAlign w:val="bottom"/>
          </w:tcPr>
          <w:p>
            <w:pPr>
              <w:pStyle w:val="TableContents"/>
              <w:spacing w:before="0" w:after="283"/>
              <w:jc w:val="right"/>
              <w:rPr/>
            </w:pPr>
            <w:r>
              <w:rPr/>
              <w:t>29,400</w:t>
            </w:r>
          </w:p>
        </w:tc>
        <w:tc>
          <w:tcPr>
            <w:tcW w:w="54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w:t>
            </w:r>
          </w:p>
        </w:tc>
        <w:tc>
          <w:tcPr>
            <w:tcW w:w="1537" w:type="dxa"/>
            <w:tcBorders/>
            <w:shd w:fill="auto" w:val="clear"/>
            <w:vAlign w:val="bottom"/>
          </w:tcPr>
          <w:p>
            <w:pPr>
              <w:pStyle w:val="TableContents"/>
              <w:spacing w:before="0" w:after="283"/>
              <w:jc w:val="right"/>
              <w:rPr/>
            </w:pPr>
            <w:r>
              <w:rPr/>
              <w:t>49,645</w:t>
            </w:r>
          </w:p>
        </w:tc>
        <w:tc>
          <w:tcPr>
            <w:tcW w:w="568"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right"/>
              <w:rPr/>
            </w:pPr>
            <w:r>
              <w:rPr/>
              <w:t>$</w:t>
            </w:r>
          </w:p>
        </w:tc>
        <w:tc>
          <w:tcPr>
            <w:tcW w:w="1050" w:type="dxa"/>
            <w:tcBorders/>
            <w:shd w:fill="auto" w:val="clear"/>
            <w:vAlign w:val="bottom"/>
          </w:tcPr>
          <w:p>
            <w:pPr>
              <w:pStyle w:val="TableContents"/>
              <w:spacing w:before="0" w:after="283"/>
              <w:jc w:val="right"/>
              <w:rPr/>
            </w:pPr>
            <w:r>
              <w:rPr/>
              <w:t>17,250</w:t>
            </w:r>
          </w:p>
        </w:tc>
        <w:tc>
          <w:tcPr>
            <w:tcW w:w="414" w:type="dxa"/>
            <w:tcBorders/>
            <w:shd w:fill="auto" w:val="clear"/>
            <w:vAlign w:val="bottom"/>
          </w:tcPr>
          <w:p>
            <w:pPr>
              <w:pStyle w:val="TableContents"/>
              <w:spacing w:before="0" w:after="283"/>
              <w:rPr/>
            </w:pPr>
            <w:r>
              <w:rPr/>
              <w:t> </w:t>
            </w:r>
          </w:p>
        </w:tc>
        <w:tc>
          <w:tcPr>
            <w:tcW w:w="32" w:type="dxa"/>
            <w:tcBorders/>
            <w:shd w:fill="auto" w:val="clear"/>
          </w:tcPr>
          <w:p>
            <w:pPr>
              <w:pStyle w:val="TableContents"/>
              <w:spacing w:before="0" w:after="283"/>
              <w:rPr>
                <w:sz w:val="4"/>
                <w:szCs w:val="4"/>
              </w:rPr>
            </w:pPr>
            <w:r>
              <w:rPr>
                <w:sz w:val="4"/>
                <w:szCs w:val="4"/>
              </w:rPr>
            </w:r>
          </w:p>
        </w:tc>
      </w:tr>
      <w:tr>
        <w:trPr/>
        <w:tc>
          <w:tcPr>
            <w:tcW w:w="2818" w:type="dxa"/>
            <w:tcBorders/>
            <w:shd w:fill="CCEEFF" w:val="clear"/>
            <w:vAlign w:val="bottom"/>
          </w:tcPr>
          <w:p>
            <w:pPr>
              <w:pStyle w:val="TableContents"/>
              <w:spacing w:before="0" w:after="0"/>
              <w:ind w:left="225" w:right="0" w:hanging="225"/>
              <w:rPr/>
            </w:pPr>
            <w:r>
              <w:rPr/>
              <w:t>Average daily balance</w:t>
            </w:r>
          </w:p>
        </w:tc>
        <w:tc>
          <w:tcPr>
            <w:tcW w:w="21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pPr>
            <w:r>
              <w:rPr/>
              <w:t>$</w:t>
            </w:r>
          </w:p>
        </w:tc>
        <w:tc>
          <w:tcPr>
            <w:tcW w:w="1452" w:type="dxa"/>
            <w:tcBorders/>
            <w:shd w:fill="CCEEFF" w:val="clear"/>
            <w:vAlign w:val="bottom"/>
          </w:tcPr>
          <w:p>
            <w:pPr>
              <w:pStyle w:val="TableContents"/>
              <w:spacing w:before="0" w:after="283"/>
              <w:jc w:val="right"/>
              <w:rPr/>
            </w:pPr>
            <w:r>
              <w:rPr/>
              <w:t>5,010</w:t>
            </w:r>
          </w:p>
        </w:tc>
        <w:tc>
          <w:tcPr>
            <w:tcW w:w="54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pPr>
            <w:r>
              <w:rPr/>
              <w:t>$</w:t>
            </w:r>
          </w:p>
        </w:tc>
        <w:tc>
          <w:tcPr>
            <w:tcW w:w="1537" w:type="dxa"/>
            <w:tcBorders/>
            <w:shd w:fill="CCEEFF" w:val="clear"/>
            <w:vAlign w:val="bottom"/>
          </w:tcPr>
          <w:p>
            <w:pPr>
              <w:pStyle w:val="TableContents"/>
              <w:spacing w:before="0" w:after="283"/>
              <w:jc w:val="right"/>
              <w:rPr/>
            </w:pPr>
            <w:r>
              <w:rPr/>
              <w:t>26,864</w:t>
            </w:r>
          </w:p>
        </w:tc>
        <w:tc>
          <w:tcPr>
            <w:tcW w:w="568"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right"/>
              <w:rPr/>
            </w:pPr>
            <w:r>
              <w:rPr/>
              <w:t>$</w:t>
            </w:r>
          </w:p>
        </w:tc>
        <w:tc>
          <w:tcPr>
            <w:tcW w:w="1050" w:type="dxa"/>
            <w:tcBorders/>
            <w:shd w:fill="CCEEFF" w:val="clear"/>
            <w:vAlign w:val="bottom"/>
          </w:tcPr>
          <w:p>
            <w:pPr>
              <w:pStyle w:val="TableContents"/>
              <w:spacing w:before="0" w:after="283"/>
              <w:jc w:val="right"/>
              <w:rPr/>
            </w:pPr>
            <w:r>
              <w:rPr/>
              <w:t>9,293</w:t>
            </w:r>
          </w:p>
        </w:tc>
        <w:tc>
          <w:tcPr>
            <w:tcW w:w="414" w:type="dxa"/>
            <w:tcBorders/>
            <w:shd w:fill="CCEEFF" w:val="clear"/>
            <w:vAlign w:val="bottom"/>
          </w:tcPr>
          <w:p>
            <w:pPr>
              <w:pStyle w:val="TableContents"/>
              <w:spacing w:before="0" w:after="283"/>
              <w:rPr/>
            </w:pPr>
            <w:r>
              <w:rPr/>
              <w:t> </w:t>
            </w:r>
          </w:p>
        </w:tc>
        <w:tc>
          <w:tcPr>
            <w:tcW w:w="32" w:type="dxa"/>
            <w:tcBorders/>
            <w:shd w:fill="CCEEFF" w:val="clea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spacing w:before="0" w:after="0"/>
              <w:ind w:left="225" w:right="0" w:hanging="225"/>
              <w:rPr/>
            </w:pPr>
            <w:r>
              <w:rPr/>
              <w:t>Weighted average interest rate during period 1</w:t>
            </w:r>
          </w:p>
        </w:tc>
        <w:tc>
          <w:tcPr>
            <w:tcW w:w="21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 </w:t>
            </w:r>
          </w:p>
        </w:tc>
        <w:tc>
          <w:tcPr>
            <w:tcW w:w="1452" w:type="dxa"/>
            <w:tcBorders/>
            <w:shd w:fill="auto" w:val="clear"/>
            <w:vAlign w:val="bottom"/>
          </w:tcPr>
          <w:p>
            <w:pPr>
              <w:pStyle w:val="TableContents"/>
              <w:spacing w:before="0" w:after="283"/>
              <w:jc w:val="right"/>
              <w:rPr/>
            </w:pPr>
            <w:r>
              <w:rPr/>
              <w:t>1.28</w:t>
            </w:r>
          </w:p>
        </w:tc>
        <w:tc>
          <w:tcPr>
            <w:tcW w:w="540"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 </w:t>
            </w:r>
          </w:p>
        </w:tc>
        <w:tc>
          <w:tcPr>
            <w:tcW w:w="1537" w:type="dxa"/>
            <w:tcBorders/>
            <w:shd w:fill="auto" w:val="clear"/>
            <w:vAlign w:val="bottom"/>
          </w:tcPr>
          <w:p>
            <w:pPr>
              <w:pStyle w:val="TableContents"/>
              <w:spacing w:before="0" w:after="283"/>
              <w:jc w:val="right"/>
              <w:rPr/>
            </w:pPr>
            <w:r>
              <w:rPr/>
              <w:t>1.25</w:t>
            </w:r>
          </w:p>
        </w:tc>
        <w:tc>
          <w:tcPr>
            <w:tcW w:w="568" w:type="dxa"/>
            <w:tcBorders/>
            <w:shd w:fill="auto" w:val="clear"/>
            <w:vAlign w:val="bottom"/>
          </w:tcPr>
          <w:p>
            <w:pPr>
              <w:pStyle w:val="TableContents"/>
              <w:spacing w:before="0" w:after="283"/>
              <w:rPr/>
            </w:pPr>
            <w:r>
              <w:rPr/>
              <w:t>%</w:t>
            </w:r>
          </w:p>
        </w:tc>
        <w:tc>
          <w:tcPr>
            <w:tcW w:w="22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right"/>
              <w:rPr/>
            </w:pPr>
            <w:r>
              <w:rPr/>
              <w:t> </w:t>
            </w:r>
          </w:p>
        </w:tc>
        <w:tc>
          <w:tcPr>
            <w:tcW w:w="1050" w:type="dxa"/>
            <w:tcBorders/>
            <w:shd w:fill="auto" w:val="clear"/>
            <w:vAlign w:val="bottom"/>
          </w:tcPr>
          <w:p>
            <w:pPr>
              <w:pStyle w:val="TableContents"/>
              <w:spacing w:before="0" w:after="283"/>
              <w:jc w:val="right"/>
              <w:rPr/>
            </w:pPr>
            <w:r>
              <w:rPr/>
              <w:t>1.70</w:t>
            </w:r>
          </w:p>
        </w:tc>
        <w:tc>
          <w:tcPr>
            <w:tcW w:w="414" w:type="dxa"/>
            <w:tcBorders/>
            <w:shd w:fill="auto" w:val="clear"/>
            <w:vAlign w:val="bottom"/>
          </w:tcPr>
          <w:p>
            <w:pPr>
              <w:pStyle w:val="TableContents"/>
              <w:spacing w:before="0" w:after="283"/>
              <w:rPr/>
            </w:pPr>
            <w:r>
              <w:rPr/>
              <w:t>%</w:t>
            </w:r>
          </w:p>
        </w:tc>
        <w:tc>
          <w:tcPr>
            <w:tcW w:w="32" w:type="dxa"/>
            <w:tcBorders/>
            <w:shd w:fill="auto" w:val="clea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spacing w:before="0" w:after="0"/>
              <w:ind w:left="225" w:right="0" w:hanging="225"/>
              <w:rPr/>
            </w:pPr>
            <w:r>
              <w:rPr/>
              <w:t> </w:t>
            </w:r>
          </w:p>
        </w:tc>
        <w:tc>
          <w:tcPr>
            <w:tcW w:w="21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452" w:type="dxa"/>
            <w:tcBorders/>
            <w:shd w:fill="auto" w:val="clear"/>
            <w:vAlign w:val="bottom"/>
          </w:tcPr>
          <w:p>
            <w:pPr>
              <w:pStyle w:val="TableContents"/>
              <w:spacing w:before="0" w:after="283"/>
              <w:rPr/>
            </w:pPr>
            <w:r>
              <w:rPr/>
              <w:t> </w:t>
            </w:r>
          </w:p>
        </w:tc>
        <w:tc>
          <w:tcPr>
            <w:tcW w:w="54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2" w:type="dxa"/>
            <w:tcBorders/>
            <w:shd w:fill="auto" w:val="clear"/>
          </w:tcPr>
          <w:p>
            <w:pPr>
              <w:pStyle w:val="TableContents"/>
              <w:spacing w:before="0" w:after="283"/>
              <w:rPr>
                <w:sz w:val="4"/>
                <w:szCs w:val="4"/>
              </w:rPr>
            </w:pPr>
            <w:r>
              <w:rPr>
                <w:sz w:val="4"/>
                <w:szCs w:val="4"/>
              </w:rPr>
            </w:r>
          </w:p>
        </w:tc>
      </w:tr>
      <w:tr>
        <w:trPr/>
        <w:tc>
          <w:tcPr>
            <w:tcW w:w="2818" w:type="dxa"/>
            <w:tcBorders/>
            <w:shd w:fill="CCEEFF" w:val="clear"/>
            <w:vAlign w:val="bottom"/>
          </w:tcPr>
          <w:p>
            <w:pPr>
              <w:pStyle w:val="TableContents"/>
              <w:spacing w:before="0" w:after="0"/>
              <w:ind w:left="225" w:right="0" w:hanging="225"/>
              <w:rPr>
                <w:b/>
              </w:rPr>
            </w:pPr>
            <w:r>
              <w:rPr>
                <w:b/>
              </w:rPr>
              <w:t>2003</w:t>
            </w:r>
          </w:p>
        </w:tc>
        <w:tc>
          <w:tcPr>
            <w:tcW w:w="21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452" w:type="dxa"/>
            <w:tcBorders/>
            <w:shd w:fill="CCEEFF" w:val="clear"/>
            <w:vAlign w:val="bottom"/>
          </w:tcPr>
          <w:p>
            <w:pPr>
              <w:pStyle w:val="TableContents"/>
              <w:spacing w:before="0" w:after="283"/>
              <w:rPr/>
            </w:pPr>
            <w:r>
              <w:rPr/>
              <w:t> </w:t>
            </w:r>
          </w:p>
        </w:tc>
        <w:tc>
          <w:tcPr>
            <w:tcW w:w="54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32" w:type="dxa"/>
            <w:tcBorders/>
            <w:shd w:fill="CCEEFF" w:val="clea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spacing w:before="0" w:after="0"/>
              <w:ind w:left="225" w:right="0" w:hanging="225"/>
              <w:rPr/>
            </w:pPr>
            <w:r>
              <w:rPr/>
              <w:t>Balance, December 31, 2003</w:t>
            </w:r>
          </w:p>
        </w:tc>
        <w:tc>
          <w:tcPr>
            <w:tcW w:w="21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w:t>
            </w:r>
          </w:p>
        </w:tc>
        <w:tc>
          <w:tcPr>
            <w:tcW w:w="1452" w:type="dxa"/>
            <w:tcBorders/>
            <w:shd w:fill="auto" w:val="clear"/>
            <w:vAlign w:val="bottom"/>
          </w:tcPr>
          <w:p>
            <w:pPr>
              <w:pStyle w:val="TableContents"/>
              <w:spacing w:before="0" w:after="283"/>
              <w:jc w:val="right"/>
              <w:rPr/>
            </w:pPr>
            <w:r>
              <w:rPr/>
              <w:t>8,500</w:t>
            </w:r>
          </w:p>
        </w:tc>
        <w:tc>
          <w:tcPr>
            <w:tcW w:w="54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w:t>
            </w:r>
          </w:p>
        </w:tc>
        <w:tc>
          <w:tcPr>
            <w:tcW w:w="1537" w:type="dxa"/>
            <w:tcBorders/>
            <w:shd w:fill="auto" w:val="clear"/>
            <w:vAlign w:val="bottom"/>
          </w:tcPr>
          <w:p>
            <w:pPr>
              <w:pStyle w:val="TableContents"/>
              <w:spacing w:before="0" w:after="283"/>
              <w:jc w:val="right"/>
              <w:rPr/>
            </w:pPr>
            <w:r>
              <w:rPr/>
              <w:t>7,500</w:t>
            </w:r>
          </w:p>
        </w:tc>
        <w:tc>
          <w:tcPr>
            <w:tcW w:w="568"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right"/>
              <w:rPr/>
            </w:pPr>
            <w:r>
              <w:rPr/>
              <w:t>$</w:t>
            </w:r>
          </w:p>
        </w:tc>
        <w:tc>
          <w:tcPr>
            <w:tcW w:w="1050" w:type="dxa"/>
            <w:tcBorders/>
            <w:shd w:fill="auto" w:val="clear"/>
            <w:vAlign w:val="bottom"/>
          </w:tcPr>
          <w:p>
            <w:pPr>
              <w:pStyle w:val="TableContents"/>
              <w:spacing w:before="0" w:after="283"/>
              <w:jc w:val="right"/>
              <w:rPr/>
            </w:pPr>
            <w:r>
              <w:rPr/>
              <w:t></w:t>
            </w:r>
          </w:p>
        </w:tc>
        <w:tc>
          <w:tcPr>
            <w:tcW w:w="414" w:type="dxa"/>
            <w:tcBorders/>
            <w:shd w:fill="auto" w:val="clear"/>
            <w:vAlign w:val="bottom"/>
          </w:tcPr>
          <w:p>
            <w:pPr>
              <w:pStyle w:val="TableContents"/>
              <w:spacing w:before="0" w:after="283"/>
              <w:rPr/>
            </w:pPr>
            <w:r>
              <w:rPr/>
              <w:t> </w:t>
            </w:r>
          </w:p>
        </w:tc>
        <w:tc>
          <w:tcPr>
            <w:tcW w:w="32" w:type="dxa"/>
            <w:tcBorders/>
            <w:shd w:fill="auto" w:val="clear"/>
          </w:tcPr>
          <w:p>
            <w:pPr>
              <w:pStyle w:val="TableContents"/>
              <w:spacing w:before="0" w:after="283"/>
              <w:rPr>
                <w:sz w:val="4"/>
                <w:szCs w:val="4"/>
              </w:rPr>
            </w:pPr>
            <w:r>
              <w:rPr>
                <w:sz w:val="4"/>
                <w:szCs w:val="4"/>
              </w:rPr>
            </w:r>
          </w:p>
        </w:tc>
      </w:tr>
      <w:tr>
        <w:trPr/>
        <w:tc>
          <w:tcPr>
            <w:tcW w:w="2818" w:type="dxa"/>
            <w:tcBorders/>
            <w:shd w:fill="CCEEFF" w:val="clear"/>
            <w:vAlign w:val="bottom"/>
          </w:tcPr>
          <w:p>
            <w:pPr>
              <w:pStyle w:val="TableContents"/>
              <w:spacing w:before="0" w:after="0"/>
              <w:ind w:left="225" w:right="0" w:hanging="225"/>
              <w:rPr/>
            </w:pPr>
            <w:r>
              <w:rPr/>
              <w:t>Weighted average interest rate at end of period</w:t>
            </w:r>
          </w:p>
        </w:tc>
        <w:tc>
          <w:tcPr>
            <w:tcW w:w="21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pPr>
            <w:r>
              <w:rPr/>
              <w:t> </w:t>
            </w:r>
          </w:p>
        </w:tc>
        <w:tc>
          <w:tcPr>
            <w:tcW w:w="1452" w:type="dxa"/>
            <w:tcBorders/>
            <w:shd w:fill="CCEEFF" w:val="clear"/>
            <w:vAlign w:val="bottom"/>
          </w:tcPr>
          <w:p>
            <w:pPr>
              <w:pStyle w:val="TableContents"/>
              <w:spacing w:before="0" w:after="283"/>
              <w:jc w:val="right"/>
              <w:rPr/>
            </w:pPr>
            <w:r>
              <w:rPr/>
              <w:t>1.19</w:t>
            </w:r>
          </w:p>
        </w:tc>
        <w:tc>
          <w:tcPr>
            <w:tcW w:w="540"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pPr>
            <w:r>
              <w:rPr/>
              <w:t> </w:t>
            </w:r>
          </w:p>
        </w:tc>
        <w:tc>
          <w:tcPr>
            <w:tcW w:w="1537" w:type="dxa"/>
            <w:tcBorders/>
            <w:shd w:fill="CCEEFF" w:val="clear"/>
            <w:vAlign w:val="bottom"/>
          </w:tcPr>
          <w:p>
            <w:pPr>
              <w:pStyle w:val="TableContents"/>
              <w:spacing w:before="0" w:after="283"/>
              <w:jc w:val="right"/>
              <w:rPr/>
            </w:pPr>
            <w:r>
              <w:rPr/>
              <w:t>0.75</w:t>
            </w:r>
          </w:p>
        </w:tc>
        <w:tc>
          <w:tcPr>
            <w:tcW w:w="568" w:type="dxa"/>
            <w:tcBorders/>
            <w:shd w:fill="CCEEFF" w:val="clear"/>
            <w:vAlign w:val="bottom"/>
          </w:tcPr>
          <w:p>
            <w:pPr>
              <w:pStyle w:val="TableContents"/>
              <w:spacing w:before="0" w:after="283"/>
              <w:rPr/>
            </w:pPr>
            <w:r>
              <w:rPr/>
              <w:t>%</w:t>
            </w:r>
          </w:p>
        </w:tc>
        <w:tc>
          <w:tcPr>
            <w:tcW w:w="22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right"/>
              <w:rPr/>
            </w:pPr>
            <w:r>
              <w:rPr/>
              <w:t> </w:t>
            </w:r>
          </w:p>
        </w:tc>
        <w:tc>
          <w:tcPr>
            <w:tcW w:w="1050" w:type="dxa"/>
            <w:tcBorders/>
            <w:shd w:fill="CCEEFF" w:val="clear"/>
            <w:vAlign w:val="bottom"/>
          </w:tcPr>
          <w:p>
            <w:pPr>
              <w:pStyle w:val="TableContents"/>
              <w:spacing w:before="0" w:after="283"/>
              <w:jc w:val="right"/>
              <w:rPr/>
            </w:pPr>
            <w:r>
              <w:rPr/>
              <w:t>0.00</w:t>
            </w:r>
          </w:p>
        </w:tc>
        <w:tc>
          <w:tcPr>
            <w:tcW w:w="414" w:type="dxa"/>
            <w:tcBorders/>
            <w:shd w:fill="CCEEFF" w:val="clear"/>
            <w:vAlign w:val="bottom"/>
          </w:tcPr>
          <w:p>
            <w:pPr>
              <w:pStyle w:val="TableContents"/>
              <w:spacing w:before="0" w:after="283"/>
              <w:rPr/>
            </w:pPr>
            <w:r>
              <w:rPr/>
              <w:t>%</w:t>
            </w:r>
          </w:p>
        </w:tc>
        <w:tc>
          <w:tcPr>
            <w:tcW w:w="32" w:type="dxa"/>
            <w:tcBorders/>
            <w:shd w:fill="CCEEFF" w:val="clea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spacing w:before="0" w:after="0"/>
              <w:ind w:left="225" w:right="0" w:hanging="225"/>
              <w:rPr/>
            </w:pPr>
            <w:r>
              <w:rPr/>
              <w:t>Maximum outstanding at any month end</w:t>
            </w:r>
          </w:p>
        </w:tc>
        <w:tc>
          <w:tcPr>
            <w:tcW w:w="21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w:t>
            </w:r>
          </w:p>
        </w:tc>
        <w:tc>
          <w:tcPr>
            <w:tcW w:w="1452" w:type="dxa"/>
            <w:tcBorders/>
            <w:shd w:fill="auto" w:val="clear"/>
            <w:vAlign w:val="bottom"/>
          </w:tcPr>
          <w:p>
            <w:pPr>
              <w:pStyle w:val="TableContents"/>
              <w:spacing w:before="0" w:after="283"/>
              <w:jc w:val="right"/>
              <w:rPr/>
            </w:pPr>
            <w:r>
              <w:rPr/>
              <w:t>27,000</w:t>
            </w:r>
          </w:p>
        </w:tc>
        <w:tc>
          <w:tcPr>
            <w:tcW w:w="54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w:t>
            </w:r>
          </w:p>
        </w:tc>
        <w:tc>
          <w:tcPr>
            <w:tcW w:w="1537" w:type="dxa"/>
            <w:tcBorders/>
            <w:shd w:fill="auto" w:val="clear"/>
            <w:vAlign w:val="bottom"/>
          </w:tcPr>
          <w:p>
            <w:pPr>
              <w:pStyle w:val="TableContents"/>
              <w:spacing w:before="0" w:after="283"/>
              <w:jc w:val="right"/>
              <w:rPr/>
            </w:pPr>
            <w:r>
              <w:rPr/>
              <w:t>9,341</w:t>
            </w:r>
          </w:p>
        </w:tc>
        <w:tc>
          <w:tcPr>
            <w:tcW w:w="568"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right"/>
              <w:rPr/>
            </w:pPr>
            <w:r>
              <w:rPr/>
              <w:t>$</w:t>
            </w:r>
          </w:p>
        </w:tc>
        <w:tc>
          <w:tcPr>
            <w:tcW w:w="1050" w:type="dxa"/>
            <w:tcBorders/>
            <w:shd w:fill="auto" w:val="clear"/>
            <w:vAlign w:val="bottom"/>
          </w:tcPr>
          <w:p>
            <w:pPr>
              <w:pStyle w:val="TableContents"/>
              <w:spacing w:before="0" w:after="283"/>
              <w:jc w:val="right"/>
              <w:rPr/>
            </w:pPr>
            <w:r>
              <w:rPr/>
              <w:t></w:t>
            </w:r>
          </w:p>
        </w:tc>
        <w:tc>
          <w:tcPr>
            <w:tcW w:w="414" w:type="dxa"/>
            <w:tcBorders/>
            <w:shd w:fill="auto" w:val="clear"/>
            <w:vAlign w:val="bottom"/>
          </w:tcPr>
          <w:p>
            <w:pPr>
              <w:pStyle w:val="TableContents"/>
              <w:spacing w:before="0" w:after="283"/>
              <w:rPr/>
            </w:pPr>
            <w:r>
              <w:rPr/>
              <w:t> </w:t>
            </w:r>
          </w:p>
        </w:tc>
        <w:tc>
          <w:tcPr>
            <w:tcW w:w="32" w:type="dxa"/>
            <w:tcBorders/>
            <w:shd w:fill="auto" w:val="clear"/>
          </w:tcPr>
          <w:p>
            <w:pPr>
              <w:pStyle w:val="TableContents"/>
              <w:spacing w:before="0" w:after="283"/>
              <w:rPr>
                <w:sz w:val="4"/>
                <w:szCs w:val="4"/>
              </w:rPr>
            </w:pPr>
            <w:r>
              <w:rPr>
                <w:sz w:val="4"/>
                <w:szCs w:val="4"/>
              </w:rPr>
            </w:r>
          </w:p>
        </w:tc>
      </w:tr>
      <w:tr>
        <w:trPr/>
        <w:tc>
          <w:tcPr>
            <w:tcW w:w="2818" w:type="dxa"/>
            <w:tcBorders/>
            <w:shd w:fill="CCEEFF" w:val="clear"/>
            <w:vAlign w:val="bottom"/>
          </w:tcPr>
          <w:p>
            <w:pPr>
              <w:pStyle w:val="TableContents"/>
              <w:spacing w:before="0" w:after="0"/>
              <w:ind w:left="225" w:right="0" w:hanging="225"/>
              <w:rPr/>
            </w:pPr>
            <w:r>
              <w:rPr/>
              <w:t>Average daily balance</w:t>
            </w:r>
          </w:p>
        </w:tc>
        <w:tc>
          <w:tcPr>
            <w:tcW w:w="21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pPr>
            <w:r>
              <w:rPr/>
              <w:t>$</w:t>
            </w:r>
          </w:p>
        </w:tc>
        <w:tc>
          <w:tcPr>
            <w:tcW w:w="1452" w:type="dxa"/>
            <w:tcBorders/>
            <w:shd w:fill="CCEEFF" w:val="clear"/>
            <w:vAlign w:val="bottom"/>
          </w:tcPr>
          <w:p>
            <w:pPr>
              <w:pStyle w:val="TableContents"/>
              <w:spacing w:before="0" w:after="283"/>
              <w:jc w:val="right"/>
              <w:rPr/>
            </w:pPr>
            <w:r>
              <w:rPr/>
              <w:t>2,999</w:t>
            </w:r>
          </w:p>
        </w:tc>
        <w:tc>
          <w:tcPr>
            <w:tcW w:w="54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pPr>
            <w:r>
              <w:rPr/>
              <w:t>$</w:t>
            </w:r>
          </w:p>
        </w:tc>
        <w:tc>
          <w:tcPr>
            <w:tcW w:w="1537" w:type="dxa"/>
            <w:tcBorders/>
            <w:shd w:fill="CCEEFF" w:val="clear"/>
            <w:vAlign w:val="bottom"/>
          </w:tcPr>
          <w:p>
            <w:pPr>
              <w:pStyle w:val="TableContents"/>
              <w:spacing w:before="0" w:after="283"/>
              <w:jc w:val="right"/>
              <w:rPr/>
            </w:pPr>
            <w:r>
              <w:rPr/>
              <w:t>7,497</w:t>
            </w:r>
          </w:p>
        </w:tc>
        <w:tc>
          <w:tcPr>
            <w:tcW w:w="568"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right"/>
              <w:rPr/>
            </w:pPr>
            <w:r>
              <w:rPr/>
              <w:t>$</w:t>
            </w:r>
          </w:p>
        </w:tc>
        <w:tc>
          <w:tcPr>
            <w:tcW w:w="1050" w:type="dxa"/>
            <w:tcBorders/>
            <w:shd w:fill="CCEEFF" w:val="clear"/>
            <w:vAlign w:val="bottom"/>
          </w:tcPr>
          <w:p>
            <w:pPr>
              <w:pStyle w:val="TableContents"/>
              <w:spacing w:before="0" w:after="283"/>
              <w:jc w:val="right"/>
              <w:rPr/>
            </w:pPr>
            <w:r>
              <w:rPr/>
              <w:t></w:t>
            </w:r>
          </w:p>
        </w:tc>
        <w:tc>
          <w:tcPr>
            <w:tcW w:w="414" w:type="dxa"/>
            <w:tcBorders/>
            <w:shd w:fill="CCEEFF" w:val="clear"/>
            <w:vAlign w:val="bottom"/>
          </w:tcPr>
          <w:p>
            <w:pPr>
              <w:pStyle w:val="TableContents"/>
              <w:spacing w:before="0" w:after="283"/>
              <w:rPr/>
            </w:pPr>
            <w:r>
              <w:rPr/>
              <w:t> </w:t>
            </w:r>
          </w:p>
        </w:tc>
        <w:tc>
          <w:tcPr>
            <w:tcW w:w="32" w:type="dxa"/>
            <w:tcBorders/>
            <w:shd w:fill="CCEEFF" w:val="clear"/>
          </w:tcPr>
          <w:p>
            <w:pPr>
              <w:pStyle w:val="TableContents"/>
              <w:spacing w:before="0" w:after="283"/>
              <w:rPr>
                <w:sz w:val="4"/>
                <w:szCs w:val="4"/>
              </w:rPr>
            </w:pPr>
            <w:r>
              <w:rPr>
                <w:sz w:val="4"/>
                <w:szCs w:val="4"/>
              </w:rPr>
            </w:r>
          </w:p>
        </w:tc>
      </w:tr>
      <w:tr>
        <w:trPr/>
        <w:tc>
          <w:tcPr>
            <w:tcW w:w="2818" w:type="dxa"/>
            <w:tcBorders/>
            <w:shd w:fill="auto" w:val="clear"/>
            <w:vAlign w:val="bottom"/>
          </w:tcPr>
          <w:p>
            <w:pPr>
              <w:pStyle w:val="TableContents"/>
              <w:spacing w:before="0" w:after="0"/>
              <w:ind w:left="225" w:right="0" w:hanging="225"/>
              <w:rPr/>
            </w:pPr>
            <w:r>
              <w:rPr/>
              <w:t>Weighted average interest rate during period 1</w:t>
            </w:r>
          </w:p>
        </w:tc>
        <w:tc>
          <w:tcPr>
            <w:tcW w:w="21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 </w:t>
            </w:r>
          </w:p>
        </w:tc>
        <w:tc>
          <w:tcPr>
            <w:tcW w:w="1452" w:type="dxa"/>
            <w:tcBorders/>
            <w:shd w:fill="auto" w:val="clear"/>
            <w:vAlign w:val="bottom"/>
          </w:tcPr>
          <w:p>
            <w:pPr>
              <w:pStyle w:val="TableContents"/>
              <w:spacing w:before="0" w:after="283"/>
              <w:jc w:val="right"/>
              <w:rPr/>
            </w:pPr>
            <w:r>
              <w:rPr/>
              <w:t>1.40</w:t>
            </w:r>
          </w:p>
        </w:tc>
        <w:tc>
          <w:tcPr>
            <w:tcW w:w="540"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 </w:t>
            </w:r>
          </w:p>
        </w:tc>
        <w:tc>
          <w:tcPr>
            <w:tcW w:w="1537" w:type="dxa"/>
            <w:tcBorders/>
            <w:shd w:fill="auto" w:val="clear"/>
            <w:vAlign w:val="bottom"/>
          </w:tcPr>
          <w:p>
            <w:pPr>
              <w:pStyle w:val="TableContents"/>
              <w:spacing w:before="0" w:after="283"/>
              <w:jc w:val="right"/>
              <w:rPr/>
            </w:pPr>
            <w:r>
              <w:rPr/>
              <w:t>1.39</w:t>
            </w:r>
          </w:p>
        </w:tc>
        <w:tc>
          <w:tcPr>
            <w:tcW w:w="568" w:type="dxa"/>
            <w:tcBorders/>
            <w:shd w:fill="auto" w:val="clear"/>
            <w:vAlign w:val="bottom"/>
          </w:tcPr>
          <w:p>
            <w:pPr>
              <w:pStyle w:val="TableContents"/>
              <w:spacing w:before="0" w:after="283"/>
              <w:rPr/>
            </w:pPr>
            <w:r>
              <w:rPr/>
              <w:t>%</w:t>
            </w:r>
          </w:p>
        </w:tc>
        <w:tc>
          <w:tcPr>
            <w:tcW w:w="222"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right"/>
              <w:rPr/>
            </w:pPr>
            <w:r>
              <w:rPr/>
              <w:t> </w:t>
            </w:r>
          </w:p>
        </w:tc>
        <w:tc>
          <w:tcPr>
            <w:tcW w:w="1050" w:type="dxa"/>
            <w:tcBorders/>
            <w:shd w:fill="auto" w:val="clear"/>
            <w:vAlign w:val="bottom"/>
          </w:tcPr>
          <w:p>
            <w:pPr>
              <w:pStyle w:val="TableContents"/>
              <w:spacing w:before="0" w:after="283"/>
              <w:jc w:val="right"/>
              <w:rPr/>
            </w:pPr>
            <w:r>
              <w:rPr/>
              <w:t>0.00</w:t>
            </w:r>
          </w:p>
        </w:tc>
        <w:tc>
          <w:tcPr>
            <w:tcW w:w="414" w:type="dxa"/>
            <w:tcBorders/>
            <w:shd w:fill="auto" w:val="clear"/>
            <w:vAlign w:val="bottom"/>
          </w:tcPr>
          <w:p>
            <w:pPr>
              <w:pStyle w:val="TableContents"/>
              <w:spacing w:before="0" w:after="283"/>
              <w:rPr/>
            </w:pPr>
            <w:r>
              <w:rPr/>
              <w:t>%</w:t>
            </w:r>
          </w:p>
        </w:tc>
        <w:tc>
          <w:tcPr>
            <w:tcW w:w="32" w:type="dxa"/>
            <w:tcBorders/>
            <w:shd w:fill="auto" w:val="clear"/>
          </w:tcPr>
          <w:p>
            <w:pPr>
              <w:pStyle w:val="TableContents"/>
              <w:spacing w:before="0" w:after="283"/>
              <w:rPr>
                <w:sz w:val="4"/>
                <w:szCs w:val="4"/>
              </w:rPr>
            </w:pPr>
            <w:r>
              <w:rPr>
                <w:sz w:val="4"/>
                <w:szCs w:val="4"/>
              </w:rPr>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81"/>
        <w:gridCol w:w="2248"/>
        <w:gridCol w:w="1176"/>
      </w:tblGrid>
      <w:tr>
        <w:trPr/>
        <w:tc>
          <w:tcPr>
            <w:tcW w:w="6781" w:type="dxa"/>
            <w:tcBorders/>
            <w:shd w:fill="auto" w:val="clear"/>
            <w:vAlign w:val="center"/>
          </w:tcPr>
          <w:p>
            <w:pPr>
              <w:pStyle w:val="TableContents"/>
              <w:spacing w:before="0" w:after="283"/>
              <w:rPr>
                <w:sz w:val="4"/>
                <w:szCs w:val="4"/>
              </w:rPr>
            </w:pPr>
            <w:r>
              <w:rPr>
                <w:sz w:val="4"/>
                <w:szCs w:val="4"/>
              </w:rPr>
            </w:r>
          </w:p>
        </w:tc>
        <w:tc>
          <w:tcPr>
            <w:tcW w:w="2248"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r>
      <w:tr>
        <w:trPr/>
        <w:tc>
          <w:tcPr>
            <w:tcW w:w="6781" w:type="dxa"/>
            <w:tcBorders/>
            <w:shd w:fill="auto" w:val="clear"/>
          </w:tcPr>
          <w:p>
            <w:pPr>
              <w:pStyle w:val="TableContents"/>
              <w:spacing w:before="0" w:after="283"/>
              <w:jc w:val="left"/>
              <w:rPr/>
            </w:pPr>
            <w:r>
              <w:rPr/>
              <w:t>1</w:t>
            </w:r>
          </w:p>
        </w:tc>
        <w:tc>
          <w:tcPr>
            <w:tcW w:w="2248" w:type="dxa"/>
            <w:tcBorders/>
            <w:shd w:fill="auto" w:val="clear"/>
          </w:tcPr>
          <w:p>
            <w:pPr>
              <w:pStyle w:val="TableContents"/>
              <w:spacing w:before="0" w:after="283"/>
              <w:rPr/>
            </w:pPr>
            <w:r>
              <w:rPr/>
              <w:t> </w:t>
            </w:r>
          </w:p>
        </w:tc>
        <w:tc>
          <w:tcPr>
            <w:tcW w:w="1176" w:type="dxa"/>
            <w:tcBorders/>
            <w:shd w:fill="auto" w:val="clear"/>
          </w:tcPr>
          <w:p>
            <w:pPr>
              <w:pStyle w:val="TableContents"/>
              <w:spacing w:before="0" w:after="283"/>
              <w:rPr/>
            </w:pPr>
            <w:r>
              <w:rPr/>
              <w:t>The weighted average interest rate is computed by dividing total interest for the year by the average daily balance outstanding.</w:t>
            </w:r>
          </w:p>
        </w:tc>
      </w:tr>
    </w:tbl>
    <w:p>
      <w:pPr>
        <w:pStyle w:val="TextBody"/>
        <w:jc w:val="center"/>
        <w:rPr>
          <w:rFonts w:ascii="Helvetica;Arial;sans-serif" w:hAnsi="Helvetica;Arial;sans-serif"/>
          <w:sz w:val="17"/>
        </w:rPr>
      </w:pPr>
      <w:r>
        <w:rPr>
          <w:rFonts w:ascii="Helvetica;Arial;sans-serif" w:hAnsi="Helvetica;Arial;sans-serif"/>
          <w:sz w:val="17"/>
        </w:rP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i/>
          <w:sz w:val="17"/>
        </w:rPr>
        <w:t>Liquidity</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Liquidity management is the process by which the Corporation ensures that adequate liquid funds are available to meet the present and future cash flow obligations arising in the daily operations of the business. These financial obligations consist of needs for funds to meet commitments to borrowers for extensions of credit, funding capital expenditures, withdrawals by customers, maintaining deposit reserve requirements, servicing debt, paying dividends to shareholders, and paying operating expenses.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Corporations most liquid assets are cash and due from banks, interest-bearing bank deposits, and Federal funds sold. The balances of these assets are dependent on the Corporations operating, investing, lending, and financing activities during any given period. Average liquid assets are summarized in the table below: </w:t>
      </w:r>
    </w:p>
    <w:tbl>
      <w:tblPr>
        <w:tblW w:w="5000" w:type="pct"/>
        <w:jc w:val="center"/>
        <w:tblInd w:w="0" w:type="dxa"/>
        <w:tblCellMar>
          <w:top w:w="0" w:type="dxa"/>
          <w:left w:w="0" w:type="dxa"/>
          <w:bottom w:w="0" w:type="dxa"/>
          <w:right w:w="0" w:type="dxa"/>
        </w:tblCellMar>
      </w:tblPr>
      <w:tblGrid>
        <w:gridCol w:w="3907"/>
        <w:gridCol w:w="267"/>
        <w:gridCol w:w="262"/>
        <w:gridCol w:w="707"/>
        <w:gridCol w:w="335"/>
        <w:gridCol w:w="267"/>
        <w:gridCol w:w="474"/>
        <w:gridCol w:w="1743"/>
        <w:gridCol w:w="664"/>
        <w:gridCol w:w="267"/>
        <w:gridCol w:w="262"/>
        <w:gridCol w:w="707"/>
        <w:gridCol w:w="343"/>
      </w:tblGrid>
      <w:tr>
        <w:trPr/>
        <w:tc>
          <w:tcPr>
            <w:tcW w:w="390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74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r>
      <w:tr>
        <w:trPr/>
        <w:tc>
          <w:tcPr>
            <w:tcW w:w="390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881" w:type="dxa"/>
            <w:gridSpan w:val="3"/>
            <w:tcBorders/>
            <w:shd w:fill="auto" w:val="clear"/>
            <w:vAlign w:val="bottom"/>
          </w:tcPr>
          <w:p>
            <w:pPr>
              <w:pStyle w:val="TableContents"/>
              <w:spacing w:before="0" w:after="283"/>
              <w:jc w:val="center"/>
              <w:rPr/>
            </w:pPr>
            <w:r>
              <w:rPr/>
              <w:t>Years Ended December 31,</w:t>
            </w:r>
          </w:p>
        </w:tc>
        <w:tc>
          <w:tcPr>
            <w:tcW w:w="267" w:type="dxa"/>
            <w:tcBorders/>
            <w:shd w:fill="auto" w:val="clear"/>
            <w:vAlign w:val="bottom"/>
          </w:tcPr>
          <w:p>
            <w:pPr>
              <w:pStyle w:val="TableContents"/>
              <w:spacing w:before="0" w:after="283"/>
              <w:rPr/>
            </w:pPr>
            <w:r>
              <w:rPr/>
              <w:t> </w:t>
            </w:r>
          </w:p>
        </w:tc>
        <w:tc>
          <w:tcPr>
            <w:tcW w:w="1312" w:type="dxa"/>
            <w:gridSpan w:val="3"/>
            <w:tcBorders/>
            <w:shd w:fill="auto" w:val="clear"/>
            <w:vAlign w:val="bottom"/>
          </w:tcPr>
          <w:p>
            <w:pPr>
              <w:pStyle w:val="TableContents"/>
              <w:spacing w:before="0" w:after="283"/>
              <w:jc w:val="center"/>
              <w:rPr/>
            </w:pPr>
            <w:r>
              <w:rPr/>
              <w:t> </w:t>
            </w:r>
          </w:p>
        </w:tc>
      </w:tr>
      <w:tr>
        <w:trPr/>
        <w:tc>
          <w:tcPr>
            <w:tcW w:w="390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304" w:type="dxa"/>
            <w:gridSpan w:val="3"/>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267" w:type="dxa"/>
            <w:tcBorders/>
            <w:shd w:fill="auto" w:val="clear"/>
            <w:vAlign w:val="bottom"/>
          </w:tcPr>
          <w:p>
            <w:pPr>
              <w:pStyle w:val="TableContents"/>
              <w:spacing w:before="0" w:after="283"/>
              <w:rPr/>
            </w:pPr>
            <w:r>
              <w:rPr/>
              <w:t> </w:t>
            </w:r>
          </w:p>
        </w:tc>
        <w:tc>
          <w:tcPr>
            <w:tcW w:w="2881" w:type="dxa"/>
            <w:gridSpan w:val="3"/>
            <w:tcBorders/>
            <w:shd w:fill="auto" w:val="clear"/>
            <w:vAlign w:val="bottom"/>
          </w:tcPr>
          <w:p>
            <w:pPr>
              <w:pStyle w:val="TableContents"/>
              <w:spacing w:before="0" w:after="283"/>
              <w:jc w:val="center"/>
              <w:rPr/>
            </w:pPr>
            <w:r>
              <w:rPr/>
              <w:t>2004</w:t>
            </w:r>
          </w:p>
        </w:tc>
        <w:tc>
          <w:tcPr>
            <w:tcW w:w="267" w:type="dxa"/>
            <w:tcBorders/>
            <w:shd w:fill="auto" w:val="clear"/>
            <w:vAlign w:val="bottom"/>
          </w:tcPr>
          <w:p>
            <w:pPr>
              <w:pStyle w:val="TableContents"/>
              <w:spacing w:before="0" w:after="283"/>
              <w:rPr/>
            </w:pPr>
            <w:r>
              <w:rPr/>
              <w:t> </w:t>
            </w:r>
          </w:p>
        </w:tc>
        <w:tc>
          <w:tcPr>
            <w:tcW w:w="1312" w:type="dxa"/>
            <w:gridSpan w:val="3"/>
            <w:tcBorders>
              <w:bottom w:val="single" w:sz="2" w:space="0" w:color="000000"/>
            </w:tcBorders>
            <w:shd w:fill="auto" w:val="clear"/>
            <w:tcMar>
              <w:bottom w:w="28" w:type="dxa"/>
            </w:tcMar>
            <w:vAlign w:val="bottom"/>
          </w:tcPr>
          <w:p>
            <w:pPr>
              <w:pStyle w:val="TableContents"/>
              <w:spacing w:before="0" w:after="283"/>
              <w:jc w:val="center"/>
              <w:rPr/>
            </w:pPr>
            <w:r>
              <w:rPr/>
              <w:t>2003</w:t>
            </w:r>
          </w:p>
        </w:tc>
      </w:tr>
      <w:tr>
        <w:trPr/>
        <w:tc>
          <w:tcPr>
            <w:tcW w:w="3907"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6031"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90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881" w:type="dxa"/>
            <w:gridSpan w:val="3"/>
            <w:tcBorders/>
            <w:shd w:fill="auto" w:val="clear"/>
            <w:vAlign w:val="bottom"/>
          </w:tcPr>
          <w:p>
            <w:pPr>
              <w:pStyle w:val="TableContents"/>
              <w:spacing w:before="0" w:after="283"/>
              <w:jc w:val="center"/>
              <w:rPr/>
            </w:pPr>
            <w:r>
              <w:rPr/>
              <w:t>(dollars in thousands)</w:t>
            </w:r>
          </w:p>
        </w:tc>
        <w:tc>
          <w:tcPr>
            <w:tcW w:w="26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r>
      <w:tr>
        <w:trPr/>
        <w:tc>
          <w:tcPr>
            <w:tcW w:w="3907" w:type="dxa"/>
            <w:tcBorders/>
            <w:shd w:fill="CCEEFF" w:val="clear"/>
            <w:vAlign w:val="bottom"/>
          </w:tcPr>
          <w:p>
            <w:pPr>
              <w:pStyle w:val="TableContents"/>
              <w:spacing w:before="0" w:after="0"/>
              <w:ind w:left="225" w:right="0" w:hanging="225"/>
              <w:rPr/>
            </w:pPr>
            <w:r>
              <w:rPr/>
              <w:t>Cash and due from banks</w:t>
            </w:r>
          </w:p>
        </w:tc>
        <w:tc>
          <w:tcPr>
            <w:tcW w:w="26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right"/>
              <w:rPr/>
            </w:pPr>
            <w:r>
              <w:rPr/>
              <w:t>$</w:t>
            </w:r>
          </w:p>
        </w:tc>
        <w:tc>
          <w:tcPr>
            <w:tcW w:w="707" w:type="dxa"/>
            <w:tcBorders/>
            <w:shd w:fill="CCEEFF" w:val="clear"/>
            <w:vAlign w:val="bottom"/>
          </w:tcPr>
          <w:p>
            <w:pPr>
              <w:pStyle w:val="TableContents"/>
              <w:spacing w:before="0" w:after="283"/>
              <w:jc w:val="right"/>
              <w:rPr/>
            </w:pPr>
            <w:r>
              <w:rPr/>
              <w:t>49,865</w:t>
            </w:r>
          </w:p>
        </w:tc>
        <w:tc>
          <w:tcPr>
            <w:tcW w:w="33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jc w:val="right"/>
              <w:rPr/>
            </w:pPr>
            <w:r>
              <w:rPr/>
              <w:t>$</w:t>
            </w:r>
          </w:p>
        </w:tc>
        <w:tc>
          <w:tcPr>
            <w:tcW w:w="1743" w:type="dxa"/>
            <w:tcBorders/>
            <w:shd w:fill="CCEEFF" w:val="clear"/>
            <w:vAlign w:val="bottom"/>
          </w:tcPr>
          <w:p>
            <w:pPr>
              <w:pStyle w:val="TableContents"/>
              <w:spacing w:before="0" w:after="283"/>
              <w:jc w:val="right"/>
              <w:rPr/>
            </w:pPr>
            <w:r>
              <w:rPr/>
              <w:t>45,905</w:t>
            </w:r>
          </w:p>
        </w:tc>
        <w:tc>
          <w:tcPr>
            <w:tcW w:w="664"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right"/>
              <w:rPr/>
            </w:pPr>
            <w:r>
              <w:rPr/>
              <w:t>$</w:t>
            </w:r>
          </w:p>
        </w:tc>
        <w:tc>
          <w:tcPr>
            <w:tcW w:w="707" w:type="dxa"/>
            <w:tcBorders/>
            <w:shd w:fill="CCEEFF" w:val="clear"/>
            <w:vAlign w:val="bottom"/>
          </w:tcPr>
          <w:p>
            <w:pPr>
              <w:pStyle w:val="TableContents"/>
              <w:spacing w:before="0" w:after="283"/>
              <w:jc w:val="right"/>
              <w:rPr/>
            </w:pPr>
            <w:r>
              <w:rPr/>
              <w:t>38,247</w:t>
            </w:r>
          </w:p>
        </w:tc>
        <w:tc>
          <w:tcPr>
            <w:tcW w:w="343" w:type="dxa"/>
            <w:tcBorders/>
            <w:shd w:fill="CCEEFF" w:val="clear"/>
            <w:vAlign w:val="bottom"/>
          </w:tcPr>
          <w:p>
            <w:pPr>
              <w:pStyle w:val="TableContents"/>
              <w:spacing w:before="0" w:after="283"/>
              <w:rPr/>
            </w:pPr>
            <w:r>
              <w:rPr/>
              <w:t> </w:t>
            </w:r>
          </w:p>
        </w:tc>
      </w:tr>
      <w:tr>
        <w:trPr/>
        <w:tc>
          <w:tcPr>
            <w:tcW w:w="3907" w:type="dxa"/>
            <w:tcBorders/>
            <w:shd w:fill="auto" w:val="clear"/>
            <w:vAlign w:val="bottom"/>
          </w:tcPr>
          <w:p>
            <w:pPr>
              <w:pStyle w:val="TableContents"/>
              <w:spacing w:before="0" w:after="0"/>
              <w:ind w:left="225" w:right="0" w:hanging="225"/>
              <w:rPr/>
            </w:pPr>
            <w:r>
              <w:rPr/>
              <w:t>Interest-bearing bank deposits</w:t>
            </w:r>
          </w:p>
        </w:tc>
        <w:tc>
          <w:tcPr>
            <w:tcW w:w="26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pPr>
            <w:r>
              <w:rPr/>
              <w:t>1,394</w:t>
            </w:r>
          </w:p>
        </w:tc>
        <w:tc>
          <w:tcPr>
            <w:tcW w:w="33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743" w:type="dxa"/>
            <w:tcBorders/>
            <w:shd w:fill="auto" w:val="clear"/>
            <w:vAlign w:val="bottom"/>
          </w:tcPr>
          <w:p>
            <w:pPr>
              <w:pStyle w:val="TableContents"/>
              <w:spacing w:before="0" w:after="283"/>
              <w:jc w:val="right"/>
              <w:rPr/>
            </w:pPr>
            <w:r>
              <w:rPr/>
              <w:t>3,359</w:t>
            </w:r>
          </w:p>
        </w:tc>
        <w:tc>
          <w:tcPr>
            <w:tcW w:w="66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pPr>
            <w:r>
              <w:rPr/>
              <w:t>928</w:t>
            </w:r>
          </w:p>
        </w:tc>
        <w:tc>
          <w:tcPr>
            <w:tcW w:w="343" w:type="dxa"/>
            <w:tcBorders/>
            <w:shd w:fill="auto" w:val="clear"/>
            <w:vAlign w:val="bottom"/>
          </w:tcPr>
          <w:p>
            <w:pPr>
              <w:pStyle w:val="TableContents"/>
              <w:spacing w:before="0" w:after="283"/>
              <w:rPr/>
            </w:pPr>
            <w:r>
              <w:rPr/>
              <w:t> </w:t>
            </w:r>
          </w:p>
        </w:tc>
      </w:tr>
      <w:tr>
        <w:trPr/>
        <w:tc>
          <w:tcPr>
            <w:tcW w:w="3907" w:type="dxa"/>
            <w:tcBorders/>
            <w:shd w:fill="CCEEFF" w:val="clear"/>
            <w:vAlign w:val="bottom"/>
          </w:tcPr>
          <w:p>
            <w:pPr>
              <w:pStyle w:val="TableContents"/>
              <w:spacing w:before="0" w:after="0"/>
              <w:ind w:left="225" w:right="0" w:hanging="225"/>
              <w:rPr/>
            </w:pPr>
            <w:r>
              <w:rPr/>
              <w:t>Federal funds sold</w:t>
            </w:r>
          </w:p>
        </w:tc>
        <w:tc>
          <w:tcPr>
            <w:tcW w:w="26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21,291</w:t>
            </w:r>
          </w:p>
        </w:tc>
        <w:tc>
          <w:tcPr>
            <w:tcW w:w="33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743" w:type="dxa"/>
            <w:tcBorders/>
            <w:shd w:fill="CCEEFF" w:val="clear"/>
            <w:vAlign w:val="bottom"/>
          </w:tcPr>
          <w:p>
            <w:pPr>
              <w:pStyle w:val="TableContents"/>
              <w:spacing w:before="0" w:after="283"/>
              <w:jc w:val="right"/>
              <w:rPr/>
            </w:pPr>
            <w:r>
              <w:rPr/>
              <w:t>15,844</w:t>
            </w:r>
          </w:p>
        </w:tc>
        <w:tc>
          <w:tcPr>
            <w:tcW w:w="664"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14,362</w:t>
            </w:r>
          </w:p>
        </w:tc>
        <w:tc>
          <w:tcPr>
            <w:tcW w:w="343" w:type="dxa"/>
            <w:tcBorders/>
            <w:shd w:fill="CCEEFF" w:val="clear"/>
            <w:vAlign w:val="bottom"/>
          </w:tcPr>
          <w:p>
            <w:pPr>
              <w:pStyle w:val="TableContents"/>
              <w:spacing w:before="0" w:after="283"/>
              <w:rPr/>
            </w:pPr>
            <w:r>
              <w:rPr/>
              <w:t> </w:t>
            </w:r>
          </w:p>
        </w:tc>
      </w:tr>
      <w:tr>
        <w:trPr/>
        <w:tc>
          <w:tcPr>
            <w:tcW w:w="3907"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6031"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907" w:type="dxa"/>
            <w:tcBorders/>
            <w:shd w:fill="auto" w:val="clear"/>
            <w:vAlign w:val="bottom"/>
          </w:tcPr>
          <w:p>
            <w:pPr>
              <w:pStyle w:val="TableContents"/>
              <w:spacing w:before="0" w:after="0"/>
              <w:ind w:left="225" w:right="0" w:hanging="225"/>
              <w:rPr/>
            </w:pPr>
            <w:r>
              <w:rPr/>
              <w:t>Total</w:t>
            </w:r>
          </w:p>
        </w:tc>
        <w:tc>
          <w:tcPr>
            <w:tcW w:w="26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w:t>
            </w:r>
          </w:p>
        </w:tc>
        <w:tc>
          <w:tcPr>
            <w:tcW w:w="707" w:type="dxa"/>
            <w:tcBorders/>
            <w:shd w:fill="auto" w:val="clear"/>
            <w:vAlign w:val="bottom"/>
          </w:tcPr>
          <w:p>
            <w:pPr>
              <w:pStyle w:val="TableContents"/>
              <w:spacing w:before="0" w:after="283"/>
              <w:jc w:val="right"/>
              <w:rPr/>
            </w:pPr>
            <w:r>
              <w:rPr/>
              <w:t>72,550</w:t>
            </w:r>
          </w:p>
        </w:tc>
        <w:tc>
          <w:tcPr>
            <w:tcW w:w="33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w:t>
            </w:r>
          </w:p>
        </w:tc>
        <w:tc>
          <w:tcPr>
            <w:tcW w:w="1743" w:type="dxa"/>
            <w:tcBorders/>
            <w:shd w:fill="auto" w:val="clear"/>
            <w:vAlign w:val="bottom"/>
          </w:tcPr>
          <w:p>
            <w:pPr>
              <w:pStyle w:val="TableContents"/>
              <w:spacing w:before="0" w:after="283"/>
              <w:jc w:val="right"/>
              <w:rPr/>
            </w:pPr>
            <w:r>
              <w:rPr/>
              <w:t>65,108</w:t>
            </w:r>
          </w:p>
        </w:tc>
        <w:tc>
          <w:tcPr>
            <w:tcW w:w="66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w:t>
            </w:r>
          </w:p>
        </w:tc>
        <w:tc>
          <w:tcPr>
            <w:tcW w:w="707" w:type="dxa"/>
            <w:tcBorders/>
            <w:shd w:fill="auto" w:val="clear"/>
            <w:vAlign w:val="bottom"/>
          </w:tcPr>
          <w:p>
            <w:pPr>
              <w:pStyle w:val="TableContents"/>
              <w:spacing w:before="0" w:after="283"/>
              <w:jc w:val="right"/>
              <w:rPr/>
            </w:pPr>
            <w:r>
              <w:rPr/>
              <w:t>53,537</w:t>
            </w:r>
          </w:p>
        </w:tc>
        <w:tc>
          <w:tcPr>
            <w:tcW w:w="343" w:type="dxa"/>
            <w:tcBorders/>
            <w:shd w:fill="auto" w:val="clear"/>
            <w:vAlign w:val="bottom"/>
          </w:tcPr>
          <w:p>
            <w:pPr>
              <w:pStyle w:val="TableContents"/>
              <w:spacing w:before="0" w:after="283"/>
              <w:rPr/>
            </w:pPr>
            <w:r>
              <w:rPr/>
              <w:t> </w:t>
            </w:r>
          </w:p>
        </w:tc>
      </w:tr>
      <w:tr>
        <w:trPr/>
        <w:tc>
          <w:tcPr>
            <w:tcW w:w="3907"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6031"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3907" w:type="dxa"/>
            <w:tcBorders/>
            <w:shd w:fill="CCEEFF" w:val="clear"/>
            <w:vAlign w:val="bottom"/>
          </w:tcPr>
          <w:p>
            <w:pPr>
              <w:pStyle w:val="TableContents"/>
              <w:spacing w:before="0" w:after="0"/>
              <w:ind w:left="225" w:right="0" w:hanging="225"/>
              <w:rPr/>
            </w:pPr>
            <w:r>
              <w:rPr/>
              <w:t>Percent of average total assets</w:t>
            </w:r>
          </w:p>
        </w:tc>
        <w:tc>
          <w:tcPr>
            <w:tcW w:w="26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right"/>
              <w:rPr/>
            </w:pPr>
            <w:r>
              <w:rPr/>
              <w:t> </w:t>
            </w:r>
          </w:p>
        </w:tc>
        <w:tc>
          <w:tcPr>
            <w:tcW w:w="707" w:type="dxa"/>
            <w:tcBorders/>
            <w:shd w:fill="CCEEFF" w:val="clear"/>
            <w:vAlign w:val="bottom"/>
          </w:tcPr>
          <w:p>
            <w:pPr>
              <w:pStyle w:val="TableContents"/>
              <w:spacing w:before="0" w:after="283"/>
              <w:jc w:val="right"/>
              <w:rPr/>
            </w:pPr>
            <w:r>
              <w:rPr/>
              <w:t>3.5</w:t>
            </w:r>
          </w:p>
        </w:tc>
        <w:tc>
          <w:tcPr>
            <w:tcW w:w="335" w:type="dxa"/>
            <w:tcBorders/>
            <w:shd w:fill="CCEEFF" w:val="clear"/>
            <w:vAlign w:val="bottom"/>
          </w:tcPr>
          <w:p>
            <w:pPr>
              <w:pStyle w:val="TableContents"/>
              <w:spacing w:before="0" w:after="283"/>
              <w:rPr/>
            </w:pPr>
            <w:r>
              <w:rPr/>
              <w:t>%</w:t>
            </w:r>
          </w:p>
        </w:tc>
        <w:tc>
          <w:tcPr>
            <w:tcW w:w="267"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jc w:val="right"/>
              <w:rPr/>
            </w:pPr>
            <w:r>
              <w:rPr/>
              <w:t> </w:t>
            </w:r>
          </w:p>
        </w:tc>
        <w:tc>
          <w:tcPr>
            <w:tcW w:w="1743" w:type="dxa"/>
            <w:tcBorders/>
            <w:shd w:fill="CCEEFF" w:val="clear"/>
            <w:vAlign w:val="bottom"/>
          </w:tcPr>
          <w:p>
            <w:pPr>
              <w:pStyle w:val="TableContents"/>
              <w:spacing w:before="0" w:after="283"/>
              <w:jc w:val="right"/>
              <w:rPr/>
            </w:pPr>
            <w:r>
              <w:rPr/>
              <w:t>3.7</w:t>
            </w:r>
          </w:p>
        </w:tc>
        <w:tc>
          <w:tcPr>
            <w:tcW w:w="664" w:type="dxa"/>
            <w:tcBorders/>
            <w:shd w:fill="CCEEFF" w:val="clear"/>
            <w:vAlign w:val="bottom"/>
          </w:tcPr>
          <w:p>
            <w:pPr>
              <w:pStyle w:val="TableContents"/>
              <w:spacing w:before="0" w:after="283"/>
              <w:rPr/>
            </w:pPr>
            <w:r>
              <w:rPr/>
              <w:t>%</w:t>
            </w:r>
          </w:p>
        </w:tc>
        <w:tc>
          <w:tcPr>
            <w:tcW w:w="26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right"/>
              <w:rPr/>
            </w:pPr>
            <w:r>
              <w:rPr/>
              <w:t> </w:t>
            </w:r>
          </w:p>
        </w:tc>
        <w:tc>
          <w:tcPr>
            <w:tcW w:w="707" w:type="dxa"/>
            <w:tcBorders/>
            <w:shd w:fill="CCEEFF" w:val="clear"/>
            <w:vAlign w:val="bottom"/>
          </w:tcPr>
          <w:p>
            <w:pPr>
              <w:pStyle w:val="TableContents"/>
              <w:spacing w:before="0" w:after="283"/>
              <w:jc w:val="right"/>
              <w:rPr/>
            </w:pPr>
            <w:r>
              <w:rPr/>
              <w:t>3.6</w:t>
            </w:r>
          </w:p>
        </w:tc>
        <w:tc>
          <w:tcPr>
            <w:tcW w:w="343" w:type="dxa"/>
            <w:tcBorders/>
            <w:shd w:fill="CCEEFF" w:val="clear"/>
            <w:vAlign w:val="bottom"/>
          </w:tcPr>
          <w:p>
            <w:pPr>
              <w:pStyle w:val="TableContents"/>
              <w:spacing w:before="0" w:after="283"/>
              <w:rPr/>
            </w:pPr>
            <w:r>
              <w:rPr/>
              <w:t>%</w:t>
            </w:r>
          </w:p>
        </w:tc>
      </w:tr>
      <w:tr>
        <w:trPr/>
        <w:tc>
          <w:tcPr>
            <w:tcW w:w="3907"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6031"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Corporations primary sources of funds consist of deposits, investment maturities and sales, loan principal repayments, deposits, and capital funds. Additional liquidity is provided by brokered deposits, bank lines of credit, repurchase agreements and the ability to borrow from the Federal Reserve Bank and the Federal Home Loan Bank. The Corporation has an operating line in the amount of $10,000,000, all of which was available as of December 31, 2005 and 2004. Long-term liquidity needs will be satisfied primarily through the retention of capital funds.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An additional source of liquidity that can be managed for short-term and long-term needs is the Corporations ability to securitize or package loans (primarily mortgage loans) for sale. During 2005 the Corporation originated $178,404,000 and sold $176,241,000 in mortgage loans held for sale compared to originations of $159,560,000 and sales of $182,368,000 in 2004, and originations of $400,967,000 and sales of $463,199,000 in 2003. As of December 31, 2005, the Corporation held $11,737,000 in loans held for sale.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July 29, 2005, First Busey Corporation acquired Tarpon Coast National Bank through the acquisition of its parent company Tarpon Coast Bancorp, Inc. Tarpon shareholders received $16,778,000 in First Busey common stock and $19,131,000 in cash consideration. First Busey funded the cash portion of this transaction by issuing $10,000,000 in trust preferred securities through First Busey Statutory Trust III and by drawing on its commercial loan at JPMorgan Chase, N.A. The arrangement is a note, in the amount of $42,000,000, which matures in June, 2011, and carries interest at LIBOR plus 1.25%.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June 1, 2004, First Busey Corporation completed the acquisition of First Capital Bankshares, Inc. of Peoria, Illinois, the holding company of First Capital Bank. In order to partially fund this transaction First Busey issued $15,000,000 in trust preferred securities through First Busey Statutory Trust II. These securities were issued in April, 2004. The balance is financed through a commercial loan agreement with JPMorgan Chase N.A.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objective of liquidity management by the Corporation is to ensure that funds will be available to meet demand in a timely and efficient manner. Based upon the level of investment securities that reprice within 30 days and 90 days, management currently believes that adequate liquidity exists to meet all projected cash flow obligations. The Corporation achieves a satisfactory degree of liquidity through actively managing both assets and liabilities. Asset management guides the proportion of liquid assets to total assets, while liability management monitors future funding requirements and prices liabilities accordingly.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Corporations banking subsidiaries routinely enter into commitments to extend credit in the normal course of their business. As of December 31, 2005 and 2004, the Corporation had outstanding loan commitments including lines of credit of $559,847,000, and $413,679,000 respectively. The balance of commitments to extend credit represents </w:t>
      </w:r>
    </w:p>
    <w:p>
      <w:pPr>
        <w:pStyle w:val="TextBody"/>
        <w:jc w:val="center"/>
        <w:rPr>
          <w:rFonts w:ascii="Helvetica;Arial;sans-serif" w:hAnsi="Helvetica;Arial;sans-serif"/>
          <w:sz w:val="17"/>
        </w:rPr>
      </w:pPr>
      <w:r>
        <w:rPr>
          <w:rFonts w:ascii="Helvetica;Arial;sans-serif" w:hAnsi="Helvetica;Arial;sans-serif"/>
          <w:sz w:val="17"/>
        </w:rP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future cash requirements and some of these commitments may expire without being drawn upon. The Corporation anticipates it will have sufficient funds available to meet its current loan commitments, including loan applications received and in process prior to the issuance of firm commitments.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Corporation has entered into certain contractual obligations and other commitments. Such obligations generally relate to funding of operations through deposits, debt issuance, and property and equipment leases. The following table summarizes significant contractual obligations and other commitments as of December 31, 2005.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summarizes significant contractual obligations and other commitments as of December 31, 2005 </w:t>
      </w:r>
    </w:p>
    <w:tbl>
      <w:tblPr>
        <w:tblW w:w="5000" w:type="pct"/>
        <w:jc w:val="center"/>
        <w:tblInd w:w="0" w:type="dxa"/>
        <w:tblCellMar>
          <w:top w:w="0" w:type="dxa"/>
          <w:left w:w="0" w:type="dxa"/>
          <w:bottom w:w="0" w:type="dxa"/>
          <w:right w:w="0" w:type="dxa"/>
        </w:tblCellMar>
      </w:tblPr>
      <w:tblGrid>
        <w:gridCol w:w="2175"/>
        <w:gridCol w:w="232"/>
        <w:gridCol w:w="286"/>
        <w:gridCol w:w="1079"/>
        <w:gridCol w:w="183"/>
        <w:gridCol w:w="232"/>
        <w:gridCol w:w="247"/>
        <w:gridCol w:w="857"/>
        <w:gridCol w:w="166"/>
        <w:gridCol w:w="232"/>
        <w:gridCol w:w="276"/>
        <w:gridCol w:w="726"/>
        <w:gridCol w:w="179"/>
        <w:gridCol w:w="232"/>
        <w:gridCol w:w="336"/>
        <w:gridCol w:w="1167"/>
        <w:gridCol w:w="206"/>
        <w:gridCol w:w="232"/>
        <w:gridCol w:w="171"/>
        <w:gridCol w:w="814"/>
        <w:gridCol w:w="177"/>
      </w:tblGrid>
      <w:tr>
        <w:trPr/>
        <w:tc>
          <w:tcPr>
            <w:tcW w:w="217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r>
      <w:tr>
        <w:trPr/>
        <w:tc>
          <w:tcPr>
            <w:tcW w:w="217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709" w:type="dxa"/>
            <w:gridSpan w:val="3"/>
            <w:tcBorders/>
            <w:shd w:fill="auto" w:val="clear"/>
            <w:vAlign w:val="bottom"/>
          </w:tcPr>
          <w:p>
            <w:pPr>
              <w:pStyle w:val="TableContents"/>
              <w:spacing w:before="0" w:after="283"/>
              <w:jc w:val="center"/>
              <w:rPr/>
            </w:pPr>
            <w:r>
              <w:rPr/>
              <w:t>Junior</w:t>
            </w:r>
          </w:p>
        </w:tc>
        <w:tc>
          <w:tcPr>
            <w:tcW w:w="232" w:type="dxa"/>
            <w:tcBorders/>
            <w:shd w:fill="auto" w:val="clear"/>
            <w:vAlign w:val="bottom"/>
          </w:tcPr>
          <w:p>
            <w:pPr>
              <w:pStyle w:val="TableContents"/>
              <w:spacing w:before="0" w:after="283"/>
              <w:rPr/>
            </w:pPr>
            <w:r>
              <w:rPr/>
              <w:t> </w:t>
            </w:r>
          </w:p>
        </w:tc>
        <w:tc>
          <w:tcPr>
            <w:tcW w:w="1162" w:type="dxa"/>
            <w:gridSpan w:val="3"/>
            <w:tcBorders/>
            <w:shd w:fill="auto" w:val="clear"/>
            <w:vAlign w:val="bottom"/>
          </w:tcPr>
          <w:p>
            <w:pPr>
              <w:pStyle w:val="TableContents"/>
              <w:spacing w:before="0" w:after="283"/>
              <w:jc w:val="center"/>
              <w:rPr/>
            </w:pPr>
            <w:r>
              <w:rPr/>
              <w:t> </w:t>
            </w:r>
          </w:p>
        </w:tc>
      </w:tr>
      <w:tr>
        <w:trPr/>
        <w:tc>
          <w:tcPr>
            <w:tcW w:w="217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709" w:type="dxa"/>
            <w:gridSpan w:val="3"/>
            <w:tcBorders/>
            <w:shd w:fill="auto" w:val="clear"/>
            <w:vAlign w:val="bottom"/>
          </w:tcPr>
          <w:p>
            <w:pPr>
              <w:pStyle w:val="TableContents"/>
              <w:spacing w:before="0" w:after="283"/>
              <w:jc w:val="center"/>
              <w:rPr/>
            </w:pPr>
            <w:r>
              <w:rPr/>
              <w:t>Subordinated</w:t>
            </w:r>
          </w:p>
        </w:tc>
        <w:tc>
          <w:tcPr>
            <w:tcW w:w="232" w:type="dxa"/>
            <w:tcBorders/>
            <w:shd w:fill="auto" w:val="clear"/>
            <w:vAlign w:val="bottom"/>
          </w:tcPr>
          <w:p>
            <w:pPr>
              <w:pStyle w:val="TableContents"/>
              <w:spacing w:before="0" w:after="283"/>
              <w:rPr/>
            </w:pPr>
            <w:r>
              <w:rPr/>
              <w:t> </w:t>
            </w:r>
          </w:p>
        </w:tc>
        <w:tc>
          <w:tcPr>
            <w:tcW w:w="1162" w:type="dxa"/>
            <w:gridSpan w:val="3"/>
            <w:tcBorders/>
            <w:shd w:fill="auto" w:val="clear"/>
            <w:vAlign w:val="bottom"/>
          </w:tcPr>
          <w:p>
            <w:pPr>
              <w:pStyle w:val="TableContents"/>
              <w:spacing w:before="0" w:after="283"/>
              <w:jc w:val="center"/>
              <w:rPr/>
            </w:pPr>
            <w:r>
              <w:rPr/>
              <w:t> </w:t>
            </w:r>
          </w:p>
        </w:tc>
      </w:tr>
      <w:tr>
        <w:trPr/>
        <w:tc>
          <w:tcPr>
            <w:tcW w:w="217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70" w:type="dxa"/>
            <w:gridSpan w:val="3"/>
            <w:tcBorders/>
            <w:shd w:fill="auto" w:val="clear"/>
            <w:vAlign w:val="bottom"/>
          </w:tcPr>
          <w:p>
            <w:pPr>
              <w:pStyle w:val="TableContents"/>
              <w:spacing w:before="0" w:after="283"/>
              <w:jc w:val="center"/>
              <w:rPr/>
            </w:pPr>
            <w:r>
              <w:rPr/>
              <w:t>Short- and</w:t>
            </w:r>
          </w:p>
        </w:tc>
        <w:tc>
          <w:tcPr>
            <w:tcW w:w="232"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709" w:type="dxa"/>
            <w:gridSpan w:val="3"/>
            <w:tcBorders/>
            <w:shd w:fill="auto" w:val="clear"/>
            <w:vAlign w:val="bottom"/>
          </w:tcPr>
          <w:p>
            <w:pPr>
              <w:pStyle w:val="TableContents"/>
              <w:spacing w:before="0" w:after="283"/>
              <w:jc w:val="center"/>
              <w:rPr/>
            </w:pPr>
            <w:r>
              <w:rPr/>
              <w:t>Debt Owed to</w:t>
            </w:r>
          </w:p>
        </w:tc>
        <w:tc>
          <w:tcPr>
            <w:tcW w:w="232" w:type="dxa"/>
            <w:tcBorders/>
            <w:shd w:fill="auto" w:val="clear"/>
            <w:vAlign w:val="bottom"/>
          </w:tcPr>
          <w:p>
            <w:pPr>
              <w:pStyle w:val="TableContents"/>
              <w:spacing w:before="0" w:after="283"/>
              <w:rPr/>
            </w:pPr>
            <w:r>
              <w:rPr/>
              <w:t> </w:t>
            </w:r>
          </w:p>
        </w:tc>
        <w:tc>
          <w:tcPr>
            <w:tcW w:w="1162" w:type="dxa"/>
            <w:gridSpan w:val="3"/>
            <w:tcBorders/>
            <w:shd w:fill="auto" w:val="clear"/>
            <w:vAlign w:val="bottom"/>
          </w:tcPr>
          <w:p>
            <w:pPr>
              <w:pStyle w:val="TableContents"/>
              <w:spacing w:before="0" w:after="283"/>
              <w:jc w:val="center"/>
              <w:rPr/>
            </w:pPr>
            <w:r>
              <w:rPr/>
              <w:t> </w:t>
            </w:r>
          </w:p>
        </w:tc>
      </w:tr>
      <w:tr>
        <w:trPr/>
        <w:tc>
          <w:tcPr>
            <w:tcW w:w="217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48" w:type="dxa"/>
            <w:gridSpan w:val="3"/>
            <w:tcBorders/>
            <w:shd w:fill="auto" w:val="clear"/>
            <w:vAlign w:val="bottom"/>
          </w:tcPr>
          <w:p>
            <w:pPr>
              <w:pStyle w:val="TableContents"/>
              <w:spacing w:before="0" w:after="283"/>
              <w:jc w:val="center"/>
              <w:rPr/>
            </w:pPr>
            <w:r>
              <w:rPr/>
              <w:t>Certificates of</w:t>
            </w:r>
          </w:p>
        </w:tc>
        <w:tc>
          <w:tcPr>
            <w:tcW w:w="232" w:type="dxa"/>
            <w:tcBorders/>
            <w:shd w:fill="auto" w:val="clear"/>
            <w:vAlign w:val="bottom"/>
          </w:tcPr>
          <w:p>
            <w:pPr>
              <w:pStyle w:val="TableContents"/>
              <w:spacing w:before="0" w:after="283"/>
              <w:rPr/>
            </w:pPr>
            <w:r>
              <w:rPr/>
              <w:t> </w:t>
            </w:r>
          </w:p>
        </w:tc>
        <w:tc>
          <w:tcPr>
            <w:tcW w:w="1270" w:type="dxa"/>
            <w:gridSpan w:val="3"/>
            <w:tcBorders/>
            <w:shd w:fill="auto" w:val="clear"/>
            <w:vAlign w:val="bottom"/>
          </w:tcPr>
          <w:p>
            <w:pPr>
              <w:pStyle w:val="TableContents"/>
              <w:spacing w:before="0" w:after="283"/>
              <w:jc w:val="center"/>
              <w:rPr/>
            </w:pPr>
            <w:r>
              <w:rPr/>
              <w:t>Long-term</w:t>
            </w:r>
          </w:p>
        </w:tc>
        <w:tc>
          <w:tcPr>
            <w:tcW w:w="232" w:type="dxa"/>
            <w:tcBorders/>
            <w:shd w:fill="auto" w:val="clear"/>
            <w:vAlign w:val="bottom"/>
          </w:tcPr>
          <w:p>
            <w:pPr>
              <w:pStyle w:val="TableContents"/>
              <w:spacing w:before="0" w:after="283"/>
              <w:rPr/>
            </w:pPr>
            <w:r>
              <w:rPr/>
              <w:t> </w:t>
            </w:r>
          </w:p>
        </w:tc>
        <w:tc>
          <w:tcPr>
            <w:tcW w:w="1181" w:type="dxa"/>
            <w:gridSpan w:val="3"/>
            <w:tcBorders/>
            <w:shd w:fill="auto" w:val="clear"/>
            <w:vAlign w:val="bottom"/>
          </w:tcPr>
          <w:p>
            <w:pPr>
              <w:pStyle w:val="TableContents"/>
              <w:spacing w:before="0" w:after="283"/>
              <w:jc w:val="center"/>
              <w:rPr/>
            </w:pPr>
            <w:r>
              <w:rPr/>
              <w:t>Operating</w:t>
            </w:r>
          </w:p>
        </w:tc>
        <w:tc>
          <w:tcPr>
            <w:tcW w:w="232" w:type="dxa"/>
            <w:tcBorders/>
            <w:shd w:fill="auto" w:val="clear"/>
            <w:vAlign w:val="bottom"/>
          </w:tcPr>
          <w:p>
            <w:pPr>
              <w:pStyle w:val="TableContents"/>
              <w:spacing w:before="0" w:after="283"/>
              <w:rPr/>
            </w:pPr>
            <w:r>
              <w:rPr/>
              <w:t> </w:t>
            </w:r>
          </w:p>
        </w:tc>
        <w:tc>
          <w:tcPr>
            <w:tcW w:w="1709" w:type="dxa"/>
            <w:gridSpan w:val="3"/>
            <w:tcBorders/>
            <w:shd w:fill="auto" w:val="clear"/>
            <w:vAlign w:val="bottom"/>
          </w:tcPr>
          <w:p>
            <w:pPr>
              <w:pStyle w:val="TableContents"/>
              <w:spacing w:before="0" w:after="283"/>
              <w:jc w:val="center"/>
              <w:rPr/>
            </w:pPr>
            <w:r>
              <w:rPr/>
              <w:t>Unconsolidated</w:t>
            </w:r>
          </w:p>
        </w:tc>
        <w:tc>
          <w:tcPr>
            <w:tcW w:w="232" w:type="dxa"/>
            <w:tcBorders/>
            <w:shd w:fill="auto" w:val="clear"/>
            <w:vAlign w:val="bottom"/>
          </w:tcPr>
          <w:p>
            <w:pPr>
              <w:pStyle w:val="TableContents"/>
              <w:spacing w:before="0" w:after="283"/>
              <w:rPr/>
            </w:pPr>
            <w:r>
              <w:rPr/>
              <w:t> </w:t>
            </w:r>
          </w:p>
        </w:tc>
        <w:tc>
          <w:tcPr>
            <w:tcW w:w="1162" w:type="dxa"/>
            <w:gridSpan w:val="3"/>
            <w:tcBorders/>
            <w:shd w:fill="auto" w:val="clear"/>
            <w:vAlign w:val="bottom"/>
          </w:tcPr>
          <w:p>
            <w:pPr>
              <w:pStyle w:val="TableContents"/>
              <w:spacing w:before="0" w:after="283"/>
              <w:jc w:val="center"/>
              <w:rPr/>
            </w:pPr>
            <w:r>
              <w:rPr/>
              <w:t> </w:t>
            </w:r>
          </w:p>
        </w:tc>
      </w:tr>
      <w:tr>
        <w:trPr/>
        <w:tc>
          <w:tcPr>
            <w:tcW w:w="217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548" w:type="dxa"/>
            <w:gridSpan w:val="3"/>
            <w:tcBorders>
              <w:bottom w:val="single" w:sz="2" w:space="0" w:color="000000"/>
            </w:tcBorders>
            <w:shd w:fill="auto" w:val="clear"/>
            <w:tcMar>
              <w:bottom w:w="28" w:type="dxa"/>
            </w:tcMar>
            <w:vAlign w:val="bottom"/>
          </w:tcPr>
          <w:p>
            <w:pPr>
              <w:pStyle w:val="TableContents"/>
              <w:spacing w:before="0" w:after="283"/>
              <w:jc w:val="center"/>
              <w:rPr/>
            </w:pPr>
            <w:r>
              <w:rPr/>
              <w:t>Deposit</w:t>
            </w:r>
          </w:p>
        </w:tc>
        <w:tc>
          <w:tcPr>
            <w:tcW w:w="232" w:type="dxa"/>
            <w:tcBorders/>
            <w:shd w:fill="auto" w:val="clear"/>
            <w:vAlign w:val="bottom"/>
          </w:tcPr>
          <w:p>
            <w:pPr>
              <w:pStyle w:val="TableContents"/>
              <w:spacing w:before="0" w:after="283"/>
              <w:rPr/>
            </w:pPr>
            <w:r>
              <w:rPr/>
              <w:t> </w:t>
            </w:r>
          </w:p>
        </w:tc>
        <w:tc>
          <w:tcPr>
            <w:tcW w:w="1270" w:type="dxa"/>
            <w:gridSpan w:val="3"/>
            <w:tcBorders>
              <w:bottom w:val="single" w:sz="2" w:space="0" w:color="000000"/>
            </w:tcBorders>
            <w:shd w:fill="auto" w:val="clear"/>
            <w:tcMar>
              <w:bottom w:w="28" w:type="dxa"/>
            </w:tcMar>
            <w:vAlign w:val="bottom"/>
          </w:tcPr>
          <w:p>
            <w:pPr>
              <w:pStyle w:val="TableContents"/>
              <w:spacing w:before="0" w:after="283"/>
              <w:jc w:val="center"/>
              <w:rPr/>
            </w:pPr>
            <w:r>
              <w:rPr/>
              <w:t>Borrowing</w:t>
            </w:r>
          </w:p>
        </w:tc>
        <w:tc>
          <w:tcPr>
            <w:tcW w:w="232" w:type="dxa"/>
            <w:tcBorders/>
            <w:shd w:fill="auto" w:val="clear"/>
            <w:vAlign w:val="bottom"/>
          </w:tcPr>
          <w:p>
            <w:pPr>
              <w:pStyle w:val="TableContents"/>
              <w:spacing w:before="0" w:after="283"/>
              <w:rPr/>
            </w:pPr>
            <w:r>
              <w:rPr/>
              <w:t> </w:t>
            </w:r>
          </w:p>
        </w:tc>
        <w:tc>
          <w:tcPr>
            <w:tcW w:w="1181" w:type="dxa"/>
            <w:gridSpan w:val="3"/>
            <w:tcBorders>
              <w:bottom w:val="single" w:sz="2" w:space="0" w:color="000000"/>
            </w:tcBorders>
            <w:shd w:fill="auto" w:val="clear"/>
            <w:tcMar>
              <w:bottom w:w="28" w:type="dxa"/>
            </w:tcMar>
            <w:vAlign w:val="bottom"/>
          </w:tcPr>
          <w:p>
            <w:pPr>
              <w:pStyle w:val="TableContents"/>
              <w:spacing w:before="0" w:after="283"/>
              <w:jc w:val="center"/>
              <w:rPr/>
            </w:pPr>
            <w:r>
              <w:rPr/>
              <w:t>Leases</w:t>
            </w:r>
          </w:p>
        </w:tc>
        <w:tc>
          <w:tcPr>
            <w:tcW w:w="232" w:type="dxa"/>
            <w:tcBorders/>
            <w:shd w:fill="auto" w:val="clear"/>
            <w:vAlign w:val="bottom"/>
          </w:tcPr>
          <w:p>
            <w:pPr>
              <w:pStyle w:val="TableContents"/>
              <w:spacing w:before="0" w:after="283"/>
              <w:rPr/>
            </w:pPr>
            <w:r>
              <w:rPr/>
              <w:t> </w:t>
            </w:r>
          </w:p>
        </w:tc>
        <w:tc>
          <w:tcPr>
            <w:tcW w:w="1709" w:type="dxa"/>
            <w:gridSpan w:val="3"/>
            <w:tcBorders>
              <w:bottom w:val="single" w:sz="2" w:space="0" w:color="000000"/>
            </w:tcBorders>
            <w:shd w:fill="auto" w:val="clear"/>
            <w:tcMar>
              <w:bottom w:w="28" w:type="dxa"/>
            </w:tcMar>
            <w:vAlign w:val="bottom"/>
          </w:tcPr>
          <w:p>
            <w:pPr>
              <w:pStyle w:val="TableContents"/>
              <w:spacing w:before="0" w:after="283"/>
              <w:jc w:val="center"/>
              <w:rPr/>
            </w:pPr>
            <w:r>
              <w:rPr/>
              <w:t>Trusts</w:t>
            </w:r>
          </w:p>
        </w:tc>
        <w:tc>
          <w:tcPr>
            <w:tcW w:w="232" w:type="dxa"/>
            <w:tcBorders/>
            <w:shd w:fill="auto" w:val="clear"/>
            <w:vAlign w:val="bottom"/>
          </w:tcPr>
          <w:p>
            <w:pPr>
              <w:pStyle w:val="TableContents"/>
              <w:spacing w:before="0" w:after="283"/>
              <w:rPr/>
            </w:pPr>
            <w:r>
              <w:rPr/>
              <w:t> </w:t>
            </w:r>
          </w:p>
        </w:tc>
        <w:tc>
          <w:tcPr>
            <w:tcW w:w="1162" w:type="dxa"/>
            <w:gridSpan w:val="3"/>
            <w:tcBorders>
              <w:bottom w:val="single" w:sz="2" w:space="0" w:color="000000"/>
            </w:tcBorders>
            <w:shd w:fill="auto" w:val="clear"/>
            <w:tcMar>
              <w:bottom w:w="28" w:type="dxa"/>
            </w:tcMar>
            <w:vAlign w:val="bottom"/>
          </w:tcPr>
          <w:p>
            <w:pPr>
              <w:pStyle w:val="TableContents"/>
              <w:spacing w:before="0" w:after="283"/>
              <w:jc w:val="center"/>
              <w:rPr/>
            </w:pPr>
            <w:r>
              <w:rPr/>
              <w:t>Total</w:t>
            </w:r>
          </w:p>
        </w:tc>
      </w:tr>
      <w:tr>
        <w:trPr/>
        <w:tc>
          <w:tcPr>
            <w:tcW w:w="217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7798"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17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7798" w:type="dxa"/>
            <w:gridSpan w:val="19"/>
            <w:tcBorders/>
            <w:shd w:fill="auto" w:val="clear"/>
            <w:vAlign w:val="bottom"/>
          </w:tcPr>
          <w:p>
            <w:pPr>
              <w:pStyle w:val="TableContents"/>
              <w:spacing w:before="0" w:after="283"/>
              <w:jc w:val="center"/>
              <w:rPr/>
            </w:pPr>
            <w:r>
              <w:rPr/>
              <w:t>(dollars in thousands)</w:t>
            </w:r>
          </w:p>
        </w:tc>
      </w:tr>
      <w:tr>
        <w:trPr/>
        <w:tc>
          <w:tcPr>
            <w:tcW w:w="2175" w:type="dxa"/>
            <w:tcBorders/>
            <w:shd w:fill="CCEEFF" w:val="clear"/>
            <w:vAlign w:val="bottom"/>
          </w:tcPr>
          <w:p>
            <w:pPr>
              <w:pStyle w:val="TableContents"/>
              <w:spacing w:before="0" w:after="0"/>
              <w:ind w:left="225" w:right="0" w:hanging="225"/>
              <w:rPr/>
            </w:pPr>
            <w:r>
              <w:rPr/>
              <w:t>2006</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jc w:val="right"/>
              <w:rPr/>
            </w:pPr>
            <w:r>
              <w:rPr/>
              <w:t>$</w:t>
            </w:r>
          </w:p>
        </w:tc>
        <w:tc>
          <w:tcPr>
            <w:tcW w:w="1079" w:type="dxa"/>
            <w:tcBorders/>
            <w:shd w:fill="CCEEFF" w:val="clear"/>
            <w:vAlign w:val="bottom"/>
          </w:tcPr>
          <w:p>
            <w:pPr>
              <w:pStyle w:val="TableContents"/>
              <w:spacing w:before="0" w:after="283"/>
              <w:jc w:val="right"/>
              <w:rPr/>
            </w:pPr>
            <w:r>
              <w:rPr/>
              <w:t>466,148</w:t>
            </w:r>
          </w:p>
        </w:tc>
        <w:tc>
          <w:tcPr>
            <w:tcW w:w="18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w:t>
            </w:r>
          </w:p>
        </w:tc>
        <w:tc>
          <w:tcPr>
            <w:tcW w:w="857" w:type="dxa"/>
            <w:tcBorders/>
            <w:shd w:fill="CCEEFF" w:val="clear"/>
            <w:vAlign w:val="bottom"/>
          </w:tcPr>
          <w:p>
            <w:pPr>
              <w:pStyle w:val="TableContents"/>
              <w:spacing w:before="0" w:after="283"/>
              <w:jc w:val="right"/>
              <w:rPr/>
            </w:pPr>
            <w:r>
              <w:rPr/>
              <w:t>25,898</w:t>
            </w:r>
          </w:p>
        </w:tc>
        <w:tc>
          <w:tcPr>
            <w:tcW w:w="16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jc w:val="right"/>
              <w:rPr/>
            </w:pPr>
            <w:r>
              <w:rPr/>
              <w:t>$</w:t>
            </w:r>
          </w:p>
        </w:tc>
        <w:tc>
          <w:tcPr>
            <w:tcW w:w="726" w:type="dxa"/>
            <w:tcBorders/>
            <w:shd w:fill="CCEEFF" w:val="clear"/>
            <w:vAlign w:val="bottom"/>
          </w:tcPr>
          <w:p>
            <w:pPr>
              <w:pStyle w:val="TableContents"/>
              <w:spacing w:before="0" w:after="283"/>
              <w:jc w:val="right"/>
              <w:rPr/>
            </w:pPr>
            <w:r>
              <w:rPr/>
              <w:t>1,007</w:t>
            </w:r>
          </w:p>
        </w:tc>
        <w:tc>
          <w:tcPr>
            <w:tcW w:w="179"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1167" w:type="dxa"/>
            <w:tcBorders/>
            <w:shd w:fill="CCEEFF" w:val="clear"/>
            <w:vAlign w:val="bottom"/>
          </w:tcPr>
          <w:p>
            <w:pPr>
              <w:pStyle w:val="TableContents"/>
              <w:spacing w:before="0" w:after="283"/>
              <w:jc w:val="right"/>
              <w:rPr/>
            </w:pPr>
            <w:r>
              <w:rPr/>
              <w:t></w:t>
            </w:r>
          </w:p>
        </w:tc>
        <w:tc>
          <w:tcPr>
            <w:tcW w:w="20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right"/>
              <w:rPr/>
            </w:pPr>
            <w:r>
              <w:rPr/>
              <w:t>$</w:t>
            </w:r>
          </w:p>
        </w:tc>
        <w:tc>
          <w:tcPr>
            <w:tcW w:w="814" w:type="dxa"/>
            <w:tcBorders/>
            <w:shd w:fill="CCEEFF" w:val="clear"/>
            <w:vAlign w:val="bottom"/>
          </w:tcPr>
          <w:p>
            <w:pPr>
              <w:pStyle w:val="TableContents"/>
              <w:spacing w:before="0" w:after="283"/>
              <w:jc w:val="right"/>
              <w:rPr/>
            </w:pPr>
            <w:r>
              <w:rPr/>
              <w:t>493,053</w:t>
            </w:r>
          </w:p>
        </w:tc>
        <w:tc>
          <w:tcPr>
            <w:tcW w:w="177" w:type="dxa"/>
            <w:tcBorders/>
            <w:shd w:fill="CCEEFF" w:val="clear"/>
            <w:vAlign w:val="bottom"/>
          </w:tcPr>
          <w:p>
            <w:pPr>
              <w:pStyle w:val="TableContents"/>
              <w:spacing w:before="0" w:after="283"/>
              <w:rPr/>
            </w:pPr>
            <w:r>
              <w:rPr/>
              <w:t> </w:t>
            </w:r>
          </w:p>
        </w:tc>
      </w:tr>
      <w:tr>
        <w:trPr/>
        <w:tc>
          <w:tcPr>
            <w:tcW w:w="2175" w:type="dxa"/>
            <w:tcBorders/>
            <w:shd w:fill="auto" w:val="clear"/>
            <w:vAlign w:val="bottom"/>
          </w:tcPr>
          <w:p>
            <w:pPr>
              <w:pStyle w:val="TableContents"/>
              <w:spacing w:before="0" w:after="0"/>
              <w:ind w:left="225" w:right="0" w:hanging="225"/>
              <w:rPr/>
            </w:pPr>
            <w:r>
              <w:rPr/>
              <w:t>2007</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149,804</w:t>
            </w:r>
          </w:p>
        </w:tc>
        <w:tc>
          <w:tcPr>
            <w:tcW w:w="18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23,198</w:t>
            </w:r>
          </w:p>
        </w:tc>
        <w:tc>
          <w:tcPr>
            <w:tcW w:w="16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911</w:t>
            </w:r>
          </w:p>
        </w:tc>
        <w:tc>
          <w:tcPr>
            <w:tcW w:w="17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w:t>
            </w:r>
          </w:p>
        </w:tc>
        <w:tc>
          <w:tcPr>
            <w:tcW w:w="20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173,913</w:t>
            </w:r>
          </w:p>
        </w:tc>
        <w:tc>
          <w:tcPr>
            <w:tcW w:w="177" w:type="dxa"/>
            <w:tcBorders/>
            <w:shd w:fill="auto" w:val="clear"/>
            <w:vAlign w:val="bottom"/>
          </w:tcPr>
          <w:p>
            <w:pPr>
              <w:pStyle w:val="TableContents"/>
              <w:spacing w:before="0" w:after="283"/>
              <w:rPr/>
            </w:pPr>
            <w:r>
              <w:rPr/>
              <w:t> </w:t>
            </w:r>
          </w:p>
        </w:tc>
      </w:tr>
      <w:tr>
        <w:trPr/>
        <w:tc>
          <w:tcPr>
            <w:tcW w:w="2175" w:type="dxa"/>
            <w:tcBorders/>
            <w:shd w:fill="CCEEFF" w:val="clear"/>
            <w:vAlign w:val="bottom"/>
          </w:tcPr>
          <w:p>
            <w:pPr>
              <w:pStyle w:val="TableContents"/>
              <w:spacing w:before="0" w:after="0"/>
              <w:ind w:left="225" w:right="0" w:hanging="225"/>
              <w:rPr/>
            </w:pPr>
            <w:r>
              <w:rPr/>
              <w:t>2008</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58,680</w:t>
            </w:r>
          </w:p>
        </w:tc>
        <w:tc>
          <w:tcPr>
            <w:tcW w:w="18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44,373</w:t>
            </w:r>
          </w:p>
        </w:tc>
        <w:tc>
          <w:tcPr>
            <w:tcW w:w="16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705</w:t>
            </w:r>
          </w:p>
        </w:tc>
        <w:tc>
          <w:tcPr>
            <w:tcW w:w="179"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w:t>
            </w:r>
          </w:p>
        </w:tc>
        <w:tc>
          <w:tcPr>
            <w:tcW w:w="20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103,758</w:t>
            </w:r>
          </w:p>
        </w:tc>
        <w:tc>
          <w:tcPr>
            <w:tcW w:w="177" w:type="dxa"/>
            <w:tcBorders/>
            <w:shd w:fill="CCEEFF" w:val="clear"/>
            <w:vAlign w:val="bottom"/>
          </w:tcPr>
          <w:p>
            <w:pPr>
              <w:pStyle w:val="TableContents"/>
              <w:spacing w:before="0" w:after="283"/>
              <w:rPr/>
            </w:pPr>
            <w:r>
              <w:rPr/>
              <w:t> </w:t>
            </w:r>
          </w:p>
        </w:tc>
      </w:tr>
      <w:tr>
        <w:trPr/>
        <w:tc>
          <w:tcPr>
            <w:tcW w:w="2175" w:type="dxa"/>
            <w:tcBorders/>
            <w:shd w:fill="auto" w:val="clear"/>
            <w:vAlign w:val="bottom"/>
          </w:tcPr>
          <w:p>
            <w:pPr>
              <w:pStyle w:val="TableContents"/>
              <w:spacing w:before="0" w:after="0"/>
              <w:ind w:left="225" w:right="0" w:hanging="225"/>
              <w:rPr/>
            </w:pPr>
            <w:r>
              <w:rPr/>
              <w:t>2009</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36,659</w:t>
            </w:r>
          </w:p>
        </w:tc>
        <w:tc>
          <w:tcPr>
            <w:tcW w:w="18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14,373</w:t>
            </w:r>
          </w:p>
        </w:tc>
        <w:tc>
          <w:tcPr>
            <w:tcW w:w="16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210</w:t>
            </w:r>
          </w:p>
        </w:tc>
        <w:tc>
          <w:tcPr>
            <w:tcW w:w="17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w:t>
            </w:r>
          </w:p>
        </w:tc>
        <w:tc>
          <w:tcPr>
            <w:tcW w:w="20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51,242</w:t>
            </w:r>
          </w:p>
        </w:tc>
        <w:tc>
          <w:tcPr>
            <w:tcW w:w="177" w:type="dxa"/>
            <w:tcBorders/>
            <w:shd w:fill="auto" w:val="clear"/>
            <w:vAlign w:val="bottom"/>
          </w:tcPr>
          <w:p>
            <w:pPr>
              <w:pStyle w:val="TableContents"/>
              <w:spacing w:before="0" w:after="283"/>
              <w:rPr/>
            </w:pPr>
            <w:r>
              <w:rPr/>
              <w:t> </w:t>
            </w:r>
          </w:p>
        </w:tc>
      </w:tr>
      <w:tr>
        <w:trPr/>
        <w:tc>
          <w:tcPr>
            <w:tcW w:w="2175" w:type="dxa"/>
            <w:tcBorders/>
            <w:shd w:fill="CCEEFF" w:val="clear"/>
            <w:vAlign w:val="bottom"/>
          </w:tcPr>
          <w:p>
            <w:pPr>
              <w:pStyle w:val="TableContents"/>
              <w:spacing w:before="0" w:after="0"/>
              <w:ind w:left="225" w:right="0" w:hanging="225"/>
              <w:rPr/>
            </w:pPr>
            <w:r>
              <w:rPr/>
              <w:t>2010</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21,779</w:t>
            </w:r>
          </w:p>
        </w:tc>
        <w:tc>
          <w:tcPr>
            <w:tcW w:w="18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17,636</w:t>
            </w:r>
          </w:p>
        </w:tc>
        <w:tc>
          <w:tcPr>
            <w:tcW w:w="16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127</w:t>
            </w:r>
          </w:p>
        </w:tc>
        <w:tc>
          <w:tcPr>
            <w:tcW w:w="179"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w:t>
            </w:r>
          </w:p>
        </w:tc>
        <w:tc>
          <w:tcPr>
            <w:tcW w:w="20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39,542</w:t>
            </w:r>
          </w:p>
        </w:tc>
        <w:tc>
          <w:tcPr>
            <w:tcW w:w="177" w:type="dxa"/>
            <w:tcBorders/>
            <w:shd w:fill="CCEEFF" w:val="clear"/>
            <w:vAlign w:val="bottom"/>
          </w:tcPr>
          <w:p>
            <w:pPr>
              <w:pStyle w:val="TableContents"/>
              <w:spacing w:before="0" w:after="283"/>
              <w:rPr/>
            </w:pPr>
            <w:r>
              <w:rPr/>
              <w:t> </w:t>
            </w:r>
          </w:p>
        </w:tc>
      </w:tr>
      <w:tr>
        <w:trPr/>
        <w:tc>
          <w:tcPr>
            <w:tcW w:w="2175" w:type="dxa"/>
            <w:tcBorders/>
            <w:shd w:fill="auto" w:val="clear"/>
            <w:vAlign w:val="bottom"/>
          </w:tcPr>
          <w:p>
            <w:pPr>
              <w:pStyle w:val="TableContents"/>
              <w:spacing w:before="0" w:after="0"/>
              <w:ind w:left="225" w:right="0" w:hanging="225"/>
              <w:rPr/>
            </w:pPr>
            <w:r>
              <w:rPr/>
              <w:t>Thereafter</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680</w:t>
            </w:r>
          </w:p>
        </w:tc>
        <w:tc>
          <w:tcPr>
            <w:tcW w:w="18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44,405</w:t>
            </w:r>
          </w:p>
        </w:tc>
        <w:tc>
          <w:tcPr>
            <w:tcW w:w="16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153</w:t>
            </w:r>
          </w:p>
        </w:tc>
        <w:tc>
          <w:tcPr>
            <w:tcW w:w="17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50,000</w:t>
            </w:r>
          </w:p>
        </w:tc>
        <w:tc>
          <w:tcPr>
            <w:tcW w:w="20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95,238</w:t>
            </w:r>
          </w:p>
        </w:tc>
        <w:tc>
          <w:tcPr>
            <w:tcW w:w="177" w:type="dxa"/>
            <w:tcBorders/>
            <w:shd w:fill="auto" w:val="clear"/>
            <w:vAlign w:val="bottom"/>
          </w:tcPr>
          <w:p>
            <w:pPr>
              <w:pStyle w:val="TableContents"/>
              <w:spacing w:before="0" w:after="283"/>
              <w:rPr/>
            </w:pPr>
            <w:r>
              <w:rPr/>
              <w:t> </w:t>
            </w:r>
          </w:p>
        </w:tc>
      </w:tr>
      <w:tr>
        <w:trPr/>
        <w:tc>
          <w:tcPr>
            <w:tcW w:w="217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7798" w:type="dxa"/>
            <w:gridSpan w:val="19"/>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175" w:type="dxa"/>
            <w:tcBorders/>
            <w:shd w:fill="CCEEFF" w:val="clear"/>
            <w:vAlign w:val="bottom"/>
          </w:tcPr>
          <w:p>
            <w:pPr>
              <w:pStyle w:val="TableContents"/>
              <w:spacing w:before="0" w:after="0"/>
              <w:ind w:left="225" w:right="0" w:hanging="225"/>
              <w:rPr/>
            </w:pPr>
            <w:r>
              <w:rPr/>
              <w:t>Total</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jc w:val="right"/>
              <w:rPr/>
            </w:pPr>
            <w:r>
              <w:rPr/>
              <w:t>$</w:t>
            </w:r>
          </w:p>
        </w:tc>
        <w:tc>
          <w:tcPr>
            <w:tcW w:w="1079" w:type="dxa"/>
            <w:tcBorders/>
            <w:shd w:fill="CCEEFF" w:val="clear"/>
            <w:vAlign w:val="bottom"/>
          </w:tcPr>
          <w:p>
            <w:pPr>
              <w:pStyle w:val="TableContents"/>
              <w:spacing w:before="0" w:after="283"/>
              <w:jc w:val="right"/>
              <w:rPr/>
            </w:pPr>
            <w:r>
              <w:rPr/>
              <w:t>733,750</w:t>
            </w:r>
          </w:p>
        </w:tc>
        <w:tc>
          <w:tcPr>
            <w:tcW w:w="18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w:t>
            </w:r>
          </w:p>
        </w:tc>
        <w:tc>
          <w:tcPr>
            <w:tcW w:w="857" w:type="dxa"/>
            <w:tcBorders/>
            <w:shd w:fill="CCEEFF" w:val="clear"/>
            <w:vAlign w:val="bottom"/>
          </w:tcPr>
          <w:p>
            <w:pPr>
              <w:pStyle w:val="TableContents"/>
              <w:spacing w:before="0" w:after="283"/>
              <w:jc w:val="right"/>
              <w:rPr/>
            </w:pPr>
            <w:r>
              <w:rPr/>
              <w:t>169,883</w:t>
            </w:r>
          </w:p>
        </w:tc>
        <w:tc>
          <w:tcPr>
            <w:tcW w:w="16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jc w:val="right"/>
              <w:rPr/>
            </w:pPr>
            <w:r>
              <w:rPr/>
              <w:t>$</w:t>
            </w:r>
          </w:p>
        </w:tc>
        <w:tc>
          <w:tcPr>
            <w:tcW w:w="726" w:type="dxa"/>
            <w:tcBorders/>
            <w:shd w:fill="CCEEFF" w:val="clear"/>
            <w:vAlign w:val="bottom"/>
          </w:tcPr>
          <w:p>
            <w:pPr>
              <w:pStyle w:val="TableContents"/>
              <w:spacing w:before="0" w:after="283"/>
              <w:jc w:val="right"/>
              <w:rPr/>
            </w:pPr>
            <w:r>
              <w:rPr/>
              <w:t>3,113</w:t>
            </w:r>
          </w:p>
        </w:tc>
        <w:tc>
          <w:tcPr>
            <w:tcW w:w="179"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1167" w:type="dxa"/>
            <w:tcBorders/>
            <w:shd w:fill="CCEEFF" w:val="clear"/>
            <w:vAlign w:val="bottom"/>
          </w:tcPr>
          <w:p>
            <w:pPr>
              <w:pStyle w:val="TableContents"/>
              <w:spacing w:before="0" w:after="283"/>
              <w:jc w:val="right"/>
              <w:rPr/>
            </w:pPr>
            <w:r>
              <w:rPr/>
              <w:t>50,000</w:t>
            </w:r>
          </w:p>
        </w:tc>
        <w:tc>
          <w:tcPr>
            <w:tcW w:w="20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right"/>
              <w:rPr/>
            </w:pPr>
            <w:r>
              <w:rPr/>
              <w:t>$</w:t>
            </w:r>
          </w:p>
        </w:tc>
        <w:tc>
          <w:tcPr>
            <w:tcW w:w="814" w:type="dxa"/>
            <w:tcBorders/>
            <w:shd w:fill="CCEEFF" w:val="clear"/>
            <w:vAlign w:val="bottom"/>
          </w:tcPr>
          <w:p>
            <w:pPr>
              <w:pStyle w:val="TableContents"/>
              <w:spacing w:before="0" w:after="283"/>
              <w:jc w:val="right"/>
              <w:rPr/>
            </w:pPr>
            <w:r>
              <w:rPr/>
              <w:t>956,746</w:t>
            </w:r>
          </w:p>
        </w:tc>
        <w:tc>
          <w:tcPr>
            <w:tcW w:w="177" w:type="dxa"/>
            <w:tcBorders/>
            <w:shd w:fill="CCEEFF" w:val="clear"/>
            <w:vAlign w:val="bottom"/>
          </w:tcPr>
          <w:p>
            <w:pPr>
              <w:pStyle w:val="TableContents"/>
              <w:spacing w:before="0" w:after="283"/>
              <w:rPr/>
            </w:pPr>
            <w:r>
              <w:rPr/>
              <w:t> </w:t>
            </w:r>
          </w:p>
        </w:tc>
      </w:tr>
      <w:tr>
        <w:trPr/>
        <w:tc>
          <w:tcPr>
            <w:tcW w:w="217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7798"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2175" w:type="dxa"/>
            <w:tcBorders/>
            <w:shd w:fill="auto" w:val="clear"/>
            <w:vAlign w:val="center"/>
          </w:tcPr>
          <w:p>
            <w:pPr>
              <w:pStyle w:val="TableContents"/>
              <w:spacing w:before="0" w:after="283"/>
              <w:rPr/>
            </w:pPr>
            <w:r>
              <w:rPr/>
              <w:t> </w:t>
            </w:r>
          </w:p>
        </w:tc>
        <w:tc>
          <w:tcPr>
            <w:tcW w:w="8030" w:type="dxa"/>
            <w:gridSpan w:val="20"/>
            <w:tcBorders/>
            <w:shd w:fill="auto" w:val="clear"/>
          </w:tcPr>
          <w:p>
            <w:pPr>
              <w:pStyle w:val="TableContents"/>
              <w:spacing w:before="0" w:after="283"/>
              <w:rPr>
                <w:sz w:val="4"/>
                <w:szCs w:val="4"/>
              </w:rPr>
            </w:pPr>
            <w:r>
              <w:rPr>
                <w:sz w:val="4"/>
                <w:szCs w:val="4"/>
              </w:rPr>
            </w:r>
          </w:p>
        </w:tc>
      </w:tr>
      <w:tr>
        <w:trPr/>
        <w:tc>
          <w:tcPr>
            <w:tcW w:w="3955" w:type="dxa"/>
            <w:gridSpan w:val="5"/>
            <w:tcBorders/>
            <w:shd w:fill="auto" w:val="clear"/>
            <w:vAlign w:val="bottom"/>
          </w:tcPr>
          <w:p>
            <w:pPr>
              <w:pStyle w:val="TableContents"/>
              <w:spacing w:before="0" w:after="283"/>
              <w:jc w:val="left"/>
              <w:rPr/>
            </w:pPr>
            <w:r>
              <w:rPr/>
              <w:t>Commitments to extend credit</w:t>
            </w:r>
          </w:p>
        </w:tc>
        <w:tc>
          <w:tcPr>
            <w:tcW w:w="23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right"/>
              <w:rPr/>
            </w:pPr>
            <w:r>
              <w:rPr/>
              <w:t>$</w:t>
            </w:r>
          </w:p>
        </w:tc>
        <w:tc>
          <w:tcPr>
            <w:tcW w:w="814" w:type="dxa"/>
            <w:tcBorders/>
            <w:shd w:fill="auto" w:val="clear"/>
            <w:vAlign w:val="bottom"/>
          </w:tcPr>
          <w:p>
            <w:pPr>
              <w:pStyle w:val="TableContents"/>
              <w:spacing w:before="0" w:after="283"/>
              <w:jc w:val="right"/>
              <w:rPr/>
            </w:pPr>
            <w:r>
              <w:rPr/>
              <w:t>559,847</w:t>
            </w:r>
          </w:p>
        </w:tc>
        <w:tc>
          <w:tcPr>
            <w:tcW w:w="177" w:type="dxa"/>
            <w:tcBorders/>
            <w:shd w:fill="auto" w:val="clear"/>
            <w:vAlign w:val="bottom"/>
          </w:tcPr>
          <w:p>
            <w:pPr>
              <w:pStyle w:val="TableContents"/>
              <w:spacing w:before="0" w:after="283"/>
              <w:rPr/>
            </w:pPr>
            <w:r>
              <w:rPr/>
              <w:t> </w:t>
            </w:r>
          </w:p>
        </w:tc>
      </w:tr>
      <w:tr>
        <w:trPr/>
        <w:tc>
          <w:tcPr>
            <w:tcW w:w="2175"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079"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726"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167"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9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7"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Net cash flows provided by operating activities totaled $30,309,000, $48,603,000 and $52,727,000 in 2005, 2004 and 2003, respectively. Significant items affecting the cash flows provided by operating activities include net income, depreciation and amortization expense, the provision for loan losses, and activities related to the origination and sale of mortgage loans held for sale. Operating cash flows decreased during 2005 and 2004 relative to 2003 due primarily to lower mortgage loan sale activity. Net cash provided by mortgage loans originated totaled $408,000 in 2005, $25,497,000 in 2004 and $36,415,000 in 2003.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Net cash used by investing activities totaled $126,222,000, $273,586,000 and $116,713,000 in 2005, 2004, and 2003, respectively. Significant activities affecting cash flows from investing activities are those activities associated with managing the Corporations investment portfolio, loans held in the Corporations portfolio, and subsidiary or business unit acquisition activities. In 2005 First Buseys proceeds from the sales and maturities of investment securities classified as available-for-sale totaled $218,304,000, and the Corporation purchased $178,151,000 in securities resulting in net cash provided by securities activity of 40,153,000. In 2004, First Buseys proceeds from the sales and maturities of securities classified as available-for-sale totaled $195,885,000, and the Corporation purchased $271,763,000 in securities resulting in net cash used by securities activity of $75,878,000. In 2003, sales and maturities totaled and purchases totaled $221,526,000 and purchases totaled $212,444,000, resulting in net cash generated of $9,082,000. Net loan portfolio growth totaled $156,573,000, $156,755,000, and $124,402,000, in 2005, 2004, and 2003, respectively. In July, 2005, First Busey purchased the outstanding shares of Tarpon Coast Bancorp, Inc., resulting in the net use of $12,392,000. During June, 2004, the Corporation purchased the outstanding shares of First Capital Bankshares resulting in the net use of $35,990,000.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Net cash provided by financing activities was $108,879,000, $220,577,000, and $68,738,000 in 2005, 2004, 2003, respectively. Significant items affecting cash flows from financing activities are deposits, short-term borrowings, and long-term debt. Deposits, which are the Corporations primary funding source, grew $111,147,000 in 2005, $155,143,000 in 2004, and $42,990,000 in 2003. The Corporation has increased its use of short-term and long-term advances from the Federal Home Loan Banks of Chicago and Atlanta to fund growth in loan and investment </w:t>
      </w:r>
    </w:p>
    <w:p>
      <w:pPr>
        <w:pStyle w:val="TextBody"/>
        <w:jc w:val="center"/>
        <w:rPr>
          <w:rFonts w:ascii="Helvetica;Arial;sans-serif" w:hAnsi="Helvetica;Arial;sans-serif"/>
          <w:sz w:val="17"/>
        </w:rPr>
      </w:pPr>
      <w:r>
        <w:rPr>
          <w:rFonts w:ascii="Helvetica;Arial;sans-serif" w:hAnsi="Helvetica;Arial;sans-serif"/>
          <w:sz w:val="17"/>
        </w:rP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balances. The Corporation issued junior subordinated debt and increased long-term debt to fund the July, 2005, acquisition of Tarpon Coast Bancorp, Inc. and June, 2004, acquisition of First Capital Bankshares, Inc. </w:t>
      </w:r>
    </w:p>
    <w:p>
      <w:pPr>
        <w:pStyle w:val="TextBody"/>
        <w:spacing w:before="240" w:after="283"/>
        <w:jc w:val="left"/>
        <w:rPr>
          <w:rFonts w:ascii="Helvetica;Arial;sans-serif" w:hAnsi="Helvetica;Arial;sans-serif"/>
          <w:sz w:val="17"/>
        </w:rPr>
      </w:pPr>
      <w:r>
        <w:rPr>
          <w:rFonts w:ascii="Helvetica;Arial;sans-serif" w:hAnsi="Helvetica;Arial;sans-serif"/>
          <w:b/>
          <w:i/>
          <w:sz w:val="17"/>
        </w:rPr>
        <w:t>Capital Resources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Other than from the issuance of common stock, the Corporations primary source of capital is net income retained by the Corporation. During the year ended December 31, 2005, the Corporation earned $26,934,000 and paid dividends of $11,564,000 to stockholders, resulting in the retention of current earnings of $15,370,000.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Federal Reserve Board uses capital adequacy guidelines in its examination and regulation of bank holding companies and their subsidiary banks. Risk-based capital ratios are established by allocating assets and certain off-balance sheet commitments into four risk-weighted categories. These balances are then multiplied by the factor appropriate for that risk-weighted category. The guidelines require bank holding companies and their subsidiary banks to maintain a total capital to total risk-weighted asset ratio of not less than 8.00%, of which at least one half must be Tier 1 capital, and a Tier 1 leverage ratio of not less than 4.00%. As of December 31, 2005, the Corporation had a total capital to total risk-weighted asset ratio of 10.31%, a Tier 1 capital to risk-weighted asset ratio of 8.70% and a Tier 1 leverage ratio of 6.93%; Busey Bank had ratios of 11.27%, 9.64%, and 7.56%, respectively. The Corporations thrift subsidiary, Busey Bank Florida, had ratios of 13.17%, 11.91%, and 9.36%, respectively. Tarpon Coast National Bank had ratios of 11.47%, 10.59%, and 9.58%, respectively. As these ratios indicate, the Corporation and its bank subsidiaries exceed the regulatory capital guidelines. </w:t>
      </w:r>
    </w:p>
    <w:p>
      <w:pPr>
        <w:pStyle w:val="TextBody"/>
        <w:spacing w:before="240" w:after="283"/>
        <w:jc w:val="left"/>
        <w:rPr>
          <w:rFonts w:ascii="Helvetica;Arial;sans-serif" w:hAnsi="Helvetica;Arial;sans-serif"/>
          <w:sz w:val="17"/>
        </w:rPr>
      </w:pPr>
      <w:r>
        <w:rPr>
          <w:rFonts w:ascii="Helvetica;Arial;sans-serif" w:hAnsi="Helvetica;Arial;sans-serif"/>
          <w:b/>
          <w:i/>
          <w:sz w:val="17"/>
        </w:rPr>
        <w:t>Regulatory Considerations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accordance with Federal Reserve Board regulations in effect on December 31, 2005, First Busey is allowed, for regulatory purposes, to include all $50,000,000 of the outstanding cumulative trust preferred securities in Tier 1 capital (as defined by regulation). On March 1, 2005, the Federal Reserve Board issued final regulations allowing for the continued limited inclusion of trust preferred securities in the Tier 1 capital of bank holding companies, but with further restrictions on the amount of trust preferred securities and other restricted core capital elements that may be included in Tier 1 capital. The final rule allows for a five-year transition period to March 31, 2009, for application of the new limits. If those limitations had been in effect at December 31, 2005, First Busey would have been allowed to include approximately $34,838,000 of the cumulative trust preferred securities in Tier 1 capital; the remainder would be included in Tier 2 capital. The Corporation would have exceeded all regulatory minimum capital ratios if the newly adopted regulations had been in effect on December 31, 2005. </w:t>
      </w:r>
    </w:p>
    <w:p>
      <w:pPr>
        <w:pStyle w:val="TextBody"/>
        <w:spacing w:before="240" w:after="283"/>
        <w:jc w:val="left"/>
        <w:rPr>
          <w:rFonts w:ascii="Helvetica;Arial;sans-serif" w:hAnsi="Helvetica;Arial;sans-serif"/>
          <w:sz w:val="17"/>
        </w:rPr>
      </w:pPr>
      <w:r>
        <w:rPr>
          <w:rFonts w:ascii="Helvetica;Arial;sans-serif" w:hAnsi="Helvetica;Arial;sans-serif"/>
          <w:b/>
          <w:i/>
          <w:sz w:val="17"/>
        </w:rPr>
        <w:t>New Accounting Pronouncements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Information relating to new accounting pronouncements appears in Note 1 in the Notes to the consolidated financial statements. </w:t>
      </w:r>
    </w:p>
    <w:p>
      <w:pPr>
        <w:pStyle w:val="TextBody"/>
        <w:spacing w:before="240" w:after="283"/>
        <w:jc w:val="left"/>
        <w:rPr>
          <w:rFonts w:ascii="Helvetica;Arial;sans-serif" w:hAnsi="Helvetica;Arial;sans-serif"/>
          <w:sz w:val="17"/>
        </w:rPr>
      </w:pPr>
      <w:r>
        <w:rPr>
          <w:rFonts w:ascii="Helvetica;Arial;sans-serif" w:hAnsi="Helvetica;Arial;sans-serif"/>
          <w:b/>
          <w:i/>
          <w:sz w:val="17"/>
        </w:rPr>
        <w:t>Effects of Inflation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effect of inflation on a financial institution differs significantly from the effect on an industrial company. While a financial institutions operating expenses, particularly salary and employee benefits, are affected by general inflation, the asset and liability structure of a financial institution consists largely of monetary items. Monetary items, such as cash, loans and deposits, are those assets and liabilities which are or will be converted into a fixed number of dollars regardless of changes in prices. As a result, changes in interest rates have a more significant impact on a financial institutions performance than does general inflation. For additional information regarding interest rates and changes in net interest income see Selected Statistical Information and Item 7A. Quantitative and Qualitative Disclosures About Market Risk. </w:t>
      </w:r>
    </w:p>
    <w:p>
      <w:pPr>
        <w:pStyle w:val="TextBody"/>
        <w:jc w:val="center"/>
        <w:rPr>
          <w:rFonts w:ascii="Helvetica;Arial;sans-serif" w:hAnsi="Helvetica;Arial;sans-serif"/>
          <w:sz w:val="17"/>
        </w:rPr>
      </w:pPr>
      <w:r>
        <w:rPr>
          <w:rFonts w:ascii="Helvetica;Arial;sans-serif" w:hAnsi="Helvetica;Arial;sans-serif"/>
          <w:sz w:val="17"/>
        </w:rP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46"/>
        <w:gridCol w:w="130"/>
        <w:gridCol w:w="9829"/>
      </w:tblGrid>
      <w:tr>
        <w:trPr/>
        <w:tc>
          <w:tcPr>
            <w:tcW w:w="246" w:type="dxa"/>
            <w:tcBorders/>
            <w:shd w:fill="auto" w:val="clear"/>
          </w:tcPr>
          <w:p>
            <w:pPr>
              <w:pStyle w:val="TableContents"/>
              <w:spacing w:before="0" w:after="283"/>
              <w:jc w:val="left"/>
              <w:rPr>
                <w:b/>
                <w:i/>
              </w:rPr>
            </w:pPr>
            <w:r>
              <w:rPr>
                <w:b/>
                <w:i/>
              </w:rPr>
              <w:t>A.</w:t>
            </w:r>
          </w:p>
        </w:tc>
        <w:tc>
          <w:tcPr>
            <w:tcW w:w="130" w:type="dxa"/>
            <w:tcBorders/>
            <w:shd w:fill="auto" w:val="clear"/>
          </w:tcPr>
          <w:p>
            <w:pPr>
              <w:pStyle w:val="TableContents"/>
              <w:spacing w:before="0" w:after="283"/>
              <w:rPr/>
            </w:pPr>
            <w:r>
              <w:rPr/>
              <w:t> </w:t>
            </w:r>
          </w:p>
        </w:tc>
        <w:tc>
          <w:tcPr>
            <w:tcW w:w="9829" w:type="dxa"/>
            <w:tcBorders/>
            <w:shd w:fill="auto" w:val="clear"/>
          </w:tcPr>
          <w:p>
            <w:pPr>
              <w:pStyle w:val="TableContents"/>
              <w:spacing w:before="0" w:after="283"/>
              <w:rPr>
                <w:b/>
                <w:i/>
              </w:rPr>
            </w:pPr>
            <w:r>
              <w:rPr>
                <w:b/>
                <w:i/>
              </w:rPr>
              <w:t>Selected Statistical Information</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tables contain information concerning the consolidated financial condition and operations of the Corporation for the periods, or as of the dates, shown. All average information is provided on a daily average basis.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shows the consolidated average balance sheets, detailing the major categories of assets and liabilities, the interest income earned on interest-earning assets, the interest expense paid for interest-bearing liabilities, and the related interest rates: </w:t>
      </w:r>
    </w:p>
    <w:tbl>
      <w:tblPr>
        <w:tblW w:w="10818" w:type="dxa"/>
        <w:jc w:val="center"/>
        <w:tblInd w:w="0" w:type="dxa"/>
        <w:tblCellMar>
          <w:top w:w="0" w:type="dxa"/>
          <w:left w:w="0" w:type="dxa"/>
          <w:bottom w:w="0" w:type="dxa"/>
          <w:right w:w="0" w:type="dxa"/>
        </w:tblCellMar>
      </w:tblPr>
      <w:tblGrid>
        <w:gridCol w:w="1265"/>
        <w:gridCol w:w="60"/>
        <w:gridCol w:w="140"/>
        <w:gridCol w:w="980"/>
        <w:gridCol w:w="95"/>
        <w:gridCol w:w="60"/>
        <w:gridCol w:w="140"/>
        <w:gridCol w:w="800"/>
        <w:gridCol w:w="60"/>
        <w:gridCol w:w="60"/>
        <w:gridCol w:w="60"/>
        <w:gridCol w:w="440"/>
        <w:gridCol w:w="215"/>
        <w:gridCol w:w="60"/>
        <w:gridCol w:w="140"/>
        <w:gridCol w:w="980"/>
        <w:gridCol w:w="95"/>
        <w:gridCol w:w="60"/>
        <w:gridCol w:w="140"/>
        <w:gridCol w:w="680"/>
        <w:gridCol w:w="60"/>
        <w:gridCol w:w="60"/>
        <w:gridCol w:w="60"/>
        <w:gridCol w:w="440"/>
        <w:gridCol w:w="215"/>
        <w:gridCol w:w="60"/>
        <w:gridCol w:w="190"/>
        <w:gridCol w:w="1334"/>
        <w:gridCol w:w="131"/>
        <w:gridCol w:w="60"/>
        <w:gridCol w:w="140"/>
        <w:gridCol w:w="680"/>
        <w:gridCol w:w="60"/>
        <w:gridCol w:w="60"/>
        <w:gridCol w:w="60"/>
        <w:gridCol w:w="440"/>
        <w:gridCol w:w="215"/>
        <w:gridCol w:w="23"/>
      </w:tblGrid>
      <w:tr>
        <w:trPr/>
        <w:tc>
          <w:tcPr>
            <w:tcW w:w="1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70" w:type="dxa"/>
            <w:gridSpan w:val="35"/>
            <w:tcBorders>
              <w:bottom w:val="single" w:sz="2" w:space="0" w:color="000000"/>
            </w:tcBorders>
            <w:shd w:fill="auto" w:val="clear"/>
            <w:tcMar>
              <w:bottom w:w="28" w:type="dxa"/>
            </w:tcMar>
            <w:vAlign w:val="bottom"/>
          </w:tcPr>
          <w:p>
            <w:pPr>
              <w:pStyle w:val="TableContents"/>
              <w:spacing w:before="0" w:after="283"/>
              <w:jc w:val="center"/>
              <w:rPr/>
            </w:pPr>
            <w:r>
              <w:rPr/>
              <w:t>Years Ended December 31,</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0" w:type="dxa"/>
            <w:gridSpan w:val="1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2990" w:type="dxa"/>
            <w:gridSpan w:val="1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3393" w:type="dxa"/>
            <w:gridSpan w:val="12"/>
            <w:tcBorders>
              <w:bottom w:val="single" w:sz="2" w:space="0" w:color="000000"/>
            </w:tcBorders>
            <w:shd w:fill="auto" w:val="clear"/>
            <w:tcMar>
              <w:bottom w:w="28" w:type="dxa"/>
            </w:tcMar>
            <w:vAlign w:val="bottom"/>
          </w:tcPr>
          <w:p>
            <w:pPr>
              <w:pStyle w:val="TableContents"/>
              <w:spacing w:before="0" w:after="283"/>
              <w:jc w:val="center"/>
              <w:rPr/>
            </w:pPr>
            <w:r>
              <w:rPr/>
              <w:t>2003</w:t>
            </w:r>
          </w:p>
        </w:tc>
      </w:tr>
      <w:tr>
        <w:trPr/>
        <w:tc>
          <w:tcPr>
            <w:tcW w:w="1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15" w:type="dxa"/>
            <w:gridSpan w:val="3"/>
            <w:tcBorders/>
            <w:shd w:fill="auto" w:val="clear"/>
            <w:vAlign w:val="bottom"/>
          </w:tcPr>
          <w:p>
            <w:pPr>
              <w:pStyle w:val="TableContents"/>
              <w:spacing w:before="0" w:after="283"/>
              <w:jc w:val="center"/>
              <w:rPr/>
            </w:pPr>
            <w:r>
              <w:rPr/>
              <w:t>Average</w:t>
            </w:r>
          </w:p>
        </w:tc>
        <w:tc>
          <w:tcPr>
            <w:tcW w:w="60" w:type="dxa"/>
            <w:tcBorders/>
            <w:shd w:fill="auto" w:val="clear"/>
            <w:vAlign w:val="bottom"/>
          </w:tcPr>
          <w:p>
            <w:pPr>
              <w:pStyle w:val="TableContents"/>
              <w:spacing w:before="0" w:after="283"/>
              <w:rPr/>
            </w:pPr>
            <w:r>
              <w:rPr/>
              <w:t> </w:t>
            </w:r>
          </w:p>
        </w:tc>
        <w:tc>
          <w:tcPr>
            <w:tcW w:w="1000" w:type="dxa"/>
            <w:gridSpan w:val="3"/>
            <w:tcBorders/>
            <w:shd w:fill="auto" w:val="clear"/>
            <w:vAlign w:val="bottom"/>
          </w:tcPr>
          <w:p>
            <w:pPr>
              <w:pStyle w:val="TableContents"/>
              <w:spacing w:before="0" w:after="283"/>
              <w:jc w:val="center"/>
              <w:rPr/>
            </w:pPr>
            <w:r>
              <w:rPr/>
              <w:t>Income/</w:t>
            </w:r>
          </w:p>
        </w:tc>
        <w:tc>
          <w:tcPr>
            <w:tcW w:w="60" w:type="dxa"/>
            <w:tcBorders/>
            <w:shd w:fill="auto" w:val="clear"/>
            <w:vAlign w:val="bottom"/>
          </w:tcPr>
          <w:p>
            <w:pPr>
              <w:pStyle w:val="TableContents"/>
              <w:spacing w:before="0" w:after="283"/>
              <w:rPr/>
            </w:pPr>
            <w:r>
              <w:rPr/>
              <w:t> </w:t>
            </w:r>
          </w:p>
        </w:tc>
        <w:tc>
          <w:tcPr>
            <w:tcW w:w="715" w:type="dxa"/>
            <w:gridSpan w:val="3"/>
            <w:tcBorders/>
            <w:shd w:fill="auto" w:val="clear"/>
            <w:vAlign w:val="bottom"/>
          </w:tcPr>
          <w:p>
            <w:pPr>
              <w:pStyle w:val="TableContents"/>
              <w:spacing w:before="0" w:after="283"/>
              <w:jc w:val="center"/>
              <w:rPr/>
            </w:pPr>
            <w:r>
              <w:rPr/>
              <w:t>Yield/</w:t>
            </w:r>
          </w:p>
        </w:tc>
        <w:tc>
          <w:tcPr>
            <w:tcW w:w="60" w:type="dxa"/>
            <w:tcBorders/>
            <w:shd w:fill="auto" w:val="clear"/>
            <w:vAlign w:val="bottom"/>
          </w:tcPr>
          <w:p>
            <w:pPr>
              <w:pStyle w:val="TableContents"/>
              <w:spacing w:before="0" w:after="283"/>
              <w:rPr/>
            </w:pPr>
            <w:r>
              <w:rPr/>
              <w:t> </w:t>
            </w:r>
          </w:p>
        </w:tc>
        <w:tc>
          <w:tcPr>
            <w:tcW w:w="1215" w:type="dxa"/>
            <w:gridSpan w:val="3"/>
            <w:tcBorders/>
            <w:shd w:fill="auto" w:val="clear"/>
            <w:vAlign w:val="bottom"/>
          </w:tcPr>
          <w:p>
            <w:pPr>
              <w:pStyle w:val="TableContents"/>
              <w:spacing w:before="0" w:after="283"/>
              <w:jc w:val="center"/>
              <w:rPr/>
            </w:pPr>
            <w:r>
              <w:rPr/>
              <w:t>Average</w:t>
            </w:r>
          </w:p>
        </w:tc>
        <w:tc>
          <w:tcPr>
            <w:tcW w:w="60" w:type="dxa"/>
            <w:tcBorders/>
            <w:shd w:fill="auto" w:val="clear"/>
            <w:vAlign w:val="bottom"/>
          </w:tcPr>
          <w:p>
            <w:pPr>
              <w:pStyle w:val="TableContents"/>
              <w:spacing w:before="0" w:after="283"/>
              <w:rPr/>
            </w:pPr>
            <w:r>
              <w:rPr/>
              <w:t> </w:t>
            </w:r>
          </w:p>
        </w:tc>
        <w:tc>
          <w:tcPr>
            <w:tcW w:w="880" w:type="dxa"/>
            <w:gridSpan w:val="3"/>
            <w:tcBorders/>
            <w:shd w:fill="auto" w:val="clear"/>
            <w:vAlign w:val="bottom"/>
          </w:tcPr>
          <w:p>
            <w:pPr>
              <w:pStyle w:val="TableContents"/>
              <w:spacing w:before="0" w:after="283"/>
              <w:jc w:val="center"/>
              <w:rPr/>
            </w:pPr>
            <w:r>
              <w:rPr/>
              <w:t>Income/</w:t>
            </w:r>
          </w:p>
        </w:tc>
        <w:tc>
          <w:tcPr>
            <w:tcW w:w="60" w:type="dxa"/>
            <w:tcBorders/>
            <w:shd w:fill="auto" w:val="clear"/>
            <w:vAlign w:val="bottom"/>
          </w:tcPr>
          <w:p>
            <w:pPr>
              <w:pStyle w:val="TableContents"/>
              <w:spacing w:before="0" w:after="283"/>
              <w:rPr/>
            </w:pPr>
            <w:r>
              <w:rPr/>
              <w:t> </w:t>
            </w:r>
          </w:p>
        </w:tc>
        <w:tc>
          <w:tcPr>
            <w:tcW w:w="715" w:type="dxa"/>
            <w:gridSpan w:val="3"/>
            <w:tcBorders/>
            <w:shd w:fill="auto" w:val="clear"/>
            <w:vAlign w:val="bottom"/>
          </w:tcPr>
          <w:p>
            <w:pPr>
              <w:pStyle w:val="TableContents"/>
              <w:spacing w:before="0" w:after="283"/>
              <w:jc w:val="center"/>
              <w:rPr/>
            </w:pPr>
            <w:r>
              <w:rPr/>
              <w:t>Yield/</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3"/>
            <w:tcBorders/>
            <w:shd w:fill="auto" w:val="clear"/>
            <w:vAlign w:val="bottom"/>
          </w:tcPr>
          <w:p>
            <w:pPr>
              <w:pStyle w:val="TableContents"/>
              <w:spacing w:before="0" w:after="283"/>
              <w:jc w:val="center"/>
              <w:rPr/>
            </w:pPr>
            <w:r>
              <w:rPr/>
              <w:t>Income/</w:t>
            </w:r>
          </w:p>
        </w:tc>
        <w:tc>
          <w:tcPr>
            <w:tcW w:w="60" w:type="dxa"/>
            <w:tcBorders/>
            <w:shd w:fill="auto" w:val="clear"/>
            <w:vAlign w:val="bottom"/>
          </w:tcPr>
          <w:p>
            <w:pPr>
              <w:pStyle w:val="TableContents"/>
              <w:spacing w:before="0" w:after="283"/>
              <w:rPr/>
            </w:pPr>
            <w:r>
              <w:rPr/>
              <w:t> </w:t>
            </w:r>
          </w:p>
        </w:tc>
        <w:tc>
          <w:tcPr>
            <w:tcW w:w="715" w:type="dxa"/>
            <w:gridSpan w:val="3"/>
            <w:tcBorders/>
            <w:shd w:fill="auto" w:val="clear"/>
            <w:vAlign w:val="bottom"/>
          </w:tcPr>
          <w:p>
            <w:pPr>
              <w:pStyle w:val="TableContents"/>
              <w:spacing w:before="0" w:after="283"/>
              <w:jc w:val="center"/>
              <w:rPr/>
            </w:pPr>
            <w:r>
              <w:rPr/>
              <w:t>Yield/</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15" w:type="dxa"/>
            <w:gridSpan w:val="3"/>
            <w:tcBorders>
              <w:bottom w:val="single" w:sz="2" w:space="0" w:color="000000"/>
            </w:tcBorders>
            <w:shd w:fill="auto" w:val="clear"/>
            <w:tcMar>
              <w:bottom w:w="28" w:type="dxa"/>
            </w:tcMar>
            <w:vAlign w:val="bottom"/>
          </w:tcPr>
          <w:p>
            <w:pPr>
              <w:pStyle w:val="TableContents"/>
              <w:spacing w:before="0" w:after="283"/>
              <w:jc w:val="center"/>
              <w:rPr/>
            </w:pPr>
            <w:r>
              <w:rPr/>
              <w:t>Balance</w:t>
            </w:r>
          </w:p>
        </w:tc>
        <w:tc>
          <w:tcPr>
            <w:tcW w:w="60" w:type="dxa"/>
            <w:tcBorders/>
            <w:shd w:fill="auto" w:val="clear"/>
            <w:vAlign w:val="bottom"/>
          </w:tcPr>
          <w:p>
            <w:pPr>
              <w:pStyle w:val="TableContents"/>
              <w:spacing w:before="0" w:after="283"/>
              <w:rPr/>
            </w:pPr>
            <w:r>
              <w:rPr/>
              <w:t> </w:t>
            </w:r>
          </w:p>
        </w:tc>
        <w:tc>
          <w:tcPr>
            <w:tcW w:w="1000" w:type="dxa"/>
            <w:gridSpan w:val="3"/>
            <w:tcBorders>
              <w:bottom w:val="single" w:sz="2" w:space="0" w:color="000000"/>
            </w:tcBorders>
            <w:shd w:fill="auto" w:val="clear"/>
            <w:tcMar>
              <w:bottom w:w="28" w:type="dxa"/>
            </w:tcMar>
            <w:vAlign w:val="bottom"/>
          </w:tcPr>
          <w:p>
            <w:pPr>
              <w:pStyle w:val="TableContents"/>
              <w:spacing w:before="0" w:after="283"/>
              <w:jc w:val="center"/>
              <w:rPr/>
            </w:pPr>
            <w:r>
              <w:rPr/>
              <w:t>Expense</w:t>
            </w:r>
          </w:p>
        </w:tc>
        <w:tc>
          <w:tcPr>
            <w:tcW w:w="60" w:type="dxa"/>
            <w:tcBorders/>
            <w:shd w:fill="auto" w:val="clear"/>
            <w:vAlign w:val="bottom"/>
          </w:tcPr>
          <w:p>
            <w:pPr>
              <w:pStyle w:val="TableContents"/>
              <w:spacing w:before="0" w:after="283"/>
              <w:rPr/>
            </w:pPr>
            <w:r>
              <w:rPr/>
              <w:t> </w:t>
            </w:r>
          </w:p>
        </w:tc>
        <w:tc>
          <w:tcPr>
            <w:tcW w:w="715" w:type="dxa"/>
            <w:gridSpan w:val="3"/>
            <w:tcBorders>
              <w:bottom w:val="single" w:sz="2" w:space="0" w:color="000000"/>
            </w:tcBorders>
            <w:shd w:fill="auto" w:val="clear"/>
            <w:tcMar>
              <w:bottom w:w="28" w:type="dxa"/>
            </w:tcMar>
            <w:vAlign w:val="bottom"/>
          </w:tcPr>
          <w:p>
            <w:pPr>
              <w:pStyle w:val="TableContents"/>
              <w:spacing w:before="0" w:after="283"/>
              <w:jc w:val="center"/>
              <w:rPr/>
            </w:pPr>
            <w:r>
              <w:rPr/>
              <w:t>Rate</w:t>
            </w:r>
          </w:p>
        </w:tc>
        <w:tc>
          <w:tcPr>
            <w:tcW w:w="60" w:type="dxa"/>
            <w:tcBorders/>
            <w:shd w:fill="auto" w:val="clear"/>
            <w:vAlign w:val="bottom"/>
          </w:tcPr>
          <w:p>
            <w:pPr>
              <w:pStyle w:val="TableContents"/>
              <w:spacing w:before="0" w:after="283"/>
              <w:rPr/>
            </w:pPr>
            <w:r>
              <w:rPr/>
              <w:t> </w:t>
            </w:r>
          </w:p>
        </w:tc>
        <w:tc>
          <w:tcPr>
            <w:tcW w:w="1215" w:type="dxa"/>
            <w:gridSpan w:val="3"/>
            <w:tcBorders>
              <w:bottom w:val="single" w:sz="2" w:space="0" w:color="000000"/>
            </w:tcBorders>
            <w:shd w:fill="auto" w:val="clear"/>
            <w:tcMar>
              <w:bottom w:w="28" w:type="dxa"/>
            </w:tcMar>
            <w:vAlign w:val="bottom"/>
          </w:tcPr>
          <w:p>
            <w:pPr>
              <w:pStyle w:val="TableContents"/>
              <w:spacing w:before="0" w:after="283"/>
              <w:jc w:val="center"/>
              <w:rPr/>
            </w:pPr>
            <w:r>
              <w:rPr/>
              <w:t>Balance</w:t>
            </w:r>
          </w:p>
        </w:tc>
        <w:tc>
          <w:tcPr>
            <w:tcW w:w="60" w:type="dxa"/>
            <w:tcBorders/>
            <w:shd w:fill="auto" w:val="clear"/>
            <w:vAlign w:val="bottom"/>
          </w:tcPr>
          <w:p>
            <w:pPr>
              <w:pStyle w:val="TableContents"/>
              <w:spacing w:before="0" w:after="283"/>
              <w:rPr/>
            </w:pPr>
            <w:r>
              <w:rPr/>
              <w:t> </w:t>
            </w:r>
          </w:p>
        </w:tc>
        <w:tc>
          <w:tcPr>
            <w:tcW w:w="880" w:type="dxa"/>
            <w:gridSpan w:val="3"/>
            <w:tcBorders>
              <w:bottom w:val="single" w:sz="2" w:space="0" w:color="000000"/>
            </w:tcBorders>
            <w:shd w:fill="auto" w:val="clear"/>
            <w:tcMar>
              <w:bottom w:w="28" w:type="dxa"/>
            </w:tcMar>
            <w:vAlign w:val="bottom"/>
          </w:tcPr>
          <w:p>
            <w:pPr>
              <w:pStyle w:val="TableContents"/>
              <w:spacing w:before="0" w:after="283"/>
              <w:jc w:val="center"/>
              <w:rPr/>
            </w:pPr>
            <w:r>
              <w:rPr/>
              <w:t>Expense</w:t>
            </w:r>
          </w:p>
        </w:tc>
        <w:tc>
          <w:tcPr>
            <w:tcW w:w="60" w:type="dxa"/>
            <w:tcBorders/>
            <w:shd w:fill="auto" w:val="clear"/>
            <w:vAlign w:val="bottom"/>
          </w:tcPr>
          <w:p>
            <w:pPr>
              <w:pStyle w:val="TableContents"/>
              <w:spacing w:before="0" w:after="283"/>
              <w:rPr/>
            </w:pPr>
            <w:r>
              <w:rPr/>
              <w:t> </w:t>
            </w:r>
          </w:p>
        </w:tc>
        <w:tc>
          <w:tcPr>
            <w:tcW w:w="715" w:type="dxa"/>
            <w:gridSpan w:val="3"/>
            <w:tcBorders>
              <w:bottom w:val="single" w:sz="2" w:space="0" w:color="000000"/>
            </w:tcBorders>
            <w:shd w:fill="auto" w:val="clear"/>
            <w:tcMar>
              <w:bottom w:w="28" w:type="dxa"/>
            </w:tcMar>
            <w:vAlign w:val="bottom"/>
          </w:tcPr>
          <w:p>
            <w:pPr>
              <w:pStyle w:val="TableContents"/>
              <w:spacing w:before="0" w:after="283"/>
              <w:jc w:val="center"/>
              <w:rPr/>
            </w:pPr>
            <w:r>
              <w:rPr/>
              <w:t>Rate</w:t>
            </w:r>
          </w:p>
        </w:tc>
        <w:tc>
          <w:tcPr>
            <w:tcW w:w="60" w:type="dxa"/>
            <w:tcBorders/>
            <w:shd w:fill="auto" w:val="clear"/>
            <w:vAlign w:val="bottom"/>
          </w:tcPr>
          <w:p>
            <w:pPr>
              <w:pStyle w:val="TableContents"/>
              <w:spacing w:before="0" w:after="283"/>
              <w:rPr/>
            </w:pPr>
            <w:r>
              <w:rPr/>
              <w:t> </w:t>
            </w:r>
          </w:p>
        </w:tc>
        <w:tc>
          <w:tcPr>
            <w:tcW w:w="1655" w:type="dxa"/>
            <w:gridSpan w:val="3"/>
            <w:tcBorders>
              <w:bottom w:val="single" w:sz="2" w:space="0" w:color="000000"/>
            </w:tcBorders>
            <w:shd w:fill="auto" w:val="clear"/>
            <w:tcMar>
              <w:bottom w:w="28" w:type="dxa"/>
            </w:tcMar>
            <w:vAlign w:val="bottom"/>
          </w:tcPr>
          <w:p>
            <w:pPr>
              <w:pStyle w:val="TableContents"/>
              <w:spacing w:before="0" w:after="283"/>
              <w:jc w:val="center"/>
              <w:rPr/>
            </w:pPr>
            <w:r>
              <w:rPr/>
              <w:t>Average Balance</w:t>
            </w:r>
          </w:p>
        </w:tc>
        <w:tc>
          <w:tcPr>
            <w:tcW w:w="60" w:type="dxa"/>
            <w:tcBorders/>
            <w:shd w:fill="auto" w:val="clear"/>
            <w:vAlign w:val="bottom"/>
          </w:tcPr>
          <w:p>
            <w:pPr>
              <w:pStyle w:val="TableContents"/>
              <w:spacing w:before="0" w:after="283"/>
              <w:rPr/>
            </w:pPr>
            <w:r>
              <w:rPr/>
              <w:t> </w:t>
            </w:r>
          </w:p>
        </w:tc>
        <w:tc>
          <w:tcPr>
            <w:tcW w:w="880" w:type="dxa"/>
            <w:gridSpan w:val="3"/>
            <w:tcBorders>
              <w:bottom w:val="single" w:sz="2" w:space="0" w:color="000000"/>
            </w:tcBorders>
            <w:shd w:fill="auto" w:val="clear"/>
            <w:tcMar>
              <w:bottom w:w="28" w:type="dxa"/>
            </w:tcMar>
            <w:vAlign w:val="bottom"/>
          </w:tcPr>
          <w:p>
            <w:pPr>
              <w:pStyle w:val="TableContents"/>
              <w:spacing w:before="0" w:after="283"/>
              <w:jc w:val="center"/>
              <w:rPr/>
            </w:pPr>
            <w:r>
              <w:rPr/>
              <w:t>Expense</w:t>
            </w:r>
          </w:p>
        </w:tc>
        <w:tc>
          <w:tcPr>
            <w:tcW w:w="60" w:type="dxa"/>
            <w:tcBorders/>
            <w:shd w:fill="auto" w:val="clear"/>
            <w:vAlign w:val="bottom"/>
          </w:tcPr>
          <w:p>
            <w:pPr>
              <w:pStyle w:val="TableContents"/>
              <w:spacing w:before="0" w:after="283"/>
              <w:rPr/>
            </w:pPr>
            <w:r>
              <w:rPr/>
              <w:t> </w:t>
            </w:r>
          </w:p>
        </w:tc>
        <w:tc>
          <w:tcPr>
            <w:tcW w:w="715" w:type="dxa"/>
            <w:gridSpan w:val="3"/>
            <w:tcBorders>
              <w:bottom w:val="single" w:sz="2" w:space="0" w:color="000000"/>
            </w:tcBorders>
            <w:shd w:fill="auto" w:val="clear"/>
            <w:tcMar>
              <w:bottom w:w="28" w:type="dxa"/>
            </w:tcMar>
            <w:vAlign w:val="bottom"/>
          </w:tcPr>
          <w:p>
            <w:pPr>
              <w:pStyle w:val="TableContents"/>
              <w:spacing w:before="0" w:after="283"/>
              <w:jc w:val="center"/>
              <w:rPr/>
            </w:pPr>
            <w:r>
              <w:rPr/>
              <w:t>Rate</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70" w:type="dxa"/>
            <w:gridSpan w:val="35"/>
            <w:tcBorders>
              <w:top w:val="single" w:sz="2" w:space="0" w:color="000000"/>
            </w:tcBorders>
            <w:shd w:fill="auto" w:val="clear"/>
            <w:tcMar>
              <w:top w:w="28" w:type="dxa"/>
            </w:tcMar>
            <w:vAlign w:val="center"/>
          </w:tcPr>
          <w:p>
            <w:pPr>
              <w:pStyle w:val="TableContents"/>
              <w:spacing w:before="0" w:after="283"/>
              <w:jc w:val="left"/>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5" w:type="dxa"/>
            <w:gridSpan w:val="7"/>
            <w:tcBorders/>
            <w:shd w:fill="auto" w:val="clear"/>
            <w:vAlign w:val="bottom"/>
          </w:tcPr>
          <w:p>
            <w:pPr>
              <w:pStyle w:val="TableContents"/>
              <w:spacing w:before="0" w:after="283"/>
              <w:jc w:val="center"/>
              <w:rPr/>
            </w:pPr>
            <w:r>
              <w:rPr/>
              <w:t>(dollars in thousands)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225" w:right="0" w:hanging="225"/>
              <w:rPr/>
            </w:pPr>
            <w:r>
              <w:rPr/>
              <w:t xml:space="preserve">Assets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right"/>
              <w:rPr/>
            </w:pPr>
            <w:r>
              <w:rPr/>
              <w:t> </w:t>
            </w:r>
          </w:p>
        </w:tc>
        <w:tc>
          <w:tcPr>
            <w:tcW w:w="1334"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Interest-bearing bank deposits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1,394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43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3.08</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3,359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46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1.37</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334" w:type="dxa"/>
            <w:tcBorders/>
            <w:shd w:fill="auto" w:val="clear"/>
            <w:vAlign w:val="bottom"/>
          </w:tcPr>
          <w:p>
            <w:pPr>
              <w:pStyle w:val="TableContents"/>
              <w:spacing w:before="0" w:after="283"/>
              <w:jc w:val="right"/>
              <w:rPr/>
            </w:pPr>
            <w:r>
              <w:rPr/>
              <w:t>928</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0.86</w:t>
            </w:r>
          </w:p>
        </w:tc>
        <w:tc>
          <w:tcPr>
            <w:tcW w:w="215" w:type="dxa"/>
            <w:tcBorders/>
            <w:shd w:fill="auto" w:val="clear"/>
            <w:vAlign w:val="bottom"/>
          </w:tcPr>
          <w:p>
            <w:pPr>
              <w:pStyle w:val="TableContents"/>
              <w:spacing w:before="0" w:after="283"/>
              <w:rPr/>
            </w:pPr>
            <w:r>
              <w:rPr/>
              <w:t>%</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225" w:right="0" w:hanging="225"/>
              <w:rPr/>
            </w:pPr>
            <w:r>
              <w:rPr/>
              <w:t>Federal funds sold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21,291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2.65</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15,844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272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1.72</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14,362</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1.04</w:t>
            </w:r>
          </w:p>
        </w:tc>
        <w:tc>
          <w:tcPr>
            <w:tcW w:w="215" w:type="dxa"/>
            <w:tcBorders/>
            <w:shd w:fill="CCEEFF" w:val="clear"/>
            <w:vAlign w:val="bottom"/>
          </w:tcPr>
          <w:p>
            <w:pPr>
              <w:pStyle w:val="TableContents"/>
              <w:spacing w:before="0" w:after="283"/>
              <w:rPr/>
            </w:pPr>
            <w:r>
              <w:rPr/>
              <w:t>%</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Investment securities: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450" w:right="0" w:hanging="225"/>
              <w:rPr/>
            </w:pPr>
            <w:r>
              <w:rPr/>
              <w:t>U.S. Treasuries and Agencies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213,287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6,449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3.02</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172,812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4,533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2.62</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164,633</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5,098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3.10</w:t>
            </w:r>
          </w:p>
        </w:tc>
        <w:tc>
          <w:tcPr>
            <w:tcW w:w="215" w:type="dxa"/>
            <w:tcBorders/>
            <w:shd w:fill="CCEEFF" w:val="clear"/>
            <w:vAlign w:val="bottom"/>
          </w:tcPr>
          <w:p>
            <w:pPr>
              <w:pStyle w:val="TableContents"/>
              <w:spacing w:before="0" w:after="283"/>
              <w:rPr/>
            </w:pPr>
            <w:r>
              <w:rPr/>
              <w:t>%</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450" w:right="0" w:hanging="225"/>
              <w:rPr/>
            </w:pPr>
            <w:r>
              <w:rPr/>
              <w:t>Obligations of states and political subdivisions1</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63,436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3,742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5.90</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49,863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2,985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5.99</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51,452</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3,125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6.07</w:t>
            </w:r>
          </w:p>
        </w:tc>
        <w:tc>
          <w:tcPr>
            <w:tcW w:w="215" w:type="dxa"/>
            <w:tcBorders/>
            <w:shd w:fill="auto" w:val="clear"/>
            <w:vAlign w:val="bottom"/>
          </w:tcPr>
          <w:p>
            <w:pPr>
              <w:pStyle w:val="TableContents"/>
              <w:spacing w:before="0" w:after="283"/>
              <w:rPr/>
            </w:pPr>
            <w:r>
              <w:rPr/>
              <w:t>%</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450" w:right="0" w:hanging="225"/>
              <w:rPr/>
            </w:pPr>
            <w:r>
              <w:rPr/>
              <w:t>Other securities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48,258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1,844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3.82</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42,839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1,631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3.81</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26,153</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960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3.67</w:t>
            </w:r>
          </w:p>
        </w:tc>
        <w:tc>
          <w:tcPr>
            <w:tcW w:w="215" w:type="dxa"/>
            <w:tcBorders/>
            <w:shd w:fill="CCEEFF" w:val="clear"/>
            <w:vAlign w:val="bottom"/>
          </w:tcPr>
          <w:p>
            <w:pPr>
              <w:pStyle w:val="TableContents"/>
              <w:spacing w:before="0" w:after="283"/>
              <w:rPr/>
            </w:pPr>
            <w:r>
              <w:rPr/>
              <w:t>%</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Loans (net of unearned (discount)1, 2</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1,604,198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105,288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6.56</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1,355,487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77,759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5.74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1,118,667</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65,769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5.88</w:t>
            </w:r>
          </w:p>
        </w:tc>
        <w:tc>
          <w:tcPr>
            <w:tcW w:w="215" w:type="dxa"/>
            <w:tcBorders/>
            <w:shd w:fill="auto" w:val="clear"/>
            <w:vAlign w:val="bottom"/>
          </w:tcPr>
          <w:p>
            <w:pPr>
              <w:pStyle w:val="TableContents"/>
              <w:spacing w:before="0" w:after="283"/>
              <w:rPr/>
            </w:pPr>
            <w:r>
              <w:rPr/>
              <w:t>%</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70" w:type="dxa"/>
            <w:gridSpan w:val="35"/>
            <w:tcBorders>
              <w:top w:val="single" w:sz="2" w:space="0" w:color="000000"/>
            </w:tcBorders>
            <w:shd w:fill="auto" w:val="clear"/>
            <w:tcMar>
              <w:top w:w="28" w:type="dxa"/>
            </w:tcMar>
            <w:vAlign w:val="center"/>
          </w:tcPr>
          <w:p>
            <w:pPr>
              <w:pStyle w:val="TableContents"/>
              <w:spacing w:before="0" w:after="283"/>
              <w:jc w:val="left"/>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225" w:right="0" w:hanging="225"/>
              <w:rPr/>
            </w:pPr>
            <w:r>
              <w:rPr/>
              <w:t>Total interest-earning assets1</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1,951,864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117,930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6.04</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1,640,204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80" w:type="dxa"/>
            <w:tcBorders/>
            <w:shd w:fill="CCEEFF" w:val="clear"/>
            <w:vAlign w:val="bottom"/>
          </w:tcPr>
          <w:p>
            <w:pPr>
              <w:pStyle w:val="TableContents"/>
              <w:spacing w:before="0" w:after="283"/>
              <w:jc w:val="right"/>
              <w:rPr/>
            </w:pPr>
            <w:r>
              <w:rPr/>
              <w:t>87,226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5.32</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334" w:type="dxa"/>
            <w:tcBorders/>
            <w:shd w:fill="CCEEFF" w:val="clear"/>
            <w:vAlign w:val="bottom"/>
          </w:tcPr>
          <w:p>
            <w:pPr>
              <w:pStyle w:val="TableContents"/>
              <w:spacing w:before="0" w:after="283"/>
              <w:jc w:val="right"/>
              <w:rPr/>
            </w:pPr>
            <w:r>
              <w:rPr/>
              <w:t>1,376,195</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80" w:type="dxa"/>
            <w:tcBorders/>
            <w:shd w:fill="CCEEFF" w:val="clear"/>
            <w:vAlign w:val="bottom"/>
          </w:tcPr>
          <w:p>
            <w:pPr>
              <w:pStyle w:val="TableContents"/>
              <w:spacing w:before="0" w:after="283"/>
              <w:jc w:val="right"/>
              <w:rPr/>
            </w:pPr>
            <w:r>
              <w:rPr/>
              <w:t>75,109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5.46</w:t>
            </w:r>
          </w:p>
        </w:tc>
        <w:tc>
          <w:tcPr>
            <w:tcW w:w="215" w:type="dxa"/>
            <w:tcBorders/>
            <w:shd w:fill="CCEEFF" w:val="clear"/>
            <w:vAlign w:val="bottom"/>
          </w:tcPr>
          <w:p>
            <w:pPr>
              <w:pStyle w:val="TableContents"/>
              <w:spacing w:before="0" w:after="283"/>
              <w:rPr/>
            </w:pPr>
            <w:r>
              <w:rPr/>
              <w:t>%</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70" w:type="dxa"/>
            <w:gridSpan w:val="35"/>
            <w:tcBorders>
              <w:top w:val="double" w:sz="6" w:space="0" w:color="000000"/>
            </w:tcBorders>
            <w:shd w:fill="auto" w:val="clear"/>
            <w:tcMar>
              <w:top w:w="28" w:type="dxa"/>
            </w:tcMar>
            <w:vAlign w:val="center"/>
          </w:tcPr>
          <w:p>
            <w:pPr>
              <w:pStyle w:val="TableContents"/>
              <w:spacing w:before="0" w:after="283"/>
              <w:jc w:val="left"/>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Cash and due from banks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49,865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45,905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38,247</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225" w:right="0" w:hanging="225"/>
              <w:rPr/>
            </w:pPr>
            <w:r>
              <w:rPr/>
              <w:t>Premises and equipment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31,203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24,553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24,887</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Allowance for loan losses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(21,050</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(17,716</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right"/>
              <w:rPr/>
            </w:pPr>
            <w:r>
              <w:rPr/>
              <w:t> </w:t>
            </w:r>
          </w:p>
        </w:tc>
        <w:tc>
          <w:tcPr>
            <w:tcW w:w="1334" w:type="dxa"/>
            <w:tcBorders/>
            <w:shd w:fill="auto" w:val="clear"/>
            <w:vAlign w:val="bottom"/>
          </w:tcPr>
          <w:p>
            <w:pPr>
              <w:pStyle w:val="TableContents"/>
              <w:spacing w:before="0" w:after="283"/>
              <w:jc w:val="right"/>
              <w:rPr/>
            </w:pPr>
            <w:r>
              <w:rPr/>
              <w:t>(16,228</w:t>
            </w:r>
          </w:p>
        </w:tc>
        <w:tc>
          <w:tcPr>
            <w:tcW w:w="131"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225" w:right="0" w:hanging="225"/>
              <w:rPr/>
            </w:pPr>
            <w:r>
              <w:rPr/>
              <w:t>Other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90,204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63,900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44,858</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Total assets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2,102,086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1,756,846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334" w:type="dxa"/>
            <w:tcBorders/>
            <w:shd w:fill="auto" w:val="clear"/>
            <w:vAlign w:val="bottom"/>
          </w:tcPr>
          <w:p>
            <w:pPr>
              <w:pStyle w:val="TableContents"/>
              <w:spacing w:before="0" w:after="283"/>
              <w:jc w:val="right"/>
              <w:rPr/>
            </w:pPr>
            <w:r>
              <w:rPr/>
              <w:t>1,467,959</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225" w:right="0" w:hanging="225"/>
              <w:rPr/>
            </w:pPr>
            <w:r>
              <w:rPr/>
              <w:t xml:space="preserve">Liabilities and Stockholders Equity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9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right"/>
              <w:rPr/>
            </w:pPr>
            <w:r>
              <w:rPr/>
              <w:t> </w:t>
            </w:r>
          </w:p>
        </w:tc>
        <w:tc>
          <w:tcPr>
            <w:tcW w:w="1334"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Interest bearing transaction deposits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42,150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420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1.00</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26,917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188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0.70</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334" w:type="dxa"/>
            <w:tcBorders/>
            <w:shd w:fill="auto" w:val="clear"/>
            <w:vAlign w:val="bottom"/>
          </w:tcPr>
          <w:p>
            <w:pPr>
              <w:pStyle w:val="TableContents"/>
              <w:spacing w:before="0" w:after="283"/>
              <w:jc w:val="right"/>
              <w:rPr/>
            </w:pPr>
            <w:r>
              <w:rPr/>
              <w:t>18,194</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87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0.48</w:t>
            </w:r>
          </w:p>
        </w:tc>
        <w:tc>
          <w:tcPr>
            <w:tcW w:w="215" w:type="dxa"/>
            <w:tcBorders/>
            <w:shd w:fill="auto" w:val="clear"/>
            <w:vAlign w:val="bottom"/>
          </w:tcPr>
          <w:p>
            <w:pPr>
              <w:pStyle w:val="TableContents"/>
              <w:spacing w:before="0" w:after="283"/>
              <w:rPr/>
            </w:pPr>
            <w:r>
              <w:rPr/>
              <w:t>%</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225" w:right="0" w:hanging="225"/>
              <w:rPr/>
            </w:pPr>
            <w:r>
              <w:rPr/>
              <w:t>Savings deposits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116,978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867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0.74</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111,796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704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0.63</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105,649</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733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0.69</w:t>
            </w:r>
          </w:p>
        </w:tc>
        <w:tc>
          <w:tcPr>
            <w:tcW w:w="215" w:type="dxa"/>
            <w:tcBorders/>
            <w:shd w:fill="CCEEFF" w:val="clear"/>
            <w:vAlign w:val="bottom"/>
          </w:tcPr>
          <w:p>
            <w:pPr>
              <w:pStyle w:val="TableContents"/>
              <w:spacing w:before="0" w:after="283"/>
              <w:rPr/>
            </w:pPr>
            <w:r>
              <w:rPr/>
              <w:t>%</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Money market deposits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597,913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9,803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1.64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510,864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4,149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0.81</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449,544</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3,390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0.75</w:t>
            </w:r>
          </w:p>
        </w:tc>
        <w:tc>
          <w:tcPr>
            <w:tcW w:w="215" w:type="dxa"/>
            <w:tcBorders/>
            <w:shd w:fill="auto" w:val="clear"/>
            <w:vAlign w:val="bottom"/>
          </w:tcPr>
          <w:p>
            <w:pPr>
              <w:pStyle w:val="TableContents"/>
              <w:spacing w:before="0" w:after="283"/>
              <w:rPr/>
            </w:pPr>
            <w:r>
              <w:rPr/>
              <w:t>%</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225" w:right="0" w:hanging="225"/>
              <w:rPr/>
            </w:pPr>
            <w:r>
              <w:rPr/>
              <w:t>Time deposits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691,790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22,849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3.30</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578,808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16,395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2.83</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497,875</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15,434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3.10</w:t>
            </w:r>
          </w:p>
        </w:tc>
        <w:tc>
          <w:tcPr>
            <w:tcW w:w="215" w:type="dxa"/>
            <w:tcBorders/>
            <w:shd w:fill="CCEEFF" w:val="clear"/>
            <w:vAlign w:val="bottom"/>
          </w:tcPr>
          <w:p>
            <w:pPr>
              <w:pStyle w:val="TableContents"/>
              <w:spacing w:before="0" w:after="283"/>
              <w:rPr/>
            </w:pPr>
            <w:r>
              <w:rPr/>
              <w:t>%</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Short-term borrowings: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450" w:right="0" w:hanging="225"/>
              <w:rPr/>
            </w:pPr>
            <w:r>
              <w:rPr/>
              <w:t>Federal funds purchased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9,865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2.37</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5,010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1.28</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2,999</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42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1.40</w:t>
            </w:r>
          </w:p>
        </w:tc>
        <w:tc>
          <w:tcPr>
            <w:tcW w:w="215" w:type="dxa"/>
            <w:tcBorders/>
            <w:shd w:fill="CCEEFF" w:val="clear"/>
            <w:vAlign w:val="bottom"/>
          </w:tcPr>
          <w:p>
            <w:pPr>
              <w:pStyle w:val="TableContents"/>
              <w:spacing w:before="0" w:after="283"/>
              <w:rPr/>
            </w:pPr>
            <w:r>
              <w:rPr/>
              <w:t>%</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450" w:right="0" w:hanging="225"/>
              <w:rPr/>
            </w:pPr>
            <w:r>
              <w:rPr/>
              <w:t>Securities sold under agreements to repurchase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44,998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945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2.10</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26,864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335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1.25</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7,497</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1.39</w:t>
            </w:r>
          </w:p>
        </w:tc>
        <w:tc>
          <w:tcPr>
            <w:tcW w:w="215" w:type="dxa"/>
            <w:tcBorders/>
            <w:shd w:fill="auto" w:val="clear"/>
            <w:vAlign w:val="bottom"/>
          </w:tcPr>
          <w:p>
            <w:pPr>
              <w:pStyle w:val="TableContents"/>
              <w:spacing w:before="0" w:after="283"/>
              <w:rPr/>
            </w:pPr>
            <w:r>
              <w:rPr/>
              <w:t>%</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450" w:right="0" w:hanging="225"/>
              <w:rPr/>
            </w:pPr>
            <w:r>
              <w:rPr/>
              <w:t>Other</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4,112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2.44</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9,293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1.70</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rPr/>
            </w:pPr>
            <w:r>
              <w:rPr/>
              <w:t> </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Long-term debt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163,865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6,669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4.07</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136,513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5,372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3.94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81,405</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3,578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4.40</w:t>
            </w:r>
          </w:p>
        </w:tc>
        <w:tc>
          <w:tcPr>
            <w:tcW w:w="215" w:type="dxa"/>
            <w:tcBorders/>
            <w:shd w:fill="auto" w:val="clear"/>
            <w:vAlign w:val="bottom"/>
          </w:tcPr>
          <w:p>
            <w:pPr>
              <w:pStyle w:val="TableContents"/>
              <w:spacing w:before="0" w:after="283"/>
              <w:rPr/>
            </w:pPr>
            <w:r>
              <w:rPr/>
              <w:t>%</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225" w:right="0" w:hanging="225"/>
              <w:rPr/>
            </w:pPr>
            <w:r>
              <w:rPr/>
              <w:t>Junior subordinated debt issued to unconsolidated trusts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45,385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3,455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7.61</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35,385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2,676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7.56</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25,000</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2,250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9.00</w:t>
            </w:r>
          </w:p>
        </w:tc>
        <w:tc>
          <w:tcPr>
            <w:tcW w:w="215" w:type="dxa"/>
            <w:tcBorders/>
            <w:shd w:fill="CCEEFF" w:val="clear"/>
            <w:vAlign w:val="bottom"/>
          </w:tcPr>
          <w:p>
            <w:pPr>
              <w:pStyle w:val="TableContents"/>
              <w:spacing w:before="0" w:after="283"/>
              <w:rPr/>
            </w:pPr>
            <w:r>
              <w:rPr/>
              <w:t>%</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70" w:type="dxa"/>
            <w:gridSpan w:val="35"/>
            <w:tcBorders>
              <w:top w:val="single" w:sz="2" w:space="0" w:color="000000"/>
            </w:tcBorders>
            <w:shd w:fill="auto" w:val="clear"/>
            <w:tcMar>
              <w:top w:w="28" w:type="dxa"/>
            </w:tcMar>
            <w:vAlign w:val="center"/>
          </w:tcPr>
          <w:p>
            <w:pPr>
              <w:pStyle w:val="TableContents"/>
              <w:spacing w:before="0" w:after="283"/>
              <w:jc w:val="left"/>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Total interest-bearing liabilities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1,717,056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45,342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2.64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1,441,450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30,041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2.08</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334" w:type="dxa"/>
            <w:tcBorders/>
            <w:shd w:fill="auto" w:val="clear"/>
            <w:vAlign w:val="bottom"/>
          </w:tcPr>
          <w:p>
            <w:pPr>
              <w:pStyle w:val="TableContents"/>
              <w:spacing w:before="0" w:after="283"/>
              <w:jc w:val="right"/>
              <w:rPr/>
            </w:pPr>
            <w:r>
              <w:rPr/>
              <w:t>1,188,163</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25,618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2.16</w:t>
            </w:r>
          </w:p>
        </w:tc>
        <w:tc>
          <w:tcPr>
            <w:tcW w:w="215" w:type="dxa"/>
            <w:tcBorders/>
            <w:shd w:fill="auto" w:val="clear"/>
            <w:vAlign w:val="bottom"/>
          </w:tcPr>
          <w:p>
            <w:pPr>
              <w:pStyle w:val="TableContents"/>
              <w:spacing w:before="0" w:after="283"/>
              <w:rPr/>
            </w:pPr>
            <w:r>
              <w:rPr/>
              <w:t>%</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70" w:type="dxa"/>
            <w:gridSpan w:val="35"/>
            <w:tcBorders>
              <w:top w:val="double" w:sz="6" w:space="0" w:color="000000"/>
            </w:tcBorders>
            <w:shd w:fill="auto" w:val="clear"/>
            <w:tcMar>
              <w:top w:w="28" w:type="dxa"/>
            </w:tcMar>
            <w:vAlign w:val="center"/>
          </w:tcPr>
          <w:p>
            <w:pPr>
              <w:pStyle w:val="TableContents"/>
              <w:spacing w:before="0" w:after="283"/>
              <w:jc w:val="left"/>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225" w:right="0" w:hanging="225"/>
              <w:rPr/>
            </w:pPr>
            <w:r>
              <w:rPr/>
              <w:t>Net interest spread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3.40</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3.24</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3.30</w:t>
            </w:r>
          </w:p>
        </w:tc>
        <w:tc>
          <w:tcPr>
            <w:tcW w:w="215" w:type="dxa"/>
            <w:tcBorders/>
            <w:shd w:fill="CCEEFF" w:val="clear"/>
            <w:vAlign w:val="bottom"/>
          </w:tcPr>
          <w:p>
            <w:pPr>
              <w:pStyle w:val="TableContents"/>
              <w:spacing w:before="0" w:after="283"/>
              <w:rPr/>
            </w:pPr>
            <w:r>
              <w:rPr/>
              <w:t>%</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334"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Demand deposits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221,632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175,463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149,030</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225" w:right="0" w:hanging="225"/>
              <w:rPr/>
            </w:pPr>
            <w:r>
              <w:rPr/>
              <w:t>Other liabilities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13,538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9,577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9,166</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Stockholders equity</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149,860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130,356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121,600</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225" w:right="0" w:hanging="225"/>
              <w:rPr/>
            </w:pPr>
            <w:r>
              <w:rPr/>
              <w:t>Total liabilities and stockholders equity</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2,102,086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1,756,846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334" w:type="dxa"/>
            <w:tcBorders/>
            <w:shd w:fill="CCEEFF" w:val="clear"/>
            <w:vAlign w:val="bottom"/>
          </w:tcPr>
          <w:p>
            <w:pPr>
              <w:pStyle w:val="TableContents"/>
              <w:spacing w:before="0" w:after="283"/>
              <w:jc w:val="right"/>
              <w:rPr/>
            </w:pPr>
            <w:r>
              <w:rPr/>
              <w:t>1,467,959</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Interest income/earning assets1</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1,951,864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117,930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6.04</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1,640,204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87,226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5.32</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334" w:type="dxa"/>
            <w:tcBorders/>
            <w:shd w:fill="auto" w:val="clear"/>
            <w:vAlign w:val="bottom"/>
          </w:tcPr>
          <w:p>
            <w:pPr>
              <w:pStyle w:val="TableContents"/>
              <w:spacing w:before="0" w:after="283"/>
              <w:jc w:val="right"/>
              <w:rPr/>
            </w:pPr>
            <w:r>
              <w:rPr/>
              <w:t>1,376,195</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75,109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5.46</w:t>
            </w:r>
          </w:p>
        </w:tc>
        <w:tc>
          <w:tcPr>
            <w:tcW w:w="215" w:type="dxa"/>
            <w:tcBorders/>
            <w:shd w:fill="auto" w:val="clear"/>
            <w:vAlign w:val="bottom"/>
          </w:tcPr>
          <w:p>
            <w:pPr>
              <w:pStyle w:val="TableContents"/>
              <w:spacing w:before="0" w:after="283"/>
              <w:rPr/>
            </w:pPr>
            <w:r>
              <w:rPr/>
              <w:t>%</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CCEEFF" w:val="clear"/>
            <w:vAlign w:val="bottom"/>
          </w:tcPr>
          <w:p>
            <w:pPr>
              <w:pStyle w:val="TableContents"/>
              <w:spacing w:before="0" w:after="0"/>
              <w:ind w:left="225" w:right="0" w:hanging="225"/>
              <w:rPr/>
            </w:pPr>
            <w:r>
              <w:rPr/>
              <w:t>Interest expense/earning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1,951,864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45,342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2.32</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1,640,204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80" w:type="dxa"/>
            <w:tcBorders/>
            <w:shd w:fill="CCEEFF" w:val="clear"/>
            <w:vAlign w:val="bottom"/>
          </w:tcPr>
          <w:p>
            <w:pPr>
              <w:pStyle w:val="TableContents"/>
              <w:spacing w:before="0" w:after="283"/>
              <w:jc w:val="right"/>
              <w:rPr/>
            </w:pPr>
            <w:r>
              <w:rPr/>
              <w:t>30,041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1.83</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334" w:type="dxa"/>
            <w:tcBorders/>
            <w:shd w:fill="CCEEFF" w:val="clear"/>
            <w:vAlign w:val="bottom"/>
          </w:tcPr>
          <w:p>
            <w:pPr>
              <w:pStyle w:val="TableContents"/>
              <w:spacing w:before="0" w:after="283"/>
              <w:jc w:val="right"/>
              <w:rPr/>
            </w:pPr>
            <w:r>
              <w:rPr/>
              <w:t>1,376,195</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80" w:type="dxa"/>
            <w:tcBorders/>
            <w:shd w:fill="CCEEFF" w:val="clear"/>
            <w:vAlign w:val="bottom"/>
          </w:tcPr>
          <w:p>
            <w:pPr>
              <w:pStyle w:val="TableContents"/>
              <w:spacing w:before="0" w:after="283"/>
              <w:jc w:val="right"/>
              <w:rPr/>
            </w:pPr>
            <w:r>
              <w:rPr/>
              <w:t>25,618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pPr>
            <w:r>
              <w:rPr/>
              <w:t>1.86</w:t>
            </w:r>
          </w:p>
        </w:tc>
        <w:tc>
          <w:tcPr>
            <w:tcW w:w="215" w:type="dxa"/>
            <w:tcBorders/>
            <w:shd w:fill="CCEEFF" w:val="clear"/>
            <w:vAlign w:val="bottom"/>
          </w:tcPr>
          <w:p>
            <w:pPr>
              <w:pStyle w:val="TableContents"/>
              <w:spacing w:before="0" w:after="283"/>
              <w:rPr/>
            </w:pPr>
            <w:r>
              <w:rPr/>
              <w:t>%</w:t>
            </w:r>
          </w:p>
        </w:tc>
        <w:tc>
          <w:tcPr>
            <w:tcW w:w="23" w:type="dxa"/>
            <w:tcBorders/>
            <w:shd w:fill="CCEEFF" w:val="clea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70" w:type="dxa"/>
            <w:gridSpan w:val="35"/>
            <w:tcBorders>
              <w:top w:val="single" w:sz="2" w:space="0" w:color="000000"/>
            </w:tcBorders>
            <w:shd w:fill="auto" w:val="clear"/>
            <w:tcMar>
              <w:top w:w="28" w:type="dxa"/>
            </w:tcMar>
            <w:vAlign w:val="center"/>
          </w:tcPr>
          <w:p>
            <w:pPr>
              <w:pStyle w:val="TableContents"/>
              <w:spacing w:before="0" w:after="283"/>
              <w:jc w:val="left"/>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0"/>
              <w:ind w:left="225" w:right="0" w:hanging="225"/>
              <w:rPr/>
            </w:pPr>
            <w:r>
              <w:rPr/>
              <w:t>Net interest margin1</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72,588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3.72</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57,185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3.49</w:t>
            </w:r>
          </w:p>
        </w:tc>
        <w:tc>
          <w:tcPr>
            <w:tcW w:w="21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49,491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pPr>
            <w:r>
              <w:rPr/>
              <w:t>3.60</w:t>
            </w:r>
          </w:p>
        </w:tc>
        <w:tc>
          <w:tcPr>
            <w:tcW w:w="215" w:type="dxa"/>
            <w:tcBorders/>
            <w:shd w:fill="auto" w:val="clear"/>
            <w:vAlign w:val="bottom"/>
          </w:tcPr>
          <w:p>
            <w:pPr>
              <w:pStyle w:val="TableContents"/>
              <w:spacing w:before="0" w:after="283"/>
              <w:rPr/>
            </w:pPr>
            <w:r>
              <w:rPr/>
              <w:t>%</w:t>
            </w:r>
          </w:p>
        </w:tc>
        <w:tc>
          <w:tcPr>
            <w:tcW w:w="23" w:type="dxa"/>
            <w:tcBorders/>
            <w:shd w:fill="auto" w:val="clea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4" w:type="dxa"/>
            <w:gridSpan w:val="2"/>
            <w:tcBorders>
              <w:top w:val="doub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70"/>
        <w:gridCol w:w="2244"/>
        <w:gridCol w:w="1191"/>
      </w:tblGrid>
      <w:tr>
        <w:trPr/>
        <w:tc>
          <w:tcPr>
            <w:tcW w:w="6770" w:type="dxa"/>
            <w:tcBorders/>
            <w:shd w:fill="auto" w:val="clear"/>
            <w:vAlign w:val="center"/>
          </w:tcPr>
          <w:p>
            <w:pPr>
              <w:pStyle w:val="TableContents"/>
              <w:spacing w:before="0" w:after="283"/>
              <w:rPr>
                <w:sz w:val="4"/>
                <w:szCs w:val="4"/>
              </w:rPr>
            </w:pPr>
            <w:r>
              <w:rPr>
                <w:sz w:val="4"/>
                <w:szCs w:val="4"/>
              </w:rPr>
            </w:r>
          </w:p>
        </w:tc>
        <w:tc>
          <w:tcPr>
            <w:tcW w:w="2244"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r>
      <w:tr>
        <w:trPr/>
        <w:tc>
          <w:tcPr>
            <w:tcW w:w="6770" w:type="dxa"/>
            <w:tcBorders/>
            <w:shd w:fill="auto" w:val="clear"/>
          </w:tcPr>
          <w:p>
            <w:pPr>
              <w:pStyle w:val="TableContents"/>
              <w:spacing w:before="0" w:after="283"/>
              <w:jc w:val="left"/>
              <w:rPr/>
            </w:pPr>
            <w:r>
              <w:rPr/>
              <w:t>1</w:t>
            </w:r>
          </w:p>
        </w:tc>
        <w:tc>
          <w:tcPr>
            <w:tcW w:w="2244" w:type="dxa"/>
            <w:tcBorders/>
            <w:shd w:fill="auto" w:val="clear"/>
          </w:tcPr>
          <w:p>
            <w:pPr>
              <w:pStyle w:val="TableContents"/>
              <w:spacing w:before="0" w:after="283"/>
              <w:rPr/>
            </w:pPr>
            <w:r>
              <w:rPr/>
              <w:t> </w:t>
            </w:r>
          </w:p>
        </w:tc>
        <w:tc>
          <w:tcPr>
            <w:tcW w:w="1191" w:type="dxa"/>
            <w:tcBorders/>
            <w:shd w:fill="auto" w:val="clear"/>
          </w:tcPr>
          <w:p>
            <w:pPr>
              <w:pStyle w:val="TableContents"/>
              <w:spacing w:before="0" w:after="283"/>
              <w:rPr/>
            </w:pPr>
            <w:r>
              <w:rPr/>
              <w:t>On a tax equivalent basis, assuming a federal income tax rate of 35%</w:t>
            </w:r>
          </w:p>
        </w:tc>
      </w:tr>
      <w:tr>
        <w:trPr/>
        <w:tc>
          <w:tcPr>
            <w:tcW w:w="6770" w:type="dxa"/>
            <w:tcBorders/>
            <w:shd w:fill="auto" w:val="clear"/>
            <w:vAlign w:val="center"/>
          </w:tcPr>
          <w:p>
            <w:pPr>
              <w:pStyle w:val="TableContents"/>
              <w:spacing w:before="0" w:after="283"/>
              <w:rPr/>
            </w:pPr>
            <w:r>
              <w:rPr/>
              <w:t> </w:t>
            </w:r>
          </w:p>
        </w:tc>
        <w:tc>
          <w:tcPr>
            <w:tcW w:w="3435" w:type="dxa"/>
            <w:gridSpan w:val="2"/>
            <w:tcBorders/>
            <w:shd w:fill="auto" w:val="clear"/>
          </w:tcPr>
          <w:p>
            <w:pPr>
              <w:pStyle w:val="TableContents"/>
              <w:spacing w:before="0" w:after="283"/>
              <w:rPr>
                <w:sz w:val="4"/>
                <w:szCs w:val="4"/>
              </w:rPr>
            </w:pPr>
            <w:r>
              <w:rPr>
                <w:sz w:val="4"/>
                <w:szCs w:val="4"/>
              </w:rPr>
            </w:r>
          </w:p>
        </w:tc>
      </w:tr>
      <w:tr>
        <w:trPr/>
        <w:tc>
          <w:tcPr>
            <w:tcW w:w="6770" w:type="dxa"/>
            <w:tcBorders/>
            <w:shd w:fill="auto" w:val="clear"/>
          </w:tcPr>
          <w:p>
            <w:pPr>
              <w:pStyle w:val="TableContents"/>
              <w:spacing w:before="0" w:after="283"/>
              <w:jc w:val="left"/>
              <w:rPr/>
            </w:pPr>
            <w:r>
              <w:rPr/>
              <w:t>2</w:t>
            </w:r>
          </w:p>
        </w:tc>
        <w:tc>
          <w:tcPr>
            <w:tcW w:w="2244" w:type="dxa"/>
            <w:tcBorders/>
            <w:shd w:fill="auto" w:val="clear"/>
          </w:tcPr>
          <w:p>
            <w:pPr>
              <w:pStyle w:val="TableContents"/>
              <w:spacing w:before="0" w:after="283"/>
              <w:rPr/>
            </w:pPr>
            <w:r>
              <w:rPr/>
              <w:t> </w:t>
            </w:r>
          </w:p>
        </w:tc>
        <w:tc>
          <w:tcPr>
            <w:tcW w:w="1191" w:type="dxa"/>
            <w:tcBorders/>
            <w:shd w:fill="auto" w:val="clear"/>
          </w:tcPr>
          <w:p>
            <w:pPr>
              <w:pStyle w:val="TableContents"/>
              <w:spacing w:before="0" w:after="283"/>
              <w:rPr/>
            </w:pPr>
            <w:r>
              <w:rPr/>
              <w:t>Non-accrual loans have been included in average loans, net of unearned discount</w:t>
            </w:r>
          </w:p>
        </w:tc>
      </w:tr>
    </w:tbl>
    <w:p>
      <w:pPr>
        <w:pStyle w:val="TextBody"/>
        <w:jc w:val="center"/>
        <w:rPr>
          <w:rFonts w:ascii="Helvetica;Arial;sans-serif" w:hAnsi="Helvetica;Arial;sans-serif"/>
          <w:sz w:val="17"/>
        </w:rPr>
      </w:pPr>
      <w:r>
        <w:rPr>
          <w:rFonts w:ascii="Helvetica;Arial;sans-serif" w:hAnsi="Helvetica;Arial;sans-serif"/>
          <w:sz w:val="17"/>
        </w:rP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Changes in Net Interest Income: </w:t>
      </w:r>
    </w:p>
    <w:tbl>
      <w:tblPr>
        <w:tblW w:w="5000" w:type="pct"/>
        <w:jc w:val="center"/>
        <w:tblInd w:w="0" w:type="dxa"/>
        <w:tblCellMar>
          <w:top w:w="0" w:type="dxa"/>
          <w:left w:w="0" w:type="dxa"/>
          <w:bottom w:w="0" w:type="dxa"/>
          <w:right w:w="0" w:type="dxa"/>
        </w:tblCellMar>
      </w:tblPr>
      <w:tblGrid>
        <w:gridCol w:w="1847"/>
        <w:gridCol w:w="164"/>
        <w:gridCol w:w="221"/>
        <w:gridCol w:w="788"/>
        <w:gridCol w:w="169"/>
        <w:gridCol w:w="173"/>
        <w:gridCol w:w="221"/>
        <w:gridCol w:w="788"/>
        <w:gridCol w:w="169"/>
        <w:gridCol w:w="173"/>
        <w:gridCol w:w="221"/>
        <w:gridCol w:w="788"/>
        <w:gridCol w:w="309"/>
        <w:gridCol w:w="164"/>
        <w:gridCol w:w="223"/>
        <w:gridCol w:w="799"/>
        <w:gridCol w:w="171"/>
        <w:gridCol w:w="173"/>
        <w:gridCol w:w="226"/>
        <w:gridCol w:w="760"/>
        <w:gridCol w:w="174"/>
        <w:gridCol w:w="174"/>
        <w:gridCol w:w="181"/>
        <w:gridCol w:w="799"/>
        <w:gridCol w:w="330"/>
      </w:tblGrid>
      <w:tr>
        <w:trPr/>
        <w:tc>
          <w:tcPr>
            <w:tcW w:w="184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94" w:type="dxa"/>
            <w:gridSpan w:val="23"/>
            <w:tcBorders>
              <w:bottom w:val="single" w:sz="2" w:space="0" w:color="000000"/>
            </w:tcBorders>
            <w:shd w:fill="auto" w:val="clear"/>
            <w:tcMar>
              <w:bottom w:w="28" w:type="dxa"/>
            </w:tcMar>
            <w:vAlign w:val="bottom"/>
          </w:tcPr>
          <w:p>
            <w:pPr>
              <w:pStyle w:val="TableContents"/>
              <w:spacing w:before="0" w:after="283"/>
              <w:jc w:val="center"/>
              <w:rPr/>
            </w:pPr>
            <w:r>
              <w:rPr/>
              <w:t>Years Ended December 31, 2005, 2004, and 2003</w:t>
            </w:r>
          </w:p>
        </w:tc>
      </w:tr>
      <w:tr>
        <w:trPr/>
        <w:tc>
          <w:tcPr>
            <w:tcW w:w="184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8194"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84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020" w:type="dxa"/>
            <w:gridSpan w:val="11"/>
            <w:tcBorders>
              <w:bottom w:val="single" w:sz="2" w:space="0" w:color="000000"/>
            </w:tcBorders>
            <w:shd w:fill="auto" w:val="clear"/>
            <w:tcMar>
              <w:bottom w:w="28" w:type="dxa"/>
            </w:tcMar>
            <w:vAlign w:val="bottom"/>
          </w:tcPr>
          <w:p>
            <w:pPr>
              <w:pStyle w:val="TableContents"/>
              <w:spacing w:before="0" w:after="283"/>
              <w:jc w:val="center"/>
              <w:rPr/>
            </w:pPr>
            <w:r>
              <w:rPr/>
              <w:t>Year 2005 vs. 2004 Change due to1</w:t>
            </w:r>
          </w:p>
        </w:tc>
        <w:tc>
          <w:tcPr>
            <w:tcW w:w="164" w:type="dxa"/>
            <w:tcBorders/>
            <w:shd w:fill="auto" w:val="clear"/>
            <w:vAlign w:val="bottom"/>
          </w:tcPr>
          <w:p>
            <w:pPr>
              <w:pStyle w:val="TableContents"/>
              <w:spacing w:before="0" w:after="283"/>
              <w:rPr/>
            </w:pPr>
            <w:r>
              <w:rPr/>
              <w:t> </w:t>
            </w:r>
          </w:p>
        </w:tc>
        <w:tc>
          <w:tcPr>
            <w:tcW w:w="4010" w:type="dxa"/>
            <w:gridSpan w:val="11"/>
            <w:tcBorders>
              <w:bottom w:val="single" w:sz="2" w:space="0" w:color="000000"/>
            </w:tcBorders>
            <w:shd w:fill="auto" w:val="clear"/>
            <w:tcMar>
              <w:bottom w:w="28" w:type="dxa"/>
            </w:tcMar>
            <w:vAlign w:val="bottom"/>
          </w:tcPr>
          <w:p>
            <w:pPr>
              <w:pStyle w:val="TableContents"/>
              <w:spacing w:before="0" w:after="283"/>
              <w:jc w:val="center"/>
              <w:rPr/>
            </w:pPr>
            <w:r>
              <w:rPr/>
              <w:t>Year 2004 vs. 2003 Change due to1</w:t>
            </w:r>
          </w:p>
        </w:tc>
      </w:tr>
      <w:tr>
        <w:trPr/>
        <w:tc>
          <w:tcPr>
            <w:tcW w:w="184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8194"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84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8" w:type="dxa"/>
            <w:gridSpan w:val="3"/>
            <w:tcBorders/>
            <w:shd w:fill="auto" w:val="clear"/>
            <w:vAlign w:val="bottom"/>
          </w:tcPr>
          <w:p>
            <w:pPr>
              <w:pStyle w:val="TableContents"/>
              <w:spacing w:before="0" w:after="283"/>
              <w:jc w:val="center"/>
              <w:rPr/>
            </w:pPr>
            <w:r>
              <w:rPr/>
              <w:t>Average</w:t>
            </w:r>
          </w:p>
        </w:tc>
        <w:tc>
          <w:tcPr>
            <w:tcW w:w="173" w:type="dxa"/>
            <w:tcBorders/>
            <w:shd w:fill="auto" w:val="clear"/>
            <w:vAlign w:val="bottom"/>
          </w:tcPr>
          <w:p>
            <w:pPr>
              <w:pStyle w:val="TableContents"/>
              <w:spacing w:before="0" w:after="283"/>
              <w:rPr/>
            </w:pPr>
            <w:r>
              <w:rPr/>
              <w:t> </w:t>
            </w:r>
          </w:p>
        </w:tc>
        <w:tc>
          <w:tcPr>
            <w:tcW w:w="1178" w:type="dxa"/>
            <w:gridSpan w:val="3"/>
            <w:tcBorders/>
            <w:shd w:fill="auto" w:val="clear"/>
            <w:vAlign w:val="bottom"/>
          </w:tcPr>
          <w:p>
            <w:pPr>
              <w:pStyle w:val="TableContents"/>
              <w:spacing w:before="0" w:after="283"/>
              <w:jc w:val="center"/>
              <w:rPr/>
            </w:pPr>
            <w:r>
              <w:rPr/>
              <w:t>Average</w:t>
            </w:r>
          </w:p>
        </w:tc>
        <w:tc>
          <w:tcPr>
            <w:tcW w:w="173" w:type="dxa"/>
            <w:tcBorders/>
            <w:shd w:fill="auto" w:val="clear"/>
            <w:vAlign w:val="bottom"/>
          </w:tcPr>
          <w:p>
            <w:pPr>
              <w:pStyle w:val="TableContents"/>
              <w:spacing w:before="0" w:after="283"/>
              <w:rPr/>
            </w:pPr>
            <w:r>
              <w:rPr/>
              <w:t> </w:t>
            </w:r>
          </w:p>
        </w:tc>
        <w:tc>
          <w:tcPr>
            <w:tcW w:w="1318" w:type="dxa"/>
            <w:gridSpan w:val="3"/>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164" w:type="dxa"/>
            <w:tcBorders/>
            <w:shd w:fill="auto" w:val="clear"/>
            <w:vAlign w:val="bottom"/>
          </w:tcPr>
          <w:p>
            <w:pPr>
              <w:pStyle w:val="TableContents"/>
              <w:spacing w:before="0" w:after="283"/>
              <w:rPr/>
            </w:pPr>
            <w:r>
              <w:rPr/>
              <w:t> </w:t>
            </w:r>
          </w:p>
        </w:tc>
        <w:tc>
          <w:tcPr>
            <w:tcW w:w="1193" w:type="dxa"/>
            <w:gridSpan w:val="3"/>
            <w:tcBorders/>
            <w:shd w:fill="auto" w:val="clear"/>
            <w:vAlign w:val="bottom"/>
          </w:tcPr>
          <w:p>
            <w:pPr>
              <w:pStyle w:val="TableContents"/>
              <w:spacing w:before="0" w:after="283"/>
              <w:jc w:val="center"/>
              <w:rPr/>
            </w:pPr>
            <w:r>
              <w:rPr/>
              <w:t>Average</w:t>
            </w:r>
          </w:p>
        </w:tc>
        <w:tc>
          <w:tcPr>
            <w:tcW w:w="173" w:type="dxa"/>
            <w:tcBorders/>
            <w:shd w:fill="auto" w:val="clear"/>
            <w:vAlign w:val="bottom"/>
          </w:tcPr>
          <w:p>
            <w:pPr>
              <w:pStyle w:val="TableContents"/>
              <w:spacing w:before="0" w:after="283"/>
              <w:rPr/>
            </w:pPr>
            <w:r>
              <w:rPr/>
              <w:t> </w:t>
            </w:r>
          </w:p>
        </w:tc>
        <w:tc>
          <w:tcPr>
            <w:tcW w:w="1160" w:type="dxa"/>
            <w:gridSpan w:val="3"/>
            <w:tcBorders/>
            <w:shd w:fill="auto" w:val="clear"/>
            <w:vAlign w:val="bottom"/>
          </w:tcPr>
          <w:p>
            <w:pPr>
              <w:pStyle w:val="TableContents"/>
              <w:spacing w:before="0" w:after="283"/>
              <w:jc w:val="center"/>
              <w:rPr/>
            </w:pPr>
            <w:r>
              <w:rPr/>
              <w:t>Average</w:t>
            </w:r>
          </w:p>
        </w:tc>
        <w:tc>
          <w:tcPr>
            <w:tcW w:w="174" w:type="dxa"/>
            <w:tcBorders/>
            <w:shd w:fill="auto" w:val="clear"/>
            <w:vAlign w:val="bottom"/>
          </w:tcPr>
          <w:p>
            <w:pPr>
              <w:pStyle w:val="TableContents"/>
              <w:spacing w:before="0" w:after="283"/>
              <w:rPr/>
            </w:pPr>
            <w:r>
              <w:rPr/>
              <w:t> </w:t>
            </w:r>
          </w:p>
        </w:tc>
        <w:tc>
          <w:tcPr>
            <w:tcW w:w="1310" w:type="dxa"/>
            <w:gridSpan w:val="3"/>
            <w:tcBorders>
              <w:bottom w:val="single" w:sz="2" w:space="0" w:color="000000"/>
            </w:tcBorders>
            <w:shd w:fill="auto" w:val="clear"/>
            <w:tcMar>
              <w:bottom w:w="28" w:type="dxa"/>
            </w:tcMar>
            <w:vAlign w:val="bottom"/>
          </w:tcPr>
          <w:p>
            <w:pPr>
              <w:pStyle w:val="TableContents"/>
              <w:spacing w:before="0" w:after="283"/>
              <w:jc w:val="center"/>
              <w:rPr/>
            </w:pPr>
            <w:r>
              <w:rPr/>
              <w:t>Total</w:t>
            </w:r>
          </w:p>
        </w:tc>
      </w:tr>
      <w:tr>
        <w:trPr/>
        <w:tc>
          <w:tcPr>
            <w:tcW w:w="184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78" w:type="dxa"/>
            <w:gridSpan w:val="3"/>
            <w:tcBorders>
              <w:bottom w:val="single" w:sz="2" w:space="0" w:color="000000"/>
            </w:tcBorders>
            <w:shd w:fill="auto" w:val="clear"/>
            <w:tcMar>
              <w:bottom w:w="28" w:type="dxa"/>
            </w:tcMar>
            <w:vAlign w:val="bottom"/>
          </w:tcPr>
          <w:p>
            <w:pPr>
              <w:pStyle w:val="TableContents"/>
              <w:spacing w:before="0" w:after="283"/>
              <w:jc w:val="center"/>
              <w:rPr/>
            </w:pPr>
            <w:r>
              <w:rPr/>
              <w:t>Volume</w:t>
            </w:r>
          </w:p>
        </w:tc>
        <w:tc>
          <w:tcPr>
            <w:tcW w:w="173" w:type="dxa"/>
            <w:tcBorders/>
            <w:shd w:fill="auto" w:val="clear"/>
            <w:vAlign w:val="bottom"/>
          </w:tcPr>
          <w:p>
            <w:pPr>
              <w:pStyle w:val="TableContents"/>
              <w:spacing w:before="0" w:after="283"/>
              <w:rPr/>
            </w:pPr>
            <w:r>
              <w:rPr/>
              <w:t> </w:t>
            </w:r>
          </w:p>
        </w:tc>
        <w:tc>
          <w:tcPr>
            <w:tcW w:w="1178" w:type="dxa"/>
            <w:gridSpan w:val="3"/>
            <w:tcBorders>
              <w:bottom w:val="single" w:sz="2" w:space="0" w:color="000000"/>
            </w:tcBorders>
            <w:shd w:fill="auto" w:val="clear"/>
            <w:tcMar>
              <w:bottom w:w="28" w:type="dxa"/>
            </w:tcMar>
            <w:vAlign w:val="bottom"/>
          </w:tcPr>
          <w:p>
            <w:pPr>
              <w:pStyle w:val="TableContents"/>
              <w:spacing w:before="0" w:after="283"/>
              <w:jc w:val="center"/>
              <w:rPr/>
            </w:pPr>
            <w:r>
              <w:rPr/>
              <w:t>Yield/Rate</w:t>
            </w:r>
          </w:p>
        </w:tc>
        <w:tc>
          <w:tcPr>
            <w:tcW w:w="173" w:type="dxa"/>
            <w:tcBorders/>
            <w:shd w:fill="auto" w:val="clear"/>
            <w:vAlign w:val="bottom"/>
          </w:tcPr>
          <w:p>
            <w:pPr>
              <w:pStyle w:val="TableContents"/>
              <w:spacing w:before="0" w:after="283"/>
              <w:rPr/>
            </w:pPr>
            <w:r>
              <w:rPr/>
              <w:t> </w:t>
            </w:r>
          </w:p>
        </w:tc>
        <w:tc>
          <w:tcPr>
            <w:tcW w:w="1318" w:type="dxa"/>
            <w:gridSpan w:val="3"/>
            <w:tcBorders>
              <w:bottom w:val="single" w:sz="2" w:space="0" w:color="000000"/>
            </w:tcBorders>
            <w:shd w:fill="auto" w:val="clear"/>
            <w:tcMar>
              <w:bottom w:w="28" w:type="dxa"/>
            </w:tcMar>
            <w:vAlign w:val="bottom"/>
          </w:tcPr>
          <w:p>
            <w:pPr>
              <w:pStyle w:val="TableContents"/>
              <w:spacing w:before="0" w:after="283"/>
              <w:jc w:val="center"/>
              <w:rPr/>
            </w:pPr>
            <w:r>
              <w:rPr/>
              <w:t>Change</w:t>
            </w:r>
          </w:p>
        </w:tc>
        <w:tc>
          <w:tcPr>
            <w:tcW w:w="164" w:type="dxa"/>
            <w:tcBorders/>
            <w:shd w:fill="auto" w:val="clear"/>
            <w:vAlign w:val="bottom"/>
          </w:tcPr>
          <w:p>
            <w:pPr>
              <w:pStyle w:val="TableContents"/>
              <w:spacing w:before="0" w:after="283"/>
              <w:rPr/>
            </w:pPr>
            <w:r>
              <w:rPr/>
              <w:t> </w:t>
            </w:r>
          </w:p>
        </w:tc>
        <w:tc>
          <w:tcPr>
            <w:tcW w:w="1193" w:type="dxa"/>
            <w:gridSpan w:val="3"/>
            <w:tcBorders>
              <w:bottom w:val="single" w:sz="2" w:space="0" w:color="000000"/>
            </w:tcBorders>
            <w:shd w:fill="auto" w:val="clear"/>
            <w:tcMar>
              <w:bottom w:w="28" w:type="dxa"/>
            </w:tcMar>
            <w:vAlign w:val="bottom"/>
          </w:tcPr>
          <w:p>
            <w:pPr>
              <w:pStyle w:val="TableContents"/>
              <w:spacing w:before="0" w:after="283"/>
              <w:jc w:val="center"/>
              <w:rPr/>
            </w:pPr>
            <w:r>
              <w:rPr/>
              <w:t>Volume</w:t>
            </w:r>
          </w:p>
        </w:tc>
        <w:tc>
          <w:tcPr>
            <w:tcW w:w="173" w:type="dxa"/>
            <w:tcBorders/>
            <w:shd w:fill="auto" w:val="clear"/>
            <w:vAlign w:val="bottom"/>
          </w:tcPr>
          <w:p>
            <w:pPr>
              <w:pStyle w:val="TableContents"/>
              <w:spacing w:before="0" w:after="283"/>
              <w:rPr/>
            </w:pPr>
            <w:r>
              <w:rPr/>
              <w:t> </w:t>
            </w:r>
          </w:p>
        </w:tc>
        <w:tc>
          <w:tcPr>
            <w:tcW w:w="1160" w:type="dxa"/>
            <w:gridSpan w:val="3"/>
            <w:tcBorders>
              <w:bottom w:val="single" w:sz="2" w:space="0" w:color="000000"/>
            </w:tcBorders>
            <w:shd w:fill="auto" w:val="clear"/>
            <w:tcMar>
              <w:bottom w:w="28" w:type="dxa"/>
            </w:tcMar>
            <w:vAlign w:val="bottom"/>
          </w:tcPr>
          <w:p>
            <w:pPr>
              <w:pStyle w:val="TableContents"/>
              <w:spacing w:before="0" w:after="283"/>
              <w:jc w:val="center"/>
              <w:rPr/>
            </w:pPr>
            <w:r>
              <w:rPr/>
              <w:t>Yield/Rate</w:t>
            </w:r>
          </w:p>
        </w:tc>
        <w:tc>
          <w:tcPr>
            <w:tcW w:w="174" w:type="dxa"/>
            <w:tcBorders/>
            <w:shd w:fill="auto" w:val="clear"/>
            <w:vAlign w:val="bottom"/>
          </w:tcPr>
          <w:p>
            <w:pPr>
              <w:pStyle w:val="TableContents"/>
              <w:spacing w:before="0" w:after="283"/>
              <w:rPr/>
            </w:pPr>
            <w:r>
              <w:rPr/>
              <w:t> </w:t>
            </w:r>
          </w:p>
        </w:tc>
        <w:tc>
          <w:tcPr>
            <w:tcW w:w="1310" w:type="dxa"/>
            <w:gridSpan w:val="3"/>
            <w:tcBorders/>
            <w:shd w:fill="auto" w:val="clear"/>
            <w:vAlign w:val="bottom"/>
          </w:tcPr>
          <w:p>
            <w:pPr>
              <w:pStyle w:val="TableContents"/>
              <w:spacing w:before="0" w:after="283"/>
              <w:jc w:val="center"/>
              <w:rPr/>
            </w:pPr>
            <w:r>
              <w:rPr/>
              <w:t>Change</w:t>
            </w:r>
          </w:p>
        </w:tc>
      </w:tr>
      <w:tr>
        <w:trPr/>
        <w:tc>
          <w:tcPr>
            <w:tcW w:w="184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8194"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84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675" w:type="dxa"/>
            <w:gridSpan w:val="7"/>
            <w:tcBorders/>
            <w:shd w:fill="auto" w:val="clear"/>
            <w:vAlign w:val="bottom"/>
          </w:tcPr>
          <w:p>
            <w:pPr>
              <w:pStyle w:val="TableContents"/>
              <w:spacing w:before="0" w:after="283"/>
              <w:jc w:val="center"/>
              <w:rPr/>
            </w:pPr>
            <w:r>
              <w:rPr/>
              <w:t>(dollars in thousands)</w:t>
            </w:r>
          </w:p>
        </w:tc>
        <w:tc>
          <w:tcPr>
            <w:tcW w:w="17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225" w:right="0" w:hanging="225"/>
              <w:rPr/>
            </w:pPr>
            <w:r>
              <w:rPr/>
              <w:t>Increase (decrease) in interest income:</w:t>
            </w:r>
          </w:p>
        </w:tc>
        <w:tc>
          <w:tcPr>
            <w:tcW w:w="16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0"/>
              <w:ind w:left="450" w:right="0" w:hanging="225"/>
              <w:rPr/>
            </w:pPr>
            <w:r>
              <w:rPr/>
              <w:t>Interest-bearing bank deposits</w:t>
            </w:r>
          </w:p>
        </w:tc>
        <w:tc>
          <w:tcPr>
            <w:tcW w:w="16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w:t>
            </w:r>
          </w:p>
        </w:tc>
        <w:tc>
          <w:tcPr>
            <w:tcW w:w="788" w:type="dxa"/>
            <w:tcBorders/>
            <w:shd w:fill="auto" w:val="clear"/>
            <w:vAlign w:val="bottom"/>
          </w:tcPr>
          <w:p>
            <w:pPr>
              <w:pStyle w:val="TableContents"/>
              <w:spacing w:before="0" w:after="283"/>
              <w:jc w:val="right"/>
              <w:rPr/>
            </w:pPr>
            <w:r>
              <w:rPr/>
              <w:t>3</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w:t>
            </w:r>
          </w:p>
        </w:tc>
        <w:tc>
          <w:tcPr>
            <w:tcW w:w="788" w:type="dxa"/>
            <w:tcBorders/>
            <w:shd w:fill="auto" w:val="clear"/>
            <w:vAlign w:val="bottom"/>
          </w:tcPr>
          <w:p>
            <w:pPr>
              <w:pStyle w:val="TableContents"/>
              <w:spacing w:before="0" w:after="283"/>
              <w:jc w:val="right"/>
              <w:rPr/>
            </w:pPr>
            <w:r>
              <w:rPr/>
              <w:t>(6</w:t>
            </w:r>
          </w:p>
        </w:tc>
        <w:tc>
          <w:tcPr>
            <w:tcW w:w="169" w:type="dxa"/>
            <w:tcBorders/>
            <w:shd w:fill="auto" w:val="clear"/>
            <w:vAlign w:val="bottom"/>
          </w:tcPr>
          <w:p>
            <w:pPr>
              <w:pStyle w:val="TableContents"/>
              <w:spacing w:before="0" w:after="283"/>
              <w:rPr/>
            </w:pPr>
            <w:r>
              <w:rPr/>
              <w:t>)</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w:t>
            </w:r>
          </w:p>
        </w:tc>
        <w:tc>
          <w:tcPr>
            <w:tcW w:w="788" w:type="dxa"/>
            <w:tcBorders/>
            <w:shd w:fill="auto" w:val="clear"/>
            <w:vAlign w:val="bottom"/>
          </w:tcPr>
          <w:p>
            <w:pPr>
              <w:pStyle w:val="TableContents"/>
              <w:spacing w:before="0" w:after="283"/>
              <w:jc w:val="right"/>
              <w:rPr/>
            </w:pPr>
            <w:r>
              <w:rPr/>
              <w:t>(3</w:t>
            </w:r>
          </w:p>
        </w:tc>
        <w:tc>
          <w:tcPr>
            <w:tcW w:w="309"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right"/>
              <w:rPr/>
            </w:pPr>
            <w:r>
              <w:rPr/>
              <w:t>$</w:t>
            </w:r>
          </w:p>
        </w:tc>
        <w:tc>
          <w:tcPr>
            <w:tcW w:w="799" w:type="dxa"/>
            <w:tcBorders/>
            <w:shd w:fill="auto" w:val="clear"/>
            <w:vAlign w:val="bottom"/>
          </w:tcPr>
          <w:p>
            <w:pPr>
              <w:pStyle w:val="TableContents"/>
              <w:spacing w:before="0" w:after="283"/>
              <w:jc w:val="right"/>
              <w:rPr/>
            </w:pPr>
            <w:r>
              <w:rPr/>
              <w:t>31</w:t>
            </w:r>
          </w:p>
        </w:tc>
        <w:tc>
          <w:tcPr>
            <w:tcW w:w="1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right"/>
              <w:rPr/>
            </w:pPr>
            <w:r>
              <w:rPr/>
              <w:t>$</w:t>
            </w:r>
          </w:p>
        </w:tc>
        <w:tc>
          <w:tcPr>
            <w:tcW w:w="760" w:type="dxa"/>
            <w:tcBorders/>
            <w:shd w:fill="auto" w:val="clear"/>
            <w:vAlign w:val="bottom"/>
          </w:tcPr>
          <w:p>
            <w:pPr>
              <w:pStyle w:val="TableContents"/>
              <w:spacing w:before="0" w:after="283"/>
              <w:jc w:val="right"/>
              <w:rPr/>
            </w:pPr>
            <w:r>
              <w:rPr/>
              <w:t>7</w:t>
            </w:r>
          </w:p>
        </w:tc>
        <w:tc>
          <w:tcPr>
            <w:tcW w:w="17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right"/>
              <w:rPr/>
            </w:pPr>
            <w:r>
              <w:rPr/>
              <w:t>$</w:t>
            </w:r>
          </w:p>
        </w:tc>
        <w:tc>
          <w:tcPr>
            <w:tcW w:w="799" w:type="dxa"/>
            <w:tcBorders/>
            <w:shd w:fill="auto" w:val="clear"/>
            <w:vAlign w:val="bottom"/>
          </w:tcPr>
          <w:p>
            <w:pPr>
              <w:pStyle w:val="TableContents"/>
              <w:spacing w:before="0" w:after="283"/>
              <w:jc w:val="right"/>
              <w:rPr/>
            </w:pPr>
            <w:r>
              <w:rPr/>
              <w:t>38</w:t>
            </w:r>
          </w:p>
        </w:tc>
        <w:tc>
          <w:tcPr>
            <w:tcW w:w="330" w:type="dxa"/>
            <w:tcBorders/>
            <w:shd w:fill="auto" w:val="clear"/>
            <w:vAlign w:val="bottom"/>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450" w:right="0" w:hanging="225"/>
              <w:rPr/>
            </w:pPr>
            <w:r>
              <w:rPr/>
              <w:t>Federal funds sold</w:t>
            </w:r>
          </w:p>
        </w:tc>
        <w:tc>
          <w:tcPr>
            <w:tcW w:w="16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113</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179</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292</w:t>
            </w:r>
          </w:p>
        </w:tc>
        <w:tc>
          <w:tcPr>
            <w:tcW w:w="3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17</w:t>
            </w:r>
          </w:p>
        </w:tc>
        <w:tc>
          <w:tcPr>
            <w:tcW w:w="1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106</w:t>
            </w:r>
          </w:p>
        </w:tc>
        <w:tc>
          <w:tcPr>
            <w:tcW w:w="17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123</w:t>
            </w:r>
          </w:p>
        </w:tc>
        <w:tc>
          <w:tcPr>
            <w:tcW w:w="330" w:type="dxa"/>
            <w:tcBorders/>
            <w:shd w:fill="CCEEFF"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0"/>
              <w:ind w:left="450" w:right="0" w:hanging="225"/>
              <w:rPr/>
            </w:pPr>
            <w:r>
              <w:rPr/>
              <w:t>Investment securities:</w:t>
            </w:r>
          </w:p>
        </w:tc>
        <w:tc>
          <w:tcPr>
            <w:tcW w:w="16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675" w:right="0" w:hanging="225"/>
              <w:rPr/>
            </w:pPr>
            <w:r>
              <w:rPr/>
              <w:t>U.S. Treasuries and Agencies</w:t>
            </w:r>
          </w:p>
        </w:tc>
        <w:tc>
          <w:tcPr>
            <w:tcW w:w="16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1,160</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756</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1,916</w:t>
            </w:r>
          </w:p>
        </w:tc>
        <w:tc>
          <w:tcPr>
            <w:tcW w:w="3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272</w:t>
            </w:r>
          </w:p>
        </w:tc>
        <w:tc>
          <w:tcPr>
            <w:tcW w:w="1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right"/>
              <w:rPr/>
            </w:pPr>
            <w:r>
              <w:rPr/>
              <w:t> </w:t>
            </w:r>
          </w:p>
        </w:tc>
        <w:tc>
          <w:tcPr>
            <w:tcW w:w="760" w:type="dxa"/>
            <w:tcBorders/>
            <w:shd w:fill="CCEEFF" w:val="clear"/>
            <w:vAlign w:val="bottom"/>
          </w:tcPr>
          <w:p>
            <w:pPr>
              <w:pStyle w:val="TableContents"/>
              <w:spacing w:before="0" w:after="283"/>
              <w:jc w:val="right"/>
              <w:rPr/>
            </w:pPr>
            <w:r>
              <w:rPr/>
              <w:t>(837</w:t>
            </w:r>
          </w:p>
        </w:tc>
        <w:tc>
          <w:tcPr>
            <w:tcW w:w="174"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right"/>
              <w:rPr/>
            </w:pPr>
            <w:r>
              <w:rPr/>
              <w:t> </w:t>
            </w:r>
          </w:p>
        </w:tc>
        <w:tc>
          <w:tcPr>
            <w:tcW w:w="799" w:type="dxa"/>
            <w:tcBorders/>
            <w:shd w:fill="CCEEFF" w:val="clear"/>
            <w:vAlign w:val="bottom"/>
          </w:tcPr>
          <w:p>
            <w:pPr>
              <w:pStyle w:val="TableContents"/>
              <w:spacing w:before="0" w:after="283"/>
              <w:jc w:val="right"/>
              <w:rPr/>
            </w:pPr>
            <w:r>
              <w:rPr/>
              <w:t>(565</w:t>
            </w:r>
          </w:p>
        </w:tc>
        <w:tc>
          <w:tcPr>
            <w:tcW w:w="330" w:type="dxa"/>
            <w:tcBorders/>
            <w:shd w:fill="CCEEFF" w:val="clear"/>
            <w:vAlign w:val="bottom"/>
          </w:tcPr>
          <w:p>
            <w:pPr>
              <w:pStyle w:val="TableContents"/>
              <w:spacing w:before="0" w:after="283"/>
              <w:rPr/>
            </w:pPr>
            <w:r>
              <w:rPr/>
              <w:t>)</w:t>
            </w:r>
          </w:p>
        </w:tc>
      </w:tr>
      <w:tr>
        <w:trPr/>
        <w:tc>
          <w:tcPr>
            <w:tcW w:w="1847" w:type="dxa"/>
            <w:tcBorders/>
            <w:shd w:fill="auto" w:val="clear"/>
            <w:vAlign w:val="bottom"/>
          </w:tcPr>
          <w:p>
            <w:pPr>
              <w:pStyle w:val="TableContents"/>
              <w:spacing w:before="0" w:after="0"/>
              <w:ind w:left="675" w:right="0" w:hanging="225"/>
              <w:rPr/>
            </w:pPr>
            <w:r>
              <w:rPr/>
              <w:t>Obligations of state and political subdivisions2</w:t>
            </w:r>
          </w:p>
        </w:tc>
        <w:tc>
          <w:tcPr>
            <w:tcW w:w="16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800</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 </w:t>
            </w:r>
          </w:p>
        </w:tc>
        <w:tc>
          <w:tcPr>
            <w:tcW w:w="788" w:type="dxa"/>
            <w:tcBorders/>
            <w:shd w:fill="auto" w:val="clear"/>
            <w:vAlign w:val="bottom"/>
          </w:tcPr>
          <w:p>
            <w:pPr>
              <w:pStyle w:val="TableContents"/>
              <w:spacing w:before="0" w:after="283"/>
              <w:jc w:val="right"/>
              <w:rPr/>
            </w:pPr>
            <w:r>
              <w:rPr/>
              <w:t>(43</w:t>
            </w:r>
          </w:p>
        </w:tc>
        <w:tc>
          <w:tcPr>
            <w:tcW w:w="169" w:type="dxa"/>
            <w:tcBorders/>
            <w:shd w:fill="auto" w:val="clear"/>
            <w:vAlign w:val="bottom"/>
          </w:tcPr>
          <w:p>
            <w:pPr>
              <w:pStyle w:val="TableContents"/>
              <w:spacing w:before="0" w:after="283"/>
              <w:rPr/>
            </w:pPr>
            <w:r>
              <w:rPr/>
              <w:t>)</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757</w:t>
            </w:r>
          </w:p>
        </w:tc>
        <w:tc>
          <w:tcPr>
            <w:tcW w:w="3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right"/>
              <w:rPr/>
            </w:pPr>
            <w:r>
              <w:rPr/>
              <w:t> </w:t>
            </w:r>
          </w:p>
        </w:tc>
        <w:tc>
          <w:tcPr>
            <w:tcW w:w="799" w:type="dxa"/>
            <w:tcBorders/>
            <w:shd w:fill="auto" w:val="clear"/>
            <w:vAlign w:val="bottom"/>
          </w:tcPr>
          <w:p>
            <w:pPr>
              <w:pStyle w:val="TableContents"/>
              <w:spacing w:before="0" w:after="283"/>
              <w:jc w:val="right"/>
              <w:rPr/>
            </w:pPr>
            <w:r>
              <w:rPr/>
              <w:t>(96</w:t>
            </w:r>
          </w:p>
        </w:tc>
        <w:tc>
          <w:tcPr>
            <w:tcW w:w="171" w:type="dxa"/>
            <w:tcBorders/>
            <w:shd w:fill="auto" w:val="clear"/>
            <w:vAlign w:val="bottom"/>
          </w:tcPr>
          <w:p>
            <w:pPr>
              <w:pStyle w:val="TableContents"/>
              <w:spacing w:before="0" w:after="283"/>
              <w:rPr/>
            </w:pPr>
            <w:r>
              <w:rPr/>
              <w:t>)</w:t>
            </w:r>
          </w:p>
        </w:tc>
        <w:tc>
          <w:tcPr>
            <w:tcW w:w="17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right"/>
              <w:rPr/>
            </w:pPr>
            <w:r>
              <w:rPr/>
              <w:t> </w:t>
            </w:r>
          </w:p>
        </w:tc>
        <w:tc>
          <w:tcPr>
            <w:tcW w:w="760" w:type="dxa"/>
            <w:tcBorders/>
            <w:shd w:fill="auto" w:val="clear"/>
            <w:vAlign w:val="bottom"/>
          </w:tcPr>
          <w:p>
            <w:pPr>
              <w:pStyle w:val="TableContents"/>
              <w:spacing w:before="0" w:after="283"/>
              <w:jc w:val="right"/>
              <w:rPr/>
            </w:pPr>
            <w:r>
              <w:rPr/>
              <w:t>(44</w:t>
            </w:r>
          </w:p>
        </w:tc>
        <w:tc>
          <w:tcPr>
            <w:tcW w:w="174"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right"/>
              <w:rPr/>
            </w:pPr>
            <w:r>
              <w:rPr/>
              <w:t> </w:t>
            </w:r>
          </w:p>
        </w:tc>
        <w:tc>
          <w:tcPr>
            <w:tcW w:w="799" w:type="dxa"/>
            <w:tcBorders/>
            <w:shd w:fill="auto" w:val="clear"/>
            <w:vAlign w:val="bottom"/>
          </w:tcPr>
          <w:p>
            <w:pPr>
              <w:pStyle w:val="TableContents"/>
              <w:spacing w:before="0" w:after="283"/>
              <w:jc w:val="right"/>
              <w:rPr/>
            </w:pPr>
            <w:r>
              <w:rPr/>
              <w:t>(140</w:t>
            </w:r>
          </w:p>
        </w:tc>
        <w:tc>
          <w:tcPr>
            <w:tcW w:w="330" w:type="dxa"/>
            <w:tcBorders/>
            <w:shd w:fill="auto" w:val="clear"/>
            <w:vAlign w:val="bottom"/>
          </w:tcPr>
          <w:p>
            <w:pPr>
              <w:pStyle w:val="TableContents"/>
              <w:spacing w:before="0" w:after="283"/>
              <w:rPr/>
            </w:pPr>
            <w:r>
              <w:rPr/>
              <w:t>)</w:t>
            </w:r>
          </w:p>
        </w:tc>
      </w:tr>
      <w:tr>
        <w:trPr/>
        <w:tc>
          <w:tcPr>
            <w:tcW w:w="1847" w:type="dxa"/>
            <w:tcBorders/>
            <w:shd w:fill="CCEEFF" w:val="clear"/>
            <w:vAlign w:val="bottom"/>
          </w:tcPr>
          <w:p>
            <w:pPr>
              <w:pStyle w:val="TableContents"/>
              <w:spacing w:before="0" w:after="0"/>
              <w:ind w:left="675" w:right="0" w:hanging="225"/>
              <w:rPr/>
            </w:pPr>
            <w:r>
              <w:rPr/>
              <w:t>Other securities</w:t>
            </w:r>
          </w:p>
        </w:tc>
        <w:tc>
          <w:tcPr>
            <w:tcW w:w="16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207</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6</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213</w:t>
            </w:r>
          </w:p>
        </w:tc>
        <w:tc>
          <w:tcPr>
            <w:tcW w:w="3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634</w:t>
            </w:r>
          </w:p>
        </w:tc>
        <w:tc>
          <w:tcPr>
            <w:tcW w:w="1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37</w:t>
            </w:r>
          </w:p>
        </w:tc>
        <w:tc>
          <w:tcPr>
            <w:tcW w:w="17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671</w:t>
            </w:r>
          </w:p>
        </w:tc>
        <w:tc>
          <w:tcPr>
            <w:tcW w:w="330" w:type="dxa"/>
            <w:tcBorders/>
            <w:shd w:fill="CCEEFF"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0"/>
              <w:ind w:left="450" w:right="0" w:hanging="225"/>
              <w:rPr/>
            </w:pPr>
            <w:r>
              <w:rPr/>
              <w:t>Loans2</w:t>
            </w:r>
          </w:p>
        </w:tc>
        <w:tc>
          <w:tcPr>
            <w:tcW w:w="16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15,419</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12,110</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27,529</w:t>
            </w:r>
          </w:p>
        </w:tc>
        <w:tc>
          <w:tcPr>
            <w:tcW w:w="3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13,542</w:t>
            </w:r>
          </w:p>
        </w:tc>
        <w:tc>
          <w:tcPr>
            <w:tcW w:w="1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right"/>
              <w:rPr/>
            </w:pPr>
            <w:r>
              <w:rPr/>
              <w:t> </w:t>
            </w:r>
          </w:p>
        </w:tc>
        <w:tc>
          <w:tcPr>
            <w:tcW w:w="760" w:type="dxa"/>
            <w:tcBorders/>
            <w:shd w:fill="auto" w:val="clear"/>
            <w:vAlign w:val="bottom"/>
          </w:tcPr>
          <w:p>
            <w:pPr>
              <w:pStyle w:val="TableContents"/>
              <w:spacing w:before="0" w:after="283"/>
              <w:jc w:val="right"/>
              <w:rPr/>
            </w:pPr>
            <w:r>
              <w:rPr/>
              <w:t>(1,552</w:t>
            </w:r>
          </w:p>
        </w:tc>
        <w:tc>
          <w:tcPr>
            <w:tcW w:w="174"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11,990</w:t>
            </w:r>
          </w:p>
        </w:tc>
        <w:tc>
          <w:tcPr>
            <w:tcW w:w="330" w:type="dxa"/>
            <w:tcBorders/>
            <w:shd w:fill="auto" w:val="clear"/>
            <w:vAlign w:val="bottom"/>
          </w:tcPr>
          <w:p>
            <w:pPr>
              <w:pStyle w:val="TableContents"/>
              <w:spacing w:before="0" w:after="283"/>
              <w:rPr/>
            </w:pPr>
            <w:r>
              <w:rPr/>
              <w:t> </w:t>
            </w:r>
          </w:p>
        </w:tc>
      </w:tr>
      <w:tr>
        <w:trPr/>
        <w:tc>
          <w:tcPr>
            <w:tcW w:w="184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8194"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847" w:type="dxa"/>
            <w:tcBorders/>
            <w:shd w:fill="CCEEFF" w:val="clear"/>
            <w:vAlign w:val="bottom"/>
          </w:tcPr>
          <w:p>
            <w:pPr>
              <w:pStyle w:val="TableContents"/>
              <w:spacing w:before="0" w:after="0"/>
              <w:ind w:left="225" w:right="0" w:hanging="225"/>
              <w:rPr/>
            </w:pPr>
            <w:r>
              <w:rPr/>
              <w:t>Change in interest income2</w:t>
            </w:r>
          </w:p>
        </w:tc>
        <w:tc>
          <w:tcPr>
            <w:tcW w:w="16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788" w:type="dxa"/>
            <w:tcBorders/>
            <w:shd w:fill="CCEEFF" w:val="clear"/>
            <w:vAlign w:val="bottom"/>
          </w:tcPr>
          <w:p>
            <w:pPr>
              <w:pStyle w:val="TableContents"/>
              <w:spacing w:before="0" w:after="283"/>
              <w:jc w:val="right"/>
              <w:rPr/>
            </w:pPr>
            <w:r>
              <w:rPr/>
              <w:t>17,702</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788" w:type="dxa"/>
            <w:tcBorders/>
            <w:shd w:fill="CCEEFF" w:val="clear"/>
            <w:vAlign w:val="bottom"/>
          </w:tcPr>
          <w:p>
            <w:pPr>
              <w:pStyle w:val="TableContents"/>
              <w:spacing w:before="0" w:after="283"/>
              <w:jc w:val="right"/>
              <w:rPr/>
            </w:pPr>
            <w:r>
              <w:rPr/>
              <w:t>13,002</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788" w:type="dxa"/>
            <w:tcBorders/>
            <w:shd w:fill="CCEEFF" w:val="clear"/>
            <w:vAlign w:val="bottom"/>
          </w:tcPr>
          <w:p>
            <w:pPr>
              <w:pStyle w:val="TableContents"/>
              <w:spacing w:before="0" w:after="283"/>
              <w:jc w:val="right"/>
              <w:rPr/>
            </w:pPr>
            <w:r>
              <w:rPr/>
              <w:t>30,704</w:t>
            </w:r>
          </w:p>
        </w:tc>
        <w:tc>
          <w:tcPr>
            <w:tcW w:w="3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right"/>
              <w:rPr/>
            </w:pPr>
            <w:r>
              <w:rPr/>
              <w:t>$</w:t>
            </w:r>
          </w:p>
        </w:tc>
        <w:tc>
          <w:tcPr>
            <w:tcW w:w="799" w:type="dxa"/>
            <w:tcBorders/>
            <w:shd w:fill="CCEEFF" w:val="clear"/>
            <w:vAlign w:val="bottom"/>
          </w:tcPr>
          <w:p>
            <w:pPr>
              <w:pStyle w:val="TableContents"/>
              <w:spacing w:before="0" w:after="283"/>
              <w:jc w:val="right"/>
              <w:rPr/>
            </w:pPr>
            <w:r>
              <w:rPr/>
              <w:t>14,400</w:t>
            </w:r>
          </w:p>
        </w:tc>
        <w:tc>
          <w:tcPr>
            <w:tcW w:w="1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right"/>
              <w:rPr/>
            </w:pPr>
            <w:r>
              <w:rPr/>
              <w:t>$</w:t>
            </w:r>
          </w:p>
        </w:tc>
        <w:tc>
          <w:tcPr>
            <w:tcW w:w="760" w:type="dxa"/>
            <w:tcBorders/>
            <w:shd w:fill="CCEEFF" w:val="clear"/>
            <w:vAlign w:val="bottom"/>
          </w:tcPr>
          <w:p>
            <w:pPr>
              <w:pStyle w:val="TableContents"/>
              <w:spacing w:before="0" w:after="283"/>
              <w:jc w:val="right"/>
              <w:rPr/>
            </w:pPr>
            <w:r>
              <w:rPr/>
              <w:t>(2,283</w:t>
            </w:r>
          </w:p>
        </w:tc>
        <w:tc>
          <w:tcPr>
            <w:tcW w:w="174"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right"/>
              <w:rPr/>
            </w:pPr>
            <w:r>
              <w:rPr/>
              <w:t>$</w:t>
            </w:r>
          </w:p>
        </w:tc>
        <w:tc>
          <w:tcPr>
            <w:tcW w:w="799" w:type="dxa"/>
            <w:tcBorders/>
            <w:shd w:fill="CCEEFF" w:val="clear"/>
            <w:vAlign w:val="bottom"/>
          </w:tcPr>
          <w:p>
            <w:pPr>
              <w:pStyle w:val="TableContents"/>
              <w:spacing w:before="0" w:after="283"/>
              <w:jc w:val="right"/>
              <w:rPr/>
            </w:pPr>
            <w:r>
              <w:rPr/>
              <w:t>12,117</w:t>
            </w:r>
          </w:p>
        </w:tc>
        <w:tc>
          <w:tcPr>
            <w:tcW w:w="330" w:type="dxa"/>
            <w:tcBorders/>
            <w:shd w:fill="CCEEFF" w:val="clear"/>
            <w:vAlign w:val="bottom"/>
          </w:tcPr>
          <w:p>
            <w:pPr>
              <w:pStyle w:val="TableContents"/>
              <w:spacing w:before="0" w:after="283"/>
              <w:rPr/>
            </w:pPr>
            <w:r>
              <w:rPr/>
              <w:t> </w:t>
            </w:r>
          </w:p>
        </w:tc>
      </w:tr>
      <w:tr>
        <w:trPr/>
        <w:tc>
          <w:tcPr>
            <w:tcW w:w="184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8194" w:type="dxa"/>
            <w:gridSpan w:val="23"/>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1847" w:type="dxa"/>
            <w:tcBorders/>
            <w:shd w:fill="auto" w:val="clear"/>
            <w:vAlign w:val="center"/>
          </w:tcPr>
          <w:p>
            <w:pPr>
              <w:pStyle w:val="TableContents"/>
              <w:spacing w:before="0" w:after="283"/>
              <w:rPr/>
            </w:pPr>
            <w:r>
              <w:rPr/>
              <w:t> </w:t>
            </w:r>
          </w:p>
        </w:tc>
        <w:tc>
          <w:tcPr>
            <w:tcW w:w="8358" w:type="dxa"/>
            <w:gridSpan w:val="24"/>
            <w:tcBorders/>
            <w:shd w:fill="auto" w:val="clear"/>
          </w:tcPr>
          <w:p>
            <w:pPr>
              <w:pStyle w:val="TableContents"/>
              <w:spacing w:before="0" w:after="283"/>
              <w:rPr>
                <w:sz w:val="4"/>
                <w:szCs w:val="4"/>
              </w:rPr>
            </w:pPr>
            <w:r>
              <w:rPr>
                <w:sz w:val="4"/>
                <w:szCs w:val="4"/>
              </w:rPr>
            </w:r>
          </w:p>
        </w:tc>
      </w:tr>
      <w:tr>
        <w:trPr/>
        <w:tc>
          <w:tcPr>
            <w:tcW w:w="1847" w:type="dxa"/>
            <w:tcBorders/>
            <w:shd w:fill="auto" w:val="clear"/>
            <w:vAlign w:val="bottom"/>
          </w:tcPr>
          <w:p>
            <w:pPr>
              <w:pStyle w:val="TableContents"/>
              <w:spacing w:before="0" w:after="0"/>
              <w:ind w:left="225" w:right="0" w:hanging="225"/>
              <w:rPr/>
            </w:pPr>
            <w:r>
              <w:rPr/>
              <w:t>Increase (decrease) in interest expense:</w:t>
            </w:r>
          </w:p>
        </w:tc>
        <w:tc>
          <w:tcPr>
            <w:tcW w:w="16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450" w:right="0" w:hanging="225"/>
              <w:rPr/>
            </w:pPr>
            <w:r>
              <w:rPr/>
              <w:t>Interest bearing transaction deposits</w:t>
            </w:r>
          </w:p>
        </w:tc>
        <w:tc>
          <w:tcPr>
            <w:tcW w:w="16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788" w:type="dxa"/>
            <w:tcBorders/>
            <w:shd w:fill="CCEEFF" w:val="clear"/>
            <w:vAlign w:val="bottom"/>
          </w:tcPr>
          <w:p>
            <w:pPr>
              <w:pStyle w:val="TableContents"/>
              <w:spacing w:before="0" w:after="283"/>
              <w:jc w:val="right"/>
              <w:rPr/>
            </w:pPr>
            <w:r>
              <w:rPr/>
              <w:t>132</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788" w:type="dxa"/>
            <w:tcBorders/>
            <w:shd w:fill="CCEEFF" w:val="clear"/>
            <w:vAlign w:val="bottom"/>
          </w:tcPr>
          <w:p>
            <w:pPr>
              <w:pStyle w:val="TableContents"/>
              <w:spacing w:before="0" w:after="283"/>
              <w:jc w:val="right"/>
              <w:rPr/>
            </w:pPr>
            <w:r>
              <w:rPr/>
              <w:t>100</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788" w:type="dxa"/>
            <w:tcBorders/>
            <w:shd w:fill="CCEEFF" w:val="clear"/>
            <w:vAlign w:val="bottom"/>
          </w:tcPr>
          <w:p>
            <w:pPr>
              <w:pStyle w:val="TableContents"/>
              <w:spacing w:before="0" w:after="283"/>
              <w:jc w:val="right"/>
              <w:rPr/>
            </w:pPr>
            <w:r>
              <w:rPr/>
              <w:t>232</w:t>
            </w:r>
          </w:p>
        </w:tc>
        <w:tc>
          <w:tcPr>
            <w:tcW w:w="3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right"/>
              <w:rPr/>
            </w:pPr>
            <w:r>
              <w:rPr/>
              <w:t>$</w:t>
            </w:r>
          </w:p>
        </w:tc>
        <w:tc>
          <w:tcPr>
            <w:tcW w:w="799" w:type="dxa"/>
            <w:tcBorders/>
            <w:shd w:fill="CCEEFF" w:val="clear"/>
            <w:vAlign w:val="bottom"/>
          </w:tcPr>
          <w:p>
            <w:pPr>
              <w:pStyle w:val="TableContents"/>
              <w:spacing w:before="0" w:after="283"/>
              <w:jc w:val="right"/>
              <w:rPr/>
            </w:pPr>
            <w:r>
              <w:rPr/>
              <w:t>52</w:t>
            </w:r>
          </w:p>
        </w:tc>
        <w:tc>
          <w:tcPr>
            <w:tcW w:w="1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right"/>
              <w:rPr/>
            </w:pPr>
            <w:r>
              <w:rPr/>
              <w:t>$</w:t>
            </w:r>
          </w:p>
        </w:tc>
        <w:tc>
          <w:tcPr>
            <w:tcW w:w="760" w:type="dxa"/>
            <w:tcBorders/>
            <w:shd w:fill="CCEEFF" w:val="clear"/>
            <w:vAlign w:val="bottom"/>
          </w:tcPr>
          <w:p>
            <w:pPr>
              <w:pStyle w:val="TableContents"/>
              <w:spacing w:before="0" w:after="283"/>
              <w:jc w:val="right"/>
              <w:rPr/>
            </w:pPr>
            <w:r>
              <w:rPr/>
              <w:t>49</w:t>
            </w:r>
          </w:p>
        </w:tc>
        <w:tc>
          <w:tcPr>
            <w:tcW w:w="17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right"/>
              <w:rPr/>
            </w:pPr>
            <w:r>
              <w:rPr/>
              <w:t>$</w:t>
            </w:r>
          </w:p>
        </w:tc>
        <w:tc>
          <w:tcPr>
            <w:tcW w:w="799" w:type="dxa"/>
            <w:tcBorders/>
            <w:shd w:fill="CCEEFF" w:val="clear"/>
            <w:vAlign w:val="bottom"/>
          </w:tcPr>
          <w:p>
            <w:pPr>
              <w:pStyle w:val="TableContents"/>
              <w:spacing w:before="0" w:after="283"/>
              <w:jc w:val="right"/>
              <w:rPr/>
            </w:pPr>
            <w:r>
              <w:rPr/>
              <w:t>101</w:t>
            </w:r>
          </w:p>
        </w:tc>
        <w:tc>
          <w:tcPr>
            <w:tcW w:w="330" w:type="dxa"/>
            <w:tcBorders/>
            <w:shd w:fill="CCEEFF"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0"/>
              <w:ind w:left="450" w:right="0" w:hanging="225"/>
              <w:rPr/>
            </w:pPr>
            <w:r>
              <w:rPr/>
              <w:t>Savings deposits</w:t>
            </w:r>
          </w:p>
        </w:tc>
        <w:tc>
          <w:tcPr>
            <w:tcW w:w="16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34</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129</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163</w:t>
            </w:r>
          </w:p>
        </w:tc>
        <w:tc>
          <w:tcPr>
            <w:tcW w:w="3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49</w:t>
            </w:r>
          </w:p>
        </w:tc>
        <w:tc>
          <w:tcPr>
            <w:tcW w:w="1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right"/>
              <w:rPr/>
            </w:pPr>
            <w:r>
              <w:rPr/>
              <w:t> </w:t>
            </w:r>
          </w:p>
        </w:tc>
        <w:tc>
          <w:tcPr>
            <w:tcW w:w="760" w:type="dxa"/>
            <w:tcBorders/>
            <w:shd w:fill="auto" w:val="clear"/>
            <w:vAlign w:val="bottom"/>
          </w:tcPr>
          <w:p>
            <w:pPr>
              <w:pStyle w:val="TableContents"/>
              <w:spacing w:before="0" w:after="283"/>
              <w:jc w:val="right"/>
              <w:rPr/>
            </w:pPr>
            <w:r>
              <w:rPr/>
              <w:t>(78</w:t>
            </w:r>
          </w:p>
        </w:tc>
        <w:tc>
          <w:tcPr>
            <w:tcW w:w="174"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right"/>
              <w:rPr/>
            </w:pPr>
            <w:r>
              <w:rPr/>
              <w:t> </w:t>
            </w:r>
          </w:p>
        </w:tc>
        <w:tc>
          <w:tcPr>
            <w:tcW w:w="799" w:type="dxa"/>
            <w:tcBorders/>
            <w:shd w:fill="auto" w:val="clear"/>
            <w:vAlign w:val="bottom"/>
          </w:tcPr>
          <w:p>
            <w:pPr>
              <w:pStyle w:val="TableContents"/>
              <w:spacing w:before="0" w:after="283"/>
              <w:jc w:val="right"/>
              <w:rPr/>
            </w:pPr>
            <w:r>
              <w:rPr/>
              <w:t>(29</w:t>
            </w:r>
          </w:p>
        </w:tc>
        <w:tc>
          <w:tcPr>
            <w:tcW w:w="330" w:type="dxa"/>
            <w:tcBorders/>
            <w:shd w:fill="auto" w:val="clear"/>
            <w:vAlign w:val="bottom"/>
          </w:tcPr>
          <w:p>
            <w:pPr>
              <w:pStyle w:val="TableContents"/>
              <w:spacing w:before="0" w:after="283"/>
              <w:rPr/>
            </w:pPr>
            <w:r>
              <w:rPr/>
              <w:t>)</w:t>
            </w:r>
          </w:p>
        </w:tc>
      </w:tr>
      <w:tr>
        <w:trPr/>
        <w:tc>
          <w:tcPr>
            <w:tcW w:w="1847" w:type="dxa"/>
            <w:tcBorders/>
            <w:shd w:fill="CCEEFF" w:val="clear"/>
            <w:vAlign w:val="bottom"/>
          </w:tcPr>
          <w:p>
            <w:pPr>
              <w:pStyle w:val="TableContents"/>
              <w:spacing w:before="0" w:after="0"/>
              <w:ind w:left="450" w:right="0" w:hanging="225"/>
              <w:rPr/>
            </w:pPr>
            <w:r>
              <w:rPr/>
              <w:t>Money market deposits</w:t>
            </w:r>
          </w:p>
        </w:tc>
        <w:tc>
          <w:tcPr>
            <w:tcW w:w="16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810</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4,844</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5,654</w:t>
            </w:r>
          </w:p>
        </w:tc>
        <w:tc>
          <w:tcPr>
            <w:tcW w:w="3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485</w:t>
            </w:r>
          </w:p>
        </w:tc>
        <w:tc>
          <w:tcPr>
            <w:tcW w:w="1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274</w:t>
            </w:r>
          </w:p>
        </w:tc>
        <w:tc>
          <w:tcPr>
            <w:tcW w:w="17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759</w:t>
            </w:r>
          </w:p>
        </w:tc>
        <w:tc>
          <w:tcPr>
            <w:tcW w:w="330" w:type="dxa"/>
            <w:tcBorders/>
            <w:shd w:fill="CCEEFF"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0"/>
              <w:ind w:left="450" w:right="0" w:hanging="225"/>
              <w:rPr/>
            </w:pPr>
            <w:r>
              <w:rPr/>
              <w:t>Time deposits</w:t>
            </w:r>
          </w:p>
        </w:tc>
        <w:tc>
          <w:tcPr>
            <w:tcW w:w="16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3,488</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2,966</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6,454</w:t>
            </w:r>
          </w:p>
        </w:tc>
        <w:tc>
          <w:tcPr>
            <w:tcW w:w="3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2,048</w:t>
            </w:r>
          </w:p>
        </w:tc>
        <w:tc>
          <w:tcPr>
            <w:tcW w:w="1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right"/>
              <w:rPr/>
            </w:pPr>
            <w:r>
              <w:rPr/>
              <w:t> </w:t>
            </w:r>
          </w:p>
        </w:tc>
        <w:tc>
          <w:tcPr>
            <w:tcW w:w="760" w:type="dxa"/>
            <w:tcBorders/>
            <w:shd w:fill="auto" w:val="clear"/>
            <w:vAlign w:val="bottom"/>
          </w:tcPr>
          <w:p>
            <w:pPr>
              <w:pStyle w:val="TableContents"/>
              <w:spacing w:before="0" w:after="283"/>
              <w:jc w:val="right"/>
              <w:rPr/>
            </w:pPr>
            <w:r>
              <w:rPr/>
              <w:t>(1,087</w:t>
            </w:r>
          </w:p>
        </w:tc>
        <w:tc>
          <w:tcPr>
            <w:tcW w:w="174"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961</w:t>
            </w:r>
          </w:p>
        </w:tc>
        <w:tc>
          <w:tcPr>
            <w:tcW w:w="330" w:type="dxa"/>
            <w:tcBorders/>
            <w:shd w:fill="auto" w:val="clear"/>
            <w:vAlign w:val="bottom"/>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450" w:right="0" w:hanging="225"/>
              <w:rPr/>
            </w:pPr>
            <w:r>
              <w:rPr/>
              <w:t>Federal funds purchased</w:t>
            </w:r>
          </w:p>
        </w:tc>
        <w:tc>
          <w:tcPr>
            <w:tcW w:w="16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91</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79</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170</w:t>
            </w:r>
          </w:p>
        </w:tc>
        <w:tc>
          <w:tcPr>
            <w:tcW w:w="3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25</w:t>
            </w:r>
          </w:p>
        </w:tc>
        <w:tc>
          <w:tcPr>
            <w:tcW w:w="1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right"/>
              <w:rPr/>
            </w:pPr>
            <w:r>
              <w:rPr/>
              <w:t> </w:t>
            </w:r>
          </w:p>
        </w:tc>
        <w:tc>
          <w:tcPr>
            <w:tcW w:w="760" w:type="dxa"/>
            <w:tcBorders/>
            <w:shd w:fill="CCEEFF" w:val="clear"/>
            <w:vAlign w:val="bottom"/>
          </w:tcPr>
          <w:p>
            <w:pPr>
              <w:pStyle w:val="TableContents"/>
              <w:spacing w:before="0" w:after="283"/>
              <w:jc w:val="right"/>
              <w:rPr/>
            </w:pPr>
            <w:r>
              <w:rPr/>
              <w:t>(3</w:t>
            </w:r>
          </w:p>
        </w:tc>
        <w:tc>
          <w:tcPr>
            <w:tcW w:w="174"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22</w:t>
            </w:r>
          </w:p>
        </w:tc>
        <w:tc>
          <w:tcPr>
            <w:tcW w:w="330" w:type="dxa"/>
            <w:tcBorders/>
            <w:shd w:fill="CCEEFF"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0"/>
              <w:ind w:left="450" w:right="0" w:hanging="225"/>
              <w:rPr/>
            </w:pPr>
            <w:r>
              <w:rPr/>
              <w:t>Securities sold under agreements to repurchase</w:t>
            </w:r>
          </w:p>
        </w:tc>
        <w:tc>
          <w:tcPr>
            <w:tcW w:w="16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303</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307</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610</w:t>
            </w:r>
          </w:p>
        </w:tc>
        <w:tc>
          <w:tcPr>
            <w:tcW w:w="3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240</w:t>
            </w:r>
          </w:p>
        </w:tc>
        <w:tc>
          <w:tcPr>
            <w:tcW w:w="1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right"/>
              <w:rPr/>
            </w:pPr>
            <w:r>
              <w:rPr/>
              <w:t> </w:t>
            </w:r>
          </w:p>
        </w:tc>
        <w:tc>
          <w:tcPr>
            <w:tcW w:w="760" w:type="dxa"/>
            <w:tcBorders/>
            <w:shd w:fill="auto" w:val="clear"/>
            <w:vAlign w:val="bottom"/>
          </w:tcPr>
          <w:p>
            <w:pPr>
              <w:pStyle w:val="TableContents"/>
              <w:spacing w:before="0" w:after="283"/>
              <w:jc w:val="right"/>
              <w:rPr/>
            </w:pPr>
            <w:r>
              <w:rPr/>
              <w:t>(9</w:t>
            </w:r>
          </w:p>
        </w:tc>
        <w:tc>
          <w:tcPr>
            <w:tcW w:w="174"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231</w:t>
            </w:r>
          </w:p>
        </w:tc>
        <w:tc>
          <w:tcPr>
            <w:tcW w:w="330" w:type="dxa"/>
            <w:tcBorders/>
            <w:shd w:fill="auto" w:val="clear"/>
            <w:vAlign w:val="bottom"/>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450" w:right="0" w:hanging="225"/>
              <w:rPr/>
            </w:pPr>
            <w:r>
              <w:rPr/>
              <w:t>Other short-term borrowings</w:t>
            </w:r>
          </w:p>
        </w:tc>
        <w:tc>
          <w:tcPr>
            <w:tcW w:w="16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 </w:t>
            </w:r>
          </w:p>
        </w:tc>
        <w:tc>
          <w:tcPr>
            <w:tcW w:w="788" w:type="dxa"/>
            <w:tcBorders/>
            <w:shd w:fill="CCEEFF" w:val="clear"/>
            <w:vAlign w:val="bottom"/>
          </w:tcPr>
          <w:p>
            <w:pPr>
              <w:pStyle w:val="TableContents"/>
              <w:spacing w:before="0" w:after="283"/>
              <w:jc w:val="right"/>
              <w:rPr/>
            </w:pPr>
            <w:r>
              <w:rPr/>
              <w:t>(260</w:t>
            </w:r>
          </w:p>
        </w:tc>
        <w:tc>
          <w:tcPr>
            <w:tcW w:w="169" w:type="dxa"/>
            <w:tcBorders/>
            <w:shd w:fill="CCEEFF" w:val="clear"/>
            <w:vAlign w:val="bottom"/>
          </w:tcPr>
          <w:p>
            <w:pPr>
              <w:pStyle w:val="TableContents"/>
              <w:spacing w:before="0" w:after="283"/>
              <w:rPr/>
            </w:pPr>
            <w:r>
              <w:rPr/>
              <w:t>)</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202</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 </w:t>
            </w:r>
          </w:p>
        </w:tc>
        <w:tc>
          <w:tcPr>
            <w:tcW w:w="788" w:type="dxa"/>
            <w:tcBorders/>
            <w:shd w:fill="CCEEFF" w:val="clear"/>
            <w:vAlign w:val="bottom"/>
          </w:tcPr>
          <w:p>
            <w:pPr>
              <w:pStyle w:val="TableContents"/>
              <w:spacing w:before="0" w:after="283"/>
              <w:jc w:val="right"/>
              <w:rPr/>
            </w:pPr>
            <w:r>
              <w:rPr/>
              <w:t>(58</w:t>
            </w:r>
          </w:p>
        </w:tc>
        <w:tc>
          <w:tcPr>
            <w:tcW w:w="309"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158</w:t>
            </w:r>
          </w:p>
        </w:tc>
        <w:tc>
          <w:tcPr>
            <w:tcW w:w="1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w:t>
            </w:r>
          </w:p>
        </w:tc>
        <w:tc>
          <w:tcPr>
            <w:tcW w:w="17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158</w:t>
            </w:r>
          </w:p>
        </w:tc>
        <w:tc>
          <w:tcPr>
            <w:tcW w:w="330" w:type="dxa"/>
            <w:tcBorders/>
            <w:shd w:fill="CCEEFF" w:val="cle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0"/>
              <w:ind w:left="450" w:right="0" w:hanging="225"/>
              <w:rPr/>
            </w:pPr>
            <w:r>
              <w:rPr/>
              <w:t>Long-term debt</w:t>
            </w:r>
          </w:p>
        </w:tc>
        <w:tc>
          <w:tcPr>
            <w:tcW w:w="16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1,108</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189</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1,297</w:t>
            </w:r>
          </w:p>
        </w:tc>
        <w:tc>
          <w:tcPr>
            <w:tcW w:w="3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2,122</w:t>
            </w:r>
          </w:p>
        </w:tc>
        <w:tc>
          <w:tcPr>
            <w:tcW w:w="1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right"/>
              <w:rPr/>
            </w:pPr>
            <w:r>
              <w:rPr/>
              <w:t> </w:t>
            </w:r>
          </w:p>
        </w:tc>
        <w:tc>
          <w:tcPr>
            <w:tcW w:w="760" w:type="dxa"/>
            <w:tcBorders/>
            <w:shd w:fill="auto" w:val="clear"/>
            <w:vAlign w:val="bottom"/>
          </w:tcPr>
          <w:p>
            <w:pPr>
              <w:pStyle w:val="TableContents"/>
              <w:spacing w:before="0" w:after="283"/>
              <w:jc w:val="right"/>
              <w:rPr/>
            </w:pPr>
            <w:r>
              <w:rPr/>
              <w:t>(328</w:t>
            </w:r>
          </w:p>
        </w:tc>
        <w:tc>
          <w:tcPr>
            <w:tcW w:w="174"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1,794</w:t>
            </w:r>
          </w:p>
        </w:tc>
        <w:tc>
          <w:tcPr>
            <w:tcW w:w="330" w:type="dxa"/>
            <w:tcBorders/>
            <w:shd w:fill="auto" w:val="clear"/>
            <w:vAlign w:val="bottom"/>
          </w:tcPr>
          <w:p>
            <w:pPr>
              <w:pStyle w:val="TableContents"/>
              <w:spacing w:before="0" w:after="283"/>
              <w:rPr/>
            </w:pPr>
            <w:r>
              <w:rPr/>
              <w:t> </w:t>
            </w:r>
          </w:p>
        </w:tc>
      </w:tr>
      <w:tr>
        <w:trPr/>
        <w:tc>
          <w:tcPr>
            <w:tcW w:w="1847" w:type="dxa"/>
            <w:tcBorders/>
            <w:shd w:fill="CCEEFF" w:val="clear"/>
            <w:vAlign w:val="bottom"/>
          </w:tcPr>
          <w:p>
            <w:pPr>
              <w:pStyle w:val="TableContents"/>
              <w:spacing w:before="0" w:after="0"/>
              <w:ind w:left="450" w:right="0" w:hanging="225"/>
              <w:rPr/>
            </w:pPr>
            <w:r>
              <w:rPr/>
              <w:t>Junior subordinated debt owed to unconsolidated trusts</w:t>
            </w:r>
          </w:p>
        </w:tc>
        <w:tc>
          <w:tcPr>
            <w:tcW w:w="16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761</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18</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779</w:t>
            </w:r>
          </w:p>
        </w:tc>
        <w:tc>
          <w:tcPr>
            <w:tcW w:w="3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692</w:t>
            </w:r>
          </w:p>
        </w:tc>
        <w:tc>
          <w:tcPr>
            <w:tcW w:w="1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right"/>
              <w:rPr/>
            </w:pPr>
            <w:r>
              <w:rPr/>
              <w:t> </w:t>
            </w:r>
          </w:p>
        </w:tc>
        <w:tc>
          <w:tcPr>
            <w:tcW w:w="760" w:type="dxa"/>
            <w:tcBorders/>
            <w:shd w:fill="CCEEFF" w:val="clear"/>
            <w:vAlign w:val="bottom"/>
          </w:tcPr>
          <w:p>
            <w:pPr>
              <w:pStyle w:val="TableContents"/>
              <w:spacing w:before="0" w:after="283"/>
              <w:jc w:val="right"/>
              <w:rPr/>
            </w:pPr>
            <w:r>
              <w:rPr/>
              <w:t>(266</w:t>
            </w:r>
          </w:p>
        </w:tc>
        <w:tc>
          <w:tcPr>
            <w:tcW w:w="174"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426</w:t>
            </w:r>
          </w:p>
        </w:tc>
        <w:tc>
          <w:tcPr>
            <w:tcW w:w="330" w:type="dxa"/>
            <w:tcBorders/>
            <w:shd w:fill="CCEEFF" w:val="clear"/>
            <w:vAlign w:val="bottom"/>
          </w:tcPr>
          <w:p>
            <w:pPr>
              <w:pStyle w:val="TableContents"/>
              <w:spacing w:before="0" w:after="283"/>
              <w:rPr/>
            </w:pPr>
            <w:r>
              <w:rPr/>
              <w:t> </w:t>
            </w:r>
          </w:p>
        </w:tc>
      </w:tr>
      <w:tr>
        <w:trPr/>
        <w:tc>
          <w:tcPr>
            <w:tcW w:w="184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8194"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847" w:type="dxa"/>
            <w:tcBorders/>
            <w:shd w:fill="auto" w:val="clear"/>
            <w:vAlign w:val="bottom"/>
          </w:tcPr>
          <w:p>
            <w:pPr>
              <w:pStyle w:val="TableContents"/>
              <w:spacing w:before="0" w:after="0"/>
              <w:ind w:left="225" w:right="0" w:hanging="225"/>
              <w:rPr/>
            </w:pPr>
            <w:r>
              <w:rPr/>
              <w:t>Change in interest expense</w:t>
            </w:r>
          </w:p>
        </w:tc>
        <w:tc>
          <w:tcPr>
            <w:tcW w:w="16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w:t>
            </w:r>
          </w:p>
        </w:tc>
        <w:tc>
          <w:tcPr>
            <w:tcW w:w="788" w:type="dxa"/>
            <w:tcBorders/>
            <w:shd w:fill="auto" w:val="clear"/>
            <w:vAlign w:val="bottom"/>
          </w:tcPr>
          <w:p>
            <w:pPr>
              <w:pStyle w:val="TableContents"/>
              <w:spacing w:before="0" w:after="283"/>
              <w:jc w:val="right"/>
              <w:rPr/>
            </w:pPr>
            <w:r>
              <w:rPr/>
              <w:t>6,467</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w:t>
            </w:r>
          </w:p>
        </w:tc>
        <w:tc>
          <w:tcPr>
            <w:tcW w:w="788" w:type="dxa"/>
            <w:tcBorders/>
            <w:shd w:fill="auto" w:val="clear"/>
            <w:vAlign w:val="bottom"/>
          </w:tcPr>
          <w:p>
            <w:pPr>
              <w:pStyle w:val="TableContents"/>
              <w:spacing w:before="0" w:after="283"/>
              <w:jc w:val="right"/>
              <w:rPr/>
            </w:pPr>
            <w:r>
              <w:rPr/>
              <w:t>8,834</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w:t>
            </w:r>
          </w:p>
        </w:tc>
        <w:tc>
          <w:tcPr>
            <w:tcW w:w="788" w:type="dxa"/>
            <w:tcBorders/>
            <w:shd w:fill="auto" w:val="clear"/>
            <w:vAlign w:val="bottom"/>
          </w:tcPr>
          <w:p>
            <w:pPr>
              <w:pStyle w:val="TableContents"/>
              <w:spacing w:before="0" w:after="283"/>
              <w:jc w:val="right"/>
              <w:rPr/>
            </w:pPr>
            <w:r>
              <w:rPr/>
              <w:t>15,301</w:t>
            </w:r>
          </w:p>
        </w:tc>
        <w:tc>
          <w:tcPr>
            <w:tcW w:w="3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right"/>
              <w:rPr/>
            </w:pPr>
            <w:r>
              <w:rPr/>
              <w:t>$</w:t>
            </w:r>
          </w:p>
        </w:tc>
        <w:tc>
          <w:tcPr>
            <w:tcW w:w="799" w:type="dxa"/>
            <w:tcBorders/>
            <w:shd w:fill="auto" w:val="clear"/>
            <w:vAlign w:val="bottom"/>
          </w:tcPr>
          <w:p>
            <w:pPr>
              <w:pStyle w:val="TableContents"/>
              <w:spacing w:before="0" w:after="283"/>
              <w:jc w:val="right"/>
              <w:rPr/>
            </w:pPr>
            <w:r>
              <w:rPr/>
              <w:t>5,871</w:t>
            </w:r>
          </w:p>
        </w:tc>
        <w:tc>
          <w:tcPr>
            <w:tcW w:w="1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right"/>
              <w:rPr/>
            </w:pPr>
            <w:r>
              <w:rPr/>
              <w:t>$</w:t>
            </w:r>
          </w:p>
        </w:tc>
        <w:tc>
          <w:tcPr>
            <w:tcW w:w="760" w:type="dxa"/>
            <w:tcBorders/>
            <w:shd w:fill="auto" w:val="clear"/>
            <w:vAlign w:val="bottom"/>
          </w:tcPr>
          <w:p>
            <w:pPr>
              <w:pStyle w:val="TableContents"/>
              <w:spacing w:before="0" w:after="283"/>
              <w:jc w:val="right"/>
              <w:rPr/>
            </w:pPr>
            <w:r>
              <w:rPr/>
              <w:t>(1,448</w:t>
            </w:r>
          </w:p>
        </w:tc>
        <w:tc>
          <w:tcPr>
            <w:tcW w:w="174"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right"/>
              <w:rPr/>
            </w:pPr>
            <w:r>
              <w:rPr/>
              <w:t>$</w:t>
            </w:r>
          </w:p>
        </w:tc>
        <w:tc>
          <w:tcPr>
            <w:tcW w:w="799" w:type="dxa"/>
            <w:tcBorders/>
            <w:shd w:fill="auto" w:val="clear"/>
            <w:vAlign w:val="bottom"/>
          </w:tcPr>
          <w:p>
            <w:pPr>
              <w:pStyle w:val="TableContents"/>
              <w:spacing w:before="0" w:after="283"/>
              <w:jc w:val="right"/>
              <w:rPr/>
            </w:pPr>
            <w:r>
              <w:rPr/>
              <w:t>4,423</w:t>
            </w:r>
          </w:p>
        </w:tc>
        <w:tc>
          <w:tcPr>
            <w:tcW w:w="330" w:type="dxa"/>
            <w:tcBorders/>
            <w:shd w:fill="auto" w:val="clear"/>
            <w:vAlign w:val="bottom"/>
          </w:tcPr>
          <w:p>
            <w:pPr>
              <w:pStyle w:val="TableContents"/>
              <w:spacing w:before="0" w:after="283"/>
              <w:rPr/>
            </w:pPr>
            <w:r>
              <w:rPr/>
              <w:t> </w:t>
            </w:r>
          </w:p>
        </w:tc>
      </w:tr>
      <w:tr>
        <w:trPr/>
        <w:tc>
          <w:tcPr>
            <w:tcW w:w="184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8194"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847" w:type="dxa"/>
            <w:tcBorders/>
            <w:shd w:fill="CCEEFF" w:val="clear"/>
            <w:vAlign w:val="bottom"/>
          </w:tcPr>
          <w:p>
            <w:pPr>
              <w:pStyle w:val="TableContents"/>
              <w:spacing w:before="0" w:after="0"/>
              <w:ind w:left="225" w:right="0" w:hanging="225"/>
              <w:rPr/>
            </w:pPr>
            <w:r>
              <w:rPr/>
              <w:t>Increase (decrease) in net interest income2</w:t>
            </w:r>
          </w:p>
        </w:tc>
        <w:tc>
          <w:tcPr>
            <w:tcW w:w="16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788" w:type="dxa"/>
            <w:tcBorders/>
            <w:shd w:fill="CCEEFF" w:val="clear"/>
            <w:vAlign w:val="bottom"/>
          </w:tcPr>
          <w:p>
            <w:pPr>
              <w:pStyle w:val="TableContents"/>
              <w:spacing w:before="0" w:after="283"/>
              <w:jc w:val="right"/>
              <w:rPr/>
            </w:pPr>
            <w:r>
              <w:rPr/>
              <w:t>11,235</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788" w:type="dxa"/>
            <w:tcBorders/>
            <w:shd w:fill="CCEEFF" w:val="clear"/>
            <w:vAlign w:val="bottom"/>
          </w:tcPr>
          <w:p>
            <w:pPr>
              <w:pStyle w:val="TableContents"/>
              <w:spacing w:before="0" w:after="283"/>
              <w:jc w:val="right"/>
              <w:rPr/>
            </w:pPr>
            <w:r>
              <w:rPr/>
              <w:t>4,168</w:t>
            </w:r>
          </w:p>
        </w:tc>
        <w:tc>
          <w:tcPr>
            <w:tcW w:w="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right"/>
              <w:rPr/>
            </w:pPr>
            <w:r>
              <w:rPr/>
              <w:t>$</w:t>
            </w:r>
          </w:p>
        </w:tc>
        <w:tc>
          <w:tcPr>
            <w:tcW w:w="788" w:type="dxa"/>
            <w:tcBorders/>
            <w:shd w:fill="CCEEFF" w:val="clear"/>
            <w:vAlign w:val="bottom"/>
          </w:tcPr>
          <w:p>
            <w:pPr>
              <w:pStyle w:val="TableContents"/>
              <w:spacing w:before="0" w:after="283"/>
              <w:jc w:val="right"/>
              <w:rPr/>
            </w:pPr>
            <w:r>
              <w:rPr/>
              <w:t>15,403</w:t>
            </w:r>
          </w:p>
        </w:tc>
        <w:tc>
          <w:tcPr>
            <w:tcW w:w="3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right"/>
              <w:rPr/>
            </w:pPr>
            <w:r>
              <w:rPr/>
              <w:t>$</w:t>
            </w:r>
          </w:p>
        </w:tc>
        <w:tc>
          <w:tcPr>
            <w:tcW w:w="799" w:type="dxa"/>
            <w:tcBorders/>
            <w:shd w:fill="CCEEFF" w:val="clear"/>
            <w:vAlign w:val="bottom"/>
          </w:tcPr>
          <w:p>
            <w:pPr>
              <w:pStyle w:val="TableContents"/>
              <w:spacing w:before="0" w:after="283"/>
              <w:jc w:val="right"/>
              <w:rPr/>
            </w:pPr>
            <w:r>
              <w:rPr/>
              <w:t>8,529</w:t>
            </w:r>
          </w:p>
        </w:tc>
        <w:tc>
          <w:tcPr>
            <w:tcW w:w="1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right"/>
              <w:rPr/>
            </w:pPr>
            <w:r>
              <w:rPr/>
              <w:t>$</w:t>
            </w:r>
          </w:p>
        </w:tc>
        <w:tc>
          <w:tcPr>
            <w:tcW w:w="760" w:type="dxa"/>
            <w:tcBorders/>
            <w:shd w:fill="CCEEFF" w:val="clear"/>
            <w:vAlign w:val="bottom"/>
          </w:tcPr>
          <w:p>
            <w:pPr>
              <w:pStyle w:val="TableContents"/>
              <w:spacing w:before="0" w:after="283"/>
              <w:jc w:val="right"/>
              <w:rPr/>
            </w:pPr>
            <w:r>
              <w:rPr/>
              <w:t>(835</w:t>
            </w:r>
          </w:p>
        </w:tc>
        <w:tc>
          <w:tcPr>
            <w:tcW w:w="174"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right"/>
              <w:rPr/>
            </w:pPr>
            <w:r>
              <w:rPr/>
              <w:t>$</w:t>
            </w:r>
          </w:p>
        </w:tc>
        <w:tc>
          <w:tcPr>
            <w:tcW w:w="799" w:type="dxa"/>
            <w:tcBorders/>
            <w:shd w:fill="CCEEFF" w:val="clear"/>
            <w:vAlign w:val="bottom"/>
          </w:tcPr>
          <w:p>
            <w:pPr>
              <w:pStyle w:val="TableContents"/>
              <w:spacing w:before="0" w:after="283"/>
              <w:jc w:val="right"/>
              <w:rPr/>
            </w:pPr>
            <w:r>
              <w:rPr/>
              <w:t>7,694</w:t>
            </w:r>
          </w:p>
        </w:tc>
        <w:tc>
          <w:tcPr>
            <w:tcW w:w="330" w:type="dxa"/>
            <w:tcBorders/>
            <w:shd w:fill="CCEEFF" w:val="clear"/>
            <w:vAlign w:val="bottom"/>
          </w:tcPr>
          <w:p>
            <w:pPr>
              <w:pStyle w:val="TableContents"/>
              <w:spacing w:before="0" w:after="283"/>
              <w:rPr/>
            </w:pPr>
            <w:r>
              <w:rPr/>
              <w:t> </w:t>
            </w:r>
          </w:p>
        </w:tc>
      </w:tr>
      <w:tr>
        <w:trPr/>
        <w:tc>
          <w:tcPr>
            <w:tcW w:w="184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8194" w:type="dxa"/>
            <w:gridSpan w:val="23"/>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1847" w:type="dxa"/>
            <w:tcBorders/>
            <w:shd w:fill="auto" w:val="clear"/>
            <w:vAlign w:val="center"/>
          </w:tcPr>
          <w:p>
            <w:pPr>
              <w:pStyle w:val="TableContents"/>
              <w:spacing w:before="0" w:after="283"/>
              <w:rPr/>
            </w:pPr>
            <w:r>
              <w:rPr/>
              <w:t> </w:t>
            </w:r>
          </w:p>
        </w:tc>
        <w:tc>
          <w:tcPr>
            <w:tcW w:w="8358" w:type="dxa"/>
            <w:gridSpan w:val="24"/>
            <w:tcBorders/>
            <w:shd w:fill="auto" w:val="clear"/>
          </w:tcPr>
          <w:p>
            <w:pPr>
              <w:pStyle w:val="TableContents"/>
              <w:spacing w:before="0" w:after="283"/>
              <w:rPr>
                <w:sz w:val="4"/>
                <w:szCs w:val="4"/>
              </w:rPr>
            </w:pPr>
            <w:r>
              <w:rPr>
                <w:sz w:val="4"/>
                <w:szCs w:val="4"/>
              </w:rPr>
            </w:r>
          </w:p>
        </w:tc>
      </w:tr>
      <w:tr>
        <w:trPr/>
        <w:tc>
          <w:tcPr>
            <w:tcW w:w="1847" w:type="dxa"/>
            <w:tcBorders/>
            <w:shd w:fill="auto" w:val="clear"/>
            <w:vAlign w:val="bottom"/>
          </w:tcPr>
          <w:p>
            <w:pPr>
              <w:pStyle w:val="TableContents"/>
              <w:spacing w:before="0" w:after="0"/>
              <w:ind w:left="225" w:right="0" w:hanging="225"/>
              <w:rPr/>
            </w:pPr>
            <w:r>
              <w:rPr/>
              <w:t>Percentage increase in net interest income over prior period</w:t>
            </w:r>
          </w:p>
        </w:tc>
        <w:tc>
          <w:tcPr>
            <w:tcW w:w="16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right"/>
              <w:rPr/>
            </w:pPr>
            <w:r>
              <w:rPr/>
              <w:t> </w:t>
            </w:r>
          </w:p>
        </w:tc>
        <w:tc>
          <w:tcPr>
            <w:tcW w:w="788" w:type="dxa"/>
            <w:tcBorders/>
            <w:shd w:fill="auto" w:val="clear"/>
            <w:vAlign w:val="bottom"/>
          </w:tcPr>
          <w:p>
            <w:pPr>
              <w:pStyle w:val="TableContents"/>
              <w:spacing w:before="0" w:after="283"/>
              <w:jc w:val="right"/>
              <w:rPr/>
            </w:pPr>
            <w:r>
              <w:rPr/>
              <w:t>26.9</w:t>
            </w:r>
          </w:p>
        </w:tc>
        <w:tc>
          <w:tcPr>
            <w:tcW w:w="309"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right"/>
              <w:rPr/>
            </w:pPr>
            <w:r>
              <w:rPr/>
              <w:t> </w:t>
            </w:r>
          </w:p>
        </w:tc>
        <w:tc>
          <w:tcPr>
            <w:tcW w:w="799" w:type="dxa"/>
            <w:tcBorders/>
            <w:shd w:fill="auto" w:val="clear"/>
            <w:vAlign w:val="bottom"/>
          </w:tcPr>
          <w:p>
            <w:pPr>
              <w:pStyle w:val="TableContents"/>
              <w:spacing w:before="0" w:after="283"/>
              <w:jc w:val="right"/>
              <w:rPr/>
            </w:pPr>
            <w:r>
              <w:rPr/>
              <w:t>15.5</w:t>
            </w:r>
          </w:p>
        </w:tc>
        <w:tc>
          <w:tcPr>
            <w:tcW w:w="330" w:type="dxa"/>
            <w:tcBorders/>
            <w:shd w:fill="auto" w:val="clear"/>
            <w:vAlign w:val="bottom"/>
          </w:tcPr>
          <w:p>
            <w:pPr>
              <w:pStyle w:val="TableContents"/>
              <w:spacing w:before="0" w:after="283"/>
              <w:rPr/>
            </w:pPr>
            <w:r>
              <w:rPr/>
              <w:t>%</w:t>
            </w:r>
          </w:p>
        </w:tc>
      </w:tr>
      <w:tr>
        <w:trPr/>
        <w:tc>
          <w:tcPr>
            <w:tcW w:w="1847" w:type="dxa"/>
            <w:tcBorders/>
            <w:shd w:fill="auto" w:val="clear"/>
            <w:vAlign w:val="center"/>
          </w:tcPr>
          <w:p>
            <w:pPr>
              <w:pStyle w:val="TableContents"/>
              <w:spacing w:before="0" w:after="0"/>
              <w:ind w:left="225" w:right="0" w:hanging="225"/>
              <w:rPr/>
            </w:pPr>
            <w:r>
              <w:rPr/>
              <w:t> </w:t>
            </w:r>
          </w:p>
        </w:tc>
        <w:tc>
          <w:tcPr>
            <w:tcW w:w="164"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78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788"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788"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799"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7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30"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37"/>
        <w:gridCol w:w="2212"/>
        <w:gridCol w:w="1356"/>
      </w:tblGrid>
      <w:tr>
        <w:trPr/>
        <w:tc>
          <w:tcPr>
            <w:tcW w:w="6637"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r>
      <w:tr>
        <w:trPr/>
        <w:tc>
          <w:tcPr>
            <w:tcW w:w="6637" w:type="dxa"/>
            <w:tcBorders/>
            <w:shd w:fill="auto" w:val="clear"/>
          </w:tcPr>
          <w:p>
            <w:pPr>
              <w:pStyle w:val="TableContents"/>
              <w:spacing w:before="0" w:after="283"/>
              <w:jc w:val="left"/>
              <w:rPr/>
            </w:pPr>
            <w:r>
              <w:rPr/>
              <w:t>1</w:t>
            </w:r>
          </w:p>
        </w:tc>
        <w:tc>
          <w:tcPr>
            <w:tcW w:w="2212" w:type="dxa"/>
            <w:tcBorders/>
            <w:shd w:fill="auto" w:val="clear"/>
          </w:tcPr>
          <w:p>
            <w:pPr>
              <w:pStyle w:val="TableContents"/>
              <w:spacing w:before="0" w:after="283"/>
              <w:rPr/>
            </w:pPr>
            <w:r>
              <w:rPr/>
              <w:t> </w:t>
            </w:r>
          </w:p>
        </w:tc>
        <w:tc>
          <w:tcPr>
            <w:tcW w:w="1356" w:type="dxa"/>
            <w:tcBorders/>
            <w:shd w:fill="auto" w:val="clear"/>
          </w:tcPr>
          <w:p>
            <w:pPr>
              <w:pStyle w:val="TableContents"/>
              <w:spacing w:before="0" w:after="283"/>
              <w:rPr/>
            </w:pPr>
            <w:r>
              <w:rPr/>
              <w:t>Changes due to both rate and volume have been allocated proportionally</w:t>
            </w:r>
          </w:p>
        </w:tc>
      </w:tr>
      <w:tr>
        <w:trPr/>
        <w:tc>
          <w:tcPr>
            <w:tcW w:w="6637" w:type="dxa"/>
            <w:tcBorders/>
            <w:shd w:fill="auto" w:val="clear"/>
            <w:vAlign w:val="center"/>
          </w:tcPr>
          <w:p>
            <w:pPr>
              <w:pStyle w:val="TableContents"/>
              <w:spacing w:before="0" w:after="283"/>
              <w:rPr/>
            </w:pPr>
            <w:r>
              <w:rPr/>
              <w:t> </w:t>
            </w:r>
          </w:p>
        </w:tc>
        <w:tc>
          <w:tcPr>
            <w:tcW w:w="3568" w:type="dxa"/>
            <w:gridSpan w:val="2"/>
            <w:tcBorders/>
            <w:shd w:fill="auto" w:val="clear"/>
          </w:tcPr>
          <w:p>
            <w:pPr>
              <w:pStyle w:val="TableContents"/>
              <w:spacing w:before="0" w:after="283"/>
              <w:rPr>
                <w:sz w:val="4"/>
                <w:szCs w:val="4"/>
              </w:rPr>
            </w:pPr>
            <w:r>
              <w:rPr>
                <w:sz w:val="4"/>
                <w:szCs w:val="4"/>
              </w:rPr>
            </w:r>
          </w:p>
        </w:tc>
      </w:tr>
      <w:tr>
        <w:trPr/>
        <w:tc>
          <w:tcPr>
            <w:tcW w:w="6637" w:type="dxa"/>
            <w:tcBorders/>
            <w:shd w:fill="auto" w:val="clear"/>
          </w:tcPr>
          <w:p>
            <w:pPr>
              <w:pStyle w:val="TableContents"/>
              <w:spacing w:before="0" w:after="283"/>
              <w:jc w:val="left"/>
              <w:rPr/>
            </w:pPr>
            <w:r>
              <w:rPr/>
              <w:t>2</w:t>
            </w:r>
          </w:p>
        </w:tc>
        <w:tc>
          <w:tcPr>
            <w:tcW w:w="2212" w:type="dxa"/>
            <w:tcBorders/>
            <w:shd w:fill="auto" w:val="clear"/>
          </w:tcPr>
          <w:p>
            <w:pPr>
              <w:pStyle w:val="TableContents"/>
              <w:spacing w:before="0" w:after="283"/>
              <w:rPr/>
            </w:pPr>
            <w:r>
              <w:rPr/>
              <w:t> </w:t>
            </w:r>
          </w:p>
        </w:tc>
        <w:tc>
          <w:tcPr>
            <w:tcW w:w="1356" w:type="dxa"/>
            <w:tcBorders/>
            <w:shd w:fill="auto" w:val="clear"/>
          </w:tcPr>
          <w:p>
            <w:pPr>
              <w:pStyle w:val="TableContents"/>
              <w:spacing w:before="0" w:after="283"/>
              <w:rPr/>
            </w:pPr>
            <w:r>
              <w:rPr/>
              <w:t>On a tax equivalent basis, assuming a federal income tax rate of 35%</w:t>
            </w:r>
          </w:p>
        </w:tc>
      </w:tr>
    </w:tbl>
    <w:p>
      <w:pPr>
        <w:pStyle w:val="TextBody"/>
        <w:spacing w:before="240" w:after="283"/>
        <w:jc w:val="left"/>
        <w:rPr>
          <w:rFonts w:ascii="Helvetica;Arial;sans-serif" w:hAnsi="Helvetica;Arial;sans-serif"/>
          <w:sz w:val="17"/>
        </w:rPr>
      </w:pPr>
      <w:r>
        <w:rPr>
          <w:rFonts w:ascii="Helvetica;Arial;sans-serif" w:hAnsi="Helvetica;Arial;sans-serif"/>
          <w:b/>
          <w:i/>
          <w:sz w:val="17"/>
        </w:rPr>
        <w:t>Forward Looking Statements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This presentation includes forward looking statements that are intended to be covered by the safe-harbor provisions of the Private Securities Litigation Reform Act of 1995. These forward looking statements include but are not limited to comments with respect to the objectives and strategies, financial condition, results of operations and business of First Busey Corporation.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These forward looking statements involve numerous assumptions, inherent risks and uncertainties, both general and specific, and the risk that predictions and other forward looking statements will not be achieved. The Corporation cautions you not to place undue reliance on these forward looking statements as a number of important factors could cause actual future results to differ materially from the plans, objectives, expectations, estimates and intentions expressed in such forward looking statements.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These risks, uncertainties and other factors include the general state of the economy, both on a local and national level, the ability of the Corporation to successfully complete acquisitions, the continued growth of the geographic regions served by the Corporation, and the retention of key individuals in the Corporations management structure. </w:t>
      </w:r>
    </w:p>
    <w:p>
      <w:pPr>
        <w:pStyle w:val="TextBody"/>
        <w:jc w:val="center"/>
        <w:rPr>
          <w:rFonts w:ascii="Helvetica;Arial;sans-serif" w:hAnsi="Helvetica;Arial;sans-serif"/>
          <w:sz w:val="17"/>
        </w:rPr>
      </w:pPr>
      <w:r>
        <w:rPr>
          <w:rFonts w:ascii="Helvetica;Arial;sans-serif" w:hAnsi="Helvetica;Arial;sans-serif"/>
          <w:sz w:val="17"/>
        </w:rPr>
        <w:t xml:space="preserve">35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15" w:name="112"/>
      <w:bookmarkEnd w:id="15"/>
      <w:r>
        <w:rPr>
          <w:rFonts w:ascii="Helvetica;Arial;sans-serif" w:hAnsi="Helvetica;Arial;sans-serif"/>
          <w:b/>
          <w:sz w:val="17"/>
        </w:rPr>
        <w:t>Item 7A. Quantitative and Qualitative Disclosures about Market Risk</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Market risk is the risk of change in asset values due to movements in underlying market rates and prices. Interest rate risk is the risk to earnings and capital arising from movements in interest rates. Interest rate risk is the most significant market risk affecting the Corporation as other types of market risk, such as foreign currency exchange rate risk and commodity price risk, do not arise in the normal course of the Corporations business activities.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Corporations subsidiary banks, Busey Bank, Busey Bank Florida and Tarpon Coast National Bank, have asset-liability committees which meet at least quarterly to review current market conditions and attempt to structure the banks balance sheets to ensure stable net interest income despite potential changes in interest rates with all other variables constant.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asset-liability committees use gap analysis to identify mismatches in the dollar value of assets and liabilities subject to repricing within specific time periods. The Funds Management Policies established by the asset liability committees and approved by the Corporations Board of Directors establishes guidelines for maintaining the ratio of cumulative rate-sensitive assets to rate-sensitive liabilities within prescribed ranges at certain intervals.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Interest rate sensitivity is a measure of the volatility of the net interest margin as a consequence of changes in market rates. The rate-sensitivity chart shows the interval of time in which given volumes of rate-sensitive earning assets and rate-sensitive interest-bearing liabilities would be responsive to changes in market interest rates based on their contractual maturities or terms for repricing. It is however, only a static, single-day depiction of the Corporations rate sensitivity structure, which can be adjusted in response to changes in forecasted interest rates.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sets forth the static rate-sensitivity analysis of the Corporation as of December 31, 2005. </w:t>
      </w:r>
    </w:p>
    <w:tbl>
      <w:tblPr>
        <w:tblW w:w="5000" w:type="pct"/>
        <w:jc w:val="center"/>
        <w:tblInd w:w="0" w:type="dxa"/>
        <w:tblCellMar>
          <w:top w:w="0" w:type="dxa"/>
          <w:left w:w="0" w:type="dxa"/>
          <w:bottom w:w="0" w:type="dxa"/>
          <w:right w:w="0" w:type="dxa"/>
        </w:tblCellMar>
      </w:tblPr>
      <w:tblGrid>
        <w:gridCol w:w="1598"/>
        <w:gridCol w:w="121"/>
        <w:gridCol w:w="163"/>
        <w:gridCol w:w="980"/>
        <w:gridCol w:w="237"/>
        <w:gridCol w:w="121"/>
        <w:gridCol w:w="163"/>
        <w:gridCol w:w="936"/>
        <w:gridCol w:w="249"/>
        <w:gridCol w:w="121"/>
        <w:gridCol w:w="163"/>
        <w:gridCol w:w="936"/>
        <w:gridCol w:w="249"/>
        <w:gridCol w:w="121"/>
        <w:gridCol w:w="162"/>
        <w:gridCol w:w="876"/>
        <w:gridCol w:w="249"/>
        <w:gridCol w:w="121"/>
        <w:gridCol w:w="169"/>
        <w:gridCol w:w="836"/>
        <w:gridCol w:w="259"/>
        <w:gridCol w:w="121"/>
        <w:gridCol w:w="163"/>
        <w:gridCol w:w="980"/>
        <w:gridCol w:w="111"/>
      </w:tblGrid>
      <w:tr>
        <w:trPr/>
        <w:tc>
          <w:tcPr>
            <w:tcW w:w="15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r>
      <w:tr>
        <w:trPr/>
        <w:tc>
          <w:tcPr>
            <w:tcW w:w="15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8486" w:type="dxa"/>
            <w:gridSpan w:val="23"/>
            <w:tcBorders>
              <w:bottom w:val="single" w:sz="2" w:space="0" w:color="000000"/>
            </w:tcBorders>
            <w:shd w:fill="auto" w:val="clear"/>
            <w:tcMar>
              <w:bottom w:w="28" w:type="dxa"/>
            </w:tcMar>
            <w:vAlign w:val="bottom"/>
          </w:tcPr>
          <w:p>
            <w:pPr>
              <w:pStyle w:val="TableContents"/>
              <w:spacing w:before="0" w:after="283"/>
              <w:jc w:val="center"/>
              <w:rPr/>
            </w:pPr>
            <w:r>
              <w:rPr/>
              <w:t>Rate Sensitive Within</w:t>
            </w:r>
          </w:p>
        </w:tc>
      </w:tr>
      <w:tr>
        <w:trPr/>
        <w:tc>
          <w:tcPr>
            <w:tcW w:w="15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87" w:type="dxa"/>
            <w:gridSpan w:val="3"/>
            <w:tcBorders/>
            <w:shd w:fill="auto" w:val="clear"/>
            <w:vAlign w:val="bottom"/>
          </w:tcPr>
          <w:p>
            <w:pPr>
              <w:pStyle w:val="TableContents"/>
              <w:spacing w:before="0" w:after="283"/>
              <w:jc w:val="center"/>
              <w:rPr/>
            </w:pPr>
            <w:r>
              <w:rPr/>
              <w:t>181 Days </w:t>
            </w:r>
          </w:p>
        </w:tc>
        <w:tc>
          <w:tcPr>
            <w:tcW w:w="121" w:type="dxa"/>
            <w:tcBorders/>
            <w:shd w:fill="auto" w:val="clear"/>
            <w:vAlign w:val="bottom"/>
          </w:tcPr>
          <w:p>
            <w:pPr>
              <w:pStyle w:val="TableContents"/>
              <w:spacing w:before="0" w:after="283"/>
              <w:rPr/>
            </w:pPr>
            <w:r>
              <w:rPr/>
              <w:t> </w:t>
            </w:r>
          </w:p>
        </w:tc>
        <w:tc>
          <w:tcPr>
            <w:tcW w:w="1264" w:type="dxa"/>
            <w:gridSpan w:val="3"/>
            <w:tcBorders/>
            <w:shd w:fill="auto" w:val="clear"/>
            <w:vAlign w:val="bottom"/>
          </w:tcPr>
          <w:p>
            <w:pPr>
              <w:pStyle w:val="TableContents"/>
              <w:spacing w:before="0" w:after="283"/>
              <w:jc w:val="center"/>
              <w:rPr/>
            </w:pPr>
            <w:r>
              <w:rPr/>
              <w:t> </w:t>
            </w:r>
          </w:p>
        </w:tc>
        <w:tc>
          <w:tcPr>
            <w:tcW w:w="121" w:type="dxa"/>
            <w:tcBorders/>
            <w:shd w:fill="auto" w:val="clear"/>
            <w:vAlign w:val="bottom"/>
          </w:tcPr>
          <w:p>
            <w:pPr>
              <w:pStyle w:val="TableContents"/>
              <w:spacing w:before="0" w:after="283"/>
              <w:rPr/>
            </w:pPr>
            <w:r>
              <w:rPr/>
              <w:t> </w:t>
            </w:r>
          </w:p>
        </w:tc>
        <w:tc>
          <w:tcPr>
            <w:tcW w:w="1254" w:type="dxa"/>
            <w:gridSpan w:val="3"/>
            <w:tcBorders/>
            <w:shd w:fill="auto" w:val="clear"/>
            <w:vAlign w:val="bottom"/>
          </w:tcPr>
          <w:p>
            <w:pPr>
              <w:pStyle w:val="TableContents"/>
              <w:spacing w:before="0" w:after="283"/>
              <w:jc w:val="center"/>
              <w:rPr/>
            </w:pPr>
            <w:r>
              <w:rPr/>
              <w:t> </w:t>
            </w:r>
          </w:p>
        </w:tc>
      </w:tr>
      <w:tr>
        <w:trPr/>
        <w:tc>
          <w:tcPr>
            <w:tcW w:w="15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380" w:type="dxa"/>
            <w:gridSpan w:val="3"/>
            <w:tcBorders>
              <w:bottom w:val="single" w:sz="2" w:space="0" w:color="000000"/>
            </w:tcBorders>
            <w:shd w:fill="auto" w:val="clear"/>
            <w:tcMar>
              <w:bottom w:w="28" w:type="dxa"/>
            </w:tcMar>
            <w:vAlign w:val="bottom"/>
          </w:tcPr>
          <w:p>
            <w:pPr>
              <w:pStyle w:val="TableContents"/>
              <w:spacing w:before="0" w:after="283"/>
              <w:jc w:val="center"/>
              <w:rPr/>
            </w:pPr>
            <w:r>
              <w:rPr/>
              <w:t>1-30 Days</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c>
          <w:tcPr>
            <w:tcW w:w="1348" w:type="dxa"/>
            <w:gridSpan w:val="3"/>
            <w:tcBorders>
              <w:bottom w:val="single" w:sz="2" w:space="0" w:color="000000"/>
            </w:tcBorders>
            <w:shd w:fill="auto" w:val="clear"/>
            <w:tcMar>
              <w:bottom w:w="28" w:type="dxa"/>
            </w:tcMar>
            <w:vAlign w:val="bottom"/>
          </w:tcPr>
          <w:p>
            <w:pPr>
              <w:pStyle w:val="TableContents"/>
              <w:spacing w:before="0" w:after="283"/>
              <w:jc w:val="center"/>
              <w:rPr/>
            </w:pPr>
            <w:r>
              <w:rPr/>
              <w:t>31-90 Days</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c>
          <w:tcPr>
            <w:tcW w:w="1348" w:type="dxa"/>
            <w:gridSpan w:val="3"/>
            <w:tcBorders>
              <w:bottom w:val="single" w:sz="2" w:space="0" w:color="000000"/>
            </w:tcBorders>
            <w:shd w:fill="auto" w:val="clear"/>
            <w:tcMar>
              <w:bottom w:w="28" w:type="dxa"/>
            </w:tcMar>
            <w:vAlign w:val="bottom"/>
          </w:tcPr>
          <w:p>
            <w:pPr>
              <w:pStyle w:val="TableContents"/>
              <w:spacing w:before="0" w:after="283"/>
              <w:jc w:val="center"/>
              <w:rPr/>
            </w:pPr>
            <w:r>
              <w:rPr/>
              <w:t>91-180 Days</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c>
          <w:tcPr>
            <w:tcW w:w="1287" w:type="dxa"/>
            <w:gridSpan w:val="3"/>
            <w:tcBorders>
              <w:bottom w:val="single" w:sz="2" w:space="0" w:color="000000"/>
            </w:tcBorders>
            <w:shd w:fill="auto" w:val="clear"/>
            <w:tcMar>
              <w:bottom w:w="28" w:type="dxa"/>
            </w:tcMar>
            <w:vAlign w:val="bottom"/>
          </w:tcPr>
          <w:p>
            <w:pPr>
              <w:pStyle w:val="TableContents"/>
              <w:spacing w:before="0" w:after="283"/>
              <w:jc w:val="center"/>
              <w:rPr/>
            </w:pPr>
            <w:r>
              <w:rPr/>
              <w:t>1 Year</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c>
          <w:tcPr>
            <w:tcW w:w="1264" w:type="dxa"/>
            <w:gridSpan w:val="3"/>
            <w:tcBorders>
              <w:bottom w:val="single" w:sz="2" w:space="0" w:color="000000"/>
            </w:tcBorders>
            <w:shd w:fill="auto" w:val="clear"/>
            <w:tcMar>
              <w:bottom w:w="28" w:type="dxa"/>
            </w:tcMar>
            <w:vAlign w:val="bottom"/>
          </w:tcPr>
          <w:p>
            <w:pPr>
              <w:pStyle w:val="TableContents"/>
              <w:spacing w:before="0" w:after="283"/>
              <w:jc w:val="center"/>
              <w:rPr/>
            </w:pPr>
            <w:r>
              <w:rPr/>
              <w:t>Over 1 Year</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c>
          <w:tcPr>
            <w:tcW w:w="1254" w:type="dxa"/>
            <w:gridSpan w:val="3"/>
            <w:tcBorders>
              <w:bottom w:val="single" w:sz="2" w:space="0" w:color="000000"/>
            </w:tcBorders>
            <w:shd w:fill="auto" w:val="clear"/>
            <w:tcMar>
              <w:bottom w:w="28" w:type="dxa"/>
            </w:tcMar>
            <w:vAlign w:val="bottom"/>
          </w:tcPr>
          <w:p>
            <w:pPr>
              <w:pStyle w:val="TableContents"/>
              <w:spacing w:before="0" w:after="283"/>
              <w:jc w:val="center"/>
              <w:rPr/>
            </w:pPr>
            <w:r>
              <w:rPr/>
              <w:t>Total</w:t>
            </w:r>
          </w:p>
        </w:tc>
      </w:tr>
      <w:tr>
        <w:trPr/>
        <w:tc>
          <w:tcPr>
            <w:tcW w:w="15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8486" w:type="dxa"/>
            <w:gridSpan w:val="23"/>
            <w:tcBorders/>
            <w:shd w:fill="auto" w:val="clear"/>
            <w:vAlign w:val="bottom"/>
          </w:tcPr>
          <w:p>
            <w:pPr>
              <w:pStyle w:val="TableContents"/>
              <w:spacing w:before="0" w:after="283"/>
              <w:jc w:val="center"/>
              <w:rPr>
                <w:i/>
              </w:rPr>
            </w:pPr>
            <w:r>
              <w:rPr>
                <w:i/>
              </w:rPr>
              <w:t>(dollars in thousands)</w:t>
            </w:r>
          </w:p>
        </w:tc>
      </w:tr>
      <w:tr>
        <w:trPr/>
        <w:tc>
          <w:tcPr>
            <w:tcW w:w="1598" w:type="dxa"/>
            <w:tcBorders/>
            <w:shd w:fill="CCEEFF" w:val="clear"/>
            <w:vAlign w:val="bottom"/>
          </w:tcPr>
          <w:p>
            <w:pPr>
              <w:pStyle w:val="TableContents"/>
              <w:spacing w:before="0" w:after="0"/>
              <w:ind w:left="225" w:right="0" w:hanging="225"/>
              <w:rPr/>
            </w:pPr>
            <w:r>
              <w:rPr/>
              <w:t>Interest-bearing deposits</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954</w:t>
            </w:r>
          </w:p>
        </w:tc>
        <w:tc>
          <w:tcPr>
            <w:tcW w:w="23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36" w:type="dxa"/>
            <w:tcBorders/>
            <w:shd w:fill="CCEEFF" w:val="clear"/>
            <w:vAlign w:val="bottom"/>
          </w:tcPr>
          <w:p>
            <w:pPr>
              <w:pStyle w:val="TableContents"/>
              <w:spacing w:before="0" w:after="283"/>
              <w:jc w:val="right"/>
              <w:rPr/>
            </w:pPr>
            <w:r>
              <w:rPr/>
              <w:t></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36" w:type="dxa"/>
            <w:tcBorders/>
            <w:shd w:fill="CCEEFF" w:val="clear"/>
            <w:vAlign w:val="bottom"/>
          </w:tcPr>
          <w:p>
            <w:pPr>
              <w:pStyle w:val="TableContents"/>
              <w:spacing w:before="0" w:after="283"/>
              <w:jc w:val="right"/>
              <w:rPr/>
            </w:pPr>
            <w:r>
              <w:rPr/>
              <w:t></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pPr>
            <w:r>
              <w:rPr/>
              <w:t>$</w:t>
            </w:r>
          </w:p>
        </w:tc>
        <w:tc>
          <w:tcPr>
            <w:tcW w:w="876" w:type="dxa"/>
            <w:tcBorders/>
            <w:shd w:fill="CCEEFF" w:val="clear"/>
            <w:vAlign w:val="bottom"/>
          </w:tcPr>
          <w:p>
            <w:pPr>
              <w:pStyle w:val="TableContents"/>
              <w:spacing w:before="0" w:after="283"/>
              <w:jc w:val="right"/>
              <w:rPr/>
            </w:pPr>
            <w:r>
              <w:rPr/>
              <w:t></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pPr>
            <w:r>
              <w:rPr/>
              <w:t>$</w:t>
            </w:r>
          </w:p>
        </w:tc>
        <w:tc>
          <w:tcPr>
            <w:tcW w:w="836" w:type="dxa"/>
            <w:tcBorders/>
            <w:shd w:fill="CCEEFF" w:val="clear"/>
            <w:vAlign w:val="bottom"/>
          </w:tcPr>
          <w:p>
            <w:pPr>
              <w:pStyle w:val="TableContents"/>
              <w:spacing w:before="0" w:after="283"/>
              <w:jc w:val="right"/>
              <w:rPr/>
            </w:pPr>
            <w:r>
              <w:rPr/>
              <w:t></w:t>
            </w:r>
          </w:p>
        </w:tc>
        <w:tc>
          <w:tcPr>
            <w:tcW w:w="25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954</w:t>
            </w:r>
          </w:p>
        </w:tc>
        <w:tc>
          <w:tcPr>
            <w:tcW w:w="111" w:type="dxa"/>
            <w:tcBorders/>
            <w:shd w:fill="CCEEFF" w:val="clear"/>
            <w:vAlign w:val="bottom"/>
          </w:tcPr>
          <w:p>
            <w:pPr>
              <w:pStyle w:val="TableContents"/>
              <w:spacing w:before="0" w:after="283"/>
              <w:rPr/>
            </w:pPr>
            <w:r>
              <w:rPr/>
              <w:t> </w:t>
            </w:r>
          </w:p>
        </w:tc>
      </w:tr>
      <w:tr>
        <w:trPr/>
        <w:tc>
          <w:tcPr>
            <w:tcW w:w="1598" w:type="dxa"/>
            <w:tcBorders/>
            <w:shd w:fill="auto" w:val="clear"/>
            <w:vAlign w:val="bottom"/>
          </w:tcPr>
          <w:p>
            <w:pPr>
              <w:pStyle w:val="TableContents"/>
              <w:spacing w:before="0" w:after="0"/>
              <w:ind w:left="225" w:right="0" w:hanging="225"/>
              <w:rPr/>
            </w:pPr>
            <w:r>
              <w:rPr/>
              <w:t>Federal funds sold</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2,300</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w:t>
            </w:r>
          </w:p>
        </w:tc>
        <w:tc>
          <w:tcPr>
            <w:tcW w:w="25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2,300</w:t>
            </w:r>
          </w:p>
        </w:tc>
        <w:tc>
          <w:tcPr>
            <w:tcW w:w="111" w:type="dxa"/>
            <w:tcBorders/>
            <w:shd w:fill="auto" w:val="clear"/>
            <w:vAlign w:val="bottom"/>
          </w:tcPr>
          <w:p>
            <w:pPr>
              <w:pStyle w:val="TableContents"/>
              <w:spacing w:before="0" w:after="283"/>
              <w:rPr/>
            </w:pPr>
            <w:r>
              <w:rPr/>
              <w:t> </w:t>
            </w:r>
          </w:p>
        </w:tc>
      </w:tr>
      <w:tr>
        <w:trPr/>
        <w:tc>
          <w:tcPr>
            <w:tcW w:w="1598" w:type="dxa"/>
            <w:tcBorders/>
            <w:shd w:fill="CCEEFF" w:val="clear"/>
            <w:vAlign w:val="bottom"/>
          </w:tcPr>
          <w:p>
            <w:pPr>
              <w:pStyle w:val="TableContents"/>
              <w:spacing w:before="0" w:after="0"/>
              <w:ind w:left="225" w:right="0" w:hanging="225"/>
              <w:rPr/>
            </w:pPr>
            <w:r>
              <w:rPr/>
              <w:t>Investment securities</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r>
      <w:tr>
        <w:trPr/>
        <w:tc>
          <w:tcPr>
            <w:tcW w:w="1598" w:type="dxa"/>
            <w:tcBorders/>
            <w:shd w:fill="auto" w:val="clear"/>
            <w:vAlign w:val="bottom"/>
          </w:tcPr>
          <w:p>
            <w:pPr>
              <w:pStyle w:val="TableContents"/>
              <w:spacing w:before="0" w:after="0"/>
              <w:ind w:left="450" w:right="0" w:hanging="225"/>
              <w:rPr/>
            </w:pPr>
            <w:r>
              <w:rPr/>
              <w:t>U.S. Treasuries and Agencies</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698</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25,927</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8,969</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70,659</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96,671</w:t>
            </w:r>
          </w:p>
        </w:tc>
        <w:tc>
          <w:tcPr>
            <w:tcW w:w="25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202,924</w:t>
            </w:r>
          </w:p>
        </w:tc>
        <w:tc>
          <w:tcPr>
            <w:tcW w:w="111" w:type="dxa"/>
            <w:tcBorders/>
            <w:shd w:fill="auto" w:val="clear"/>
            <w:vAlign w:val="bottom"/>
          </w:tcPr>
          <w:p>
            <w:pPr>
              <w:pStyle w:val="TableContents"/>
              <w:spacing w:before="0" w:after="283"/>
              <w:rPr/>
            </w:pPr>
            <w:r>
              <w:rPr/>
              <w:t> </w:t>
            </w:r>
          </w:p>
        </w:tc>
      </w:tr>
      <w:tr>
        <w:trPr/>
        <w:tc>
          <w:tcPr>
            <w:tcW w:w="1598" w:type="dxa"/>
            <w:tcBorders/>
            <w:shd w:fill="CCEEFF" w:val="clear"/>
            <w:vAlign w:val="bottom"/>
          </w:tcPr>
          <w:p>
            <w:pPr>
              <w:pStyle w:val="TableContents"/>
              <w:spacing w:before="0" w:after="0"/>
              <w:ind w:left="450" w:right="0" w:hanging="225"/>
              <w:rPr/>
            </w:pPr>
            <w:r>
              <w:rPr/>
              <w:t>States and political subdivisions</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2,351</w:t>
            </w:r>
          </w:p>
        </w:tc>
        <w:tc>
          <w:tcPr>
            <w:tcW w:w="23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1,288</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1,982</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5,118</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71,318</w:t>
            </w:r>
          </w:p>
        </w:tc>
        <w:tc>
          <w:tcPr>
            <w:tcW w:w="25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82,057</w:t>
            </w:r>
          </w:p>
        </w:tc>
        <w:tc>
          <w:tcPr>
            <w:tcW w:w="111" w:type="dxa"/>
            <w:tcBorders/>
            <w:shd w:fill="CCEEFF" w:val="clear"/>
            <w:vAlign w:val="bottom"/>
          </w:tcPr>
          <w:p>
            <w:pPr>
              <w:pStyle w:val="TableContents"/>
              <w:spacing w:before="0" w:after="283"/>
              <w:rPr/>
            </w:pPr>
            <w:r>
              <w:rPr/>
              <w:t> </w:t>
            </w:r>
          </w:p>
        </w:tc>
      </w:tr>
      <w:tr>
        <w:trPr/>
        <w:tc>
          <w:tcPr>
            <w:tcW w:w="1598" w:type="dxa"/>
            <w:tcBorders/>
            <w:shd w:fill="auto" w:val="clear"/>
            <w:vAlign w:val="bottom"/>
          </w:tcPr>
          <w:p>
            <w:pPr>
              <w:pStyle w:val="TableContents"/>
              <w:spacing w:before="0" w:after="0"/>
              <w:ind w:left="450" w:right="0" w:hanging="225"/>
              <w:rPr/>
            </w:pPr>
            <w:r>
              <w:rPr/>
              <w:t>Other securities</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15,053</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1,021</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1,186</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2,288</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26,708</w:t>
            </w:r>
          </w:p>
        </w:tc>
        <w:tc>
          <w:tcPr>
            <w:tcW w:w="25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46,256</w:t>
            </w:r>
          </w:p>
        </w:tc>
        <w:tc>
          <w:tcPr>
            <w:tcW w:w="111" w:type="dxa"/>
            <w:tcBorders/>
            <w:shd w:fill="auto" w:val="clear"/>
            <w:vAlign w:val="bottom"/>
          </w:tcPr>
          <w:p>
            <w:pPr>
              <w:pStyle w:val="TableContents"/>
              <w:spacing w:before="0" w:after="283"/>
              <w:rPr/>
            </w:pPr>
            <w:r>
              <w:rPr/>
              <w:t> </w:t>
            </w:r>
          </w:p>
        </w:tc>
      </w:tr>
      <w:tr>
        <w:trPr/>
        <w:tc>
          <w:tcPr>
            <w:tcW w:w="1598" w:type="dxa"/>
            <w:tcBorders/>
            <w:shd w:fill="CCEEFF" w:val="clear"/>
            <w:vAlign w:val="bottom"/>
          </w:tcPr>
          <w:p>
            <w:pPr>
              <w:pStyle w:val="TableContents"/>
              <w:spacing w:before="0" w:after="0"/>
              <w:ind w:left="225" w:right="0" w:hanging="225"/>
              <w:rPr/>
            </w:pPr>
            <w:r>
              <w:rPr/>
              <w:t>Loans (net of unearned interest)</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696,372</w:t>
            </w:r>
          </w:p>
        </w:tc>
        <w:tc>
          <w:tcPr>
            <w:tcW w:w="23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138,943</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113,275</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170,303</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630,269</w:t>
            </w:r>
          </w:p>
        </w:tc>
        <w:tc>
          <w:tcPr>
            <w:tcW w:w="25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1,749,162</w:t>
            </w:r>
          </w:p>
        </w:tc>
        <w:tc>
          <w:tcPr>
            <w:tcW w:w="111" w:type="dxa"/>
            <w:tcBorders/>
            <w:shd w:fill="CCEEFF" w:val="clear"/>
            <w:vAlign w:val="bottom"/>
          </w:tcPr>
          <w:p>
            <w:pPr>
              <w:pStyle w:val="TableContents"/>
              <w:spacing w:before="0" w:after="283"/>
              <w:rPr/>
            </w:pPr>
            <w:r>
              <w:rPr/>
              <w:t> </w:t>
            </w:r>
          </w:p>
        </w:tc>
      </w:tr>
      <w:tr>
        <w:trPr/>
        <w:tc>
          <w:tcPr>
            <w:tcW w:w="15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8486"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598" w:type="dxa"/>
            <w:tcBorders/>
            <w:shd w:fill="auto" w:val="clear"/>
            <w:vAlign w:val="bottom"/>
          </w:tcPr>
          <w:p>
            <w:pPr>
              <w:pStyle w:val="TableContents"/>
              <w:spacing w:before="0" w:after="0"/>
              <w:ind w:left="450" w:right="0" w:hanging="225"/>
              <w:rPr/>
            </w:pPr>
            <w:r>
              <w:rPr/>
              <w:t>Total rate-sensitive assets</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right"/>
              <w:rPr/>
            </w:pPr>
            <w:r>
              <w:rPr/>
              <w:t>$</w:t>
            </w:r>
          </w:p>
        </w:tc>
        <w:tc>
          <w:tcPr>
            <w:tcW w:w="980" w:type="dxa"/>
            <w:tcBorders/>
            <w:shd w:fill="auto" w:val="clear"/>
            <w:vAlign w:val="bottom"/>
          </w:tcPr>
          <w:p>
            <w:pPr>
              <w:pStyle w:val="TableContents"/>
              <w:spacing w:before="0" w:after="283"/>
              <w:jc w:val="right"/>
              <w:rPr/>
            </w:pPr>
            <w:r>
              <w:rPr/>
              <w:t>717,728</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right"/>
              <w:rPr/>
            </w:pPr>
            <w:r>
              <w:rPr/>
              <w:t>$</w:t>
            </w:r>
          </w:p>
        </w:tc>
        <w:tc>
          <w:tcPr>
            <w:tcW w:w="936" w:type="dxa"/>
            <w:tcBorders/>
            <w:shd w:fill="auto" w:val="clear"/>
            <w:vAlign w:val="bottom"/>
          </w:tcPr>
          <w:p>
            <w:pPr>
              <w:pStyle w:val="TableContents"/>
              <w:spacing w:before="0" w:after="283"/>
              <w:jc w:val="right"/>
              <w:rPr/>
            </w:pPr>
            <w:r>
              <w:rPr/>
              <w:t>167,179</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right"/>
              <w:rPr/>
            </w:pPr>
            <w:r>
              <w:rPr/>
              <w:t>$</w:t>
            </w:r>
          </w:p>
        </w:tc>
        <w:tc>
          <w:tcPr>
            <w:tcW w:w="936" w:type="dxa"/>
            <w:tcBorders/>
            <w:shd w:fill="auto" w:val="clear"/>
            <w:vAlign w:val="bottom"/>
          </w:tcPr>
          <w:p>
            <w:pPr>
              <w:pStyle w:val="TableContents"/>
              <w:spacing w:before="0" w:after="283"/>
              <w:jc w:val="right"/>
              <w:rPr/>
            </w:pPr>
            <w:r>
              <w:rPr/>
              <w:t>125,412</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right"/>
              <w:rPr/>
            </w:pPr>
            <w:r>
              <w:rPr/>
              <w:t>$</w:t>
            </w:r>
          </w:p>
        </w:tc>
        <w:tc>
          <w:tcPr>
            <w:tcW w:w="876" w:type="dxa"/>
            <w:tcBorders/>
            <w:shd w:fill="auto" w:val="clear"/>
            <w:vAlign w:val="bottom"/>
          </w:tcPr>
          <w:p>
            <w:pPr>
              <w:pStyle w:val="TableContents"/>
              <w:spacing w:before="0" w:after="283"/>
              <w:jc w:val="right"/>
              <w:rPr/>
            </w:pPr>
            <w:r>
              <w:rPr/>
              <w:t>248,368</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right"/>
              <w:rPr/>
            </w:pPr>
            <w:r>
              <w:rPr/>
              <w:t>$</w:t>
            </w:r>
          </w:p>
        </w:tc>
        <w:tc>
          <w:tcPr>
            <w:tcW w:w="836" w:type="dxa"/>
            <w:tcBorders/>
            <w:shd w:fill="auto" w:val="clear"/>
            <w:vAlign w:val="bottom"/>
          </w:tcPr>
          <w:p>
            <w:pPr>
              <w:pStyle w:val="TableContents"/>
              <w:spacing w:before="0" w:after="283"/>
              <w:jc w:val="right"/>
              <w:rPr/>
            </w:pPr>
            <w:r>
              <w:rPr/>
              <w:t>824,966</w:t>
            </w:r>
          </w:p>
        </w:tc>
        <w:tc>
          <w:tcPr>
            <w:tcW w:w="25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right"/>
              <w:rPr/>
            </w:pPr>
            <w:r>
              <w:rPr/>
              <w:t>$</w:t>
            </w:r>
          </w:p>
        </w:tc>
        <w:tc>
          <w:tcPr>
            <w:tcW w:w="980" w:type="dxa"/>
            <w:tcBorders/>
            <w:shd w:fill="auto" w:val="clear"/>
            <w:vAlign w:val="bottom"/>
          </w:tcPr>
          <w:p>
            <w:pPr>
              <w:pStyle w:val="TableContents"/>
              <w:spacing w:before="0" w:after="283"/>
              <w:jc w:val="right"/>
              <w:rPr/>
            </w:pPr>
            <w:r>
              <w:rPr/>
              <w:t>2,083,653</w:t>
            </w:r>
          </w:p>
        </w:tc>
        <w:tc>
          <w:tcPr>
            <w:tcW w:w="111" w:type="dxa"/>
            <w:tcBorders/>
            <w:shd w:fill="auto" w:val="clear"/>
            <w:vAlign w:val="bottom"/>
          </w:tcPr>
          <w:p>
            <w:pPr>
              <w:pStyle w:val="TableContents"/>
              <w:spacing w:before="0" w:after="283"/>
              <w:rPr/>
            </w:pPr>
            <w:r>
              <w:rPr/>
              <w:t> </w:t>
            </w:r>
          </w:p>
        </w:tc>
      </w:tr>
      <w:tr>
        <w:trPr/>
        <w:tc>
          <w:tcPr>
            <w:tcW w:w="15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8486"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598" w:type="dxa"/>
            <w:tcBorders/>
            <w:shd w:fill="auto" w:val="clear"/>
            <w:vAlign w:val="bottom"/>
          </w:tcPr>
          <w:p>
            <w:pPr>
              <w:pStyle w:val="TableContents"/>
              <w:spacing w:before="0" w:after="0"/>
              <w:ind w:left="225" w:right="0" w:hanging="225"/>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r>
      <w:tr>
        <w:trPr/>
        <w:tc>
          <w:tcPr>
            <w:tcW w:w="1598" w:type="dxa"/>
            <w:tcBorders/>
            <w:shd w:fill="CCEEFF" w:val="clear"/>
            <w:vAlign w:val="bottom"/>
          </w:tcPr>
          <w:p>
            <w:pPr>
              <w:pStyle w:val="TableContents"/>
              <w:spacing w:before="0" w:after="0"/>
              <w:ind w:left="225" w:right="0" w:hanging="225"/>
              <w:rPr/>
            </w:pPr>
            <w:r>
              <w:rPr/>
              <w:t>Interest bearing transaction deposits</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48,042</w:t>
            </w:r>
          </w:p>
        </w:tc>
        <w:tc>
          <w:tcPr>
            <w:tcW w:w="23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36" w:type="dxa"/>
            <w:tcBorders/>
            <w:shd w:fill="CCEEFF" w:val="clear"/>
            <w:vAlign w:val="bottom"/>
          </w:tcPr>
          <w:p>
            <w:pPr>
              <w:pStyle w:val="TableContents"/>
              <w:spacing w:before="0" w:after="283"/>
              <w:jc w:val="right"/>
              <w:rPr/>
            </w:pPr>
            <w:r>
              <w:rPr/>
              <w:t></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36" w:type="dxa"/>
            <w:tcBorders/>
            <w:shd w:fill="CCEEFF" w:val="clear"/>
            <w:vAlign w:val="bottom"/>
          </w:tcPr>
          <w:p>
            <w:pPr>
              <w:pStyle w:val="TableContents"/>
              <w:spacing w:before="0" w:after="283"/>
              <w:jc w:val="right"/>
              <w:rPr/>
            </w:pPr>
            <w:r>
              <w:rPr/>
              <w:t></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pPr>
            <w:r>
              <w:rPr/>
              <w:t>$</w:t>
            </w:r>
          </w:p>
        </w:tc>
        <w:tc>
          <w:tcPr>
            <w:tcW w:w="876" w:type="dxa"/>
            <w:tcBorders/>
            <w:shd w:fill="CCEEFF" w:val="clear"/>
            <w:vAlign w:val="bottom"/>
          </w:tcPr>
          <w:p>
            <w:pPr>
              <w:pStyle w:val="TableContents"/>
              <w:spacing w:before="0" w:after="283"/>
              <w:jc w:val="right"/>
              <w:rPr/>
            </w:pPr>
            <w:r>
              <w:rPr/>
              <w:t></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pPr>
            <w:r>
              <w:rPr/>
              <w:t>$</w:t>
            </w:r>
          </w:p>
        </w:tc>
        <w:tc>
          <w:tcPr>
            <w:tcW w:w="836" w:type="dxa"/>
            <w:tcBorders/>
            <w:shd w:fill="CCEEFF" w:val="clear"/>
            <w:vAlign w:val="bottom"/>
          </w:tcPr>
          <w:p>
            <w:pPr>
              <w:pStyle w:val="TableContents"/>
              <w:spacing w:before="0" w:after="283"/>
              <w:jc w:val="right"/>
              <w:rPr/>
            </w:pPr>
            <w:r>
              <w:rPr/>
              <w:t></w:t>
            </w:r>
          </w:p>
        </w:tc>
        <w:tc>
          <w:tcPr>
            <w:tcW w:w="25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48,042</w:t>
            </w:r>
          </w:p>
        </w:tc>
        <w:tc>
          <w:tcPr>
            <w:tcW w:w="111" w:type="dxa"/>
            <w:tcBorders/>
            <w:shd w:fill="CCEEFF" w:val="clear"/>
            <w:vAlign w:val="bottom"/>
          </w:tcPr>
          <w:p>
            <w:pPr>
              <w:pStyle w:val="TableContents"/>
              <w:spacing w:before="0" w:after="283"/>
              <w:rPr/>
            </w:pPr>
            <w:r>
              <w:rPr/>
              <w:t> </w:t>
            </w:r>
          </w:p>
        </w:tc>
      </w:tr>
      <w:tr>
        <w:trPr/>
        <w:tc>
          <w:tcPr>
            <w:tcW w:w="1598" w:type="dxa"/>
            <w:tcBorders/>
            <w:shd w:fill="auto" w:val="clear"/>
            <w:vAlign w:val="bottom"/>
          </w:tcPr>
          <w:p>
            <w:pPr>
              <w:pStyle w:val="TableContents"/>
              <w:spacing w:before="0" w:after="0"/>
              <w:ind w:left="225" w:right="0" w:hanging="225"/>
              <w:rPr/>
            </w:pPr>
            <w:r>
              <w:rPr/>
              <w:t>Savings deposits</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117,090</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w:t>
            </w:r>
          </w:p>
        </w:tc>
        <w:tc>
          <w:tcPr>
            <w:tcW w:w="25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117,090</w:t>
            </w:r>
          </w:p>
        </w:tc>
        <w:tc>
          <w:tcPr>
            <w:tcW w:w="111" w:type="dxa"/>
            <w:tcBorders/>
            <w:shd w:fill="auto" w:val="clear"/>
            <w:vAlign w:val="bottom"/>
          </w:tcPr>
          <w:p>
            <w:pPr>
              <w:pStyle w:val="TableContents"/>
              <w:spacing w:before="0" w:after="283"/>
              <w:rPr/>
            </w:pPr>
            <w:r>
              <w:rPr/>
              <w:t> </w:t>
            </w:r>
          </w:p>
        </w:tc>
      </w:tr>
      <w:tr>
        <w:trPr/>
        <w:tc>
          <w:tcPr>
            <w:tcW w:w="1598" w:type="dxa"/>
            <w:tcBorders/>
            <w:shd w:fill="CCEEFF" w:val="clear"/>
            <w:vAlign w:val="bottom"/>
          </w:tcPr>
          <w:p>
            <w:pPr>
              <w:pStyle w:val="TableContents"/>
              <w:spacing w:before="0" w:after="0"/>
              <w:ind w:left="225" w:right="0" w:hanging="225"/>
              <w:rPr/>
            </w:pPr>
            <w:r>
              <w:rPr/>
              <w:t>Money market deposits</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645,347</w:t>
            </w:r>
          </w:p>
        </w:tc>
        <w:tc>
          <w:tcPr>
            <w:tcW w:w="23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w:t>
            </w:r>
          </w:p>
        </w:tc>
        <w:tc>
          <w:tcPr>
            <w:tcW w:w="25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645,347</w:t>
            </w:r>
          </w:p>
        </w:tc>
        <w:tc>
          <w:tcPr>
            <w:tcW w:w="111" w:type="dxa"/>
            <w:tcBorders/>
            <w:shd w:fill="CCEEFF" w:val="clear"/>
            <w:vAlign w:val="bottom"/>
          </w:tcPr>
          <w:p>
            <w:pPr>
              <w:pStyle w:val="TableContents"/>
              <w:spacing w:before="0" w:after="283"/>
              <w:rPr/>
            </w:pPr>
            <w:r>
              <w:rPr/>
              <w:t> </w:t>
            </w:r>
          </w:p>
        </w:tc>
      </w:tr>
      <w:tr>
        <w:trPr/>
        <w:tc>
          <w:tcPr>
            <w:tcW w:w="1598" w:type="dxa"/>
            <w:tcBorders/>
            <w:shd w:fill="auto" w:val="clear"/>
            <w:vAlign w:val="bottom"/>
          </w:tcPr>
          <w:p>
            <w:pPr>
              <w:pStyle w:val="TableContents"/>
              <w:spacing w:before="0" w:after="0"/>
              <w:ind w:left="225" w:right="0" w:hanging="225"/>
              <w:rPr/>
            </w:pPr>
            <w:r>
              <w:rPr/>
              <w:t>Time deposits</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92,554</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88,485</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135,972</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152,383</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264,356</w:t>
            </w:r>
          </w:p>
        </w:tc>
        <w:tc>
          <w:tcPr>
            <w:tcW w:w="25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733,750</w:t>
            </w:r>
          </w:p>
        </w:tc>
        <w:tc>
          <w:tcPr>
            <w:tcW w:w="111" w:type="dxa"/>
            <w:tcBorders/>
            <w:shd w:fill="auto" w:val="clear"/>
            <w:vAlign w:val="bottom"/>
          </w:tcPr>
          <w:p>
            <w:pPr>
              <w:pStyle w:val="TableContents"/>
              <w:spacing w:before="0" w:after="283"/>
              <w:rPr/>
            </w:pPr>
            <w:r>
              <w:rPr/>
              <w:t> </w:t>
            </w:r>
          </w:p>
        </w:tc>
      </w:tr>
      <w:tr>
        <w:trPr/>
        <w:tc>
          <w:tcPr>
            <w:tcW w:w="1598" w:type="dxa"/>
            <w:tcBorders/>
            <w:shd w:fill="CCEEFF" w:val="clear"/>
            <w:vAlign w:val="bottom"/>
          </w:tcPr>
          <w:p>
            <w:pPr>
              <w:pStyle w:val="TableContents"/>
              <w:spacing w:before="0" w:after="0"/>
              <w:ind w:left="225" w:right="0" w:hanging="225"/>
              <w:rPr/>
            </w:pPr>
            <w:r>
              <w:rPr/>
              <w:t>Federal funds purchased and repurchase agreements</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50,113</w:t>
            </w:r>
          </w:p>
        </w:tc>
        <w:tc>
          <w:tcPr>
            <w:tcW w:w="23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w:t>
            </w:r>
          </w:p>
        </w:tc>
        <w:tc>
          <w:tcPr>
            <w:tcW w:w="25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50,113</w:t>
            </w:r>
          </w:p>
        </w:tc>
        <w:tc>
          <w:tcPr>
            <w:tcW w:w="111" w:type="dxa"/>
            <w:tcBorders/>
            <w:shd w:fill="CCEEFF" w:val="clear"/>
            <w:vAlign w:val="bottom"/>
          </w:tcPr>
          <w:p>
            <w:pPr>
              <w:pStyle w:val="TableContents"/>
              <w:spacing w:before="0" w:after="283"/>
              <w:rPr/>
            </w:pPr>
            <w:r>
              <w:rPr/>
              <w:t> </w:t>
            </w:r>
          </w:p>
        </w:tc>
      </w:tr>
      <w:tr>
        <w:trPr/>
        <w:tc>
          <w:tcPr>
            <w:tcW w:w="1598" w:type="dxa"/>
            <w:tcBorders/>
            <w:shd w:fill="auto" w:val="clear"/>
            <w:vAlign w:val="bottom"/>
          </w:tcPr>
          <w:p>
            <w:pPr>
              <w:pStyle w:val="TableContents"/>
              <w:spacing w:before="0" w:after="0"/>
              <w:ind w:left="225" w:right="0" w:hanging="225"/>
              <w:rPr/>
            </w:pPr>
            <w:r>
              <w:rPr/>
              <w:t xml:space="preserve">Short term borrowings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 </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111" w:type="dxa"/>
            <w:tcBorders/>
            <w:shd w:fill="auto" w:val="clear"/>
            <w:vAlign w:val="bottom"/>
          </w:tcPr>
          <w:p>
            <w:pPr>
              <w:pStyle w:val="TableContents"/>
              <w:spacing w:before="0" w:after="283"/>
              <w:jc w:val="right"/>
              <w:rPr/>
            </w:pPr>
            <w:r>
              <w:rPr/>
              <w:t> </w:t>
            </w:r>
          </w:p>
        </w:tc>
      </w:tr>
      <w:tr>
        <w:trPr/>
        <w:tc>
          <w:tcPr>
            <w:tcW w:w="1598" w:type="dxa"/>
            <w:tcBorders/>
            <w:shd w:fill="CCEEFF" w:val="clear"/>
            <w:vAlign w:val="bottom"/>
          </w:tcPr>
          <w:p>
            <w:pPr>
              <w:pStyle w:val="TableContents"/>
              <w:spacing w:before="0" w:after="0"/>
              <w:ind w:left="225" w:right="0" w:hanging="225"/>
              <w:rPr/>
            </w:pPr>
            <w:r>
              <w:rPr/>
              <w:t>Long-term debt</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55,058</w:t>
            </w:r>
          </w:p>
        </w:tc>
        <w:tc>
          <w:tcPr>
            <w:tcW w:w="23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19,000</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1,845</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14,655</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79,325</w:t>
            </w:r>
          </w:p>
        </w:tc>
        <w:tc>
          <w:tcPr>
            <w:tcW w:w="25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169,883</w:t>
            </w:r>
          </w:p>
        </w:tc>
        <w:tc>
          <w:tcPr>
            <w:tcW w:w="111" w:type="dxa"/>
            <w:tcBorders/>
            <w:shd w:fill="CCEEFF" w:val="clear"/>
            <w:vAlign w:val="bottom"/>
          </w:tcPr>
          <w:p>
            <w:pPr>
              <w:pStyle w:val="TableContents"/>
              <w:spacing w:before="0" w:after="283"/>
              <w:rPr/>
            </w:pPr>
            <w:r>
              <w:rPr/>
              <w:t> </w:t>
            </w:r>
          </w:p>
        </w:tc>
      </w:tr>
      <w:tr>
        <w:trPr/>
        <w:tc>
          <w:tcPr>
            <w:tcW w:w="1598" w:type="dxa"/>
            <w:tcBorders/>
            <w:shd w:fill="auto" w:val="clear"/>
            <w:vAlign w:val="bottom"/>
          </w:tcPr>
          <w:p>
            <w:pPr>
              <w:pStyle w:val="TableContents"/>
              <w:spacing w:before="0" w:after="0"/>
              <w:ind w:left="225" w:right="0" w:hanging="225"/>
              <w:rPr/>
            </w:pPr>
            <w:r>
              <w:rPr/>
              <w:t>Junior subordinated debt issued to unconsolidated trusts</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25,000</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25,000</w:t>
            </w:r>
          </w:p>
        </w:tc>
        <w:tc>
          <w:tcPr>
            <w:tcW w:w="25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50,000</w:t>
            </w:r>
          </w:p>
        </w:tc>
        <w:tc>
          <w:tcPr>
            <w:tcW w:w="111" w:type="dxa"/>
            <w:tcBorders/>
            <w:shd w:fill="auto" w:val="clear"/>
            <w:vAlign w:val="bottom"/>
          </w:tcPr>
          <w:p>
            <w:pPr>
              <w:pStyle w:val="TableContents"/>
              <w:spacing w:before="0" w:after="283"/>
              <w:rPr/>
            </w:pPr>
            <w:r>
              <w:rPr/>
              <w:t> </w:t>
            </w:r>
          </w:p>
        </w:tc>
      </w:tr>
      <w:tr>
        <w:trPr/>
        <w:tc>
          <w:tcPr>
            <w:tcW w:w="15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8486"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598" w:type="dxa"/>
            <w:tcBorders/>
            <w:shd w:fill="CCEEFF" w:val="clear"/>
            <w:vAlign w:val="bottom"/>
          </w:tcPr>
          <w:p>
            <w:pPr>
              <w:pStyle w:val="TableContents"/>
              <w:spacing w:before="0" w:after="0"/>
              <w:ind w:left="450" w:right="0" w:hanging="225"/>
              <w:rPr/>
            </w:pPr>
            <w:r>
              <w:rPr/>
              <w:t>Total rate-sensitive liabilities</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1,008,204</w:t>
            </w:r>
          </w:p>
        </w:tc>
        <w:tc>
          <w:tcPr>
            <w:tcW w:w="23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36" w:type="dxa"/>
            <w:tcBorders/>
            <w:shd w:fill="CCEEFF" w:val="clear"/>
            <w:vAlign w:val="bottom"/>
          </w:tcPr>
          <w:p>
            <w:pPr>
              <w:pStyle w:val="TableContents"/>
              <w:spacing w:before="0" w:after="283"/>
              <w:jc w:val="right"/>
              <w:rPr/>
            </w:pPr>
            <w:r>
              <w:rPr/>
              <w:t>132,485</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36" w:type="dxa"/>
            <w:tcBorders/>
            <w:shd w:fill="CCEEFF" w:val="clear"/>
            <w:vAlign w:val="bottom"/>
          </w:tcPr>
          <w:p>
            <w:pPr>
              <w:pStyle w:val="TableContents"/>
              <w:spacing w:before="0" w:after="283"/>
              <w:jc w:val="right"/>
              <w:rPr/>
            </w:pPr>
            <w:r>
              <w:rPr/>
              <w:t>137,817</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pPr>
            <w:r>
              <w:rPr/>
              <w:t>$</w:t>
            </w:r>
          </w:p>
        </w:tc>
        <w:tc>
          <w:tcPr>
            <w:tcW w:w="876" w:type="dxa"/>
            <w:tcBorders/>
            <w:shd w:fill="CCEEFF" w:val="clear"/>
            <w:vAlign w:val="bottom"/>
          </w:tcPr>
          <w:p>
            <w:pPr>
              <w:pStyle w:val="TableContents"/>
              <w:spacing w:before="0" w:after="283"/>
              <w:jc w:val="right"/>
              <w:rPr/>
            </w:pPr>
            <w:r>
              <w:rPr/>
              <w:t>167,038</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pPr>
            <w:r>
              <w:rPr/>
              <w:t>$</w:t>
            </w:r>
          </w:p>
        </w:tc>
        <w:tc>
          <w:tcPr>
            <w:tcW w:w="836" w:type="dxa"/>
            <w:tcBorders/>
            <w:shd w:fill="CCEEFF" w:val="clear"/>
            <w:vAlign w:val="bottom"/>
          </w:tcPr>
          <w:p>
            <w:pPr>
              <w:pStyle w:val="TableContents"/>
              <w:spacing w:before="0" w:after="283"/>
              <w:jc w:val="right"/>
              <w:rPr/>
            </w:pPr>
            <w:r>
              <w:rPr/>
              <w:t>368,681</w:t>
            </w:r>
          </w:p>
        </w:tc>
        <w:tc>
          <w:tcPr>
            <w:tcW w:w="25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1,814,225</w:t>
            </w:r>
          </w:p>
        </w:tc>
        <w:tc>
          <w:tcPr>
            <w:tcW w:w="111" w:type="dxa"/>
            <w:tcBorders/>
            <w:shd w:fill="CCEEFF" w:val="clear"/>
            <w:vAlign w:val="bottom"/>
          </w:tcPr>
          <w:p>
            <w:pPr>
              <w:pStyle w:val="TableContents"/>
              <w:spacing w:before="0" w:after="283"/>
              <w:rPr/>
            </w:pPr>
            <w:r>
              <w:rPr/>
              <w:t> </w:t>
            </w:r>
          </w:p>
        </w:tc>
      </w:tr>
      <w:tr>
        <w:trPr/>
        <w:tc>
          <w:tcPr>
            <w:tcW w:w="15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8486"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598" w:type="dxa"/>
            <w:tcBorders/>
            <w:shd w:fill="auto" w:val="clear"/>
            <w:vAlign w:val="bottom"/>
          </w:tcPr>
          <w:p>
            <w:pPr>
              <w:pStyle w:val="TableContents"/>
              <w:spacing w:before="0" w:after="0"/>
              <w:ind w:left="225" w:right="0" w:hanging="225"/>
              <w:rPr/>
            </w:pPr>
            <w:r>
              <w:rPr/>
              <w:t>Rate-sensitive assets less rate-sensitive liabilities</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right"/>
              <w:rPr/>
            </w:pPr>
            <w:r>
              <w:rPr/>
              <w:t>$</w:t>
            </w:r>
          </w:p>
        </w:tc>
        <w:tc>
          <w:tcPr>
            <w:tcW w:w="980" w:type="dxa"/>
            <w:tcBorders/>
            <w:shd w:fill="auto" w:val="clear"/>
            <w:vAlign w:val="bottom"/>
          </w:tcPr>
          <w:p>
            <w:pPr>
              <w:pStyle w:val="TableContents"/>
              <w:spacing w:before="0" w:after="283"/>
              <w:jc w:val="right"/>
              <w:rPr/>
            </w:pPr>
            <w:r>
              <w:rPr/>
              <w:t>(290,476</w:t>
            </w:r>
          </w:p>
        </w:tc>
        <w:tc>
          <w:tcPr>
            <w:tcW w:w="237" w:type="dxa"/>
            <w:tcBorders/>
            <w:shd w:fill="auto" w:val="clear"/>
            <w:vAlign w:val="bottom"/>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right"/>
              <w:rPr/>
            </w:pPr>
            <w:r>
              <w:rPr/>
              <w:t>$</w:t>
            </w:r>
          </w:p>
        </w:tc>
        <w:tc>
          <w:tcPr>
            <w:tcW w:w="936" w:type="dxa"/>
            <w:tcBorders/>
            <w:shd w:fill="auto" w:val="clear"/>
            <w:vAlign w:val="bottom"/>
          </w:tcPr>
          <w:p>
            <w:pPr>
              <w:pStyle w:val="TableContents"/>
              <w:spacing w:before="0" w:after="283"/>
              <w:jc w:val="right"/>
              <w:rPr/>
            </w:pPr>
            <w:r>
              <w:rPr/>
              <w:t>34,694</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right"/>
              <w:rPr/>
            </w:pPr>
            <w:r>
              <w:rPr/>
              <w:t>$</w:t>
            </w:r>
          </w:p>
        </w:tc>
        <w:tc>
          <w:tcPr>
            <w:tcW w:w="936" w:type="dxa"/>
            <w:tcBorders/>
            <w:shd w:fill="auto" w:val="clear"/>
            <w:vAlign w:val="bottom"/>
          </w:tcPr>
          <w:p>
            <w:pPr>
              <w:pStyle w:val="TableContents"/>
              <w:spacing w:before="0" w:after="283"/>
              <w:jc w:val="right"/>
              <w:rPr/>
            </w:pPr>
            <w:r>
              <w:rPr/>
              <w:t>(12,405</w:t>
            </w:r>
          </w:p>
        </w:tc>
        <w:tc>
          <w:tcPr>
            <w:tcW w:w="249" w:type="dxa"/>
            <w:tcBorders/>
            <w:shd w:fill="auto" w:val="clear"/>
            <w:vAlign w:val="bottom"/>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right"/>
              <w:rPr/>
            </w:pPr>
            <w:r>
              <w:rPr/>
              <w:t>$</w:t>
            </w:r>
          </w:p>
        </w:tc>
        <w:tc>
          <w:tcPr>
            <w:tcW w:w="876" w:type="dxa"/>
            <w:tcBorders/>
            <w:shd w:fill="auto" w:val="clear"/>
            <w:vAlign w:val="bottom"/>
          </w:tcPr>
          <w:p>
            <w:pPr>
              <w:pStyle w:val="TableContents"/>
              <w:spacing w:before="0" w:after="283"/>
              <w:jc w:val="right"/>
              <w:rPr/>
            </w:pPr>
            <w:r>
              <w:rPr/>
              <w:t>81,330</w:t>
            </w:r>
          </w:p>
        </w:tc>
        <w:tc>
          <w:tcPr>
            <w:tcW w:w="24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right"/>
              <w:rPr/>
            </w:pPr>
            <w:r>
              <w:rPr/>
              <w:t>$</w:t>
            </w:r>
          </w:p>
        </w:tc>
        <w:tc>
          <w:tcPr>
            <w:tcW w:w="836" w:type="dxa"/>
            <w:tcBorders/>
            <w:shd w:fill="auto" w:val="clear"/>
            <w:vAlign w:val="bottom"/>
          </w:tcPr>
          <w:p>
            <w:pPr>
              <w:pStyle w:val="TableContents"/>
              <w:spacing w:before="0" w:after="283"/>
              <w:jc w:val="right"/>
              <w:rPr/>
            </w:pPr>
            <w:r>
              <w:rPr/>
              <w:t>456,285</w:t>
            </w:r>
          </w:p>
        </w:tc>
        <w:tc>
          <w:tcPr>
            <w:tcW w:w="25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right"/>
              <w:rPr/>
            </w:pPr>
            <w:r>
              <w:rPr/>
              <w:t>$</w:t>
            </w:r>
          </w:p>
        </w:tc>
        <w:tc>
          <w:tcPr>
            <w:tcW w:w="980" w:type="dxa"/>
            <w:tcBorders/>
            <w:shd w:fill="auto" w:val="clear"/>
            <w:vAlign w:val="bottom"/>
          </w:tcPr>
          <w:p>
            <w:pPr>
              <w:pStyle w:val="TableContents"/>
              <w:spacing w:before="0" w:after="283"/>
              <w:jc w:val="right"/>
              <w:rPr/>
            </w:pPr>
            <w:r>
              <w:rPr/>
              <w:t>269,428</w:t>
            </w:r>
          </w:p>
        </w:tc>
        <w:tc>
          <w:tcPr>
            <w:tcW w:w="111" w:type="dxa"/>
            <w:tcBorders/>
            <w:shd w:fill="auto" w:val="clear"/>
            <w:vAlign w:val="bottom"/>
          </w:tcPr>
          <w:p>
            <w:pPr>
              <w:pStyle w:val="TableContents"/>
              <w:spacing w:before="0" w:after="283"/>
              <w:rPr/>
            </w:pPr>
            <w:r>
              <w:rPr/>
              <w:t> </w:t>
            </w:r>
          </w:p>
        </w:tc>
      </w:tr>
      <w:tr>
        <w:trPr/>
        <w:tc>
          <w:tcPr>
            <w:tcW w:w="15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8486"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598" w:type="dxa"/>
            <w:tcBorders/>
            <w:shd w:fill="CCEEFF" w:val="clear"/>
            <w:vAlign w:val="bottom"/>
          </w:tcPr>
          <w:p>
            <w:pPr>
              <w:pStyle w:val="TableContents"/>
              <w:spacing w:before="0" w:after="0"/>
              <w:ind w:left="225" w:right="0" w:hanging="225"/>
              <w:rPr/>
            </w:pPr>
            <w:r>
              <w:rPr/>
              <w:t>Cumulative Gap</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80" w:type="dxa"/>
            <w:tcBorders/>
            <w:shd w:fill="CCEEFF" w:val="clear"/>
            <w:vAlign w:val="bottom"/>
          </w:tcPr>
          <w:p>
            <w:pPr>
              <w:pStyle w:val="TableContents"/>
              <w:spacing w:before="0" w:after="283"/>
              <w:jc w:val="right"/>
              <w:rPr/>
            </w:pPr>
            <w:r>
              <w:rPr/>
              <w:t>(290,476</w:t>
            </w:r>
          </w:p>
        </w:tc>
        <w:tc>
          <w:tcPr>
            <w:tcW w:w="237" w:type="dxa"/>
            <w:tcBorders/>
            <w:shd w:fill="CCEEFF" w:val="clear"/>
            <w:vAlign w:val="bottom"/>
          </w:tcPr>
          <w:p>
            <w:pPr>
              <w:pStyle w:val="TableContents"/>
              <w:spacing w:before="0" w:after="283"/>
              <w:rPr/>
            </w:pPr>
            <w:r>
              <w:rPr/>
              <w:t>)</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36" w:type="dxa"/>
            <w:tcBorders/>
            <w:shd w:fill="CCEEFF" w:val="clear"/>
            <w:vAlign w:val="bottom"/>
          </w:tcPr>
          <w:p>
            <w:pPr>
              <w:pStyle w:val="TableContents"/>
              <w:spacing w:before="0" w:after="283"/>
              <w:jc w:val="right"/>
              <w:rPr/>
            </w:pPr>
            <w:r>
              <w:rPr/>
              <w:t>( 255,782</w:t>
            </w:r>
          </w:p>
        </w:tc>
        <w:tc>
          <w:tcPr>
            <w:tcW w:w="249" w:type="dxa"/>
            <w:tcBorders/>
            <w:shd w:fill="CCEEFF" w:val="clear"/>
            <w:vAlign w:val="bottom"/>
          </w:tcPr>
          <w:p>
            <w:pPr>
              <w:pStyle w:val="TableContents"/>
              <w:spacing w:before="0" w:after="283"/>
              <w:rPr/>
            </w:pPr>
            <w:r>
              <w:rPr/>
              <w:t>)</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right"/>
              <w:rPr/>
            </w:pPr>
            <w:r>
              <w:rPr/>
              <w:t>$</w:t>
            </w:r>
          </w:p>
        </w:tc>
        <w:tc>
          <w:tcPr>
            <w:tcW w:w="936" w:type="dxa"/>
            <w:tcBorders/>
            <w:shd w:fill="CCEEFF" w:val="clear"/>
            <w:vAlign w:val="bottom"/>
          </w:tcPr>
          <w:p>
            <w:pPr>
              <w:pStyle w:val="TableContents"/>
              <w:spacing w:before="0" w:after="283"/>
              <w:jc w:val="right"/>
              <w:rPr/>
            </w:pPr>
            <w:r>
              <w:rPr/>
              <w:t>( 268,187</w:t>
            </w:r>
          </w:p>
        </w:tc>
        <w:tc>
          <w:tcPr>
            <w:tcW w:w="249" w:type="dxa"/>
            <w:tcBorders/>
            <w:shd w:fill="CCEEFF" w:val="clear"/>
            <w:vAlign w:val="bottom"/>
          </w:tcPr>
          <w:p>
            <w:pPr>
              <w:pStyle w:val="TableContents"/>
              <w:spacing w:before="0" w:after="283"/>
              <w:rPr/>
            </w:pPr>
            <w:r>
              <w:rPr/>
              <w:t>)</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right"/>
              <w:rPr/>
            </w:pPr>
            <w:r>
              <w:rPr/>
              <w:t>$</w:t>
            </w:r>
          </w:p>
        </w:tc>
        <w:tc>
          <w:tcPr>
            <w:tcW w:w="876" w:type="dxa"/>
            <w:tcBorders/>
            <w:shd w:fill="CCEEFF" w:val="clear"/>
            <w:vAlign w:val="bottom"/>
          </w:tcPr>
          <w:p>
            <w:pPr>
              <w:pStyle w:val="TableContents"/>
              <w:spacing w:before="0" w:after="283"/>
              <w:jc w:val="right"/>
              <w:rPr/>
            </w:pPr>
            <w:r>
              <w:rPr/>
              <w:t>(186,857</w:t>
            </w:r>
          </w:p>
        </w:tc>
        <w:tc>
          <w:tcPr>
            <w:tcW w:w="249" w:type="dxa"/>
            <w:tcBorders/>
            <w:shd w:fill="CCEEFF" w:val="clear"/>
            <w:vAlign w:val="bottom"/>
          </w:tcPr>
          <w:p>
            <w:pPr>
              <w:pStyle w:val="TableContents"/>
              <w:spacing w:before="0" w:after="283"/>
              <w:rPr/>
            </w:pPr>
            <w:r>
              <w:rPr/>
              <w:t>)</w:t>
            </w:r>
          </w:p>
        </w:tc>
        <w:tc>
          <w:tcPr>
            <w:tcW w:w="12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right"/>
              <w:rPr/>
            </w:pPr>
            <w:r>
              <w:rPr/>
              <w:t>$</w:t>
            </w:r>
          </w:p>
        </w:tc>
        <w:tc>
          <w:tcPr>
            <w:tcW w:w="836" w:type="dxa"/>
            <w:tcBorders/>
            <w:shd w:fill="CCEEFF" w:val="clear"/>
            <w:vAlign w:val="bottom"/>
          </w:tcPr>
          <w:p>
            <w:pPr>
              <w:pStyle w:val="TableContents"/>
              <w:spacing w:before="0" w:after="283"/>
              <w:jc w:val="right"/>
              <w:rPr/>
            </w:pPr>
            <w:r>
              <w:rPr/>
              <w:t>269,428</w:t>
            </w:r>
          </w:p>
        </w:tc>
        <w:tc>
          <w:tcPr>
            <w:tcW w:w="25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r>
      <w:tr>
        <w:trPr/>
        <w:tc>
          <w:tcPr>
            <w:tcW w:w="15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7111"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c>
          <w:tcPr>
            <w:tcW w:w="12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r>
      <w:tr>
        <w:trPr/>
        <w:tc>
          <w:tcPr>
            <w:tcW w:w="1598" w:type="dxa"/>
            <w:tcBorders/>
            <w:shd w:fill="auto" w:val="clear"/>
            <w:vAlign w:val="bottom"/>
          </w:tcPr>
          <w:p>
            <w:pPr>
              <w:pStyle w:val="TableContents"/>
              <w:spacing w:before="0" w:after="0"/>
              <w:ind w:left="225" w:right="0" w:hanging="225"/>
              <w:rPr/>
            </w:pPr>
            <w:r>
              <w:rPr/>
              <w:t>Cumulative amounts as a percentage of total rate-sensitive assets</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t xml:space="preserve">-13.94 </w:t>
            </w:r>
          </w:p>
        </w:tc>
        <w:tc>
          <w:tcPr>
            <w:tcW w:w="237" w:type="dxa"/>
            <w:tcBorders/>
            <w:shd w:fill="auto" w:val="clear"/>
            <w:vAlign w:val="bottom"/>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right"/>
              <w:rPr/>
            </w:pPr>
            <w:r>
              <w:rPr/>
              <w:t> </w:t>
            </w:r>
          </w:p>
        </w:tc>
        <w:tc>
          <w:tcPr>
            <w:tcW w:w="936" w:type="dxa"/>
            <w:tcBorders/>
            <w:shd w:fill="auto" w:val="clear"/>
            <w:vAlign w:val="bottom"/>
          </w:tcPr>
          <w:p>
            <w:pPr>
              <w:pStyle w:val="TableContents"/>
              <w:spacing w:before="0" w:after="283"/>
              <w:jc w:val="right"/>
              <w:rPr/>
            </w:pPr>
            <w:r>
              <w:rPr/>
              <w:t>-12.28</w:t>
            </w:r>
          </w:p>
        </w:tc>
        <w:tc>
          <w:tcPr>
            <w:tcW w:w="249" w:type="dxa"/>
            <w:tcBorders/>
            <w:shd w:fill="auto" w:val="clear"/>
            <w:vAlign w:val="bottom"/>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right"/>
              <w:rPr/>
            </w:pPr>
            <w:r>
              <w:rPr/>
              <w:t> </w:t>
            </w:r>
          </w:p>
        </w:tc>
        <w:tc>
          <w:tcPr>
            <w:tcW w:w="936" w:type="dxa"/>
            <w:tcBorders/>
            <w:shd w:fill="auto" w:val="clear"/>
            <w:vAlign w:val="bottom"/>
          </w:tcPr>
          <w:p>
            <w:pPr>
              <w:pStyle w:val="TableContents"/>
              <w:spacing w:before="0" w:after="283"/>
              <w:jc w:val="right"/>
              <w:rPr/>
            </w:pPr>
            <w:r>
              <w:rPr/>
              <w:t>-12.87</w:t>
            </w:r>
          </w:p>
        </w:tc>
        <w:tc>
          <w:tcPr>
            <w:tcW w:w="249" w:type="dxa"/>
            <w:tcBorders/>
            <w:shd w:fill="auto" w:val="clear"/>
            <w:vAlign w:val="bottom"/>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right"/>
              <w:rPr/>
            </w:pPr>
            <w:r>
              <w:rPr/>
              <w:t> </w:t>
            </w:r>
          </w:p>
        </w:tc>
        <w:tc>
          <w:tcPr>
            <w:tcW w:w="876" w:type="dxa"/>
            <w:tcBorders/>
            <w:shd w:fill="auto" w:val="clear"/>
            <w:vAlign w:val="bottom"/>
          </w:tcPr>
          <w:p>
            <w:pPr>
              <w:pStyle w:val="TableContents"/>
              <w:spacing w:before="0" w:after="283"/>
              <w:jc w:val="right"/>
              <w:rPr/>
            </w:pPr>
            <w:r>
              <w:rPr/>
              <w:t>-8.97</w:t>
            </w:r>
          </w:p>
        </w:tc>
        <w:tc>
          <w:tcPr>
            <w:tcW w:w="249" w:type="dxa"/>
            <w:tcBorders/>
            <w:shd w:fill="auto" w:val="clear"/>
            <w:vAlign w:val="bottom"/>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right"/>
              <w:rPr/>
            </w:pPr>
            <w:r>
              <w:rPr/>
              <w:t> </w:t>
            </w:r>
          </w:p>
        </w:tc>
        <w:tc>
          <w:tcPr>
            <w:tcW w:w="836" w:type="dxa"/>
            <w:tcBorders/>
            <w:shd w:fill="auto" w:val="clear"/>
            <w:vAlign w:val="bottom"/>
          </w:tcPr>
          <w:p>
            <w:pPr>
              <w:pStyle w:val="TableContents"/>
              <w:spacing w:before="0" w:after="283"/>
              <w:jc w:val="right"/>
              <w:rPr/>
            </w:pPr>
            <w:r>
              <w:rPr/>
              <w:t>12.93</w:t>
            </w:r>
          </w:p>
        </w:tc>
        <w:tc>
          <w:tcPr>
            <w:tcW w:w="259" w:type="dxa"/>
            <w:tcBorders/>
            <w:shd w:fill="auto" w:val="clear"/>
            <w:vAlign w:val="bottom"/>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r>
      <w:tr>
        <w:trPr/>
        <w:tc>
          <w:tcPr>
            <w:tcW w:w="15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7111"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c>
          <w:tcPr>
            <w:tcW w:w="12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r>
      <w:tr>
        <w:trPr/>
        <w:tc>
          <w:tcPr>
            <w:tcW w:w="1598" w:type="dxa"/>
            <w:tcBorders/>
            <w:shd w:fill="CCEEFF" w:val="clear"/>
            <w:vAlign w:val="bottom"/>
          </w:tcPr>
          <w:p>
            <w:pPr>
              <w:pStyle w:val="TableContents"/>
              <w:spacing w:before="0" w:after="0"/>
              <w:ind w:left="225" w:right="0" w:hanging="225"/>
              <w:rPr/>
            </w:pPr>
            <w:r>
              <w:rPr/>
              <w:t>Cumulative Ratio</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0.71</w:t>
            </w:r>
          </w:p>
        </w:tc>
        <w:tc>
          <w:tcPr>
            <w:tcW w:w="23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0.78</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pPr>
            <w:r>
              <w:rPr/>
              <w:t>0.79</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0.87</w:t>
            </w:r>
          </w:p>
        </w:tc>
        <w:tc>
          <w:tcPr>
            <w:tcW w:w="24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1.15</w:t>
            </w:r>
          </w:p>
        </w:tc>
        <w:tc>
          <w:tcPr>
            <w:tcW w:w="25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r>
      <w:tr>
        <w:trPr/>
        <w:tc>
          <w:tcPr>
            <w:tcW w:w="15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7111" w:type="dxa"/>
            <w:gridSpan w:val="19"/>
            <w:tcBorders>
              <w:top w:val="double" w:sz="6" w:space="0" w:color="000000"/>
            </w:tcBorders>
            <w:shd w:fill="auto" w:val="clear"/>
            <w:tcMar>
              <w:top w:w="28" w:type="dxa"/>
            </w:tcMar>
            <w:vAlign w:val="center"/>
          </w:tcPr>
          <w:p>
            <w:pPr>
              <w:pStyle w:val="TableContents"/>
              <w:spacing w:before="0" w:after="283"/>
              <w:jc w:val="left"/>
              <w:rPr/>
            </w:pPr>
            <w:r>
              <w:rPr/>
              <w:t> </w:t>
            </w:r>
          </w:p>
        </w:tc>
        <w:tc>
          <w:tcPr>
            <w:tcW w:w="12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36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 Corporations funds management policy requires the subsidiary banks to maintain a cumulative rate-sensitivity ration of .75  1.25 in the 90-day, 180-day, and 1-year time periods. As of December 31, 2005, the Banks and the Corporation, on a consolidated basis, are within those guidelines.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foregoing table shows a negative (liability-sensitive) rate-sensitivity gap of $290.5 million in the 1-30 day repricing category as more liabilities were subject to repricing during that time period than assets were subject to repricing within that same time period. The volume of assets subject to repricing exceeds the volume of liabilities subject to repricing for all time periods beyond 180 days. On a cumulative basis, however, the gap remains liability sensitive through one year. The composition of the gap structure as of December 31, 2005, indicates the Corporation would benefit more if interest rates decrease during the next year by allowing the net interest margin to grow as the volume of interest-bearing liabilities subject to repricing would be greater than the volume of interest-earning assets subject to repricing during the same period.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asset-liability committees do not rely solely on gap analysis to manage interest-rate risk as interest rate changes do not impact all categories of assets and liabilities equally or simultaneously. Other factors influence the effect of interest rate fluctuations on the Corporations net interest margin. For example, a decline in interest rates may lead borrowers to repay their loans more rapidly which could mitigate some of the expected benefit of the decline in interest rates when negatively gapped. Conversely, a rapid rise in interest rates could lead to an increase in the net interest margin if the increased rates on loans and other interest-earning assets are higher than those on interest-bearing deposits and other liabilities.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asset-liability committees supplement gap analysis with balance sheet and income simulation analysis to determine the potential impact on net interest income of changes in market interest rates. In these simulation models the balance sheet is projected out over a one-year period and net interest income is calculated under current market rates, and then assuming permanent instantaneous shifts in the yield curve of +/- 100 basis points, and +/- 200 basis points. Management measures such changes assuming immediate and sustained shifts in the Federal funds rate and the corresponding shifts in other rate indices based on their historical changes relative to changes in the Federal funds rate. The model assumes asset and liability balances remain constant at December 31 balances. The model uses repricing frequency on all variable-rate assets and liabilities. The model also uses a historical decay rate on all fixed-rate core deposit balances. Prepayment speeds on loans have been adjusted to incorporate expected prepayment speeds in both a rising and declining rate environment. Utilizing this measurement concept the interest rate risk of the Corporation, expressed as a change in net interest income as a percentage of the net income calculated in the constant base model, due to changes in interest rates was as follows: </w:t>
      </w:r>
    </w:p>
    <w:tbl>
      <w:tblPr>
        <w:tblW w:w="5000" w:type="pct"/>
        <w:jc w:val="center"/>
        <w:tblInd w:w="0" w:type="dxa"/>
        <w:tblCellMar>
          <w:top w:w="0" w:type="dxa"/>
          <w:left w:w="0" w:type="dxa"/>
          <w:bottom w:w="0" w:type="dxa"/>
          <w:right w:w="0" w:type="dxa"/>
        </w:tblCellMar>
      </w:tblPr>
      <w:tblGrid>
        <w:gridCol w:w="5833"/>
        <w:gridCol w:w="431"/>
        <w:gridCol w:w="127"/>
        <w:gridCol w:w="520"/>
        <w:gridCol w:w="326"/>
        <w:gridCol w:w="431"/>
        <w:gridCol w:w="127"/>
        <w:gridCol w:w="520"/>
        <w:gridCol w:w="402"/>
        <w:gridCol w:w="431"/>
        <w:gridCol w:w="127"/>
        <w:gridCol w:w="519"/>
        <w:gridCol w:w="411"/>
      </w:tblGrid>
      <w:tr>
        <w:trPr/>
        <w:tc>
          <w:tcPr>
            <w:tcW w:w="583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r>
      <w:tr>
        <w:trPr/>
        <w:tc>
          <w:tcPr>
            <w:tcW w:w="583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3941" w:type="dxa"/>
            <w:gridSpan w:val="11"/>
            <w:tcBorders>
              <w:bottom w:val="single" w:sz="2" w:space="0" w:color="000000"/>
            </w:tcBorders>
            <w:shd w:fill="auto" w:val="clear"/>
            <w:tcMar>
              <w:bottom w:w="28" w:type="dxa"/>
            </w:tcMar>
            <w:vAlign w:val="bottom"/>
          </w:tcPr>
          <w:p>
            <w:pPr>
              <w:pStyle w:val="TableContents"/>
              <w:spacing w:before="0" w:after="283"/>
              <w:jc w:val="center"/>
              <w:rPr/>
            </w:pPr>
            <w:r>
              <w:rPr/>
              <w:t>Basis Point Changes</w:t>
            </w:r>
          </w:p>
        </w:tc>
      </w:tr>
      <w:tr>
        <w:trPr/>
        <w:tc>
          <w:tcPr>
            <w:tcW w:w="583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973" w:type="dxa"/>
            <w:gridSpan w:val="3"/>
            <w:tcBorders/>
            <w:shd w:fill="auto" w:val="clear"/>
            <w:vAlign w:val="bottom"/>
          </w:tcPr>
          <w:p>
            <w:pPr>
              <w:pStyle w:val="TableContents"/>
              <w:spacing w:before="0" w:after="283"/>
              <w:jc w:val="center"/>
              <w:rPr/>
            </w:pPr>
            <w:r>
              <w:rPr/>
              <w:t>-100</w:t>
            </w:r>
          </w:p>
        </w:tc>
        <w:tc>
          <w:tcPr>
            <w:tcW w:w="431" w:type="dxa"/>
            <w:tcBorders/>
            <w:shd w:fill="auto" w:val="clear"/>
            <w:vAlign w:val="bottom"/>
          </w:tcPr>
          <w:p>
            <w:pPr>
              <w:pStyle w:val="TableContents"/>
              <w:spacing w:before="0" w:after="283"/>
              <w:rPr/>
            </w:pPr>
            <w:r>
              <w:rPr/>
              <w:t> </w:t>
            </w:r>
          </w:p>
        </w:tc>
        <w:tc>
          <w:tcPr>
            <w:tcW w:w="1049" w:type="dxa"/>
            <w:gridSpan w:val="3"/>
            <w:tcBorders/>
            <w:shd w:fill="auto" w:val="clear"/>
            <w:vAlign w:val="bottom"/>
          </w:tcPr>
          <w:p>
            <w:pPr>
              <w:pStyle w:val="TableContents"/>
              <w:spacing w:before="0" w:after="283"/>
              <w:jc w:val="center"/>
              <w:rPr/>
            </w:pPr>
            <w:r>
              <w:rPr/>
              <w:t>+100</w:t>
            </w:r>
          </w:p>
        </w:tc>
        <w:tc>
          <w:tcPr>
            <w:tcW w:w="431" w:type="dxa"/>
            <w:tcBorders/>
            <w:shd w:fill="auto" w:val="clear"/>
            <w:vAlign w:val="bottom"/>
          </w:tcPr>
          <w:p>
            <w:pPr>
              <w:pStyle w:val="TableContents"/>
              <w:spacing w:before="0" w:after="283"/>
              <w:rPr/>
            </w:pPr>
            <w:r>
              <w:rPr/>
              <w:t> </w:t>
            </w:r>
          </w:p>
        </w:tc>
        <w:tc>
          <w:tcPr>
            <w:tcW w:w="1057" w:type="dxa"/>
            <w:gridSpan w:val="3"/>
            <w:tcBorders/>
            <w:shd w:fill="auto" w:val="clear"/>
            <w:vAlign w:val="bottom"/>
          </w:tcPr>
          <w:p>
            <w:pPr>
              <w:pStyle w:val="TableContents"/>
              <w:spacing w:before="0" w:after="283"/>
              <w:jc w:val="center"/>
              <w:rPr/>
            </w:pPr>
            <w:r>
              <w:rPr/>
              <w:t>+200</w:t>
            </w:r>
          </w:p>
        </w:tc>
      </w:tr>
      <w:tr>
        <w:trPr/>
        <w:tc>
          <w:tcPr>
            <w:tcW w:w="583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3941"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833" w:type="dxa"/>
            <w:tcBorders/>
            <w:shd w:fill="auto" w:val="clear"/>
            <w:vAlign w:val="bottom"/>
          </w:tcPr>
          <w:p>
            <w:pPr>
              <w:pStyle w:val="TableContents"/>
              <w:spacing w:before="0" w:after="0"/>
              <w:ind w:left="225" w:right="0" w:hanging="225"/>
              <w:rPr/>
            </w:pPr>
            <w:r>
              <w:rPr/>
              <w:t>December 31, 2005</w:t>
            </w:r>
          </w:p>
        </w:tc>
        <w:tc>
          <w:tcPr>
            <w:tcW w:w="43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right"/>
              <w:rPr/>
            </w:pPr>
            <w:r>
              <w:rPr/>
              <w:t> </w:t>
            </w:r>
          </w:p>
        </w:tc>
        <w:tc>
          <w:tcPr>
            <w:tcW w:w="520" w:type="dxa"/>
            <w:tcBorders/>
            <w:shd w:fill="auto" w:val="clear"/>
            <w:vAlign w:val="bottom"/>
          </w:tcPr>
          <w:p>
            <w:pPr>
              <w:pStyle w:val="TableContents"/>
              <w:spacing w:before="0" w:after="283"/>
              <w:jc w:val="right"/>
              <w:rPr/>
            </w:pPr>
            <w:r>
              <w:rPr/>
              <w:t>(0.18</w:t>
            </w:r>
          </w:p>
        </w:tc>
        <w:tc>
          <w:tcPr>
            <w:tcW w:w="326"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right"/>
              <w:rPr/>
            </w:pPr>
            <w:r>
              <w:rPr/>
              <w:t> </w:t>
            </w:r>
          </w:p>
        </w:tc>
        <w:tc>
          <w:tcPr>
            <w:tcW w:w="520" w:type="dxa"/>
            <w:tcBorders/>
            <w:shd w:fill="auto" w:val="clear"/>
            <w:vAlign w:val="bottom"/>
          </w:tcPr>
          <w:p>
            <w:pPr>
              <w:pStyle w:val="TableContents"/>
              <w:spacing w:before="0" w:after="283"/>
              <w:jc w:val="right"/>
              <w:rPr/>
            </w:pPr>
            <w:r>
              <w:rPr/>
              <w:t>(0.45</w:t>
            </w:r>
          </w:p>
        </w:tc>
        <w:tc>
          <w:tcPr>
            <w:tcW w:w="402"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right"/>
              <w:rPr/>
            </w:pPr>
            <w:r>
              <w:rPr/>
              <w:t> </w:t>
            </w:r>
          </w:p>
        </w:tc>
        <w:tc>
          <w:tcPr>
            <w:tcW w:w="519" w:type="dxa"/>
            <w:tcBorders/>
            <w:shd w:fill="auto" w:val="clear"/>
            <w:vAlign w:val="bottom"/>
          </w:tcPr>
          <w:p>
            <w:pPr>
              <w:pStyle w:val="TableContents"/>
              <w:spacing w:before="0" w:after="283"/>
              <w:jc w:val="right"/>
              <w:rPr/>
            </w:pPr>
            <w:r>
              <w:rPr/>
              <w:t>(1.29</w:t>
            </w:r>
          </w:p>
        </w:tc>
        <w:tc>
          <w:tcPr>
            <w:tcW w:w="411" w:type="dxa"/>
            <w:tcBorders/>
            <w:shd w:fill="auto" w:val="clear"/>
            <w:vAlign w:val="bottom"/>
          </w:tcPr>
          <w:p>
            <w:pPr>
              <w:pStyle w:val="TableContents"/>
              <w:spacing w:before="0" w:after="283"/>
              <w:rPr/>
            </w:pPr>
            <w:r>
              <w:rPr/>
              <w:t>%)</w:t>
            </w:r>
          </w:p>
        </w:tc>
      </w:tr>
      <w:tr>
        <w:trPr/>
        <w:tc>
          <w:tcPr>
            <w:tcW w:w="5833" w:type="dxa"/>
            <w:tcBorders/>
            <w:shd w:fill="auto" w:val="clear"/>
            <w:vAlign w:val="bottom"/>
          </w:tcPr>
          <w:p>
            <w:pPr>
              <w:pStyle w:val="TableContents"/>
              <w:spacing w:before="0" w:after="0"/>
              <w:ind w:left="225" w:right="0" w:hanging="225"/>
              <w:rPr/>
            </w:pPr>
            <w:r>
              <w:rPr/>
              <w:t> </w:t>
            </w:r>
          </w:p>
        </w:tc>
        <w:tc>
          <w:tcPr>
            <w:tcW w:w="43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r>
      <w:tr>
        <w:trPr/>
        <w:tc>
          <w:tcPr>
            <w:tcW w:w="5833" w:type="dxa"/>
            <w:tcBorders/>
            <w:shd w:fill="auto" w:val="clear"/>
            <w:vAlign w:val="bottom"/>
          </w:tcPr>
          <w:p>
            <w:pPr>
              <w:pStyle w:val="TableContents"/>
              <w:spacing w:before="0" w:after="0"/>
              <w:ind w:left="225" w:right="0" w:hanging="225"/>
              <w:rPr/>
            </w:pPr>
            <w:r>
              <w:rPr/>
              <w:t>December 31, 2004</w:t>
            </w:r>
          </w:p>
        </w:tc>
        <w:tc>
          <w:tcPr>
            <w:tcW w:w="43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right"/>
              <w:rPr/>
            </w:pPr>
            <w:r>
              <w:rPr/>
              <w:t> </w:t>
            </w:r>
          </w:p>
        </w:tc>
        <w:tc>
          <w:tcPr>
            <w:tcW w:w="520" w:type="dxa"/>
            <w:tcBorders/>
            <w:shd w:fill="auto" w:val="clear"/>
            <w:vAlign w:val="bottom"/>
          </w:tcPr>
          <w:p>
            <w:pPr>
              <w:pStyle w:val="TableContents"/>
              <w:spacing w:before="0" w:after="283"/>
              <w:jc w:val="right"/>
              <w:rPr/>
            </w:pPr>
            <w:r>
              <w:rPr/>
              <w:t>(3.88</w:t>
            </w:r>
          </w:p>
        </w:tc>
        <w:tc>
          <w:tcPr>
            <w:tcW w:w="326"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right"/>
              <w:rPr/>
            </w:pPr>
            <w:r>
              <w:rPr/>
              <w:t> </w:t>
            </w:r>
          </w:p>
        </w:tc>
        <w:tc>
          <w:tcPr>
            <w:tcW w:w="520" w:type="dxa"/>
            <w:tcBorders/>
            <w:shd w:fill="auto" w:val="clear"/>
            <w:vAlign w:val="bottom"/>
          </w:tcPr>
          <w:p>
            <w:pPr>
              <w:pStyle w:val="TableContents"/>
              <w:spacing w:before="0" w:after="283"/>
              <w:jc w:val="right"/>
              <w:rPr/>
            </w:pPr>
            <w:r>
              <w:rPr/>
              <w:t>0.70</w:t>
            </w:r>
          </w:p>
        </w:tc>
        <w:tc>
          <w:tcPr>
            <w:tcW w:w="402"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right"/>
              <w:rPr/>
            </w:pPr>
            <w:r>
              <w:rPr/>
              <w:t> </w:t>
            </w:r>
          </w:p>
        </w:tc>
        <w:tc>
          <w:tcPr>
            <w:tcW w:w="519" w:type="dxa"/>
            <w:tcBorders/>
            <w:shd w:fill="auto" w:val="clear"/>
            <w:vAlign w:val="bottom"/>
          </w:tcPr>
          <w:p>
            <w:pPr>
              <w:pStyle w:val="TableContents"/>
              <w:spacing w:before="0" w:after="283"/>
              <w:jc w:val="right"/>
              <w:rPr/>
            </w:pPr>
            <w:r>
              <w:rPr/>
              <w:t>0.97</w:t>
            </w:r>
          </w:p>
        </w:tc>
        <w:tc>
          <w:tcPr>
            <w:tcW w:w="411" w:type="dxa"/>
            <w:tcBorders/>
            <w:shd w:fill="auto" w:val="clear"/>
            <w:vAlign w:val="bottom"/>
          </w:tcPr>
          <w:p>
            <w:pPr>
              <w:pStyle w:val="TableContents"/>
              <w:spacing w:before="0" w:after="283"/>
              <w:rPr/>
            </w:pPr>
            <w:r>
              <w:rPr/>
              <w: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Buseys funds management policy defines a targeted range of +/- 10% change in net interest margin in a 1-year time frame for interest rate shocks of +/- 100 basis points and +/- 200 basis points. As indicated in the table above, the Corporation is within this targeted range on a consolidated basis. </w:t>
      </w:r>
    </w:p>
    <w:p>
      <w:pPr>
        <w:pStyle w:val="TextBody"/>
        <w:jc w:val="center"/>
        <w:rPr>
          <w:rFonts w:ascii="Helvetica;Arial;sans-serif" w:hAnsi="Helvetica;Arial;sans-serif"/>
          <w:sz w:val="17"/>
        </w:rPr>
      </w:pPr>
      <w:r>
        <w:rPr>
          <w:rFonts w:ascii="Helvetica;Arial;sans-serif" w:hAnsi="Helvetica;Arial;sans-serif"/>
          <w:sz w:val="17"/>
        </w:rPr>
        <w:t xml:space="preserve">37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16" w:name="113"/>
      <w:bookmarkEnd w:id="16"/>
      <w:r>
        <w:rPr>
          <w:rFonts w:ascii="Helvetica;Arial;sans-serif" w:hAnsi="Helvetica;Arial;sans-serif"/>
          <w:b/>
          <w:sz w:val="17"/>
        </w:rPr>
        <w:t>Item 8. Financial Statements and Supplementary Data</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financial statements are presented beginning on page 45.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First Buseys management is responsible for establishing and maintaining adequate internal control over financial reporting. The corporations internal control over financial reporting is a process designed under the supervision of the Corporations Chief Executive Officer and Chief Financial Officer to provide reasonable assurance regarding the reliability of financial reporting and the preparation of the Corporations consolidated financial statements for external reporting purposes in accordance with U.S. generally accepted accounting principles.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Management has performed a comprehensive review, evaluation, and assessment of the Corporations internal control over financial reporting as of December 31, 2005. In making its assessment of internal control over financial reporting, management used the criteria issued by the committee of Sponsoring Organizations of the Treadway Commission (COSO) in </w:t>
      </w:r>
      <w:r>
        <w:rPr>
          <w:rFonts w:ascii="Helvetica;Arial;sans-serif" w:hAnsi="Helvetica;Arial;sans-serif"/>
          <w:i/>
          <w:sz w:val="17"/>
        </w:rPr>
        <w:t>Internal Control  Integrated Framework.</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Tarpon Coast National Bank (TCNB) has been excluded from managements assessment of internal controls as of December 31, 2005, because it was acquired by the Corporation in a purchase combination on July 29, 2005, and it was not possible for management to conduct an assessment of TCNBs internal control over financial reporting in the period between the consummation date and the date of managements assessment. TCNB represented total assets of approximately $177 million and net income of $769,000, of the Corporations related consolidated financial statement amounts as of and for the year ended December 31, 2005.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Based on the assessment, management has determined that, as of December 31, 2005, the Corporations internal control over financial reporting is effective, based on the COSO criteria. Managements assessment of the effectiveness of the Corporations internal control over financial reporting as of December 31, 2005, has been audited by McGladrey &amp; Pullen, LLP, an independent registered public accounting firm, as stated in their report appearing on page 47. </w:t>
      </w:r>
    </w:p>
    <w:p>
      <w:pPr>
        <w:pStyle w:val="TextBody"/>
        <w:spacing w:before="240" w:after="283"/>
        <w:jc w:val="left"/>
        <w:rPr>
          <w:rFonts w:ascii="Helvetica;Arial;sans-serif" w:hAnsi="Helvetica;Arial;sans-serif"/>
          <w:sz w:val="17"/>
        </w:rPr>
      </w:pPr>
      <w:bookmarkStart w:id="17" w:name="114"/>
      <w:bookmarkEnd w:id="17"/>
      <w:r>
        <w:rPr>
          <w:rFonts w:ascii="Helvetica;Arial;sans-serif" w:hAnsi="Helvetica;Arial;sans-serif"/>
          <w:b/>
          <w:sz w:val="17"/>
        </w:rPr>
        <w:t>Item 9. Changes in and Disagreements with Accountants on Accounting and Financial Disclosure.</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Not applicable. </w:t>
      </w:r>
    </w:p>
    <w:p>
      <w:pPr>
        <w:pStyle w:val="TextBody"/>
        <w:spacing w:before="240" w:after="283"/>
        <w:jc w:val="left"/>
        <w:rPr>
          <w:rFonts w:ascii="Helvetica;Arial;sans-serif" w:hAnsi="Helvetica;Arial;sans-serif"/>
          <w:sz w:val="17"/>
        </w:rPr>
      </w:pPr>
      <w:bookmarkStart w:id="18" w:name="115"/>
      <w:bookmarkEnd w:id="18"/>
      <w:r>
        <w:rPr>
          <w:rFonts w:ascii="Helvetica;Arial;sans-serif" w:hAnsi="Helvetica;Arial;sans-serif"/>
          <w:b/>
          <w:sz w:val="17"/>
        </w:rPr>
        <w:t>Item 9A. Controls and Procedures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i/>
          <w:sz w:val="17"/>
        </w:rPr>
        <w:t>Evaluation of Disclosure Controls and Procedures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An evaluation of our disclosure controls and procedures (as defined in Rule 13a-15(e) under the Securities Exchange Act of 1934 (the Act)) was carried out as of December 31, 2005, under the supervision and with the participation of our Chief Executive Officer, Chief Financial Officer and several other members of our senior management. Our Chief Executive Officer and Chief Financial Officer concluded that, as of December 31, 2005, our disclosure controls and procedures were effective in ensuring that the information we are required to disclose in the reports we file or submit under the Act is (i) accumulated and communicated to our management (including the Chief Executive Officer and Chief Financial Officer) in a timely manner, and (ii) recorded, processed, summarized, and reported within the time periods specified in the SECs rules and forms. </w:t>
      </w:r>
    </w:p>
    <w:p>
      <w:pPr>
        <w:pStyle w:val="TextBody"/>
        <w:spacing w:before="240" w:after="283"/>
        <w:jc w:val="left"/>
        <w:rPr>
          <w:rFonts w:ascii="Helvetica;Arial;sans-serif" w:hAnsi="Helvetica;Arial;sans-serif"/>
          <w:sz w:val="17"/>
        </w:rPr>
      </w:pPr>
      <w:r>
        <w:rPr>
          <w:rFonts w:ascii="Helvetica;Arial;sans-serif" w:hAnsi="Helvetica;Arial;sans-serif"/>
          <w:b/>
          <w:i/>
          <w:sz w:val="17"/>
        </w:rPr>
        <w:t>Managements Annual Report on Internal Control over Financial Reporting</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annual report of management on the effectiveness of our internal control over financial reporting and the attestation report thereon issued by our independent registered public accounting firm are set forth under Managements Report on Internal Control Over Financial Reporting and Report of Independent Registered Public Accounting Firm under Item 8. Financial Statements and Supplementary Data. </w:t>
      </w:r>
    </w:p>
    <w:p>
      <w:pPr>
        <w:pStyle w:val="TextBody"/>
        <w:jc w:val="center"/>
        <w:rPr>
          <w:rFonts w:ascii="Helvetica;Arial;sans-serif" w:hAnsi="Helvetica;Arial;sans-serif"/>
          <w:sz w:val="17"/>
        </w:rPr>
      </w:pPr>
      <w:r>
        <w:rPr>
          <w:rFonts w:ascii="Helvetica;Arial;sans-serif" w:hAnsi="Helvetica;Arial;sans-serif"/>
          <w:sz w:val="17"/>
        </w:rPr>
        <w:t xml:space="preserve">38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i/>
          <w:sz w:val="17"/>
        </w:rPr>
        <w:t>Changes in Internal Control Over Financial Reporting</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During the quarter ended December 31, 2005, no change occurred in our internal control over financial reporting that has materially affected, or is reasonably likely to materially affect, our internal control over financial reporting. </w:t>
      </w:r>
    </w:p>
    <w:p>
      <w:pPr>
        <w:pStyle w:val="TextBody"/>
        <w:spacing w:before="240" w:after="283"/>
        <w:jc w:val="left"/>
        <w:rPr>
          <w:rFonts w:ascii="Helvetica;Arial;sans-serif" w:hAnsi="Helvetica;Arial;sans-serif"/>
          <w:sz w:val="17"/>
        </w:rPr>
      </w:pPr>
      <w:bookmarkStart w:id="19" w:name="116"/>
      <w:bookmarkEnd w:id="19"/>
      <w:r>
        <w:rPr>
          <w:rFonts w:ascii="Helvetica;Arial;sans-serif" w:hAnsi="Helvetica;Arial;sans-serif"/>
          <w:b/>
          <w:sz w:val="17"/>
        </w:rPr>
        <w:t>Item 9B. Other information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Not applicable. </w:t>
      </w:r>
    </w:p>
    <w:p>
      <w:pPr>
        <w:pStyle w:val="TextBody"/>
        <w:spacing w:before="360" w:after="283"/>
        <w:jc w:val="center"/>
        <w:rPr>
          <w:rFonts w:ascii="Helvetica;Arial;sans-serif" w:hAnsi="Helvetica;Arial;sans-serif"/>
          <w:sz w:val="17"/>
        </w:rPr>
      </w:pPr>
      <w:bookmarkStart w:id="20" w:name="117"/>
      <w:bookmarkEnd w:id="20"/>
      <w:r>
        <w:rPr>
          <w:rFonts w:ascii="Helvetica;Arial;sans-serif" w:hAnsi="Helvetica;Arial;sans-serif"/>
          <w:b/>
          <w:sz w:val="17"/>
        </w:rPr>
        <w:t>Part III</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bookmarkStart w:id="21" w:name="118"/>
      <w:bookmarkEnd w:id="21"/>
      <w:r>
        <w:rPr>
          <w:rFonts w:ascii="Helvetica;Arial;sans-serif" w:hAnsi="Helvetica;Arial;sans-serif"/>
          <w:b/>
          <w:sz w:val="17"/>
        </w:rPr>
        <w:t>Item 10. Directors and Executive Officers of the Registrant</w:t>
      </w:r>
      <w:r>
        <w:rPr>
          <w:rFonts w:ascii="Helvetica;Arial;sans-serif" w:hAnsi="Helvetica;Arial;sans-serif"/>
          <w:sz w:val="17"/>
        </w:rPr>
        <w:t xml:space="preserve"> </w:t>
      </w:r>
    </w:p>
    <w:tbl>
      <w:tblPr>
        <w:tblW w:w="5000" w:type="pct"/>
        <w:jc w:val="left"/>
        <w:tblInd w:w="0" w:type="dxa"/>
        <w:tblCellMar>
          <w:top w:w="0" w:type="dxa"/>
          <w:left w:w="0" w:type="dxa"/>
          <w:bottom w:w="0" w:type="dxa"/>
          <w:right w:w="0" w:type="dxa"/>
        </w:tblCellMar>
      </w:tblPr>
      <w:tblGrid>
        <w:gridCol w:w="284"/>
        <w:gridCol w:w="133"/>
        <w:gridCol w:w="9788"/>
      </w:tblGrid>
      <w:tr>
        <w:trPr/>
        <w:tc>
          <w:tcPr>
            <w:tcW w:w="284" w:type="dxa"/>
            <w:tcBorders/>
            <w:shd w:fill="auto" w:val="clear"/>
          </w:tcPr>
          <w:p>
            <w:pPr>
              <w:pStyle w:val="TableContents"/>
              <w:spacing w:before="0" w:after="283"/>
              <w:jc w:val="left"/>
              <w:rPr/>
            </w:pPr>
            <w:r>
              <w:rPr/>
              <w:t>(a)</w:t>
            </w:r>
          </w:p>
        </w:tc>
        <w:tc>
          <w:tcPr>
            <w:tcW w:w="133" w:type="dxa"/>
            <w:tcBorders/>
            <w:shd w:fill="auto" w:val="clear"/>
          </w:tcPr>
          <w:p>
            <w:pPr>
              <w:pStyle w:val="TableContents"/>
              <w:spacing w:before="0" w:after="283"/>
              <w:rPr/>
            </w:pPr>
            <w:r>
              <w:rPr/>
              <w:t> </w:t>
            </w:r>
          </w:p>
        </w:tc>
        <w:tc>
          <w:tcPr>
            <w:tcW w:w="9788" w:type="dxa"/>
            <w:tcBorders/>
            <w:shd w:fill="auto" w:val="clear"/>
          </w:tcPr>
          <w:p>
            <w:pPr>
              <w:pStyle w:val="TableContents"/>
              <w:spacing w:before="0" w:after="283"/>
              <w:rPr/>
            </w:pPr>
            <w:r>
              <w:rPr/>
              <w:t>Directors of the Registrant. Incorporated by reference is the information set forth on pages 4-6 of the 2006 Proxy Statement.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(b) Executive Officers of the Registrant. Please refer to Part I of this Form 10-K. </w:t>
      </w:r>
    </w:p>
    <w:p>
      <w:pPr>
        <w:pStyle w:val="TextBody"/>
        <w:spacing w:before="240" w:after="283"/>
        <w:jc w:val="left"/>
        <w:rPr>
          <w:rFonts w:ascii="Helvetica;Arial;sans-serif" w:hAnsi="Helvetica;Arial;sans-serif"/>
          <w:sz w:val="17"/>
        </w:rPr>
      </w:pPr>
      <w:bookmarkStart w:id="22" w:name="119"/>
      <w:bookmarkEnd w:id="22"/>
      <w:r>
        <w:rPr>
          <w:rFonts w:ascii="Helvetica;Arial;sans-serif" w:hAnsi="Helvetica;Arial;sans-serif"/>
          <w:b/>
          <w:sz w:val="17"/>
        </w:rPr>
        <w:t>Item 11. Executive Compensation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Incorporated by reference is the information set forth on pages 10-11 of the 2006 Proxy Statement (except the information set forth in the sections Report of the Compensation Committee on Executive Compensation). </w:t>
      </w:r>
    </w:p>
    <w:p>
      <w:pPr>
        <w:pStyle w:val="TextBody"/>
        <w:spacing w:before="240" w:after="283"/>
        <w:jc w:val="left"/>
        <w:rPr>
          <w:rFonts w:ascii="Helvetica;Arial;sans-serif" w:hAnsi="Helvetica;Arial;sans-serif"/>
          <w:sz w:val="17"/>
        </w:rPr>
      </w:pPr>
      <w:bookmarkStart w:id="23" w:name="120"/>
      <w:bookmarkEnd w:id="23"/>
      <w:r>
        <w:rPr>
          <w:rFonts w:ascii="Helvetica;Arial;sans-serif" w:hAnsi="Helvetica;Arial;sans-serif"/>
          <w:b/>
          <w:sz w:val="17"/>
        </w:rPr>
        <w:t>Item 12. Security Ownership of Certain Beneficial Owners and Management and Related Stockholder Matters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Incorporated by reference is the information set forth under the heading Common Stock Ownership of Certain Beneficial Owners and Management on pages 8-9 of the 2006 Proxy Statement.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discloses the number of outstanding options, warrants and rights granted by the Corporation to participants in equity compensation plan, as well as the number of securities remaining available for future issuance under these plans. The table provides this information separately for equity compensation plans that have and have not been approved by security holders. </w:t>
      </w:r>
    </w:p>
    <w:tbl>
      <w:tblPr>
        <w:tblW w:w="5000" w:type="pct"/>
        <w:jc w:val="center"/>
        <w:tblInd w:w="0" w:type="dxa"/>
        <w:tblCellMar>
          <w:top w:w="0" w:type="dxa"/>
          <w:left w:w="0" w:type="dxa"/>
          <w:bottom w:w="0" w:type="dxa"/>
          <w:right w:w="0" w:type="dxa"/>
        </w:tblCellMar>
      </w:tblPr>
      <w:tblGrid>
        <w:gridCol w:w="2311"/>
        <w:gridCol w:w="133"/>
        <w:gridCol w:w="143"/>
        <w:gridCol w:w="1732"/>
        <w:gridCol w:w="144"/>
        <w:gridCol w:w="133"/>
        <w:gridCol w:w="509"/>
        <w:gridCol w:w="1996"/>
        <w:gridCol w:w="244"/>
        <w:gridCol w:w="133"/>
        <w:gridCol w:w="159"/>
        <w:gridCol w:w="2384"/>
        <w:gridCol w:w="184"/>
      </w:tblGrid>
      <w:tr>
        <w:trPr/>
        <w:tc>
          <w:tcPr>
            <w:tcW w:w="231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73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384"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r>
      <w:tr>
        <w:trPr/>
        <w:tc>
          <w:tcPr>
            <w:tcW w:w="2311" w:type="dxa"/>
            <w:tcBorders>
              <w:bottom w:val="single" w:sz="2" w:space="0" w:color="000000"/>
            </w:tcBorders>
            <w:shd w:fill="auto" w:val="clear"/>
            <w:tcMar>
              <w:bottom w:w="28" w:type="dxa"/>
            </w:tcMar>
            <w:vAlign w:val="bottom"/>
          </w:tcPr>
          <w:p>
            <w:pPr>
              <w:pStyle w:val="TableContents"/>
              <w:spacing w:before="0" w:after="283"/>
              <w:rPr/>
            </w:pPr>
            <w:r>
              <w:rPr/>
              <w:t> </w:t>
            </w:r>
          </w:p>
        </w:tc>
        <w:tc>
          <w:tcPr>
            <w:tcW w:w="133" w:type="dxa"/>
            <w:tcBorders>
              <w:bottom w:val="single" w:sz="2" w:space="0" w:color="000000"/>
            </w:tcBorders>
            <w:shd w:fill="auto" w:val="clear"/>
            <w:tcMar>
              <w:bottom w:w="28" w:type="dxa"/>
            </w:tcMar>
            <w:vAlign w:val="bottom"/>
          </w:tcPr>
          <w:p>
            <w:pPr>
              <w:pStyle w:val="TableContents"/>
              <w:spacing w:before="0" w:after="283"/>
              <w:rPr/>
            </w:pPr>
            <w:r>
              <w:rPr/>
              <w:t> </w:t>
            </w:r>
          </w:p>
        </w:tc>
        <w:tc>
          <w:tcPr>
            <w:tcW w:w="2019" w:type="dxa"/>
            <w:gridSpan w:val="3"/>
            <w:tcBorders>
              <w:bottom w:val="single" w:sz="2" w:space="0" w:color="000000"/>
            </w:tcBorders>
            <w:shd w:fill="auto" w:val="clear"/>
            <w:tcMar>
              <w:bottom w:w="28" w:type="dxa"/>
            </w:tcMar>
            <w:vAlign w:val="bottom"/>
          </w:tcPr>
          <w:p>
            <w:pPr>
              <w:pStyle w:val="TableContents"/>
              <w:spacing w:before="0" w:after="283"/>
              <w:jc w:val="center"/>
              <w:rPr/>
            </w:pPr>
            <w:r>
              <w:rPr/>
              <w:t>(a)</w:t>
            </w:r>
          </w:p>
        </w:tc>
        <w:tc>
          <w:tcPr>
            <w:tcW w:w="133" w:type="dxa"/>
            <w:tcBorders>
              <w:bottom w:val="single" w:sz="2" w:space="0" w:color="000000"/>
            </w:tcBorders>
            <w:shd w:fill="auto" w:val="clear"/>
            <w:tcMar>
              <w:bottom w:w="28" w:type="dxa"/>
            </w:tcMar>
            <w:vAlign w:val="bottom"/>
          </w:tcPr>
          <w:p>
            <w:pPr>
              <w:pStyle w:val="TableContents"/>
              <w:spacing w:before="0" w:after="283"/>
              <w:rPr/>
            </w:pPr>
            <w:r>
              <w:rPr/>
              <w:t> </w:t>
            </w:r>
          </w:p>
        </w:tc>
        <w:tc>
          <w:tcPr>
            <w:tcW w:w="2749" w:type="dxa"/>
            <w:gridSpan w:val="3"/>
            <w:tcBorders>
              <w:bottom w:val="single" w:sz="2" w:space="0" w:color="000000"/>
            </w:tcBorders>
            <w:shd w:fill="auto" w:val="clear"/>
            <w:tcMar>
              <w:bottom w:w="28" w:type="dxa"/>
            </w:tcMar>
            <w:vAlign w:val="bottom"/>
          </w:tcPr>
          <w:p>
            <w:pPr>
              <w:pStyle w:val="TableContents"/>
              <w:spacing w:before="0" w:after="283"/>
              <w:jc w:val="center"/>
              <w:rPr/>
            </w:pPr>
            <w:r>
              <w:rPr/>
              <w:t>(b)</w:t>
            </w:r>
          </w:p>
        </w:tc>
        <w:tc>
          <w:tcPr>
            <w:tcW w:w="133" w:type="dxa"/>
            <w:tcBorders>
              <w:bottom w:val="single" w:sz="2" w:space="0" w:color="000000"/>
            </w:tcBorders>
            <w:shd w:fill="auto" w:val="clear"/>
            <w:tcMar>
              <w:bottom w:w="28" w:type="dxa"/>
            </w:tcMar>
            <w:vAlign w:val="bottom"/>
          </w:tcPr>
          <w:p>
            <w:pPr>
              <w:pStyle w:val="TableContents"/>
              <w:spacing w:before="0" w:after="283"/>
              <w:rPr/>
            </w:pPr>
            <w:r>
              <w:rPr/>
              <w:t> </w:t>
            </w:r>
          </w:p>
        </w:tc>
        <w:tc>
          <w:tcPr>
            <w:tcW w:w="2727" w:type="dxa"/>
            <w:gridSpan w:val="3"/>
            <w:tcBorders>
              <w:bottom w:val="single" w:sz="2" w:space="0" w:color="000000"/>
            </w:tcBorders>
            <w:shd w:fill="auto" w:val="clear"/>
            <w:tcMar>
              <w:bottom w:w="28" w:type="dxa"/>
            </w:tcMar>
            <w:vAlign w:val="bottom"/>
          </w:tcPr>
          <w:p>
            <w:pPr>
              <w:pStyle w:val="TableContents"/>
              <w:spacing w:before="0" w:after="283"/>
              <w:jc w:val="center"/>
              <w:rPr/>
            </w:pPr>
            <w:r>
              <w:rPr/>
              <w:t>(c)</w:t>
            </w:r>
          </w:p>
        </w:tc>
      </w:tr>
      <w:tr>
        <w:trPr/>
        <w:tc>
          <w:tcPr>
            <w:tcW w:w="231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73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727" w:type="dxa"/>
            <w:gridSpan w:val="3"/>
            <w:tcBorders/>
            <w:shd w:fill="auto" w:val="clear"/>
            <w:vAlign w:val="bottom"/>
          </w:tcPr>
          <w:p>
            <w:pPr>
              <w:pStyle w:val="TableContents"/>
              <w:spacing w:before="0" w:after="283"/>
              <w:jc w:val="center"/>
              <w:rPr/>
            </w:pPr>
            <w:r>
              <w:rPr/>
              <w:t>Number of securities</w:t>
            </w:r>
          </w:p>
        </w:tc>
      </w:tr>
      <w:tr>
        <w:trPr/>
        <w:tc>
          <w:tcPr>
            <w:tcW w:w="231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019" w:type="dxa"/>
            <w:gridSpan w:val="3"/>
            <w:tcBorders/>
            <w:shd w:fill="auto" w:val="clear"/>
            <w:vAlign w:val="bottom"/>
          </w:tcPr>
          <w:p>
            <w:pPr>
              <w:pStyle w:val="TableContents"/>
              <w:spacing w:before="0" w:after="283"/>
              <w:jc w:val="center"/>
              <w:rPr/>
            </w:pPr>
            <w:r>
              <w:rPr/>
              <w:t>Number of securities</w:t>
            </w:r>
          </w:p>
        </w:tc>
        <w:tc>
          <w:tcPr>
            <w:tcW w:w="13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727" w:type="dxa"/>
            <w:gridSpan w:val="3"/>
            <w:tcBorders/>
            <w:shd w:fill="auto" w:val="clear"/>
            <w:vAlign w:val="bottom"/>
          </w:tcPr>
          <w:p>
            <w:pPr>
              <w:pStyle w:val="TableContents"/>
              <w:spacing w:before="0" w:after="283"/>
              <w:jc w:val="center"/>
              <w:rPr/>
            </w:pPr>
            <w:r>
              <w:rPr/>
              <w:t>remaining available for</w:t>
            </w:r>
          </w:p>
        </w:tc>
      </w:tr>
      <w:tr>
        <w:trPr/>
        <w:tc>
          <w:tcPr>
            <w:tcW w:w="231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019" w:type="dxa"/>
            <w:gridSpan w:val="3"/>
            <w:tcBorders/>
            <w:shd w:fill="auto" w:val="clear"/>
            <w:vAlign w:val="bottom"/>
          </w:tcPr>
          <w:p>
            <w:pPr>
              <w:pStyle w:val="TableContents"/>
              <w:spacing w:before="0" w:after="283"/>
              <w:jc w:val="center"/>
              <w:rPr/>
            </w:pPr>
            <w:r>
              <w:rPr/>
              <w:t>to be issued upon</w:t>
            </w:r>
          </w:p>
        </w:tc>
        <w:tc>
          <w:tcPr>
            <w:tcW w:w="13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727" w:type="dxa"/>
            <w:gridSpan w:val="3"/>
            <w:tcBorders/>
            <w:shd w:fill="auto" w:val="clear"/>
            <w:vAlign w:val="bottom"/>
          </w:tcPr>
          <w:p>
            <w:pPr>
              <w:pStyle w:val="TableContents"/>
              <w:spacing w:before="0" w:after="283"/>
              <w:jc w:val="center"/>
              <w:rPr/>
            </w:pPr>
            <w:r>
              <w:rPr/>
              <w:t>future issuance under equity</w:t>
            </w:r>
          </w:p>
        </w:tc>
      </w:tr>
      <w:tr>
        <w:trPr/>
        <w:tc>
          <w:tcPr>
            <w:tcW w:w="231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019" w:type="dxa"/>
            <w:gridSpan w:val="3"/>
            <w:tcBorders/>
            <w:shd w:fill="auto" w:val="clear"/>
            <w:vAlign w:val="bottom"/>
          </w:tcPr>
          <w:p>
            <w:pPr>
              <w:pStyle w:val="TableContents"/>
              <w:spacing w:before="0" w:after="283"/>
              <w:jc w:val="center"/>
              <w:rPr/>
            </w:pPr>
            <w:r>
              <w:rPr/>
              <w:t>exercise of</w:t>
            </w:r>
          </w:p>
        </w:tc>
        <w:tc>
          <w:tcPr>
            <w:tcW w:w="133" w:type="dxa"/>
            <w:tcBorders/>
            <w:shd w:fill="auto" w:val="clear"/>
            <w:vAlign w:val="bottom"/>
          </w:tcPr>
          <w:p>
            <w:pPr>
              <w:pStyle w:val="TableContents"/>
              <w:spacing w:before="0" w:after="283"/>
              <w:rPr/>
            </w:pPr>
            <w:r>
              <w:rPr/>
              <w:t> </w:t>
            </w:r>
          </w:p>
        </w:tc>
        <w:tc>
          <w:tcPr>
            <w:tcW w:w="2749" w:type="dxa"/>
            <w:gridSpan w:val="3"/>
            <w:tcBorders/>
            <w:shd w:fill="auto" w:val="clear"/>
            <w:vAlign w:val="bottom"/>
          </w:tcPr>
          <w:p>
            <w:pPr>
              <w:pStyle w:val="TableContents"/>
              <w:spacing w:before="0" w:after="283"/>
              <w:jc w:val="center"/>
              <w:rPr/>
            </w:pPr>
            <w:r>
              <w:rPr/>
              <w:t>Weighted-average exercise</w:t>
            </w:r>
          </w:p>
        </w:tc>
        <w:tc>
          <w:tcPr>
            <w:tcW w:w="133" w:type="dxa"/>
            <w:tcBorders/>
            <w:shd w:fill="auto" w:val="clear"/>
            <w:vAlign w:val="bottom"/>
          </w:tcPr>
          <w:p>
            <w:pPr>
              <w:pStyle w:val="TableContents"/>
              <w:spacing w:before="0" w:after="283"/>
              <w:rPr/>
            </w:pPr>
            <w:r>
              <w:rPr/>
              <w:t> </w:t>
            </w:r>
          </w:p>
        </w:tc>
        <w:tc>
          <w:tcPr>
            <w:tcW w:w="2727" w:type="dxa"/>
            <w:gridSpan w:val="3"/>
            <w:tcBorders/>
            <w:shd w:fill="auto" w:val="clear"/>
            <w:vAlign w:val="bottom"/>
          </w:tcPr>
          <w:p>
            <w:pPr>
              <w:pStyle w:val="TableContents"/>
              <w:spacing w:before="0" w:after="283"/>
              <w:jc w:val="center"/>
              <w:rPr/>
            </w:pPr>
            <w:r>
              <w:rPr/>
              <w:t>compensation plans</w:t>
            </w:r>
          </w:p>
        </w:tc>
      </w:tr>
      <w:tr>
        <w:trPr/>
        <w:tc>
          <w:tcPr>
            <w:tcW w:w="231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019" w:type="dxa"/>
            <w:gridSpan w:val="3"/>
            <w:tcBorders/>
            <w:shd w:fill="auto" w:val="clear"/>
            <w:vAlign w:val="bottom"/>
          </w:tcPr>
          <w:p>
            <w:pPr>
              <w:pStyle w:val="TableContents"/>
              <w:spacing w:before="0" w:after="283"/>
              <w:jc w:val="center"/>
              <w:rPr/>
            </w:pPr>
            <w:r>
              <w:rPr/>
              <w:t>outstanding options,</w:t>
            </w:r>
          </w:p>
        </w:tc>
        <w:tc>
          <w:tcPr>
            <w:tcW w:w="133" w:type="dxa"/>
            <w:tcBorders/>
            <w:shd w:fill="auto" w:val="clear"/>
            <w:vAlign w:val="bottom"/>
          </w:tcPr>
          <w:p>
            <w:pPr>
              <w:pStyle w:val="TableContents"/>
              <w:spacing w:before="0" w:after="283"/>
              <w:rPr/>
            </w:pPr>
            <w:r>
              <w:rPr/>
              <w:t> </w:t>
            </w:r>
          </w:p>
        </w:tc>
        <w:tc>
          <w:tcPr>
            <w:tcW w:w="2749" w:type="dxa"/>
            <w:gridSpan w:val="3"/>
            <w:tcBorders/>
            <w:shd w:fill="auto" w:val="clear"/>
            <w:vAlign w:val="bottom"/>
          </w:tcPr>
          <w:p>
            <w:pPr>
              <w:pStyle w:val="TableContents"/>
              <w:spacing w:before="0" w:after="283"/>
              <w:jc w:val="center"/>
              <w:rPr/>
            </w:pPr>
            <w:r>
              <w:rPr/>
              <w:t>price of outstanding options,</w:t>
            </w:r>
          </w:p>
        </w:tc>
        <w:tc>
          <w:tcPr>
            <w:tcW w:w="133" w:type="dxa"/>
            <w:tcBorders/>
            <w:shd w:fill="auto" w:val="clear"/>
            <w:vAlign w:val="bottom"/>
          </w:tcPr>
          <w:p>
            <w:pPr>
              <w:pStyle w:val="TableContents"/>
              <w:spacing w:before="0" w:after="283"/>
              <w:rPr/>
            </w:pPr>
            <w:r>
              <w:rPr/>
              <w:t> </w:t>
            </w:r>
          </w:p>
        </w:tc>
        <w:tc>
          <w:tcPr>
            <w:tcW w:w="2727" w:type="dxa"/>
            <w:gridSpan w:val="3"/>
            <w:tcBorders/>
            <w:shd w:fill="auto" w:val="clear"/>
            <w:vAlign w:val="bottom"/>
          </w:tcPr>
          <w:p>
            <w:pPr>
              <w:pStyle w:val="TableContents"/>
              <w:spacing w:before="0" w:after="283"/>
              <w:jc w:val="center"/>
              <w:rPr/>
            </w:pPr>
            <w:r>
              <w:rPr/>
              <w:t>(excluding securities</w:t>
            </w:r>
          </w:p>
        </w:tc>
      </w:tr>
      <w:tr>
        <w:trPr/>
        <w:tc>
          <w:tcPr>
            <w:tcW w:w="2311" w:type="dxa"/>
            <w:tcBorders/>
            <w:shd w:fill="auto" w:val="clear"/>
            <w:vAlign w:val="bottom"/>
          </w:tcPr>
          <w:p>
            <w:pPr>
              <w:pStyle w:val="TableContents"/>
              <w:spacing w:before="0" w:after="283"/>
              <w:jc w:val="left"/>
              <w:rPr/>
            </w:pPr>
            <w:r>
              <w:rPr/>
              <w:t>Plan Category</w:t>
            </w:r>
          </w:p>
        </w:tc>
        <w:tc>
          <w:tcPr>
            <w:tcW w:w="133" w:type="dxa"/>
            <w:tcBorders/>
            <w:shd w:fill="auto" w:val="clear"/>
            <w:vAlign w:val="bottom"/>
          </w:tcPr>
          <w:p>
            <w:pPr>
              <w:pStyle w:val="TableContents"/>
              <w:spacing w:before="0" w:after="283"/>
              <w:rPr/>
            </w:pPr>
            <w:r>
              <w:rPr/>
              <w:t> </w:t>
            </w:r>
          </w:p>
        </w:tc>
        <w:tc>
          <w:tcPr>
            <w:tcW w:w="2019" w:type="dxa"/>
            <w:gridSpan w:val="3"/>
            <w:tcBorders/>
            <w:shd w:fill="auto" w:val="clear"/>
            <w:vAlign w:val="bottom"/>
          </w:tcPr>
          <w:p>
            <w:pPr>
              <w:pStyle w:val="TableContents"/>
              <w:spacing w:before="0" w:after="283"/>
              <w:jc w:val="center"/>
              <w:rPr/>
            </w:pPr>
            <w:r>
              <w:rPr/>
              <w:t>warrants and rights</w:t>
            </w:r>
          </w:p>
        </w:tc>
        <w:tc>
          <w:tcPr>
            <w:tcW w:w="133" w:type="dxa"/>
            <w:tcBorders/>
            <w:shd w:fill="auto" w:val="clear"/>
            <w:vAlign w:val="bottom"/>
          </w:tcPr>
          <w:p>
            <w:pPr>
              <w:pStyle w:val="TableContents"/>
              <w:spacing w:before="0" w:after="283"/>
              <w:rPr/>
            </w:pPr>
            <w:r>
              <w:rPr/>
              <w:t> </w:t>
            </w:r>
          </w:p>
        </w:tc>
        <w:tc>
          <w:tcPr>
            <w:tcW w:w="2749" w:type="dxa"/>
            <w:gridSpan w:val="3"/>
            <w:tcBorders/>
            <w:shd w:fill="auto" w:val="clear"/>
            <w:vAlign w:val="bottom"/>
          </w:tcPr>
          <w:p>
            <w:pPr>
              <w:pStyle w:val="TableContents"/>
              <w:spacing w:before="0" w:after="283"/>
              <w:jc w:val="center"/>
              <w:rPr/>
            </w:pPr>
            <w:r>
              <w:rPr/>
              <w:t>warrants and rights</w:t>
            </w:r>
          </w:p>
        </w:tc>
        <w:tc>
          <w:tcPr>
            <w:tcW w:w="133" w:type="dxa"/>
            <w:tcBorders/>
            <w:shd w:fill="auto" w:val="clear"/>
            <w:vAlign w:val="bottom"/>
          </w:tcPr>
          <w:p>
            <w:pPr>
              <w:pStyle w:val="TableContents"/>
              <w:spacing w:before="0" w:after="283"/>
              <w:rPr/>
            </w:pPr>
            <w:r>
              <w:rPr/>
              <w:t> </w:t>
            </w:r>
          </w:p>
        </w:tc>
        <w:tc>
          <w:tcPr>
            <w:tcW w:w="2727" w:type="dxa"/>
            <w:gridSpan w:val="3"/>
            <w:tcBorders/>
            <w:shd w:fill="auto" w:val="clear"/>
            <w:vAlign w:val="bottom"/>
          </w:tcPr>
          <w:p>
            <w:pPr>
              <w:pStyle w:val="TableContents"/>
              <w:spacing w:before="0" w:after="283"/>
              <w:jc w:val="center"/>
              <w:rPr/>
            </w:pPr>
            <w:r>
              <w:rPr/>
              <w:t>reflected in column (a))</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311" w:type="dxa"/>
            <w:tcBorders/>
            <w:shd w:fill="CCEEFF" w:val="clear"/>
            <w:vAlign w:val="bottom"/>
          </w:tcPr>
          <w:p>
            <w:pPr>
              <w:pStyle w:val="TableContents"/>
              <w:spacing w:before="0" w:after="0"/>
              <w:ind w:left="225" w:right="0" w:hanging="225"/>
              <w:rPr/>
            </w:pPr>
            <w:r>
              <w:rPr/>
              <w:t>Equity compensation plans approved by stockholders</w:t>
            </w:r>
          </w:p>
        </w:tc>
        <w:tc>
          <w:tcPr>
            <w:tcW w:w="13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732" w:type="dxa"/>
            <w:tcBorders/>
            <w:shd w:fill="CCEEFF" w:val="clear"/>
            <w:vAlign w:val="bottom"/>
          </w:tcPr>
          <w:p>
            <w:pPr>
              <w:pStyle w:val="TableContents"/>
              <w:spacing w:before="0" w:after="283"/>
              <w:jc w:val="right"/>
              <w:rPr/>
            </w:pPr>
            <w:r>
              <w:rPr/>
              <w:t>627,425</w:t>
            </w:r>
          </w:p>
        </w:tc>
        <w:tc>
          <w:tcPr>
            <w:tcW w:w="14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pPr>
            <w:r>
              <w:rPr/>
              <w:t>$</w:t>
            </w:r>
          </w:p>
        </w:tc>
        <w:tc>
          <w:tcPr>
            <w:tcW w:w="1996" w:type="dxa"/>
            <w:tcBorders/>
            <w:shd w:fill="CCEEFF" w:val="clear"/>
            <w:vAlign w:val="bottom"/>
          </w:tcPr>
          <w:p>
            <w:pPr>
              <w:pStyle w:val="TableContents"/>
              <w:spacing w:before="0" w:after="283"/>
              <w:jc w:val="right"/>
              <w:rPr/>
            </w:pPr>
            <w:r>
              <w:rPr/>
              <w:t>17.62</w:t>
            </w:r>
          </w:p>
        </w:tc>
        <w:tc>
          <w:tcPr>
            <w:tcW w:w="24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384" w:type="dxa"/>
            <w:tcBorders/>
            <w:shd w:fill="CCEEFF" w:val="clear"/>
            <w:vAlign w:val="bottom"/>
          </w:tcPr>
          <w:p>
            <w:pPr>
              <w:pStyle w:val="TableContents"/>
              <w:spacing w:before="0" w:after="283"/>
              <w:jc w:val="right"/>
              <w:rPr/>
            </w:pPr>
            <w:r>
              <w:rPr/>
              <w:t>1,829,275</w:t>
            </w:r>
          </w:p>
        </w:tc>
        <w:tc>
          <w:tcPr>
            <w:tcW w:w="184" w:type="dxa"/>
            <w:tcBorders/>
            <w:shd w:fill="CCEEFF" w:val="clear"/>
            <w:vAlign w:val="bottom"/>
          </w:tcPr>
          <w:p>
            <w:pPr>
              <w:pStyle w:val="TableContents"/>
              <w:spacing w:before="0" w:after="283"/>
              <w:rPr/>
            </w:pPr>
            <w:r>
              <w:rPr/>
              <w:t> </w:t>
            </w:r>
          </w:p>
        </w:tc>
      </w:tr>
      <w:tr>
        <w:trPr/>
        <w:tc>
          <w:tcPr>
            <w:tcW w:w="2311" w:type="dxa"/>
            <w:tcBorders/>
            <w:shd w:fill="auto" w:val="clear"/>
            <w:vAlign w:val="bottom"/>
          </w:tcPr>
          <w:p>
            <w:pPr>
              <w:pStyle w:val="TableContents"/>
              <w:spacing w:before="0" w:after="0"/>
              <w:ind w:left="225" w:right="0" w:hanging="225"/>
              <w:rPr/>
            </w:pPr>
            <w:r>
              <w:rPr/>
              <w:t> </w:t>
            </w:r>
          </w:p>
        </w:tc>
        <w:tc>
          <w:tcPr>
            <w:tcW w:w="13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73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384"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r>
      <w:tr>
        <w:trPr/>
        <w:tc>
          <w:tcPr>
            <w:tcW w:w="2311" w:type="dxa"/>
            <w:tcBorders/>
            <w:shd w:fill="auto" w:val="clear"/>
            <w:vAlign w:val="bottom"/>
          </w:tcPr>
          <w:p>
            <w:pPr>
              <w:pStyle w:val="TableContents"/>
              <w:spacing w:before="0" w:after="0"/>
              <w:ind w:left="225" w:right="0" w:hanging="225"/>
              <w:rPr/>
            </w:pPr>
            <w:r>
              <w:rPr/>
              <w:t>Equity compensation plans not approved by stockholders</w:t>
            </w:r>
          </w:p>
        </w:tc>
        <w:tc>
          <w:tcPr>
            <w:tcW w:w="13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732" w:type="dxa"/>
            <w:tcBorders/>
            <w:shd w:fill="auto" w:val="clear"/>
            <w:vAlign w:val="bottom"/>
          </w:tcPr>
          <w:p>
            <w:pPr>
              <w:pStyle w:val="TableContents"/>
              <w:spacing w:before="0" w:after="283"/>
              <w:jc w:val="right"/>
              <w:rPr/>
            </w:pPr>
            <w:r>
              <w:rPr/>
              <w:t></w:t>
            </w:r>
          </w:p>
        </w:tc>
        <w:tc>
          <w:tcPr>
            <w:tcW w:w="14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spacing w:before="0" w:after="283"/>
              <w:jc w:val="right"/>
              <w:rPr/>
            </w:pPr>
            <w:r>
              <w:rPr/>
              <w:t></w:t>
            </w:r>
          </w:p>
        </w:tc>
        <w:tc>
          <w:tcPr>
            <w:tcW w:w="24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384" w:type="dxa"/>
            <w:tcBorders/>
            <w:shd w:fill="auto" w:val="clear"/>
            <w:vAlign w:val="bottom"/>
          </w:tcPr>
          <w:p>
            <w:pPr>
              <w:pStyle w:val="TableContents"/>
              <w:spacing w:before="0" w:after="283"/>
              <w:jc w:val="right"/>
              <w:rPr/>
            </w:pPr>
            <w:r>
              <w:rPr/>
              <w:t></w:t>
            </w:r>
          </w:p>
        </w:tc>
        <w:tc>
          <w:tcPr>
            <w:tcW w:w="184" w:type="dxa"/>
            <w:tcBorders/>
            <w:shd w:fill="auto" w:val="clear"/>
            <w:vAlign w:val="bottom"/>
          </w:tcPr>
          <w:p>
            <w:pPr>
              <w:pStyle w:val="TableContents"/>
              <w:spacing w:before="0" w:after="283"/>
              <w:rPr/>
            </w:pPr>
            <w:r>
              <w:rPr/>
              <w:t> </w:t>
            </w:r>
          </w:p>
        </w:tc>
      </w:tr>
      <w:tr>
        <w:trPr/>
        <w:tc>
          <w:tcPr>
            <w:tcW w:w="2311"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7761"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311" w:type="dxa"/>
            <w:tcBorders/>
            <w:shd w:fill="auto" w:val="clear"/>
            <w:vAlign w:val="bottom"/>
          </w:tcPr>
          <w:p>
            <w:pPr>
              <w:pStyle w:val="TableContents"/>
              <w:spacing w:before="0" w:after="0"/>
              <w:ind w:left="225" w:right="0" w:hanging="225"/>
              <w:rPr/>
            </w:pPr>
            <w:r>
              <w:rPr/>
              <w:t> </w:t>
            </w:r>
          </w:p>
        </w:tc>
        <w:tc>
          <w:tcPr>
            <w:tcW w:w="13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73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384"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r>
      <w:tr>
        <w:trPr/>
        <w:tc>
          <w:tcPr>
            <w:tcW w:w="2311" w:type="dxa"/>
            <w:tcBorders/>
            <w:shd w:fill="CCEEFF" w:val="clear"/>
            <w:vAlign w:val="bottom"/>
          </w:tcPr>
          <w:p>
            <w:pPr>
              <w:pStyle w:val="TableContents"/>
              <w:spacing w:before="0" w:after="0"/>
              <w:ind w:left="225" w:right="0" w:hanging="225"/>
              <w:rPr/>
            </w:pPr>
            <w:r>
              <w:rPr/>
              <w:t>Total</w:t>
            </w:r>
          </w:p>
        </w:tc>
        <w:tc>
          <w:tcPr>
            <w:tcW w:w="13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732" w:type="dxa"/>
            <w:tcBorders/>
            <w:shd w:fill="CCEEFF" w:val="clear"/>
            <w:vAlign w:val="bottom"/>
          </w:tcPr>
          <w:p>
            <w:pPr>
              <w:pStyle w:val="TableContents"/>
              <w:spacing w:before="0" w:after="283"/>
              <w:jc w:val="right"/>
              <w:rPr/>
            </w:pPr>
            <w:r>
              <w:rPr/>
              <w:t>627,425</w:t>
            </w:r>
          </w:p>
        </w:tc>
        <w:tc>
          <w:tcPr>
            <w:tcW w:w="14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pPr>
            <w:r>
              <w:rPr/>
              <w:t>$</w:t>
            </w:r>
          </w:p>
        </w:tc>
        <w:tc>
          <w:tcPr>
            <w:tcW w:w="1996" w:type="dxa"/>
            <w:tcBorders/>
            <w:shd w:fill="CCEEFF" w:val="clear"/>
            <w:vAlign w:val="bottom"/>
          </w:tcPr>
          <w:p>
            <w:pPr>
              <w:pStyle w:val="TableContents"/>
              <w:spacing w:before="0" w:after="283"/>
              <w:jc w:val="right"/>
              <w:rPr/>
            </w:pPr>
            <w:r>
              <w:rPr/>
              <w:t>17.62</w:t>
            </w:r>
          </w:p>
        </w:tc>
        <w:tc>
          <w:tcPr>
            <w:tcW w:w="24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384" w:type="dxa"/>
            <w:tcBorders/>
            <w:shd w:fill="CCEEFF" w:val="clear"/>
            <w:vAlign w:val="bottom"/>
          </w:tcPr>
          <w:p>
            <w:pPr>
              <w:pStyle w:val="TableContents"/>
              <w:spacing w:before="0" w:after="283"/>
              <w:jc w:val="right"/>
              <w:rPr/>
            </w:pPr>
            <w:r>
              <w:rPr/>
              <w:t>1,829,275</w:t>
            </w:r>
          </w:p>
        </w:tc>
        <w:tc>
          <w:tcPr>
            <w:tcW w:w="184" w:type="dxa"/>
            <w:tcBorders/>
            <w:shd w:fill="CCEEFF" w:val="clear"/>
            <w:vAlign w:val="bottom"/>
          </w:tcPr>
          <w:p>
            <w:pPr>
              <w:pStyle w:val="TableContents"/>
              <w:spacing w:before="0" w:after="283"/>
              <w:rPr/>
            </w:pPr>
            <w:r>
              <w:rPr/>
              <w:t> </w:t>
            </w:r>
          </w:p>
        </w:tc>
      </w:tr>
      <w:tr>
        <w:trPr/>
        <w:tc>
          <w:tcPr>
            <w:tcW w:w="2311"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7761"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39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24" w:name="121"/>
      <w:bookmarkEnd w:id="24"/>
      <w:r>
        <w:rPr>
          <w:rFonts w:ascii="Helvetica;Arial;sans-serif" w:hAnsi="Helvetica;Arial;sans-serif"/>
          <w:b/>
          <w:sz w:val="17"/>
        </w:rPr>
        <w:t>Item 13. Certain Relationships and Related Transactions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Incorporated by reference is the information set forth under the heading Certain Relationships and Related Transactions on page 15 of the 2006 Proxy Statement. </w:t>
      </w:r>
    </w:p>
    <w:p>
      <w:pPr>
        <w:pStyle w:val="TextBody"/>
        <w:spacing w:before="240" w:after="283"/>
        <w:jc w:val="left"/>
        <w:rPr>
          <w:rFonts w:ascii="Helvetica;Arial;sans-serif" w:hAnsi="Helvetica;Arial;sans-serif"/>
          <w:sz w:val="17"/>
        </w:rPr>
      </w:pPr>
      <w:bookmarkStart w:id="25" w:name="122"/>
      <w:bookmarkEnd w:id="25"/>
      <w:r>
        <w:rPr>
          <w:rFonts w:ascii="Helvetica;Arial;sans-serif" w:hAnsi="Helvetica;Arial;sans-serif"/>
          <w:b/>
          <w:sz w:val="17"/>
        </w:rPr>
        <w:t>Item 14. Principal Accountant Fees and Services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Incorporated by reference is the information set forth under the heading Audit Committee on pages 5-6 of the 2006 Proxy statement. </w:t>
      </w:r>
    </w:p>
    <w:p>
      <w:pPr>
        <w:pStyle w:val="TextBody"/>
        <w:jc w:val="center"/>
        <w:rPr>
          <w:rFonts w:ascii="Helvetica;Arial;sans-serif" w:hAnsi="Helvetica;Arial;sans-serif"/>
          <w:sz w:val="17"/>
        </w:rPr>
      </w:pPr>
      <w:r>
        <w:rPr>
          <w:rFonts w:ascii="Helvetica;Arial;sans-serif" w:hAnsi="Helvetica;Arial;sans-serif"/>
          <w:sz w:val="17"/>
        </w:rPr>
        <w:t xml:space="preserve">40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bookmarkStart w:id="26" w:name="123"/>
      <w:bookmarkEnd w:id="26"/>
      <w:r>
        <w:rPr>
          <w:rFonts w:ascii="Helvetica;Arial;sans-serif" w:hAnsi="Helvetica;Arial;sans-serif"/>
          <w:b/>
          <w:sz w:val="17"/>
        </w:rPr>
        <w:t>Part IV</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bookmarkStart w:id="27" w:name="124"/>
      <w:bookmarkEnd w:id="27"/>
      <w:r>
        <w:rPr>
          <w:rFonts w:ascii="Helvetica;Arial;sans-serif" w:hAnsi="Helvetica;Arial;sans-serif"/>
          <w:b/>
          <w:sz w:val="17"/>
        </w:rPr>
        <w:t>Item 15. Exhibits and Financial Statement Schedules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sz w:val="17"/>
        </w:rPr>
        <w:t>Exhibits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1020"/>
        <w:gridCol w:w="101"/>
        <w:gridCol w:w="9084"/>
      </w:tblGrid>
      <w:tr>
        <w:trPr/>
        <w:tc>
          <w:tcPr>
            <w:tcW w:w="102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vAlign w:val="bottom"/>
          </w:tcPr>
          <w:p>
            <w:pPr>
              <w:pStyle w:val="TableContents"/>
              <w:spacing w:before="0" w:after="283"/>
              <w:rPr/>
            </w:pPr>
            <w:r>
              <w:rPr/>
              <w:t> </w:t>
            </w:r>
          </w:p>
        </w:tc>
      </w:tr>
      <w:tr>
        <w:trPr/>
        <w:tc>
          <w:tcPr>
            <w:tcW w:w="1020" w:type="dxa"/>
            <w:tcBorders/>
            <w:shd w:fill="auto" w:val="clear"/>
            <w:vAlign w:val="bottom"/>
          </w:tcPr>
          <w:p>
            <w:pPr>
              <w:pStyle w:val="TableContents"/>
              <w:spacing w:before="0" w:after="283"/>
              <w:jc w:val="left"/>
              <w:rPr/>
            </w:pPr>
            <w:r>
              <w:rPr/>
              <w:t>Exhibit</w:t>
            </w:r>
          </w:p>
        </w:tc>
        <w:tc>
          <w:tcPr>
            <w:tcW w:w="101" w:type="dxa"/>
            <w:tcBorders/>
            <w:shd w:fill="auto" w:val="clear"/>
            <w:vAlign w:val="bottom"/>
          </w:tcPr>
          <w:p>
            <w:pPr>
              <w:pStyle w:val="TableContents"/>
              <w:spacing w:before="0" w:after="283"/>
              <w:rPr/>
            </w:pPr>
            <w:r>
              <w:rPr/>
              <w:t> </w:t>
            </w:r>
          </w:p>
        </w:tc>
        <w:tc>
          <w:tcPr>
            <w:tcW w:w="9084" w:type="dxa"/>
            <w:tcBorders/>
            <w:shd w:fill="auto" w:val="clear"/>
            <w:vAlign w:val="bottom"/>
          </w:tcPr>
          <w:p>
            <w:pPr>
              <w:pStyle w:val="TableContents"/>
              <w:spacing w:before="0" w:after="283"/>
              <w:jc w:val="center"/>
              <w:rPr/>
            </w:pPr>
            <w:r>
              <w:rPr/>
              <w:t> </w:t>
            </w:r>
          </w:p>
        </w:tc>
      </w:tr>
      <w:tr>
        <w:trPr/>
        <w:tc>
          <w:tcPr>
            <w:tcW w:w="1020" w:type="dxa"/>
            <w:tcBorders/>
            <w:shd w:fill="auto" w:val="clear"/>
            <w:vAlign w:val="bottom"/>
          </w:tcPr>
          <w:p>
            <w:pPr>
              <w:pStyle w:val="TableContents"/>
              <w:spacing w:before="0" w:after="283"/>
              <w:jc w:val="left"/>
              <w:rPr/>
            </w:pPr>
            <w:r>
              <w:rPr/>
              <w:t>Number</w:t>
            </w:r>
          </w:p>
        </w:tc>
        <w:tc>
          <w:tcPr>
            <w:tcW w:w="101" w:type="dxa"/>
            <w:tcBorders/>
            <w:shd w:fill="auto" w:val="clear"/>
            <w:vAlign w:val="bottom"/>
          </w:tcPr>
          <w:p>
            <w:pPr>
              <w:pStyle w:val="TableContents"/>
              <w:spacing w:before="0" w:after="283"/>
              <w:rPr/>
            </w:pPr>
            <w:r>
              <w:rPr/>
              <w:t> </w:t>
            </w:r>
          </w:p>
        </w:tc>
        <w:tc>
          <w:tcPr>
            <w:tcW w:w="9084" w:type="dxa"/>
            <w:tcBorders/>
            <w:shd w:fill="auto" w:val="clear"/>
            <w:vAlign w:val="bottom"/>
          </w:tcPr>
          <w:p>
            <w:pPr>
              <w:pStyle w:val="TableContents"/>
              <w:spacing w:before="0" w:after="283"/>
              <w:jc w:val="left"/>
              <w:rPr/>
            </w:pPr>
            <w:r>
              <w:rPr/>
              <w:t>Description of Exhibit</w:t>
            </w:r>
          </w:p>
        </w:tc>
      </w:tr>
      <w:tr>
        <w:trPr/>
        <w:tc>
          <w:tcPr>
            <w:tcW w:w="10205"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xml:space="preserve">3.1 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Restated Articles of Incorporation of First Busey Corporation (filed as Exhibit 3.1 to First Buseys Form 10-Q for the quarterly period ended March 31, 2004, filed with the Commission on May 10, 2004, (Commission File No. 0-15950), and incorporated herein by reference)</w:t>
            </w:r>
          </w:p>
        </w:tc>
      </w:tr>
      <w:tr>
        <w:trPr/>
        <w:tc>
          <w:tcPr>
            <w:tcW w:w="102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xml:space="preserve">3.2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First Busey Corporation Revised By-Laws (filed as Exhibit 3.2 to First Buseys Form 10-Q for the quarterly period ended March 31, 2004, filed with the Commission on May 10, 2004 (Commission File No. 0-15950), and incorporated herein by reference)</w:t>
            </w:r>
          </w:p>
        </w:tc>
      </w:tr>
      <w:tr>
        <w:trPr/>
        <w:tc>
          <w:tcPr>
            <w:tcW w:w="102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xml:space="preserve">10.1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First Busey Corporation 1993 Restricted Stock Award Plan (filed as Appendix E to First Buseys definitive proxy statement filed with the Commission on April 5, 1993 (Commission File No. 0-15950), and incorporated herein by reference)</w:t>
            </w:r>
          </w:p>
        </w:tc>
      </w:tr>
      <w:tr>
        <w:trPr/>
        <w:tc>
          <w:tcPr>
            <w:tcW w:w="102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xml:space="preserve">10.2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First Busey Corporation Profit Sharing Plan and Trust (filed as Exhibit 10.3 to First Buseys Registration Statement on Form S-1 (Registration No. 33-13973), and incorporated herein by reference)</w:t>
            </w:r>
          </w:p>
        </w:tc>
      </w:tr>
      <w:tr>
        <w:trPr/>
        <w:tc>
          <w:tcPr>
            <w:tcW w:w="102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xml:space="preserve">10.3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First Busey Corporation Employee Stock Ownership Plan (filed as Exhibit 10.7 to First Buseys Annual Report on Form 10-K for the fiscal year ended December 31, 1988 (Registration No. 2-66201), and incorporated herein by reference)</w:t>
            </w:r>
          </w:p>
        </w:tc>
      </w:tr>
      <w:tr>
        <w:trPr/>
        <w:tc>
          <w:tcPr>
            <w:tcW w:w="102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xml:space="preserve">10.4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First Busey Corporation 1999 Stock Option Plan (filed as Appendix B to First Buseys definitive proxy statement filed with the Commission on March 25, 1999 (Commission File No. 0-15950), and incorporated herein by reference)</w:t>
            </w:r>
          </w:p>
        </w:tc>
      </w:tr>
      <w:tr>
        <w:trPr/>
        <w:tc>
          <w:tcPr>
            <w:tcW w:w="102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xml:space="preserve">10.5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First Busey Corporation 2004 Stock Option Plan (filed as Annex D to First Buseys definitive proxy statement filed with the Commission on March 12, 2004 (Commission File No. 0-15950), and incorporated herein by reference)</w:t>
            </w:r>
          </w:p>
        </w:tc>
      </w:tr>
      <w:tr>
        <w:trPr/>
        <w:tc>
          <w:tcPr>
            <w:tcW w:w="102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xml:space="preserve">10.6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First Busey Corporation loan agreement with JPMorgan Chase N.A., formerly known as Bank One, to be filed as Exhibit A to First Buseys Annual Report on Form 10-K for the fiscal year ended December 31, 2004</w:t>
            </w:r>
          </w:p>
        </w:tc>
      </w:tr>
      <w:tr>
        <w:trPr/>
        <w:tc>
          <w:tcPr>
            <w:tcW w:w="102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xml:space="preserve">14.1 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First Busey Corporation Code of Ethics (filed as Exhibit 14.1 to First Buseys Annual Report on Form 10-K for the fiscal year ended December 31, 2003 filed with the Commission on March 12, 2004 (Registration 0-015950), and incorporated herein by reference)</w:t>
            </w:r>
          </w:p>
        </w:tc>
      </w:tr>
      <w:tr>
        <w:trPr/>
        <w:tc>
          <w:tcPr>
            <w:tcW w:w="102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xml:space="preserve">21.1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List of Subsidiaries of First Busey Corporation</w:t>
            </w:r>
          </w:p>
        </w:tc>
      </w:tr>
      <w:tr>
        <w:trPr/>
        <w:tc>
          <w:tcPr>
            <w:tcW w:w="102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xml:space="preserve">23.1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Consent of McGladrey &amp; Pullen, LLP</w:t>
            </w:r>
          </w:p>
        </w:tc>
      </w:tr>
      <w:tr>
        <w:trPr/>
        <w:tc>
          <w:tcPr>
            <w:tcW w:w="102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xml:space="preserve">31.1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Certification of Principal Executive Officer</w:t>
            </w:r>
          </w:p>
        </w:tc>
      </w:tr>
      <w:tr>
        <w:trPr/>
        <w:tc>
          <w:tcPr>
            <w:tcW w:w="102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before="0" w:after="0"/>
              <w:ind w:left="0" w:right="0" w:hanging="0"/>
              <w:rPr/>
            </w:pPr>
            <w:r>
              <w:rPr/>
              <w:t xml:space="preserve">31.2 </w:t>
            </w:r>
          </w:p>
        </w:tc>
        <w:tc>
          <w:tcPr>
            <w:tcW w:w="101"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jc w:val="left"/>
              <w:rPr/>
            </w:pPr>
            <w:r>
              <w:rPr/>
              <w:t>Certification of Principal Financial Officer</w:t>
            </w:r>
          </w:p>
        </w:tc>
      </w:tr>
    </w:tbl>
    <w:p>
      <w:pPr>
        <w:pStyle w:val="TextBody"/>
        <w:jc w:val="center"/>
        <w:rPr>
          <w:rFonts w:ascii="Helvetica;Arial;sans-serif" w:hAnsi="Helvetica;Arial;sans-serif"/>
          <w:sz w:val="17"/>
        </w:rPr>
      </w:pPr>
      <w:r>
        <w:rPr>
          <w:rFonts w:ascii="Helvetica;Arial;sans-serif" w:hAnsi="Helvetica;Arial;sans-serif"/>
          <w:sz w:val="17"/>
        </w:rPr>
        <w:t xml:space="preserve">41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443"/>
        <w:gridCol w:w="305"/>
        <w:gridCol w:w="9457"/>
      </w:tblGrid>
      <w:tr>
        <w:trPr/>
        <w:tc>
          <w:tcPr>
            <w:tcW w:w="443"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457" w:type="dxa"/>
            <w:tcBorders/>
            <w:shd w:fill="auto" w:val="clear"/>
            <w:vAlign w:val="bottom"/>
          </w:tcPr>
          <w:p>
            <w:pPr>
              <w:pStyle w:val="TableContents"/>
              <w:spacing w:before="0" w:after="283"/>
              <w:rPr/>
            </w:pPr>
            <w:r>
              <w:rPr/>
              <w:t> </w:t>
            </w:r>
          </w:p>
        </w:tc>
      </w:tr>
      <w:tr>
        <w:trPr/>
        <w:tc>
          <w:tcPr>
            <w:tcW w:w="443" w:type="dxa"/>
            <w:tcBorders/>
            <w:shd w:fill="auto" w:val="clear"/>
          </w:tcPr>
          <w:p>
            <w:pPr>
              <w:pStyle w:val="TableContents"/>
              <w:spacing w:before="0" w:after="0"/>
              <w:ind w:left="0" w:right="0" w:hanging="0"/>
              <w:rPr/>
            </w:pPr>
            <w:r>
              <w:rPr/>
              <w:t xml:space="preserve">32.1 </w:t>
            </w:r>
          </w:p>
        </w:tc>
        <w:tc>
          <w:tcPr>
            <w:tcW w:w="305" w:type="dxa"/>
            <w:tcBorders/>
            <w:shd w:fill="auto" w:val="clear"/>
            <w:vAlign w:val="bottom"/>
          </w:tcPr>
          <w:p>
            <w:pPr>
              <w:pStyle w:val="TableContents"/>
              <w:spacing w:before="0" w:after="283"/>
              <w:rPr/>
            </w:pPr>
            <w:r>
              <w:rPr/>
              <w:t> </w:t>
            </w:r>
          </w:p>
        </w:tc>
        <w:tc>
          <w:tcPr>
            <w:tcW w:w="9457" w:type="dxa"/>
            <w:tcBorders/>
            <w:shd w:fill="auto" w:val="clear"/>
          </w:tcPr>
          <w:p>
            <w:pPr>
              <w:pStyle w:val="TableContents"/>
              <w:spacing w:before="0" w:after="283"/>
              <w:jc w:val="left"/>
              <w:rPr/>
            </w:pPr>
            <w:r>
              <w:rPr/>
              <w:t>Certification pursuant to 18 U.S.C. Section 1350, as adopted pursuant to Section 906 of the Sarbanes-Oxley Act of 2002, from the Corporations Chief Executive Officer</w:t>
            </w:r>
          </w:p>
        </w:tc>
      </w:tr>
      <w:tr>
        <w:trPr/>
        <w:tc>
          <w:tcPr>
            <w:tcW w:w="443"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457" w:type="dxa"/>
            <w:tcBorders/>
            <w:shd w:fill="auto" w:val="clear"/>
          </w:tcPr>
          <w:p>
            <w:pPr>
              <w:pStyle w:val="TableContents"/>
              <w:spacing w:before="0" w:after="283"/>
              <w:jc w:val="left"/>
              <w:rPr/>
            </w:pPr>
            <w:r>
              <w:rPr/>
              <w:t> </w:t>
            </w:r>
          </w:p>
        </w:tc>
      </w:tr>
      <w:tr>
        <w:trPr/>
        <w:tc>
          <w:tcPr>
            <w:tcW w:w="443" w:type="dxa"/>
            <w:tcBorders/>
            <w:shd w:fill="auto" w:val="clear"/>
          </w:tcPr>
          <w:p>
            <w:pPr>
              <w:pStyle w:val="TableContents"/>
              <w:spacing w:before="0" w:after="0"/>
              <w:ind w:left="0" w:right="0" w:hanging="0"/>
              <w:rPr/>
            </w:pPr>
            <w:r>
              <w:rPr/>
              <w:t xml:space="preserve">32.2 </w:t>
            </w:r>
          </w:p>
        </w:tc>
        <w:tc>
          <w:tcPr>
            <w:tcW w:w="305" w:type="dxa"/>
            <w:tcBorders/>
            <w:shd w:fill="auto" w:val="clear"/>
            <w:vAlign w:val="bottom"/>
          </w:tcPr>
          <w:p>
            <w:pPr>
              <w:pStyle w:val="TableContents"/>
              <w:spacing w:before="0" w:after="283"/>
              <w:rPr/>
            </w:pPr>
            <w:r>
              <w:rPr/>
              <w:t> </w:t>
            </w:r>
          </w:p>
        </w:tc>
        <w:tc>
          <w:tcPr>
            <w:tcW w:w="9457" w:type="dxa"/>
            <w:tcBorders/>
            <w:shd w:fill="auto" w:val="clear"/>
          </w:tcPr>
          <w:p>
            <w:pPr>
              <w:pStyle w:val="TableContents"/>
              <w:spacing w:before="0" w:after="283"/>
              <w:jc w:val="left"/>
              <w:rPr/>
            </w:pPr>
            <w:r>
              <w:rPr/>
              <w:t>Certification pursuant to 18 U.S.C. Section 1350, as adopted pursuant to Section 906 of the Sarbanes-Oxley Act of 2002, from the Corporations Chief Financial Officer</w:t>
            </w:r>
          </w:p>
        </w:tc>
      </w:tr>
    </w:tbl>
    <w:p>
      <w:pPr>
        <w:pStyle w:val="TextBody"/>
        <w:spacing w:before="240" w:after="283"/>
        <w:jc w:val="left"/>
        <w:rPr>
          <w:rFonts w:ascii="Helvetica;Arial;sans-serif" w:hAnsi="Helvetica;Arial;sans-serif"/>
          <w:sz w:val="17"/>
        </w:rPr>
      </w:pPr>
      <w:r>
        <w:rPr>
          <w:rFonts w:ascii="Helvetica;Arial;sans-serif" w:hAnsi="Helvetica;Arial;sans-serif"/>
          <w:b/>
          <w:sz w:val="17"/>
        </w:rPr>
        <w:t>Financial Statement Schedules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Financial statement schedules not included in this Form 10-K have been omitted because they are not applicable for the required information shown in the financial statements or notes thereto. </w:t>
      </w:r>
    </w:p>
    <w:p>
      <w:pPr>
        <w:pStyle w:val="TextBody"/>
        <w:spacing w:before="360" w:after="283"/>
        <w:jc w:val="center"/>
        <w:rPr>
          <w:rFonts w:ascii="Helvetica;Arial;sans-serif" w:hAnsi="Helvetica;Arial;sans-serif"/>
          <w:sz w:val="17"/>
        </w:rPr>
      </w:pPr>
      <w:r>
        <w:rPr>
          <w:rFonts w:ascii="Helvetica;Arial;sans-serif" w:hAnsi="Helvetica;Arial;sans-serif"/>
          <w:b/>
          <w:sz w:val="17"/>
        </w:rPr>
        <w:t>First Busey Corporation Index to Financial Statements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9329"/>
        <w:gridCol w:w="306"/>
        <w:gridCol w:w="76"/>
        <w:gridCol w:w="345"/>
        <w:gridCol w:w="149"/>
      </w:tblGrid>
      <w:tr>
        <w:trPr/>
        <w:tc>
          <w:tcPr>
            <w:tcW w:w="9329"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9329"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570" w:type="dxa"/>
            <w:gridSpan w:val="3"/>
            <w:tcBorders>
              <w:bottom w:val="single" w:sz="2" w:space="0" w:color="000000"/>
            </w:tcBorders>
            <w:shd w:fill="auto" w:val="clear"/>
            <w:tcMar>
              <w:bottom w:w="28" w:type="dxa"/>
            </w:tcMar>
            <w:vAlign w:val="bottom"/>
          </w:tcPr>
          <w:p>
            <w:pPr>
              <w:pStyle w:val="TableContents"/>
              <w:spacing w:before="0" w:after="283"/>
              <w:jc w:val="center"/>
              <w:rPr/>
            </w:pPr>
            <w:r>
              <w:rPr/>
              <w:t>Page</w:t>
            </w:r>
          </w:p>
        </w:tc>
      </w:tr>
      <w:tr>
        <w:trPr/>
        <w:tc>
          <w:tcPr>
            <w:tcW w:w="9329" w:type="dxa"/>
            <w:tcBorders/>
            <w:shd w:fill="auto" w:val="clear"/>
          </w:tcPr>
          <w:p>
            <w:pPr>
              <w:pStyle w:val="TableContents"/>
              <w:spacing w:before="0" w:after="0"/>
              <w:ind w:left="0" w:right="0" w:hanging="0"/>
              <w:rPr/>
            </w:pPr>
            <w:hyperlink w:anchor="300">
              <w:r>
                <w:rPr>
                  <w:rStyle w:val="InternetLink"/>
                </w:rPr>
                <w:t xml:space="preserve">Report of Independent Registered Public Accounting firm on the Consolidated Financial Statements </w:t>
              </w:r>
            </w:hyperlink>
          </w:p>
        </w:tc>
        <w:tc>
          <w:tcPr>
            <w:tcW w:w="30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jc w:val="right"/>
              <w:rPr/>
            </w:pPr>
            <w:r>
              <w:rPr/>
              <w:t> </w:t>
            </w:r>
          </w:p>
        </w:tc>
        <w:tc>
          <w:tcPr>
            <w:tcW w:w="345" w:type="dxa"/>
            <w:tcBorders/>
            <w:shd w:fill="auto" w:val="clear"/>
            <w:vAlign w:val="bottom"/>
          </w:tcPr>
          <w:p>
            <w:pPr>
              <w:pStyle w:val="TableContents"/>
              <w:spacing w:before="0" w:after="283"/>
              <w:jc w:val="right"/>
              <w:rPr/>
            </w:pPr>
            <w:r>
              <w:rPr/>
              <w:t>45</w:t>
            </w:r>
          </w:p>
        </w:tc>
        <w:tc>
          <w:tcPr>
            <w:tcW w:w="149" w:type="dxa"/>
            <w:tcBorders/>
            <w:shd w:fill="auto" w:val="clear"/>
            <w:vAlign w:val="bottom"/>
          </w:tcPr>
          <w:p>
            <w:pPr>
              <w:pStyle w:val="TableContents"/>
              <w:spacing w:before="0" w:after="283"/>
              <w:rPr/>
            </w:pPr>
            <w:r>
              <w:rPr/>
              <w:t> </w:t>
            </w:r>
          </w:p>
        </w:tc>
      </w:tr>
      <w:tr>
        <w:trPr/>
        <w:tc>
          <w:tcPr>
            <w:tcW w:w="9329" w:type="dxa"/>
            <w:tcBorders/>
            <w:shd w:fill="auto" w:val="clear"/>
          </w:tcPr>
          <w:p>
            <w:pPr>
              <w:pStyle w:val="TableContents"/>
              <w:spacing w:before="0" w:after="0"/>
              <w:ind w:left="0" w:right="0" w:hanging="0"/>
              <w:rPr/>
            </w:pPr>
            <w:hyperlink w:anchor="301">
              <w:r>
                <w:rPr>
                  <w:rStyle w:val="InternetLink"/>
                </w:rPr>
                <w:t xml:space="preserve">Report of Independent Registered Public Accounting Firm on Internal Control over Financial Reporting </w:t>
              </w:r>
            </w:hyperlink>
          </w:p>
        </w:tc>
        <w:tc>
          <w:tcPr>
            <w:tcW w:w="30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jc w:val="right"/>
              <w:rPr/>
            </w:pPr>
            <w:r>
              <w:rPr/>
              <w:t> </w:t>
            </w:r>
          </w:p>
        </w:tc>
        <w:tc>
          <w:tcPr>
            <w:tcW w:w="345" w:type="dxa"/>
            <w:tcBorders/>
            <w:shd w:fill="auto" w:val="clear"/>
            <w:vAlign w:val="bottom"/>
          </w:tcPr>
          <w:p>
            <w:pPr>
              <w:pStyle w:val="TableContents"/>
              <w:spacing w:before="0" w:after="283"/>
              <w:jc w:val="right"/>
              <w:rPr/>
            </w:pPr>
            <w:r>
              <w:rPr/>
              <w:t>46</w:t>
            </w:r>
          </w:p>
        </w:tc>
        <w:tc>
          <w:tcPr>
            <w:tcW w:w="149" w:type="dxa"/>
            <w:tcBorders/>
            <w:shd w:fill="auto" w:val="clear"/>
            <w:vAlign w:val="bottom"/>
          </w:tcPr>
          <w:p>
            <w:pPr>
              <w:pStyle w:val="TableContents"/>
              <w:spacing w:before="0" w:after="283"/>
              <w:rPr/>
            </w:pPr>
            <w:r>
              <w:rPr/>
              <w:t> </w:t>
            </w:r>
          </w:p>
        </w:tc>
      </w:tr>
      <w:tr>
        <w:trPr/>
        <w:tc>
          <w:tcPr>
            <w:tcW w:w="9329" w:type="dxa"/>
            <w:tcBorders/>
            <w:shd w:fill="auto" w:val="clear"/>
          </w:tcPr>
          <w:p>
            <w:pPr>
              <w:pStyle w:val="TableContents"/>
              <w:spacing w:before="0" w:after="0"/>
              <w:ind w:left="0" w:right="0" w:hanging="0"/>
              <w:rPr/>
            </w:pPr>
            <w:hyperlink w:anchor="302">
              <w:r>
                <w:rPr>
                  <w:rStyle w:val="InternetLink"/>
                </w:rPr>
                <w:t xml:space="preserve">Consolidated Balance Sheets </w:t>
              </w:r>
            </w:hyperlink>
          </w:p>
        </w:tc>
        <w:tc>
          <w:tcPr>
            <w:tcW w:w="30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jc w:val="right"/>
              <w:rPr/>
            </w:pPr>
            <w:r>
              <w:rPr/>
              <w:t> </w:t>
            </w:r>
          </w:p>
        </w:tc>
        <w:tc>
          <w:tcPr>
            <w:tcW w:w="345" w:type="dxa"/>
            <w:tcBorders/>
            <w:shd w:fill="auto" w:val="clear"/>
            <w:vAlign w:val="bottom"/>
          </w:tcPr>
          <w:p>
            <w:pPr>
              <w:pStyle w:val="TableContents"/>
              <w:spacing w:before="0" w:after="283"/>
              <w:jc w:val="right"/>
              <w:rPr/>
            </w:pPr>
            <w:r>
              <w:rPr/>
              <w:t>48</w:t>
            </w:r>
          </w:p>
        </w:tc>
        <w:tc>
          <w:tcPr>
            <w:tcW w:w="149" w:type="dxa"/>
            <w:tcBorders/>
            <w:shd w:fill="auto" w:val="clear"/>
            <w:vAlign w:val="bottom"/>
          </w:tcPr>
          <w:p>
            <w:pPr>
              <w:pStyle w:val="TableContents"/>
              <w:spacing w:before="0" w:after="283"/>
              <w:rPr/>
            </w:pPr>
            <w:r>
              <w:rPr/>
              <w:t> </w:t>
            </w:r>
          </w:p>
        </w:tc>
      </w:tr>
      <w:tr>
        <w:trPr/>
        <w:tc>
          <w:tcPr>
            <w:tcW w:w="9329" w:type="dxa"/>
            <w:tcBorders/>
            <w:shd w:fill="auto" w:val="clear"/>
          </w:tcPr>
          <w:p>
            <w:pPr>
              <w:pStyle w:val="TableContents"/>
              <w:spacing w:before="0" w:after="0"/>
              <w:ind w:left="0" w:right="0" w:hanging="0"/>
              <w:rPr/>
            </w:pPr>
            <w:hyperlink w:anchor="303">
              <w:r>
                <w:rPr>
                  <w:rStyle w:val="InternetLink"/>
                </w:rPr>
                <w:t xml:space="preserve">Consolidated Statements of Income </w:t>
              </w:r>
            </w:hyperlink>
          </w:p>
        </w:tc>
        <w:tc>
          <w:tcPr>
            <w:tcW w:w="30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jc w:val="right"/>
              <w:rPr/>
            </w:pPr>
            <w:r>
              <w:rPr/>
              <w:t> </w:t>
            </w:r>
          </w:p>
        </w:tc>
        <w:tc>
          <w:tcPr>
            <w:tcW w:w="345" w:type="dxa"/>
            <w:tcBorders/>
            <w:shd w:fill="auto" w:val="clear"/>
            <w:vAlign w:val="bottom"/>
          </w:tcPr>
          <w:p>
            <w:pPr>
              <w:pStyle w:val="TableContents"/>
              <w:spacing w:before="0" w:after="283"/>
              <w:jc w:val="right"/>
              <w:rPr/>
            </w:pPr>
            <w:r>
              <w:rPr/>
              <w:t>49</w:t>
            </w:r>
          </w:p>
        </w:tc>
        <w:tc>
          <w:tcPr>
            <w:tcW w:w="149" w:type="dxa"/>
            <w:tcBorders/>
            <w:shd w:fill="auto" w:val="clear"/>
            <w:vAlign w:val="bottom"/>
          </w:tcPr>
          <w:p>
            <w:pPr>
              <w:pStyle w:val="TableContents"/>
              <w:spacing w:before="0" w:after="283"/>
              <w:rPr/>
            </w:pPr>
            <w:r>
              <w:rPr/>
              <w:t> </w:t>
            </w:r>
          </w:p>
        </w:tc>
      </w:tr>
      <w:tr>
        <w:trPr/>
        <w:tc>
          <w:tcPr>
            <w:tcW w:w="9329" w:type="dxa"/>
            <w:tcBorders/>
            <w:shd w:fill="auto" w:val="clear"/>
          </w:tcPr>
          <w:p>
            <w:pPr>
              <w:pStyle w:val="TableContents"/>
              <w:spacing w:before="0" w:after="0"/>
              <w:ind w:left="0" w:right="0" w:hanging="0"/>
              <w:rPr/>
            </w:pPr>
            <w:hyperlink w:anchor="304">
              <w:r>
                <w:rPr>
                  <w:rStyle w:val="InternetLink"/>
                </w:rPr>
                <w:t xml:space="preserve">Consolidated Statements of Stockholders Equity </w:t>
              </w:r>
            </w:hyperlink>
          </w:p>
        </w:tc>
        <w:tc>
          <w:tcPr>
            <w:tcW w:w="30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jc w:val="right"/>
              <w:rPr/>
            </w:pPr>
            <w:r>
              <w:rPr/>
              <w:t> </w:t>
            </w:r>
          </w:p>
        </w:tc>
        <w:tc>
          <w:tcPr>
            <w:tcW w:w="345" w:type="dxa"/>
            <w:tcBorders/>
            <w:shd w:fill="auto" w:val="clear"/>
            <w:vAlign w:val="bottom"/>
          </w:tcPr>
          <w:p>
            <w:pPr>
              <w:pStyle w:val="TableContents"/>
              <w:spacing w:before="0" w:after="283"/>
              <w:jc w:val="right"/>
              <w:rPr/>
            </w:pPr>
            <w:r>
              <w:rPr/>
              <w:t>50</w:t>
            </w:r>
          </w:p>
        </w:tc>
        <w:tc>
          <w:tcPr>
            <w:tcW w:w="149" w:type="dxa"/>
            <w:tcBorders/>
            <w:shd w:fill="auto" w:val="clear"/>
            <w:vAlign w:val="bottom"/>
          </w:tcPr>
          <w:p>
            <w:pPr>
              <w:pStyle w:val="TableContents"/>
              <w:spacing w:before="0" w:after="283"/>
              <w:rPr/>
            </w:pPr>
            <w:r>
              <w:rPr/>
              <w:t> </w:t>
            </w:r>
          </w:p>
        </w:tc>
      </w:tr>
      <w:tr>
        <w:trPr/>
        <w:tc>
          <w:tcPr>
            <w:tcW w:w="9329" w:type="dxa"/>
            <w:tcBorders/>
            <w:shd w:fill="auto" w:val="clear"/>
          </w:tcPr>
          <w:p>
            <w:pPr>
              <w:pStyle w:val="TableContents"/>
              <w:spacing w:before="0" w:after="0"/>
              <w:ind w:left="0" w:right="0" w:hanging="0"/>
              <w:rPr/>
            </w:pPr>
            <w:hyperlink w:anchor="305">
              <w:r>
                <w:rPr>
                  <w:rStyle w:val="InternetLink"/>
                </w:rPr>
                <w:t xml:space="preserve">Consolidated Statements of Cash Flows </w:t>
              </w:r>
            </w:hyperlink>
          </w:p>
        </w:tc>
        <w:tc>
          <w:tcPr>
            <w:tcW w:w="30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jc w:val="right"/>
              <w:rPr/>
            </w:pPr>
            <w:r>
              <w:rPr/>
              <w:t> </w:t>
            </w:r>
          </w:p>
        </w:tc>
        <w:tc>
          <w:tcPr>
            <w:tcW w:w="345" w:type="dxa"/>
            <w:tcBorders/>
            <w:shd w:fill="auto" w:val="clear"/>
            <w:vAlign w:val="bottom"/>
          </w:tcPr>
          <w:p>
            <w:pPr>
              <w:pStyle w:val="TableContents"/>
              <w:spacing w:before="0" w:after="283"/>
              <w:jc w:val="right"/>
              <w:rPr/>
            </w:pPr>
            <w:r>
              <w:rPr/>
              <w:t>53</w:t>
            </w:r>
          </w:p>
        </w:tc>
        <w:tc>
          <w:tcPr>
            <w:tcW w:w="149" w:type="dxa"/>
            <w:tcBorders/>
            <w:shd w:fill="auto" w:val="clear"/>
            <w:vAlign w:val="bottom"/>
          </w:tcPr>
          <w:p>
            <w:pPr>
              <w:pStyle w:val="TableContents"/>
              <w:spacing w:before="0" w:after="283"/>
              <w:rPr/>
            </w:pPr>
            <w:r>
              <w:rPr/>
              <w:t> </w:t>
            </w:r>
          </w:p>
        </w:tc>
      </w:tr>
      <w:tr>
        <w:trPr/>
        <w:tc>
          <w:tcPr>
            <w:tcW w:w="9329" w:type="dxa"/>
            <w:tcBorders/>
            <w:shd w:fill="auto" w:val="clear"/>
          </w:tcPr>
          <w:p>
            <w:pPr>
              <w:pStyle w:val="TableContents"/>
              <w:spacing w:before="0" w:after="0"/>
              <w:ind w:left="0" w:right="0" w:hanging="0"/>
              <w:rPr/>
            </w:pPr>
            <w:hyperlink w:anchor="306">
              <w:r>
                <w:rPr>
                  <w:rStyle w:val="InternetLink"/>
                </w:rPr>
                <w:t xml:space="preserve">Notes to Consolidated Financial Statements </w:t>
              </w:r>
            </w:hyperlink>
          </w:p>
        </w:tc>
        <w:tc>
          <w:tcPr>
            <w:tcW w:w="30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jc w:val="right"/>
              <w:rPr/>
            </w:pPr>
            <w:r>
              <w:rPr/>
              <w:t> </w:t>
            </w:r>
          </w:p>
        </w:tc>
        <w:tc>
          <w:tcPr>
            <w:tcW w:w="345" w:type="dxa"/>
            <w:tcBorders/>
            <w:shd w:fill="auto" w:val="clear"/>
            <w:vAlign w:val="bottom"/>
          </w:tcPr>
          <w:p>
            <w:pPr>
              <w:pStyle w:val="TableContents"/>
              <w:spacing w:before="0" w:after="283"/>
              <w:jc w:val="right"/>
              <w:rPr/>
            </w:pPr>
            <w:r>
              <w:rPr/>
              <w:t>56</w:t>
            </w:r>
          </w:p>
        </w:tc>
        <w:tc>
          <w:tcPr>
            <w:tcW w:w="149" w:type="dxa"/>
            <w:tcBorders/>
            <w:shd w:fill="auto" w:val="clear"/>
            <w:vAlign w:val="bottom"/>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42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bookmarkStart w:id="28" w:name="125"/>
      <w:bookmarkEnd w:id="28"/>
      <w:r>
        <w:rPr>
          <w:rFonts w:ascii="Helvetica;Arial;sans-serif" w:hAnsi="Helvetica;Arial;sans-serif"/>
          <w:b/>
          <w:sz w:val="17"/>
        </w:rPr>
        <w:t>Signatures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Pursuant to the requirements of Section 13 or 15(d) of the Securities Exchange Act of 1934, the Registrant has duly caused this report to be signed on its behalf by the undersigned, thereunto duly authorized, in the City of Urbana, Illinois on March 16, 2006.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left"/>
              <w:rPr/>
            </w:pPr>
            <w:r>
              <w:rPr/>
              <w:t>FIRST BUSEY CORPORATION</w:t>
            </w:r>
          </w:p>
        </w:tc>
      </w:tr>
      <w:tr>
        <w:trPr/>
        <w:tc>
          <w:tcPr>
            <w:tcW w:w="4593" w:type="dxa"/>
            <w:tcBorders/>
            <w:shd w:fill="auto" w:val="clear"/>
          </w:tcPr>
          <w:p>
            <w:pPr>
              <w:pStyle w:val="TableContents"/>
              <w:spacing w:before="0" w:after="0"/>
              <w:ind w:left="0" w:right="0" w:hanging="0"/>
              <w:rPr/>
            </w:pP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left"/>
              <w:rPr/>
            </w:pPr>
            <w:r>
              <w:rPr/>
              <w:t>BY //DOUGLAS C. MILLS//</w:t>
            </w:r>
          </w:p>
        </w:tc>
      </w:tr>
      <w:tr>
        <w:trPr/>
        <w:tc>
          <w:tcPr>
            <w:tcW w:w="4593" w:type="dxa"/>
            <w:tcBorders/>
            <w:shd w:fill="auto" w:val="clear"/>
          </w:tcPr>
          <w:p>
            <w:pPr>
              <w:pStyle w:val="TableContents"/>
              <w:spacing w:before="0" w:after="0"/>
              <w:ind w:left="0" w:right="0" w:hanging="0"/>
              <w:rPr/>
            </w:pPr>
            <w:r>
              <w:rPr/>
              <w:t xml:space="preserve">  </w:t>
            </w:r>
          </w:p>
        </w:tc>
        <w:tc>
          <w:tcPr>
            <w:tcW w:w="1018" w:type="dxa"/>
            <w:tcBorders/>
            <w:shd w:fill="auto" w:val="clear"/>
            <w:vAlign w:val="center"/>
          </w:tcPr>
          <w:p>
            <w:pPr>
              <w:pStyle w:val="TableContents"/>
              <w:spacing w:before="0" w:after="283"/>
              <w:rPr/>
            </w:pPr>
            <w:r>
              <w:rPr/>
              <w:t> </w:t>
            </w:r>
          </w:p>
        </w:tc>
        <w:tc>
          <w:tcPr>
            <w:tcW w:w="4594" w:type="dxa"/>
            <w:tcBorders>
              <w:top w:val="single" w:sz="2" w:space="0" w:color="000000"/>
            </w:tcBorders>
            <w:shd w:fill="auto" w:val="clear"/>
            <w:tcMar>
              <w:top w:w="28" w:type="dxa"/>
            </w:tcMar>
          </w:tcPr>
          <w:p>
            <w:pPr>
              <w:pStyle w:val="TableContents"/>
              <w:spacing w:before="0" w:after="283"/>
              <w:jc w:val="left"/>
              <w:rPr/>
            </w:pPr>
            <w:r>
              <w:rPr/>
              <w:t> </w:t>
            </w:r>
          </w:p>
        </w:tc>
      </w:tr>
      <w:tr>
        <w:trPr/>
        <w:tc>
          <w:tcPr>
            <w:tcW w:w="4593" w:type="dxa"/>
            <w:tcBorders/>
            <w:shd w:fill="auto" w:val="clear"/>
          </w:tcPr>
          <w:p>
            <w:pPr>
              <w:pStyle w:val="TableContents"/>
              <w:spacing w:before="0" w:after="0"/>
              <w:ind w:left="0" w:right="0" w:hanging="0"/>
              <w:rPr/>
            </w:pP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left"/>
              <w:rPr/>
            </w:pPr>
            <w:r>
              <w:rPr/>
              <w:t>Douglas C. Mills</w:t>
            </w:r>
          </w:p>
        </w:tc>
      </w:tr>
      <w:tr>
        <w:trPr/>
        <w:tc>
          <w:tcPr>
            <w:tcW w:w="4593" w:type="dxa"/>
            <w:tcBorders/>
            <w:shd w:fill="auto" w:val="clear"/>
          </w:tcPr>
          <w:p>
            <w:pPr>
              <w:pStyle w:val="TableContents"/>
              <w:spacing w:before="0" w:after="0"/>
              <w:ind w:left="0" w:right="0" w:hanging="0"/>
              <w:rPr/>
            </w:pP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left"/>
              <w:rPr/>
            </w:pPr>
            <w:r>
              <w:rPr/>
              <w:t>Chairman of the Board, Chief Executive Officer</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Pursuant to the requirements of the Securities Exchange Act of 1934, this report signed below by the following persons on behalf of the Registrant and in the capacities indicated on March 16, 2006</w:t>
      </w:r>
      <w:r>
        <w:rPr>
          <w:rFonts w:ascii="Helvetica;Arial;sans-serif" w:hAnsi="Helvetica;Arial;sans-serif"/>
          <w:i/>
          <w:sz w:val="17"/>
        </w:rPr>
        <w:t>.</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3061"/>
        <w:gridCol w:w="509"/>
        <w:gridCol w:w="6635"/>
      </w:tblGrid>
      <w:tr>
        <w:trPr/>
        <w:tc>
          <w:tcPr>
            <w:tcW w:w="306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6635" w:type="dxa"/>
            <w:tcBorders/>
            <w:shd w:fill="auto" w:val="clear"/>
            <w:vAlign w:val="bottom"/>
          </w:tcPr>
          <w:p>
            <w:pPr>
              <w:pStyle w:val="TableContents"/>
              <w:spacing w:before="0" w:after="283"/>
              <w:rPr/>
            </w:pPr>
            <w:r>
              <w:rPr/>
              <w:t> </w:t>
            </w:r>
          </w:p>
        </w:tc>
      </w:tr>
      <w:tr>
        <w:trPr/>
        <w:tc>
          <w:tcPr>
            <w:tcW w:w="3061" w:type="dxa"/>
            <w:tcBorders/>
            <w:shd w:fill="auto" w:val="clear"/>
            <w:vAlign w:val="bottom"/>
          </w:tcPr>
          <w:p>
            <w:pPr>
              <w:pStyle w:val="TableContents"/>
              <w:spacing w:before="0" w:after="283"/>
              <w:jc w:val="left"/>
              <w:rPr/>
            </w:pPr>
            <w:r>
              <w:rPr/>
              <w:t>Signature</w:t>
            </w:r>
          </w:p>
        </w:tc>
        <w:tc>
          <w:tcPr>
            <w:tcW w:w="509" w:type="dxa"/>
            <w:tcBorders/>
            <w:shd w:fill="auto" w:val="clear"/>
            <w:vAlign w:val="bottom"/>
          </w:tcPr>
          <w:p>
            <w:pPr>
              <w:pStyle w:val="TableContents"/>
              <w:spacing w:before="0" w:after="283"/>
              <w:rPr/>
            </w:pPr>
            <w:r>
              <w:rPr/>
              <w:t> </w:t>
            </w:r>
          </w:p>
        </w:tc>
        <w:tc>
          <w:tcPr>
            <w:tcW w:w="6635" w:type="dxa"/>
            <w:tcBorders/>
            <w:shd w:fill="auto" w:val="clear"/>
            <w:vAlign w:val="bottom"/>
          </w:tcPr>
          <w:p>
            <w:pPr>
              <w:pStyle w:val="TableContents"/>
              <w:spacing w:before="0" w:after="283"/>
              <w:jc w:val="left"/>
              <w:rPr/>
            </w:pPr>
            <w:r>
              <w:rPr/>
              <w:t>Title</w:t>
            </w:r>
          </w:p>
        </w:tc>
      </w:tr>
      <w:tr>
        <w:trPr/>
        <w:tc>
          <w:tcPr>
            <w:tcW w:w="3061" w:type="dxa"/>
            <w:tcBorders/>
            <w:shd w:fill="auto" w:val="clear"/>
          </w:tcPr>
          <w:p>
            <w:pPr>
              <w:pStyle w:val="TableContents"/>
              <w:spacing w:before="0" w:after="0"/>
              <w:ind w:left="0" w:right="0" w:hanging="0"/>
              <w:rPr/>
            </w:pPr>
            <w:r>
              <w:rPr/>
              <w:t xml:space="preserve">//DOUGLAS C. MILLS//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Douglas C. Mills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Chairman of the Board, Chief Executive Officer (Principal Executive Officer)</w:t>
            </w:r>
          </w:p>
        </w:tc>
      </w:tr>
      <w:tr>
        <w:trPr/>
        <w:tc>
          <w:tcPr>
            <w:tcW w:w="3061"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 xml:space="preserve">//BARBARA J. HARRINGTON//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Barbara J. Harrington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Chief Financial Officer</w:t>
              <w:br/>
              <w:t>(Principal Financial Officer)</w:t>
            </w:r>
          </w:p>
        </w:tc>
      </w:tr>
      <w:tr>
        <w:trPr/>
        <w:tc>
          <w:tcPr>
            <w:tcW w:w="3061"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 xml:space="preserve">//JOSEPH M. AMBROSE//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Joseph M. Ambrose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Director </w:t>
            </w:r>
          </w:p>
        </w:tc>
      </w:tr>
      <w:tr>
        <w:trPr/>
        <w:tc>
          <w:tcPr>
            <w:tcW w:w="3061"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 xml:space="preserve">//DAVID L. IKENBERRY/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David L. Ikenberry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Director </w:t>
            </w:r>
          </w:p>
        </w:tc>
      </w:tr>
      <w:tr>
        <w:trPr/>
        <w:tc>
          <w:tcPr>
            <w:tcW w:w="3061"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 xml:space="preserve">//E. PHILLIPS KNOX//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E. Phillips Knox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Director </w:t>
            </w:r>
          </w:p>
        </w:tc>
      </w:tr>
      <w:tr>
        <w:trPr/>
        <w:tc>
          <w:tcPr>
            <w:tcW w:w="3061"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 xml:space="preserve">//V. B. LEISTER, JR.//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V. B. Leister, Jr.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Director </w:t>
            </w:r>
          </w:p>
        </w:tc>
      </w:tr>
      <w:tr>
        <w:trPr/>
        <w:tc>
          <w:tcPr>
            <w:tcW w:w="3061"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 xml:space="preserve">//JOSEPH E. OBRIEN//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Joseph E. OBrien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Director </w:t>
            </w:r>
          </w:p>
        </w:tc>
      </w:tr>
      <w:tr>
        <w:trPr/>
        <w:tc>
          <w:tcPr>
            <w:tcW w:w="3061"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 xml:space="preserve">//ARTHUR R. WYATT//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Arthur R. Wyatt </w:t>
            </w:r>
          </w:p>
        </w:tc>
        <w:tc>
          <w:tcPr>
            <w:tcW w:w="509"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jc w:val="left"/>
              <w:rPr/>
            </w:pPr>
            <w:r>
              <w:rPr/>
              <w:t>Director </w:t>
            </w:r>
          </w:p>
        </w:tc>
      </w:tr>
    </w:tbl>
    <w:p>
      <w:pPr>
        <w:pStyle w:val="TextBody"/>
        <w:jc w:val="center"/>
        <w:rPr>
          <w:rFonts w:ascii="Helvetica;Arial;sans-serif" w:hAnsi="Helvetica;Arial;sans-serif"/>
          <w:sz w:val="17"/>
        </w:rPr>
      </w:pPr>
      <w:r>
        <w:rPr>
          <w:rFonts w:ascii="Helvetica;Arial;sans-serif" w:hAnsi="Helvetica;Arial;sans-serif"/>
          <w:sz w:val="17"/>
        </w:rPr>
        <w:t xml:space="preserve">43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r>
        <w:rPr>
          <w:rFonts w:ascii="Helvetica;Arial;sans-serif" w:hAnsi="Helvetica;Arial;sans-serif"/>
          <w:b/>
          <w:sz w:val="17"/>
        </w:rPr>
        <w:t>FIRST BUSEY CORPORATION AND SUBSIDIARIES</w:t>
      </w:r>
      <w:r>
        <w:rPr>
          <w:rFonts w:ascii="Helvetica;Arial;sans-serif" w:hAnsi="Helvetica;Arial;sans-serif"/>
          <w:sz w:val="17"/>
        </w:rPr>
        <w:t xml:space="preserve"> </w:t>
      </w:r>
    </w:p>
    <w:p>
      <w:pPr>
        <w:pStyle w:val="TextBody"/>
        <w:spacing w:before="120" w:after="283"/>
        <w:jc w:val="center"/>
        <w:rPr>
          <w:rFonts w:ascii="Helvetica;Arial;sans-serif" w:hAnsi="Helvetica;Arial;sans-serif"/>
          <w:sz w:val="17"/>
        </w:rPr>
      </w:pPr>
      <w:r>
        <w:rPr>
          <w:rFonts w:ascii="Helvetica;Arial;sans-serif" w:hAnsi="Helvetica;Arial;sans-serif"/>
          <w:b/>
          <w:sz w:val="17"/>
        </w:rPr>
        <w:t>CONSOLIDATED FINANCIAL STATEMENTS</w:t>
      </w:r>
      <w:r>
        <w:rPr>
          <w:rFonts w:ascii="Helvetica;Arial;sans-serif" w:hAnsi="Helvetica;Arial;sans-serif"/>
          <w:sz w:val="17"/>
        </w:rPr>
        <w:t xml:space="preserve"> </w:t>
      </w:r>
    </w:p>
    <w:p>
      <w:pPr>
        <w:pStyle w:val="TextBody"/>
        <w:spacing w:before="120" w:after="283"/>
        <w:jc w:val="center"/>
        <w:rPr>
          <w:rFonts w:ascii="Helvetica;Arial;sans-serif" w:hAnsi="Helvetica;Arial;sans-serif"/>
          <w:sz w:val="17"/>
        </w:rPr>
      </w:pPr>
      <w:r>
        <w:rPr>
          <w:rFonts w:ascii="Helvetica;Arial;sans-serif" w:hAnsi="Helvetica;Arial;sans-serif"/>
          <w:b/>
          <w:sz w:val="17"/>
        </w:rPr>
        <w:t>DECEMBER 31, 2005, 2004, AND 2003</w:t>
      </w:r>
      <w:r>
        <w:rPr>
          <w:rFonts w:ascii="Helvetica;Arial;sans-serif" w:hAnsi="Helvetica;Arial;sans-serif"/>
          <w:sz w:val="17"/>
        </w:rPr>
        <w:t xml:space="preserve"> </w:t>
      </w:r>
    </w:p>
    <w:p>
      <w:pPr>
        <w:pStyle w:val="TextBody"/>
        <w:spacing w:before="120" w:after="283"/>
        <w:jc w:val="center"/>
        <w:rPr>
          <w:rFonts w:ascii="Helvetica;Arial;sans-serif" w:hAnsi="Helvetica;Arial;sans-serif"/>
          <w:sz w:val="17"/>
        </w:rPr>
      </w:pPr>
      <w:r>
        <w:rPr>
          <w:rFonts w:ascii="Helvetica;Arial;sans-serif" w:hAnsi="Helvetica;Arial;sans-serif"/>
          <w:b/>
          <w:sz w:val="17"/>
        </w:rPr>
        <w:t>CONTENTS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8674"/>
        <w:gridCol w:w="475"/>
        <w:gridCol w:w="117"/>
        <w:gridCol w:w="819"/>
        <w:gridCol w:w="120"/>
      </w:tblGrid>
      <w:tr>
        <w:trPr/>
        <w:tc>
          <w:tcPr>
            <w:tcW w:w="8674"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225" w:right="0" w:hanging="225"/>
              <w:rPr/>
            </w:pPr>
            <w:r>
              <w:rPr/>
              <w:t>REPORT OF INDEPENDENT REGISTERED PUBLIC ACCOUNTING FIRM ON THE CONSOLIDATED FINANCIAL STATEMENTS</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45</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225" w:right="0" w:hanging="225"/>
              <w:rPr/>
            </w:pPr>
            <w:r>
              <w:rPr/>
              <w:t> </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225" w:right="0" w:hanging="225"/>
              <w:rPr/>
            </w:pPr>
            <w:r>
              <w:rPr/>
              <w:t>REPORT OF INDEPENDENT REGISTERED PUBLIC ACCOUNTING FIRM ON INTERNAL CONTROL OVER FINANCIAL REPORTING</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46</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225" w:right="0" w:hanging="225"/>
              <w:rPr/>
            </w:pPr>
            <w:r>
              <w:rPr/>
              <w:t> </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225" w:right="0" w:hanging="225"/>
              <w:rPr/>
            </w:pPr>
            <w:r>
              <w:rPr/>
              <w:t>CONSOLIDATED FINANCIAL STATEMENTS</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225" w:right="0" w:hanging="225"/>
              <w:rPr/>
            </w:pPr>
            <w:r>
              <w:rPr/>
              <w:t> </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450" w:right="0" w:hanging="225"/>
              <w:rPr/>
            </w:pPr>
            <w:r>
              <w:rPr/>
              <w:t>Consolidated balance sheets</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48</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225" w:right="0" w:hanging="225"/>
              <w:rPr/>
            </w:pPr>
            <w:r>
              <w:rPr/>
              <w:t> </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450" w:right="0" w:hanging="225"/>
              <w:rPr/>
            </w:pPr>
            <w:r>
              <w:rPr/>
              <w:t>Consolidated statements of income</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49</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225" w:right="0" w:hanging="225"/>
              <w:rPr/>
            </w:pPr>
            <w:r>
              <w:rPr/>
              <w:t> </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450" w:right="0" w:hanging="225"/>
              <w:rPr/>
            </w:pPr>
            <w:r>
              <w:rPr/>
              <w:t>Consolidated statements of stockholders equity</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50  52</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225" w:right="0" w:hanging="225"/>
              <w:rPr/>
            </w:pPr>
            <w:r>
              <w:rPr/>
              <w:t> </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450" w:right="0" w:hanging="225"/>
              <w:rPr/>
            </w:pPr>
            <w:r>
              <w:rPr/>
              <w:t>Consolidated statements of cash flows</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53  55</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225" w:right="0" w:hanging="225"/>
              <w:rPr/>
            </w:pPr>
            <w:r>
              <w:rPr/>
              <w:t> </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8674" w:type="dxa"/>
            <w:tcBorders/>
            <w:shd w:fill="auto" w:val="clear"/>
            <w:vAlign w:val="bottom"/>
          </w:tcPr>
          <w:p>
            <w:pPr>
              <w:pStyle w:val="TableContents"/>
              <w:spacing w:before="0" w:after="0"/>
              <w:ind w:left="450" w:right="0" w:hanging="225"/>
              <w:rPr/>
            </w:pPr>
            <w:r>
              <w:rPr/>
              <w:t>Notes to consolidated financial statements</w:t>
            </w:r>
          </w:p>
        </w:tc>
        <w:tc>
          <w:tcPr>
            <w:tcW w:w="47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56  94</w:t>
            </w:r>
          </w:p>
        </w:tc>
        <w:tc>
          <w:tcPr>
            <w:tcW w:w="120" w:type="dxa"/>
            <w:tcBorders/>
            <w:shd w:fill="auto" w:val="clear"/>
            <w:vAlign w:val="bottom"/>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44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pPr>
      <w:r>
        <w:rPr/>
        <w:drawing>
          <wp:inline distT="0" distB="0" distL="0" distR="0">
            <wp:extent cx="20288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723900"/>
                    </a:xfrm>
                    <a:prstGeom prst="rect">
                      <a:avLst/>
                    </a:prstGeom>
                  </pic:spPr>
                </pic:pic>
              </a:graphicData>
            </a:graphic>
          </wp:inline>
        </w:drawing>
      </w:r>
      <w:r>
        <w:rPr/>
        <w:t xml:space="preserve"> </w:t>
      </w:r>
    </w:p>
    <w:p>
      <w:pPr>
        <w:pStyle w:val="TextBody"/>
        <w:spacing w:before="360" w:after="283"/>
        <w:jc w:val="center"/>
        <w:rPr>
          <w:rFonts w:ascii="Helvetica;Arial;sans-serif" w:hAnsi="Helvetica;Arial;sans-serif"/>
          <w:sz w:val="17"/>
        </w:rPr>
      </w:pPr>
      <w:bookmarkStart w:id="29" w:name="300"/>
      <w:bookmarkEnd w:id="29"/>
      <w:r>
        <w:rPr>
          <w:rFonts w:ascii="Helvetica;Arial;sans-serif" w:hAnsi="Helvetica;Arial;sans-serif"/>
          <w:b/>
          <w:sz w:val="17"/>
        </w:rPr>
        <w:t>REPORT OF INDEPENDENT REGISTERED PUBLIC ACCOUNTING FIRM ON THE</w:t>
        <w:br/>
        <w:t>CONSOLIDATED FINANCIAL STATEMENTS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To the Stockholders and Board of Directors</w:t>
        <w:br/>
        <w:t>First Busey Corporation</w:t>
        <w:br/>
        <w:t xml:space="preserve">Urbana, Illinois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have audited the consolidated balance sheets of First Busey Corporation and subsidiaries as of December 31, 2005 and 2004, and the related consolidated statements of income, stockholders equity and cash flows for each of the three years in the period ended December 31, 2005. These financial statements are the responsibility of the Companys management. Our responsibility is to express an opinion on these financial statements based on our audits.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provided a reasonable basis for our opinion.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our opinion, the consolidated financial statements referred to above present fairly, in all material respects, the financial position of First Busey Corporation and subsidiaries as of December 31, 2005 and 2004, and the results of their operations and their cash flows for each of the three years in the period ended December 31, 2005, in conformity with U.S. generally accepted accounting principles.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also have audited, in accordance with the standards of the Public Company Accounting Oversight Board (United States), the effectiveness of First Busey Corporations and subsidiaries internal control over financial reporting as of December 31, 2005, based on criteria established in Internal ControlIntegrated Framework issued by the Committee of Sponsoring Organizations of the Treadway Commission (COSO) and our report dated March 10, 2006 expressed an unqualified opinion on managements assessment of the effectiveness of First Busey Corporations internal control over financial reporting and an unqualified opinion on the effectiveness of First Busey Corporations internal control over financial reporting. </w:t>
      </w:r>
    </w:p>
    <w:p>
      <w:pPr>
        <w:pStyle w:val="TextBody"/>
        <w:spacing w:before="240" w:after="283"/>
        <w:jc w:val="right"/>
        <w:rPr/>
      </w:pPr>
      <w:r>
        <w:rPr/>
        <w:drawing>
          <wp:inline distT="0" distB="0" distL="0" distR="0">
            <wp:extent cx="1990725"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90725" cy="266700"/>
                    </a:xfrm>
                    <a:prstGeom prst="rect">
                      <a:avLst/>
                    </a:prstGeom>
                  </pic:spPr>
                </pic:pic>
              </a:graphicData>
            </a:graphic>
          </wp:inline>
        </w:drawing>
      </w:r>
      <w:r>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Champaign, Illinois</w:t>
        <w:br/>
        <w:t xml:space="preserve">March 10, 2006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McGladrey &amp; Pullen LLP serves clients global business needs through its membership in RSM International (an affiliation of separate and independent accounting and consulting firms). </w:t>
      </w:r>
    </w:p>
    <w:p>
      <w:pPr>
        <w:pStyle w:val="TextBody"/>
        <w:jc w:val="center"/>
        <w:rPr>
          <w:rFonts w:ascii="Helvetica;Arial;sans-serif" w:hAnsi="Helvetica;Arial;sans-serif"/>
          <w:sz w:val="17"/>
        </w:rPr>
      </w:pPr>
      <w:r>
        <w:rPr>
          <w:rFonts w:ascii="Helvetica;Arial;sans-serif" w:hAnsi="Helvetica;Arial;sans-serif"/>
          <w:sz w:val="17"/>
        </w:rPr>
        <w:t xml:space="preserve">45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pPr>
      <w:r>
        <w:rPr/>
        <w:drawing>
          <wp:inline distT="0" distB="0" distL="0" distR="0">
            <wp:extent cx="2028825" cy="723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28825" cy="723900"/>
                    </a:xfrm>
                    <a:prstGeom prst="rect">
                      <a:avLst/>
                    </a:prstGeom>
                  </pic:spPr>
                </pic:pic>
              </a:graphicData>
            </a:graphic>
          </wp:inline>
        </w:drawing>
      </w:r>
      <w:r>
        <w:rPr/>
        <w:t xml:space="preserve"> </w:t>
      </w:r>
    </w:p>
    <w:p>
      <w:pPr>
        <w:pStyle w:val="TextBody"/>
        <w:spacing w:before="360" w:after="283"/>
        <w:jc w:val="center"/>
        <w:rPr>
          <w:rFonts w:ascii="Helvetica;Arial;sans-serif" w:hAnsi="Helvetica;Arial;sans-serif"/>
          <w:sz w:val="17"/>
        </w:rPr>
      </w:pPr>
      <w:bookmarkStart w:id="30" w:name="301"/>
      <w:bookmarkEnd w:id="30"/>
      <w:r>
        <w:rPr>
          <w:rFonts w:ascii="Helvetica;Arial;sans-serif" w:hAnsi="Helvetica;Arial;sans-serif"/>
          <w:b/>
          <w:sz w:val="17"/>
        </w:rPr>
        <w:t>REPORT OF INDEPENDENT REGISTERED PUBLIC ACCOUNTING FIRM 0N</w:t>
        <w:br/>
        <w:t>INTERNAL CONTROL OVER FINANCIAL REPORTING</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To the Stockholders and Board of Directors</w:t>
        <w:br/>
        <w:t>First Busey Corporation</w:t>
        <w:br/>
        <w:t xml:space="preserve">Urbana, Illinois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have audited managements assessment, included in the accompanying Managements Annual Report on Internal Control over Financial Reporting, that First Busey Corporation maintained effective internal control over financial reporting as of December 31, 2005, based on criteria established in Internal ControlIntegrated Framework issued by the Committee of Sponsoring Organizations of the Treadway Commission (COSO). First Busey Corporations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McGladrey &amp; Pullen LLP serves clients global business needs through its membership in RSM International (an affiliation of separate and independent accounting and consulting firms). </w:t>
      </w:r>
    </w:p>
    <w:p>
      <w:pPr>
        <w:pStyle w:val="TextBody"/>
        <w:jc w:val="center"/>
        <w:rPr>
          <w:rFonts w:ascii="Helvetica;Arial;sans-serif" w:hAnsi="Helvetica;Arial;sans-serif"/>
          <w:sz w:val="17"/>
        </w:rPr>
      </w:pPr>
      <w:r>
        <w:rPr>
          <w:rFonts w:ascii="Helvetica;Arial;sans-serif" w:hAnsi="Helvetica;Arial;sans-serif"/>
          <w:sz w:val="17"/>
        </w:rPr>
        <w:t xml:space="preserve">46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our opinion, managements assessment that First Busey Corporation maintained effective internal control over financial reporting as of December 31, 2005, is fairly stated, in all material respects, based on criteria established in Internal ControlIntegrated Framework issued by the Committee of Sponsoring Organizations of the Treadway Commission (COSO). Also in our opinion, First Busey Corporation maintained, in all material respects, effective internal control over financial reporting as of December 31, 2005, based on criteria established in Internal ControlIntegrated Framework issued by the Committee of Sponsoring Organizations of the Treadway Commission (COSO).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have also audited, in accordance with the standards of the Public Company Accounting Oversight Board (United States), the consolidated financial statements as of and for the year ended December 31, 2005 of First Busey Corporation and Subsidiaries and our report dated March 10, 2006 expressed an unqualified opinion. </w:t>
      </w:r>
    </w:p>
    <w:p>
      <w:pPr>
        <w:pStyle w:val="TextBody"/>
        <w:spacing w:before="240" w:after="283"/>
        <w:jc w:val="right"/>
        <w:rPr/>
      </w:pPr>
      <w:r>
        <w:rPr/>
        <w:drawing>
          <wp:inline distT="0" distB="0" distL="0" distR="0">
            <wp:extent cx="1990725"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90725" cy="266700"/>
                    </a:xfrm>
                    <a:prstGeom prst="rect">
                      <a:avLst/>
                    </a:prstGeom>
                  </pic:spPr>
                </pic:pic>
              </a:graphicData>
            </a:graphic>
          </wp:inline>
        </w:drawing>
      </w:r>
      <w:r>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Champaign, Illinois</w:t>
        <w:br/>
        <w:t xml:space="preserve">March 10, 2006 </w:t>
      </w:r>
    </w:p>
    <w:p>
      <w:pPr>
        <w:pStyle w:val="TextBody"/>
        <w:jc w:val="center"/>
        <w:rPr>
          <w:rFonts w:ascii="Helvetica;Arial;sans-serif" w:hAnsi="Helvetica;Arial;sans-serif"/>
          <w:sz w:val="17"/>
        </w:rPr>
      </w:pPr>
      <w:r>
        <w:rPr>
          <w:rFonts w:ascii="Helvetica;Arial;sans-serif" w:hAnsi="Helvetica;Arial;sans-serif"/>
          <w:sz w:val="17"/>
        </w:rPr>
        <w:t xml:space="preserve">47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0" w:after="0"/>
        <w:jc w:val="left"/>
        <w:rPr>
          <w:rFonts w:ascii="Arial;Helvetica;sans-serif" w:hAnsi="Arial;Helvetica;sans-serif"/>
          <w:b/>
          <w:sz w:val="17"/>
        </w:rPr>
      </w:pPr>
      <w:bookmarkStart w:id="31" w:name="302"/>
      <w:bookmarkEnd w:id="31"/>
      <w:r>
        <w:rPr>
          <w:rFonts w:ascii="Arial;Helvetica;sans-serif" w:hAnsi="Arial;Helvetica;sans-serif"/>
          <w:b/>
          <w:sz w:val="17"/>
        </w:rPr>
        <w:t>CONSOLIDATED BALANCE SHEETS</w:t>
      </w:r>
    </w:p>
    <w:p>
      <w:pPr>
        <w:pStyle w:val="TextBody"/>
        <w:spacing w:before="0" w:after="0"/>
        <w:jc w:val="left"/>
        <w:rPr>
          <w:rFonts w:ascii="Arial;Helvetica;sans-serif" w:hAnsi="Arial;Helvetica;sans-serif"/>
          <w:b/>
          <w:sz w:val="17"/>
        </w:rPr>
      </w:pPr>
      <w:r>
        <w:rPr>
          <w:rFonts w:ascii="Arial;Helvetica;sans-serif" w:hAnsi="Arial;Helvetica;sans-serif"/>
          <w:b/>
          <w:sz w:val="17"/>
        </w:rPr>
        <w:t>December 31, 2005 and 2004</w:t>
      </w:r>
    </w:p>
    <w:tbl>
      <w:tblPr>
        <w:tblW w:w="5000" w:type="pct"/>
        <w:jc w:val="center"/>
        <w:tblInd w:w="0" w:type="dxa"/>
        <w:tblCellMar>
          <w:top w:w="0" w:type="dxa"/>
          <w:left w:w="0" w:type="dxa"/>
          <w:bottom w:w="0" w:type="dxa"/>
          <w:right w:w="0" w:type="dxa"/>
        </w:tblCellMar>
      </w:tblPr>
      <w:tblGrid>
        <w:gridCol w:w="6372"/>
        <w:gridCol w:w="351"/>
        <w:gridCol w:w="309"/>
        <w:gridCol w:w="988"/>
        <w:gridCol w:w="266"/>
        <w:gridCol w:w="351"/>
        <w:gridCol w:w="309"/>
        <w:gridCol w:w="988"/>
        <w:gridCol w:w="271"/>
      </w:tblGrid>
      <w:tr>
        <w:trPr/>
        <w:tc>
          <w:tcPr>
            <w:tcW w:w="637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r>
      <w:tr>
        <w:trPr/>
        <w:tc>
          <w:tcPr>
            <w:tcW w:w="6372" w:type="dxa"/>
            <w:tcBorders>
              <w:bottom w:val="single" w:sz="2" w:space="0" w:color="000000"/>
            </w:tcBorders>
            <w:shd w:fill="auto" w:val="clear"/>
            <w:tcMar>
              <w:bottom w:w="28" w:type="dxa"/>
            </w:tcMar>
            <w:vAlign w:val="bottom"/>
          </w:tcPr>
          <w:p>
            <w:pPr>
              <w:pStyle w:val="TableContents"/>
              <w:spacing w:before="0" w:after="283"/>
              <w:rPr/>
            </w:pPr>
            <w:r>
              <w:rPr/>
              <w:t> </w:t>
            </w:r>
          </w:p>
        </w:tc>
        <w:tc>
          <w:tcPr>
            <w:tcW w:w="351" w:type="dxa"/>
            <w:tcBorders>
              <w:bottom w:val="single" w:sz="2" w:space="0" w:color="000000"/>
            </w:tcBorders>
            <w:shd w:fill="auto" w:val="clear"/>
            <w:tcMar>
              <w:bottom w:w="28" w:type="dxa"/>
            </w:tcMar>
            <w:vAlign w:val="bottom"/>
          </w:tcPr>
          <w:p>
            <w:pPr>
              <w:pStyle w:val="TableContents"/>
              <w:spacing w:before="0" w:after="283"/>
              <w:rPr/>
            </w:pPr>
            <w:r>
              <w:rPr/>
              <w:t> </w:t>
            </w:r>
          </w:p>
        </w:tc>
        <w:tc>
          <w:tcPr>
            <w:tcW w:w="156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351" w:type="dxa"/>
            <w:tcBorders>
              <w:bottom w:val="single" w:sz="2" w:space="0" w:color="000000"/>
            </w:tcBorders>
            <w:shd w:fill="auto" w:val="clear"/>
            <w:tcMar>
              <w:bottom w:w="28" w:type="dxa"/>
            </w:tcMar>
            <w:vAlign w:val="bottom"/>
          </w:tcPr>
          <w:p>
            <w:pPr>
              <w:pStyle w:val="TableContents"/>
              <w:spacing w:before="0" w:after="283"/>
              <w:rPr/>
            </w:pPr>
            <w:r>
              <w:rPr/>
              <w:t> </w:t>
            </w:r>
          </w:p>
        </w:tc>
        <w:tc>
          <w:tcPr>
            <w:tcW w:w="1568" w:type="dxa"/>
            <w:gridSpan w:val="3"/>
            <w:tcBorders>
              <w:bottom w:val="single" w:sz="2" w:space="0" w:color="000000"/>
            </w:tcBorders>
            <w:shd w:fill="auto" w:val="clear"/>
            <w:tcMar>
              <w:bottom w:w="28" w:type="dxa"/>
            </w:tcMar>
            <w:vAlign w:val="bottom"/>
          </w:tcPr>
          <w:p>
            <w:pPr>
              <w:pStyle w:val="TableContents"/>
              <w:spacing w:before="0" w:after="283"/>
              <w:jc w:val="center"/>
              <w:rPr/>
            </w:pPr>
            <w:r>
              <w:rPr/>
              <w:t>2004</w:t>
            </w:r>
          </w:p>
        </w:tc>
      </w:tr>
      <w:tr>
        <w:trPr/>
        <w:tc>
          <w:tcPr>
            <w:tcW w:w="637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482" w:type="dxa"/>
            <w:gridSpan w:val="7"/>
            <w:tcBorders/>
            <w:shd w:fill="auto" w:val="clear"/>
            <w:vAlign w:val="bottom"/>
          </w:tcPr>
          <w:p>
            <w:pPr>
              <w:pStyle w:val="TableContents"/>
              <w:spacing w:before="0" w:after="283"/>
              <w:jc w:val="center"/>
              <w:rPr/>
            </w:pPr>
            <w:r>
              <w:rPr/>
              <w:t>(Dollars in thousands)</w:t>
            </w:r>
          </w:p>
        </w:tc>
      </w:tr>
      <w:tr>
        <w:trPr/>
        <w:tc>
          <w:tcPr>
            <w:tcW w:w="6372" w:type="dxa"/>
            <w:tcBorders/>
            <w:shd w:fill="CCEEFF" w:val="clear"/>
            <w:vAlign w:val="bottom"/>
          </w:tcPr>
          <w:p>
            <w:pPr>
              <w:pStyle w:val="TableContents"/>
              <w:spacing w:before="0" w:after="0"/>
              <w:ind w:left="225" w:right="0" w:hanging="225"/>
              <w:rPr>
                <w:b/>
              </w:rPr>
            </w:pPr>
            <w:r>
              <w:rPr>
                <w:b/>
              </w:rPr>
              <w:t>ASSETS</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225" w:right="0" w:hanging="225"/>
              <w:rPr/>
            </w:pPr>
            <w:r>
              <w:rPr/>
              <w:t>Cash and due from banks</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right"/>
              <w:rPr>
                <w:b/>
              </w:rPr>
            </w:pPr>
            <w:r>
              <w:rPr>
                <w:b/>
              </w:rPr>
              <w:t>$</w:t>
            </w:r>
          </w:p>
        </w:tc>
        <w:tc>
          <w:tcPr>
            <w:tcW w:w="988" w:type="dxa"/>
            <w:tcBorders/>
            <w:shd w:fill="auto" w:val="clear"/>
            <w:vAlign w:val="bottom"/>
          </w:tcPr>
          <w:p>
            <w:pPr>
              <w:pStyle w:val="TableContents"/>
              <w:spacing w:before="0" w:after="283"/>
              <w:jc w:val="right"/>
              <w:rPr>
                <w:b/>
              </w:rPr>
            </w:pPr>
            <w:r>
              <w:rPr>
                <w:b/>
              </w:rPr>
              <w:t>60,957</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right"/>
              <w:rPr/>
            </w:pPr>
            <w:r>
              <w:rPr/>
              <w:t>$</w:t>
            </w:r>
          </w:p>
        </w:tc>
        <w:tc>
          <w:tcPr>
            <w:tcW w:w="988" w:type="dxa"/>
            <w:tcBorders/>
            <w:shd w:fill="auto" w:val="clear"/>
            <w:vAlign w:val="bottom"/>
          </w:tcPr>
          <w:p>
            <w:pPr>
              <w:pStyle w:val="TableContents"/>
              <w:spacing w:before="0" w:after="283"/>
              <w:jc w:val="right"/>
              <w:rPr/>
            </w:pPr>
            <w:r>
              <w:rPr/>
              <w:t>47,991</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225" w:right="0" w:hanging="225"/>
              <w:rPr/>
            </w:pPr>
            <w:r>
              <w:rPr/>
              <w:t>Federal funds sold</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2,300</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3,100</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225" w:right="0" w:hanging="225"/>
              <w:rPr/>
            </w:pPr>
            <w:r>
              <w:rPr/>
              <w:t>Securities available for sale</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b/>
              </w:rPr>
            </w:pPr>
            <w:r>
              <w:rPr>
                <w:b/>
              </w:rPr>
              <w:t>331,237</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352,256</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225" w:right="0" w:hanging="225"/>
              <w:rPr/>
            </w:pPr>
            <w:r>
              <w:rPr/>
              <w:t>Loans held for sale (fair value 2005 $11,877; 2004 $9,717)</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11,737</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9,574</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225" w:right="0" w:hanging="225"/>
              <w:rPr/>
            </w:pPr>
            <w:r>
              <w:rPr/>
              <w:t>Loans (net of allowance for loan losses 2005 $23,190; 2004 $19,217)</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b/>
              </w:rPr>
            </w:pPr>
            <w:r>
              <w:rPr>
                <w:b/>
              </w:rPr>
              <w:t>1,714,235</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1,447,109</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225" w:right="0" w:hanging="225"/>
              <w:rPr/>
            </w:pPr>
            <w:r>
              <w:rPr/>
              <w:t>Premises and equipment</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37,815</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26,295</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225" w:right="0" w:hanging="225"/>
              <w:rPr/>
            </w:pPr>
            <w:r>
              <w:rPr/>
              <w:t>Goodwill</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b/>
              </w:rPr>
            </w:pPr>
            <w:r>
              <w:rPr>
                <w:b/>
              </w:rPr>
              <w:t>54,102</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31,785</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225" w:right="0" w:hanging="225"/>
              <w:rPr/>
            </w:pPr>
            <w:r>
              <w:rPr/>
              <w:t>Other intangible assets</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5,122</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3,852</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225" w:right="0" w:hanging="225"/>
              <w:rPr/>
            </w:pPr>
            <w:r>
              <w:rPr/>
              <w:t>Cash surrender value of bank owned life insurance</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b/>
              </w:rPr>
            </w:pPr>
            <w:r>
              <w:rPr>
                <w:b/>
              </w:rPr>
              <w:t>18,894</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17,634</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225" w:right="0" w:hanging="225"/>
              <w:rPr/>
            </w:pPr>
            <w:r>
              <w:rPr/>
              <w:t>Other assets</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27,023</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24,845</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348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372" w:type="dxa"/>
            <w:tcBorders/>
            <w:shd w:fill="auto" w:val="clear"/>
            <w:vAlign w:val="bottom"/>
          </w:tcPr>
          <w:p>
            <w:pPr>
              <w:pStyle w:val="TableContents"/>
              <w:spacing w:before="0" w:after="0"/>
              <w:ind w:left="900" w:right="0" w:hanging="225"/>
              <w:rPr>
                <w:b/>
              </w:rPr>
            </w:pPr>
            <w:r>
              <w:rPr>
                <w:b/>
              </w:rPr>
              <w:t>Total assets</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right"/>
              <w:rPr>
                <w:b/>
              </w:rPr>
            </w:pPr>
            <w:r>
              <w:rPr>
                <w:b/>
              </w:rPr>
              <w:t>$</w:t>
            </w:r>
          </w:p>
        </w:tc>
        <w:tc>
          <w:tcPr>
            <w:tcW w:w="988" w:type="dxa"/>
            <w:tcBorders/>
            <w:shd w:fill="auto" w:val="clear"/>
            <w:vAlign w:val="bottom"/>
          </w:tcPr>
          <w:p>
            <w:pPr>
              <w:pStyle w:val="TableContents"/>
              <w:spacing w:before="0" w:after="283"/>
              <w:jc w:val="right"/>
              <w:rPr>
                <w:b/>
              </w:rPr>
            </w:pPr>
            <w:r>
              <w:rPr>
                <w:b/>
              </w:rPr>
              <w:t>2,263,422</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right"/>
              <w:rPr/>
            </w:pPr>
            <w:r>
              <w:rPr/>
              <w:t>$</w:t>
            </w:r>
          </w:p>
        </w:tc>
        <w:tc>
          <w:tcPr>
            <w:tcW w:w="988" w:type="dxa"/>
            <w:tcBorders/>
            <w:shd w:fill="auto" w:val="clear"/>
            <w:vAlign w:val="bottom"/>
          </w:tcPr>
          <w:p>
            <w:pPr>
              <w:pStyle w:val="TableContents"/>
              <w:spacing w:before="0" w:after="283"/>
              <w:jc w:val="right"/>
              <w:rPr/>
            </w:pPr>
            <w:r>
              <w:rPr/>
              <w:t>1,964,441</w:t>
            </w:r>
          </w:p>
        </w:tc>
        <w:tc>
          <w:tcPr>
            <w:tcW w:w="271" w:type="dxa"/>
            <w:tcBorders/>
            <w:shd w:fill="auto" w:val="clear"/>
            <w:vAlign w:val="bottom"/>
          </w:tcPr>
          <w:p>
            <w:pPr>
              <w:pStyle w:val="TableContents"/>
              <w:spacing w:before="0" w:after="283"/>
              <w:rPr/>
            </w:pPr>
            <w:r>
              <w:rPr/>
              <w:t> </w:t>
            </w:r>
          </w:p>
        </w:tc>
      </w:tr>
      <w:tr>
        <w:trPr/>
        <w:tc>
          <w:tcPr>
            <w:tcW w:w="637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3482"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6372" w:type="dxa"/>
            <w:tcBorders/>
            <w:shd w:fill="auto" w:val="clear"/>
            <w:vAlign w:val="bottom"/>
          </w:tcPr>
          <w:p>
            <w:pPr>
              <w:pStyle w:val="TableContents"/>
              <w:spacing w:before="0" w:after="0"/>
              <w:ind w:left="225" w:right="0" w:hanging="225"/>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225" w:right="0" w:hanging="225"/>
              <w:rPr>
                <w:b/>
              </w:rPr>
            </w:pPr>
            <w:r>
              <w:rPr>
                <w:b/>
              </w:rPr>
              <w:t>LIABILITIES AND STOCKHOLDERS EQUITY</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225" w:right="0" w:hanging="225"/>
              <w:rPr/>
            </w:pPr>
            <w:r>
              <w:rPr/>
              <w:t xml:space="preserve">Liabilities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450" w:right="0" w:hanging="225"/>
              <w:rPr/>
            </w:pPr>
            <w:r>
              <w:rPr/>
              <w:t>Deposits:</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675" w:right="0" w:hanging="225"/>
              <w:rPr/>
            </w:pPr>
            <w:r>
              <w:rPr/>
              <w:t>Noninterest bearing</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right"/>
              <w:rPr>
                <w:b/>
              </w:rPr>
            </w:pPr>
            <w:r>
              <w:rPr>
                <w:b/>
              </w:rPr>
              <w:t>$</w:t>
            </w:r>
          </w:p>
        </w:tc>
        <w:tc>
          <w:tcPr>
            <w:tcW w:w="988" w:type="dxa"/>
            <w:tcBorders/>
            <w:shd w:fill="auto" w:val="clear"/>
            <w:vAlign w:val="bottom"/>
          </w:tcPr>
          <w:p>
            <w:pPr>
              <w:pStyle w:val="TableContents"/>
              <w:spacing w:before="0" w:after="283"/>
              <w:jc w:val="right"/>
              <w:rPr>
                <w:b/>
              </w:rPr>
            </w:pPr>
            <w:r>
              <w:rPr>
                <w:b/>
              </w:rPr>
              <w:t>265,170</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right"/>
              <w:rPr/>
            </w:pPr>
            <w:r>
              <w:rPr/>
              <w:t>$</w:t>
            </w:r>
          </w:p>
        </w:tc>
        <w:tc>
          <w:tcPr>
            <w:tcW w:w="988" w:type="dxa"/>
            <w:tcBorders/>
            <w:shd w:fill="auto" w:val="clear"/>
            <w:vAlign w:val="bottom"/>
          </w:tcPr>
          <w:p>
            <w:pPr>
              <w:pStyle w:val="TableContents"/>
              <w:spacing w:before="0" w:after="283"/>
              <w:jc w:val="right"/>
              <w:rPr/>
            </w:pPr>
            <w:r>
              <w:rPr/>
              <w:t>213,921</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675" w:right="0" w:hanging="225"/>
              <w:rPr/>
            </w:pPr>
            <w:r>
              <w:rPr/>
              <w:t>Interest bearing</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1,544,229</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1,344,901</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348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372" w:type="dxa"/>
            <w:tcBorders/>
            <w:shd w:fill="auto" w:val="clear"/>
            <w:vAlign w:val="bottom"/>
          </w:tcPr>
          <w:p>
            <w:pPr>
              <w:pStyle w:val="TableContents"/>
              <w:spacing w:before="0" w:after="0"/>
              <w:ind w:left="900" w:right="0" w:hanging="225"/>
              <w:rPr>
                <w:b/>
              </w:rPr>
            </w:pPr>
            <w:r>
              <w:rPr>
                <w:b/>
              </w:rPr>
              <w:t>Total deposits</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b/>
              </w:rPr>
            </w:pPr>
            <w:r>
              <w:rPr>
                <w:b/>
              </w:rPr>
              <w:t>1,809,399</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1,558,822</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450" w:right="0" w:hanging="225"/>
              <w:rPr/>
            </w:pPr>
            <w:r>
              <w:rPr/>
              <w:t>Federal funds purchased and securities sold under agreements to repurchase</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50,113</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41,558</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450" w:right="0" w:hanging="225"/>
              <w:rPr/>
            </w:pPr>
            <w:r>
              <w:rPr/>
              <w:t>Short-term borrowings</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b/>
              </w:rPr>
            </w:pPr>
            <w:r>
              <w:rPr>
                <w:b/>
              </w:rPr>
              <w:t></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11,250</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450" w:right="0" w:hanging="225"/>
              <w:rPr/>
            </w:pPr>
            <w:r>
              <w:rPr/>
              <w:t>Long-term debt</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169,883</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165,374</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450" w:right="0" w:hanging="225"/>
              <w:rPr/>
            </w:pPr>
            <w:r>
              <w:rPr/>
              <w:t>Junior subordinated debt owed to unconsolidated trusts</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b/>
              </w:rPr>
            </w:pPr>
            <w:r>
              <w:rPr>
                <w:b/>
              </w:rPr>
              <w:t>50,000</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40,000</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450" w:right="0" w:hanging="225"/>
              <w:rPr/>
            </w:pPr>
            <w:r>
              <w:rPr/>
              <w:t>Other liabilities</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14,313</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8,565</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348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372" w:type="dxa"/>
            <w:tcBorders/>
            <w:shd w:fill="auto" w:val="clear"/>
            <w:vAlign w:val="bottom"/>
          </w:tcPr>
          <w:p>
            <w:pPr>
              <w:pStyle w:val="TableContents"/>
              <w:spacing w:before="0" w:after="0"/>
              <w:ind w:left="900" w:right="0" w:hanging="225"/>
              <w:rPr>
                <w:b/>
              </w:rPr>
            </w:pPr>
            <w:r>
              <w:rPr>
                <w:b/>
              </w:rPr>
              <w:t>Total liabilities</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b/>
              </w:rPr>
            </w:pPr>
            <w:r>
              <w:rPr>
                <w:b/>
              </w:rPr>
              <w:t>2,093,708</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1,825,569</w:t>
            </w:r>
          </w:p>
        </w:tc>
        <w:tc>
          <w:tcPr>
            <w:tcW w:w="271" w:type="dxa"/>
            <w:tcBorders/>
            <w:shd w:fill="auto" w:val="clear"/>
            <w:vAlign w:val="bottom"/>
          </w:tcPr>
          <w:p>
            <w:pPr>
              <w:pStyle w:val="TableContents"/>
              <w:spacing w:before="0" w:after="283"/>
              <w:rPr/>
            </w:pPr>
            <w:r>
              <w:rPr/>
              <w:t> </w:t>
            </w:r>
          </w:p>
        </w:tc>
      </w:tr>
      <w:tr>
        <w:trPr/>
        <w:tc>
          <w:tcPr>
            <w:tcW w:w="637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348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372" w:type="dxa"/>
            <w:tcBorders/>
            <w:shd w:fill="auto" w:val="clear"/>
            <w:vAlign w:val="bottom"/>
          </w:tcPr>
          <w:p>
            <w:pPr>
              <w:pStyle w:val="TableContents"/>
              <w:spacing w:before="0" w:after="0"/>
              <w:ind w:left="225" w:right="0" w:hanging="225"/>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225" w:right="0" w:hanging="225"/>
              <w:rPr/>
            </w:pPr>
            <w:r>
              <w:rPr/>
              <w:t>Commitments and contingencies (Note 19)</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225" w:right="0" w:hanging="225"/>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225" w:right="0" w:hanging="225"/>
              <w:rPr/>
            </w:pPr>
            <w:r>
              <w:rPr/>
              <w:t>Stockholders Equity</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225" w:right="0" w:hanging="225"/>
              <w:rPr/>
            </w:pPr>
            <w:r>
              <w:rPr/>
              <w:t>Preferred stock, no par value, 1,000,000 shares authorized, no shares issued</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450" w:right="0" w:hanging="225"/>
              <w:rPr/>
            </w:pPr>
            <w:r>
              <w:rPr/>
              <w:t>Common stock, 2005 $.001 par value; 2004 no par value, authorized 40,000,000 shares; 2005 22,082,024 shares issued; 2004 21,232,059 shares issued</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b/>
              </w:rPr>
            </w:pPr>
            <w:r>
              <w:rPr>
                <w:b/>
              </w:rPr>
              <w:t>22</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6,291</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450" w:right="0" w:hanging="225"/>
              <w:rPr/>
            </w:pPr>
            <w:r>
              <w:rPr/>
              <w:t>Common stock to be issued</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408</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450" w:right="0" w:hanging="225"/>
              <w:rPr/>
            </w:pPr>
            <w:r>
              <w:rPr/>
              <w:t>Surplus</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b/>
              </w:rPr>
            </w:pPr>
            <w:r>
              <w:rPr>
                <w:b/>
              </w:rPr>
              <w:t>44,812</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21,696</w:t>
            </w:r>
          </w:p>
        </w:tc>
        <w:tc>
          <w:tcPr>
            <w:tcW w:w="271" w:type="dxa"/>
            <w:tcBorders/>
            <w:shd w:fill="auto" w:val="clear"/>
            <w:vAlign w:val="bottom"/>
          </w:tcPr>
          <w:p>
            <w:pPr>
              <w:pStyle w:val="TableContents"/>
              <w:spacing w:before="0" w:after="283"/>
              <w:rPr/>
            </w:pPr>
            <w:r>
              <w:rPr/>
              <w:t> </w:t>
            </w:r>
          </w:p>
        </w:tc>
      </w:tr>
      <w:tr>
        <w:trPr/>
        <w:tc>
          <w:tcPr>
            <w:tcW w:w="6372" w:type="dxa"/>
            <w:tcBorders/>
            <w:shd w:fill="CCEEFF" w:val="clear"/>
            <w:vAlign w:val="bottom"/>
          </w:tcPr>
          <w:p>
            <w:pPr>
              <w:pStyle w:val="TableContents"/>
              <w:spacing w:before="0" w:after="0"/>
              <w:ind w:left="450" w:right="0" w:hanging="225"/>
              <w:rPr/>
            </w:pPr>
            <w:r>
              <w:rPr/>
              <w:t>Retained earnings</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129,729</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114,359</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450" w:right="0" w:hanging="225"/>
              <w:rPr/>
            </w:pPr>
            <w:r>
              <w:rPr/>
              <w:t>Accumulated other comprehensive income</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b/>
              </w:rPr>
            </w:pPr>
            <w:r>
              <w:rPr>
                <w:b/>
              </w:rPr>
              <w:t>7,282</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9,170</w:t>
            </w:r>
          </w:p>
        </w:tc>
        <w:tc>
          <w:tcPr>
            <w:tcW w:w="271" w:type="dxa"/>
            <w:tcBorders/>
            <w:shd w:fill="auto" w:val="clear"/>
            <w:vAlign w:val="bottom"/>
          </w:tcPr>
          <w:p>
            <w:pPr>
              <w:pStyle w:val="TableContents"/>
              <w:spacing w:before="0" w:after="283"/>
              <w:rPr/>
            </w:pPr>
            <w:r>
              <w:rPr/>
              <w:t> </w:t>
            </w:r>
          </w:p>
        </w:tc>
      </w:tr>
      <w:tr>
        <w:trPr/>
        <w:tc>
          <w:tcPr>
            <w:tcW w:w="637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348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372" w:type="dxa"/>
            <w:tcBorders/>
            <w:shd w:fill="CCEEFF" w:val="clear"/>
            <w:vAlign w:val="bottom"/>
          </w:tcPr>
          <w:p>
            <w:pPr>
              <w:pStyle w:val="TableContents"/>
              <w:spacing w:before="0" w:after="0"/>
              <w:ind w:left="900" w:right="0" w:hanging="225"/>
              <w:rPr>
                <w:b/>
              </w:rPr>
            </w:pPr>
            <w:r>
              <w:rPr>
                <w:b/>
              </w:rPr>
              <w:t>Total stockholders equity before treasury stock, unearned ESOP shares and deferred compensation for restricted stock awards</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182,253</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151,516</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bottom"/>
          </w:tcPr>
          <w:p>
            <w:pPr>
              <w:pStyle w:val="TableContents"/>
              <w:spacing w:before="0" w:after="0"/>
              <w:ind w:left="450" w:right="0" w:hanging="225"/>
              <w:rPr/>
            </w:pPr>
            <w:r>
              <w:rPr/>
              <w:t>Common stock in treasury, at cost, 577,942 shares 2005; 623,908 shares 2004</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right"/>
              <w:rPr/>
            </w:pPr>
            <w:r>
              <w:rPr/>
              <w:t> </w:t>
            </w:r>
          </w:p>
        </w:tc>
        <w:tc>
          <w:tcPr>
            <w:tcW w:w="988" w:type="dxa"/>
            <w:tcBorders/>
            <w:shd w:fill="auto" w:val="clear"/>
            <w:vAlign w:val="bottom"/>
          </w:tcPr>
          <w:p>
            <w:pPr>
              <w:pStyle w:val="TableContents"/>
              <w:spacing w:before="0" w:after="283"/>
              <w:jc w:val="right"/>
              <w:rPr>
                <w:b/>
              </w:rPr>
            </w:pPr>
            <w:r>
              <w:rPr>
                <w:b/>
              </w:rPr>
              <w:t>(10,477</w:t>
            </w:r>
          </w:p>
        </w:tc>
        <w:tc>
          <w:tcPr>
            <w:tcW w:w="266" w:type="dxa"/>
            <w:tcBorders/>
            <w:shd w:fill="auto" w:val="clear"/>
            <w:vAlign w:val="bottom"/>
          </w:tcPr>
          <w:p>
            <w:pPr>
              <w:pStyle w:val="TableContents"/>
              <w:spacing w:before="0" w:after="283"/>
              <w:rPr>
                <w:b/>
              </w:rPr>
            </w:pPr>
            <w:r>
              <w:rPr>
                <w:b/>
              </w:rPr>
              <w:t>)</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right"/>
              <w:rPr/>
            </w:pPr>
            <w:r>
              <w:rPr/>
              <w:t> </w:t>
            </w:r>
          </w:p>
        </w:tc>
        <w:tc>
          <w:tcPr>
            <w:tcW w:w="988" w:type="dxa"/>
            <w:tcBorders/>
            <w:shd w:fill="auto" w:val="clear"/>
            <w:vAlign w:val="bottom"/>
          </w:tcPr>
          <w:p>
            <w:pPr>
              <w:pStyle w:val="TableContents"/>
              <w:spacing w:before="0" w:after="283"/>
              <w:jc w:val="right"/>
              <w:rPr/>
            </w:pPr>
            <w:r>
              <w:rPr/>
              <w:t>(10,173</w:t>
            </w:r>
          </w:p>
        </w:tc>
        <w:tc>
          <w:tcPr>
            <w:tcW w:w="271" w:type="dxa"/>
            <w:tcBorders/>
            <w:shd w:fill="auto" w:val="clear"/>
            <w:vAlign w:val="bottom"/>
          </w:tcPr>
          <w:p>
            <w:pPr>
              <w:pStyle w:val="TableContents"/>
              <w:spacing w:before="0" w:after="283"/>
              <w:rPr/>
            </w:pPr>
            <w:r>
              <w:rPr/>
              <w:t>)</w:t>
            </w:r>
          </w:p>
        </w:tc>
      </w:tr>
      <w:tr>
        <w:trPr/>
        <w:tc>
          <w:tcPr>
            <w:tcW w:w="6372" w:type="dxa"/>
            <w:tcBorders/>
            <w:shd w:fill="CCEEFF" w:val="clear"/>
            <w:vAlign w:val="bottom"/>
          </w:tcPr>
          <w:p>
            <w:pPr>
              <w:pStyle w:val="TableContents"/>
              <w:spacing w:before="0" w:after="0"/>
              <w:ind w:left="450" w:right="0" w:hanging="225"/>
              <w:rPr/>
            </w:pPr>
            <w:r>
              <w:rPr/>
              <w:t>Unearned ESOP shares and deferred compensation for restricted Stock awards</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pPr>
            <w:r>
              <w:rPr/>
              <w:t> </w:t>
            </w:r>
          </w:p>
        </w:tc>
        <w:tc>
          <w:tcPr>
            <w:tcW w:w="988" w:type="dxa"/>
            <w:tcBorders/>
            <w:shd w:fill="CCEEFF" w:val="clear"/>
            <w:vAlign w:val="bottom"/>
          </w:tcPr>
          <w:p>
            <w:pPr>
              <w:pStyle w:val="TableContents"/>
              <w:spacing w:before="0" w:after="283"/>
              <w:jc w:val="right"/>
              <w:rPr>
                <w:b/>
              </w:rPr>
            </w:pPr>
            <w:r>
              <w:rPr>
                <w:b/>
              </w:rPr>
              <w:t>(2,062</w:t>
            </w:r>
          </w:p>
        </w:tc>
        <w:tc>
          <w:tcPr>
            <w:tcW w:w="266" w:type="dxa"/>
            <w:tcBorders/>
            <w:shd w:fill="CCEEFF" w:val="clear"/>
            <w:vAlign w:val="bottom"/>
          </w:tcPr>
          <w:p>
            <w:pPr>
              <w:pStyle w:val="TableContents"/>
              <w:spacing w:before="0" w:after="283"/>
              <w:rPr>
                <w:b/>
              </w:rPr>
            </w:pPr>
            <w:r>
              <w:rPr>
                <w:b/>
              </w:rPr>
              <w:t>)</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pPr>
            <w:r>
              <w:rPr/>
              <w:t> </w:t>
            </w:r>
          </w:p>
        </w:tc>
        <w:tc>
          <w:tcPr>
            <w:tcW w:w="988" w:type="dxa"/>
            <w:tcBorders/>
            <w:shd w:fill="CCEEFF" w:val="clear"/>
            <w:vAlign w:val="bottom"/>
          </w:tcPr>
          <w:p>
            <w:pPr>
              <w:pStyle w:val="TableContents"/>
              <w:spacing w:before="0" w:after="283"/>
              <w:jc w:val="right"/>
              <w:rPr/>
            </w:pPr>
            <w:r>
              <w:rPr/>
              <w:t>(2,471</w:t>
            </w:r>
          </w:p>
        </w:tc>
        <w:tc>
          <w:tcPr>
            <w:tcW w:w="271" w:type="dxa"/>
            <w:tcBorders/>
            <w:shd w:fill="CCEEFF" w:val="clear"/>
            <w:vAlign w:val="bottom"/>
          </w:tcPr>
          <w:p>
            <w:pPr>
              <w:pStyle w:val="TableContents"/>
              <w:spacing w:before="0" w:after="283"/>
              <w:rPr/>
            </w:pPr>
            <w:r>
              <w:rPr/>
              <w:t>)</w:t>
            </w:r>
          </w:p>
        </w:tc>
      </w:tr>
      <w:tr>
        <w:trPr/>
        <w:tc>
          <w:tcPr>
            <w:tcW w:w="637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348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372" w:type="dxa"/>
            <w:tcBorders/>
            <w:shd w:fill="auto" w:val="clear"/>
            <w:vAlign w:val="bottom"/>
          </w:tcPr>
          <w:p>
            <w:pPr>
              <w:pStyle w:val="TableContents"/>
              <w:spacing w:before="0" w:after="0"/>
              <w:ind w:left="900" w:right="0" w:hanging="225"/>
              <w:rPr>
                <w:b/>
              </w:rPr>
            </w:pPr>
            <w:r>
              <w:rPr>
                <w:b/>
              </w:rPr>
              <w:t>Total stockholders equity</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b/>
              </w:rPr>
            </w:pPr>
            <w:r>
              <w:rPr>
                <w:b/>
              </w:rPr>
              <w:t>169,714</w:t>
            </w:r>
          </w:p>
        </w:tc>
        <w:tc>
          <w:tcPr>
            <w:tcW w:w="26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138,872</w:t>
            </w:r>
          </w:p>
        </w:tc>
        <w:tc>
          <w:tcPr>
            <w:tcW w:w="271" w:type="dxa"/>
            <w:tcBorders/>
            <w:shd w:fill="auto" w:val="clear"/>
            <w:vAlign w:val="bottom"/>
          </w:tcPr>
          <w:p>
            <w:pPr>
              <w:pStyle w:val="TableContents"/>
              <w:spacing w:before="0" w:after="283"/>
              <w:rPr/>
            </w:pPr>
            <w:r>
              <w:rPr/>
              <w:t> </w:t>
            </w:r>
          </w:p>
        </w:tc>
      </w:tr>
      <w:tr>
        <w:trPr/>
        <w:tc>
          <w:tcPr>
            <w:tcW w:w="637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348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372" w:type="dxa"/>
            <w:tcBorders/>
            <w:shd w:fill="CCEEFF" w:val="clear"/>
            <w:vAlign w:val="bottom"/>
          </w:tcPr>
          <w:p>
            <w:pPr>
              <w:pStyle w:val="TableContents"/>
              <w:spacing w:before="0" w:after="0"/>
              <w:ind w:left="900" w:right="0" w:hanging="225"/>
              <w:rPr>
                <w:b/>
              </w:rPr>
            </w:pPr>
            <w:r>
              <w:rPr>
                <w:b/>
              </w:rPr>
              <w:t>Total liabilities and stockholders equity</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b/>
              </w:rPr>
            </w:pPr>
            <w:r>
              <w:rPr>
                <w:b/>
              </w:rPr>
              <w:t>$</w:t>
            </w:r>
          </w:p>
        </w:tc>
        <w:tc>
          <w:tcPr>
            <w:tcW w:w="988" w:type="dxa"/>
            <w:tcBorders/>
            <w:shd w:fill="CCEEFF" w:val="clear"/>
            <w:vAlign w:val="bottom"/>
          </w:tcPr>
          <w:p>
            <w:pPr>
              <w:pStyle w:val="TableContents"/>
              <w:spacing w:before="0" w:after="283"/>
              <w:jc w:val="right"/>
              <w:rPr>
                <w:b/>
              </w:rPr>
            </w:pPr>
            <w:r>
              <w:rPr>
                <w:b/>
              </w:rPr>
              <w:t>2,263,422</w:t>
            </w:r>
          </w:p>
        </w:tc>
        <w:tc>
          <w:tcPr>
            <w:tcW w:w="266"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pPr>
            <w:r>
              <w:rPr/>
              <w:t>$</w:t>
            </w:r>
          </w:p>
        </w:tc>
        <w:tc>
          <w:tcPr>
            <w:tcW w:w="988" w:type="dxa"/>
            <w:tcBorders/>
            <w:shd w:fill="CCEEFF" w:val="clear"/>
            <w:vAlign w:val="bottom"/>
          </w:tcPr>
          <w:p>
            <w:pPr>
              <w:pStyle w:val="TableContents"/>
              <w:spacing w:before="0" w:after="283"/>
              <w:jc w:val="right"/>
              <w:rPr/>
            </w:pPr>
            <w:r>
              <w:rPr/>
              <w:t>1,964,441</w:t>
            </w:r>
          </w:p>
        </w:tc>
        <w:tc>
          <w:tcPr>
            <w:tcW w:w="271" w:type="dxa"/>
            <w:tcBorders/>
            <w:shd w:fill="CCEEFF" w:val="clear"/>
            <w:vAlign w:val="bottom"/>
          </w:tcPr>
          <w:p>
            <w:pPr>
              <w:pStyle w:val="TableContents"/>
              <w:spacing w:before="0" w:after="283"/>
              <w:rPr/>
            </w:pPr>
            <w:r>
              <w:rPr/>
              <w:t> </w:t>
            </w:r>
          </w:p>
        </w:tc>
      </w:tr>
      <w:tr>
        <w:trPr/>
        <w:tc>
          <w:tcPr>
            <w:tcW w:w="637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3482"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See accompanying notes to consolidated financial statements. </w:t>
      </w:r>
    </w:p>
    <w:p>
      <w:pPr>
        <w:pStyle w:val="TextBody"/>
        <w:jc w:val="center"/>
        <w:rPr>
          <w:rFonts w:ascii="Arial;Helvetica;sans-serif" w:hAnsi="Arial;Helvetica;sans-serif"/>
          <w:sz w:val="17"/>
        </w:rPr>
      </w:pPr>
      <w:r>
        <w:rPr>
          <w:rFonts w:ascii="Arial;Helvetica;sans-serif" w:hAnsi="Arial;Helvetica;sans-serif"/>
          <w:sz w:val="17"/>
        </w:rPr>
        <w:t xml:space="preserve">48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0" w:after="0"/>
        <w:jc w:val="left"/>
        <w:rPr>
          <w:rFonts w:ascii="Arial;Helvetica;sans-serif" w:hAnsi="Arial;Helvetica;sans-serif"/>
          <w:b/>
          <w:sz w:val="17"/>
        </w:rPr>
      </w:pPr>
      <w:bookmarkStart w:id="32" w:name="303"/>
      <w:bookmarkEnd w:id="32"/>
      <w:r>
        <w:rPr>
          <w:rFonts w:ascii="Arial;Helvetica;sans-serif" w:hAnsi="Arial;Helvetica;sans-serif"/>
          <w:b/>
          <w:sz w:val="17"/>
        </w:rPr>
        <w:t>CONSOLIDATED STATEMENTS OF INCOME</w:t>
      </w:r>
    </w:p>
    <w:p>
      <w:pPr>
        <w:pStyle w:val="TextBody"/>
        <w:spacing w:before="20" w:after="283"/>
        <w:jc w:val="left"/>
        <w:rPr>
          <w:rFonts w:ascii="Arial;Helvetica;sans-serif" w:hAnsi="Arial;Helvetica;sans-serif"/>
          <w:sz w:val="17"/>
        </w:rPr>
      </w:pPr>
      <w:r>
        <w:rPr>
          <w:rFonts w:ascii="Arial;Helvetica;sans-serif" w:hAnsi="Arial;Helvetica;sans-serif"/>
          <w:b/>
          <w:sz w:val="17"/>
        </w:rPr>
        <w:t>Years Ended December 31, 2005, 2004 and 2003</w:t>
      </w:r>
      <w:r>
        <w:rPr>
          <w:rFonts w:ascii="Arial;Helvetica;sans-serif" w:hAnsi="Arial;Helvetica;sans-serif"/>
          <w:sz w:val="17"/>
        </w:rPr>
        <w:t xml:space="preserve"> </w:t>
      </w:r>
    </w:p>
    <w:tbl>
      <w:tblPr>
        <w:tblW w:w="5000" w:type="pct"/>
        <w:jc w:val="center"/>
        <w:tblInd w:w="0" w:type="dxa"/>
        <w:tblCellMar>
          <w:top w:w="0" w:type="dxa"/>
          <w:left w:w="0" w:type="dxa"/>
          <w:bottom w:w="0" w:type="dxa"/>
          <w:right w:w="0" w:type="dxa"/>
        </w:tblCellMar>
      </w:tblPr>
      <w:tblGrid>
        <w:gridCol w:w="4058"/>
        <w:gridCol w:w="282"/>
        <w:gridCol w:w="349"/>
        <w:gridCol w:w="1271"/>
        <w:gridCol w:w="280"/>
        <w:gridCol w:w="315"/>
        <w:gridCol w:w="349"/>
        <w:gridCol w:w="1087"/>
        <w:gridCol w:w="225"/>
        <w:gridCol w:w="315"/>
        <w:gridCol w:w="349"/>
        <w:gridCol w:w="1087"/>
        <w:gridCol w:w="238"/>
      </w:tblGrid>
      <w:tr>
        <w:trPr/>
        <w:tc>
          <w:tcPr>
            <w:tcW w:w="4058"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4058" w:type="dxa"/>
            <w:tcBorders>
              <w:bottom w:val="single" w:sz="2" w:space="0" w:color="000000"/>
            </w:tcBorders>
            <w:shd w:fill="auto" w:val="clear"/>
            <w:tcMar>
              <w:bottom w:w="28" w:type="dxa"/>
            </w:tcMar>
            <w:vAlign w:val="bottom"/>
          </w:tcPr>
          <w:p>
            <w:pPr>
              <w:pStyle w:val="TableContents"/>
              <w:spacing w:before="0" w:after="283"/>
              <w:rPr/>
            </w:pPr>
            <w:r>
              <w:rPr/>
              <w:t> </w:t>
            </w:r>
          </w:p>
        </w:tc>
        <w:tc>
          <w:tcPr>
            <w:tcW w:w="282" w:type="dxa"/>
            <w:tcBorders>
              <w:bottom w:val="single" w:sz="2" w:space="0" w:color="000000"/>
            </w:tcBorders>
            <w:shd w:fill="auto" w:val="clear"/>
            <w:tcMar>
              <w:bottom w:w="28" w:type="dxa"/>
            </w:tcMar>
            <w:vAlign w:val="bottom"/>
          </w:tcPr>
          <w:p>
            <w:pPr>
              <w:pStyle w:val="TableContents"/>
              <w:spacing w:before="0" w:after="283"/>
              <w:rPr/>
            </w:pPr>
            <w:r>
              <w:rPr/>
              <w:t> </w:t>
            </w:r>
          </w:p>
        </w:tc>
        <w:tc>
          <w:tcPr>
            <w:tcW w:w="190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315" w:type="dxa"/>
            <w:tcBorders>
              <w:bottom w:val="single" w:sz="2" w:space="0" w:color="000000"/>
            </w:tcBorders>
            <w:shd w:fill="auto" w:val="clear"/>
            <w:tcMar>
              <w:bottom w:w="28" w:type="dxa"/>
            </w:tcMar>
            <w:vAlign w:val="bottom"/>
          </w:tcPr>
          <w:p>
            <w:pPr>
              <w:pStyle w:val="TableContents"/>
              <w:spacing w:before="0" w:after="283"/>
              <w:rPr/>
            </w:pPr>
            <w:r>
              <w:rPr/>
              <w:t> </w:t>
            </w:r>
          </w:p>
        </w:tc>
        <w:tc>
          <w:tcPr>
            <w:tcW w:w="1661" w:type="dxa"/>
            <w:gridSpan w:val="3"/>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315" w:type="dxa"/>
            <w:tcBorders>
              <w:bottom w:val="single" w:sz="2" w:space="0" w:color="000000"/>
            </w:tcBorders>
            <w:shd w:fill="auto" w:val="clear"/>
            <w:tcMar>
              <w:bottom w:w="28" w:type="dxa"/>
            </w:tcMar>
            <w:vAlign w:val="bottom"/>
          </w:tcPr>
          <w:p>
            <w:pPr>
              <w:pStyle w:val="TableContents"/>
              <w:spacing w:before="0" w:after="283"/>
              <w:rPr/>
            </w:pPr>
            <w:r>
              <w:rPr/>
              <w:t> </w:t>
            </w:r>
          </w:p>
        </w:tc>
        <w:tc>
          <w:tcPr>
            <w:tcW w:w="1674" w:type="dxa"/>
            <w:gridSpan w:val="3"/>
            <w:tcBorders>
              <w:bottom w:val="single" w:sz="2" w:space="0" w:color="000000"/>
            </w:tcBorders>
            <w:shd w:fill="auto" w:val="clear"/>
            <w:tcMar>
              <w:bottom w:w="28" w:type="dxa"/>
            </w:tcMar>
            <w:vAlign w:val="bottom"/>
          </w:tcPr>
          <w:p>
            <w:pPr>
              <w:pStyle w:val="TableContents"/>
              <w:spacing w:before="0" w:after="283"/>
              <w:jc w:val="center"/>
              <w:rPr/>
            </w:pPr>
            <w:r>
              <w:rPr/>
              <w:t>2003</w:t>
            </w:r>
          </w:p>
        </w:tc>
      </w:tr>
      <w:tr>
        <w:trPr/>
        <w:tc>
          <w:tcPr>
            <w:tcW w:w="4058"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5865" w:type="dxa"/>
            <w:gridSpan w:val="11"/>
            <w:tcBorders/>
            <w:shd w:fill="auto" w:val="clear"/>
            <w:vAlign w:val="bottom"/>
          </w:tcPr>
          <w:p>
            <w:pPr>
              <w:pStyle w:val="TableContents"/>
              <w:spacing w:before="0" w:after="283"/>
              <w:jc w:val="center"/>
              <w:rPr/>
            </w:pPr>
            <w:r>
              <w:rPr/>
              <w:t>(Dollars in thousands, except per share amounts)</w:t>
            </w:r>
          </w:p>
        </w:tc>
      </w:tr>
      <w:tr>
        <w:trPr/>
        <w:tc>
          <w:tcPr>
            <w:tcW w:w="4058" w:type="dxa"/>
            <w:tcBorders/>
            <w:shd w:fill="CCEEFF" w:val="clear"/>
            <w:vAlign w:val="bottom"/>
          </w:tcPr>
          <w:p>
            <w:pPr>
              <w:pStyle w:val="TableContents"/>
              <w:spacing w:before="0" w:after="0"/>
              <w:ind w:left="225" w:right="0" w:hanging="225"/>
              <w:rPr/>
            </w:pPr>
            <w:r>
              <w:rPr/>
              <w:t>Interest and dividend income:</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450" w:right="0" w:hanging="225"/>
              <w:rPr/>
            </w:pPr>
            <w:r>
              <w:rPr/>
              <w:t>Loans, including fees</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b/>
              </w:rPr>
            </w:pPr>
            <w:r>
              <w:rPr>
                <w:b/>
              </w:rPr>
              <w:t>$</w:t>
            </w:r>
          </w:p>
        </w:tc>
        <w:tc>
          <w:tcPr>
            <w:tcW w:w="1271" w:type="dxa"/>
            <w:tcBorders/>
            <w:shd w:fill="auto" w:val="clear"/>
            <w:vAlign w:val="bottom"/>
          </w:tcPr>
          <w:p>
            <w:pPr>
              <w:pStyle w:val="TableContents"/>
              <w:spacing w:before="0" w:after="283"/>
              <w:jc w:val="right"/>
              <w:rPr>
                <w:b/>
              </w:rPr>
            </w:pPr>
            <w:r>
              <w:rPr>
                <w:b/>
              </w:rPr>
              <w:t>104,971</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w:t>
            </w:r>
          </w:p>
        </w:tc>
        <w:tc>
          <w:tcPr>
            <w:tcW w:w="1087" w:type="dxa"/>
            <w:tcBorders/>
            <w:shd w:fill="auto" w:val="clear"/>
            <w:vAlign w:val="bottom"/>
          </w:tcPr>
          <w:p>
            <w:pPr>
              <w:pStyle w:val="TableContents"/>
              <w:spacing w:before="0" w:after="283"/>
              <w:jc w:val="right"/>
              <w:rPr/>
            </w:pPr>
            <w:r>
              <w:rPr/>
              <w:t>77,499</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w:t>
            </w:r>
          </w:p>
        </w:tc>
        <w:tc>
          <w:tcPr>
            <w:tcW w:w="1087" w:type="dxa"/>
            <w:tcBorders/>
            <w:shd w:fill="auto" w:val="clear"/>
            <w:vAlign w:val="bottom"/>
          </w:tcPr>
          <w:p>
            <w:pPr>
              <w:pStyle w:val="TableContents"/>
              <w:spacing w:before="0" w:after="283"/>
              <w:jc w:val="right"/>
              <w:rPr/>
            </w:pPr>
            <w:r>
              <w:rPr/>
              <w:t>65,603</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225" w:right="0" w:hanging="225"/>
              <w:rPr/>
            </w:pPr>
            <w:r>
              <w:rPr/>
              <w:t>Debt securities</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675" w:right="0" w:hanging="225"/>
              <w:rPr/>
            </w:pPr>
            <w:r>
              <w:rPr/>
              <w:t>Taxable interest income</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7,624</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5,487</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5,321</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675" w:right="0" w:hanging="225"/>
              <w:rPr/>
            </w:pPr>
            <w:r>
              <w:rPr/>
              <w:t>Nontaxable interest income</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2,432</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1,939</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2,031</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450" w:right="0" w:hanging="225"/>
              <w:rPr/>
            </w:pPr>
            <w:r>
              <w:rPr/>
              <w:t>Dividends</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713</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722</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745</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450" w:right="0" w:hanging="225"/>
              <w:rPr/>
            </w:pPr>
            <w:r>
              <w:rPr/>
              <w:t>Federal funds sold</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564</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272</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149</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58" w:type="dxa"/>
            <w:tcBorders/>
            <w:shd w:fill="auto" w:val="clear"/>
            <w:vAlign w:val="bottom"/>
          </w:tcPr>
          <w:p>
            <w:pPr>
              <w:pStyle w:val="TableContents"/>
              <w:spacing w:before="0" w:after="0"/>
              <w:ind w:left="900" w:right="0" w:hanging="225"/>
              <w:rPr>
                <w:b/>
              </w:rPr>
            </w:pPr>
            <w:r>
              <w:rPr>
                <w:b/>
              </w:rPr>
              <w:t>Total interest and dividend income</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116,304</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85,919</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73,849</w:t>
            </w:r>
          </w:p>
        </w:tc>
        <w:tc>
          <w:tcPr>
            <w:tcW w:w="238" w:type="dxa"/>
            <w:tcBorders/>
            <w:shd w:fill="auto"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58"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225" w:right="0" w:hanging="225"/>
              <w:rPr/>
            </w:pPr>
            <w:r>
              <w:rPr/>
              <w:t>Interest expense:</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450" w:right="0" w:hanging="225"/>
              <w:rPr/>
            </w:pPr>
            <w:r>
              <w:rPr/>
              <w:t>Deposits</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33,938</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21,436</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19,644</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450" w:right="0" w:hanging="225"/>
              <w:rPr/>
            </w:pPr>
            <w:r>
              <w:rPr/>
              <w:t>Federal funds purchased and securities sold under agreements to repurchase</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1,179</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399</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146</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450" w:right="0" w:hanging="225"/>
              <w:rPr/>
            </w:pPr>
            <w:r>
              <w:rPr/>
              <w:t>Short-term borrowings</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100</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158</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450" w:right="0" w:hanging="225"/>
              <w:rPr/>
            </w:pPr>
            <w:r>
              <w:rPr/>
              <w:t>Long-term debt</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6,670</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5,372</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3,578</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450" w:right="0" w:hanging="225"/>
              <w:rPr/>
            </w:pPr>
            <w:r>
              <w:rPr/>
              <w:t>Junior subordinated debt owed to unconsolidated trusts</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3,455</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2,676</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2,250</w:t>
            </w:r>
          </w:p>
        </w:tc>
        <w:tc>
          <w:tcPr>
            <w:tcW w:w="238" w:type="dxa"/>
            <w:tcBorders/>
            <w:shd w:fill="auto"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58" w:type="dxa"/>
            <w:tcBorders/>
            <w:shd w:fill="CCEEFF" w:val="clear"/>
            <w:vAlign w:val="bottom"/>
          </w:tcPr>
          <w:p>
            <w:pPr>
              <w:pStyle w:val="TableContents"/>
              <w:spacing w:before="0" w:after="0"/>
              <w:ind w:left="900" w:right="0" w:hanging="225"/>
              <w:rPr>
                <w:b/>
              </w:rPr>
            </w:pPr>
            <w:r>
              <w:rPr>
                <w:b/>
              </w:rPr>
              <w:t>Total interest expense</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45,342</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30,041</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25,618</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58" w:type="dxa"/>
            <w:tcBorders/>
            <w:shd w:fill="auto" w:val="clear"/>
            <w:vAlign w:val="bottom"/>
          </w:tcPr>
          <w:p>
            <w:pPr>
              <w:pStyle w:val="TableContents"/>
              <w:spacing w:before="0" w:after="0"/>
              <w:ind w:left="900" w:right="0" w:hanging="225"/>
              <w:rPr>
                <w:b/>
              </w:rPr>
            </w:pPr>
            <w:r>
              <w:rPr>
                <w:b/>
              </w:rPr>
              <w:t>Net interest income</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70,962</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55,878</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48,231</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225" w:right="0" w:hanging="225"/>
              <w:rPr/>
            </w:pPr>
            <w:r>
              <w:rPr/>
              <w:t>Provision for loan losses</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3,490</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2,905</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3,058</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58" w:type="dxa"/>
            <w:tcBorders/>
            <w:shd w:fill="auto" w:val="clear"/>
            <w:vAlign w:val="bottom"/>
          </w:tcPr>
          <w:p>
            <w:pPr>
              <w:pStyle w:val="TableContents"/>
              <w:spacing w:before="0" w:after="0"/>
              <w:ind w:left="900" w:right="0" w:hanging="225"/>
              <w:rPr>
                <w:b/>
              </w:rPr>
            </w:pPr>
            <w:r>
              <w:rPr>
                <w:b/>
              </w:rPr>
              <w:t>Net interest income after provision for loan losses</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67,472</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52,973</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45,173</w:t>
            </w:r>
          </w:p>
        </w:tc>
        <w:tc>
          <w:tcPr>
            <w:tcW w:w="238" w:type="dxa"/>
            <w:tcBorders/>
            <w:shd w:fill="auto"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58"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225" w:right="0" w:hanging="225"/>
              <w:rPr/>
            </w:pPr>
            <w:r>
              <w:rPr/>
              <w:t>Other income:</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450" w:right="0" w:hanging="225"/>
              <w:rPr/>
            </w:pPr>
            <w:r>
              <w:rPr/>
              <w:t>Service charges on deposit accounts</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7,895</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7,841</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7,319</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450" w:right="0" w:hanging="225"/>
              <w:rPr/>
            </w:pPr>
            <w:r>
              <w:rPr/>
              <w:t>Trust fees</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5,752</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5,339</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4,615</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450" w:right="0" w:hanging="225"/>
              <w:rPr/>
            </w:pPr>
            <w:r>
              <w:rPr/>
              <w:t>Commissions and brokers fees, net</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2,327</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2,335</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2,103</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450" w:right="0" w:hanging="225"/>
              <w:rPr/>
            </w:pPr>
            <w:r>
              <w:rPr/>
              <w:t>Other service charges and fees</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2,318</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2,035</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1,836</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450" w:right="0" w:hanging="225"/>
              <w:rPr/>
            </w:pPr>
            <w:r>
              <w:rPr/>
              <w:t>Security (losses) gains, net</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 </w:t>
            </w:r>
          </w:p>
        </w:tc>
        <w:tc>
          <w:tcPr>
            <w:tcW w:w="1271" w:type="dxa"/>
            <w:tcBorders/>
            <w:shd w:fill="auto" w:val="clear"/>
            <w:vAlign w:val="bottom"/>
          </w:tcPr>
          <w:p>
            <w:pPr>
              <w:pStyle w:val="TableContents"/>
              <w:spacing w:before="0" w:after="283"/>
              <w:jc w:val="right"/>
              <w:rPr>
                <w:b/>
              </w:rPr>
            </w:pPr>
            <w:r>
              <w:rPr>
                <w:b/>
              </w:rPr>
              <w:t>(54</w:t>
            </w:r>
          </w:p>
        </w:tc>
        <w:tc>
          <w:tcPr>
            <w:tcW w:w="280" w:type="dxa"/>
            <w:tcBorders/>
            <w:shd w:fill="auto" w:val="clear"/>
            <w:vAlign w:val="bottom"/>
          </w:tcPr>
          <w:p>
            <w:pPr>
              <w:pStyle w:val="TableContents"/>
              <w:spacing w:before="0" w:after="283"/>
              <w:rPr>
                <w:b/>
              </w:rPr>
            </w:pPr>
            <w:r>
              <w:rPr>
                <w:b/>
              </w:rPr>
              <w:t>)</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1,373</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975</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450" w:right="0" w:hanging="225"/>
              <w:rPr/>
            </w:pPr>
            <w:r>
              <w:rPr/>
              <w:t>Gain on sales of loans</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2,571</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2,689</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6,183</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450" w:right="0" w:hanging="225"/>
              <w:rPr/>
            </w:pPr>
            <w:r>
              <w:rPr/>
              <w:t>Other</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2,728</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2,178</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1,654</w:t>
            </w:r>
          </w:p>
        </w:tc>
        <w:tc>
          <w:tcPr>
            <w:tcW w:w="238" w:type="dxa"/>
            <w:tcBorders/>
            <w:shd w:fill="auto"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58" w:type="dxa"/>
            <w:tcBorders/>
            <w:shd w:fill="CCEEFF" w:val="clear"/>
            <w:vAlign w:val="bottom"/>
          </w:tcPr>
          <w:p>
            <w:pPr>
              <w:pStyle w:val="TableContents"/>
              <w:spacing w:before="0" w:after="0"/>
              <w:ind w:left="900" w:right="0" w:hanging="225"/>
              <w:rPr>
                <w:b/>
              </w:rPr>
            </w:pPr>
            <w:r>
              <w:rPr>
                <w:b/>
              </w:rPr>
              <w:t>Total other income</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23,537</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23,790</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24,685</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58"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225" w:right="0" w:hanging="225"/>
              <w:rPr/>
            </w:pPr>
            <w:r>
              <w:rPr/>
              <w:t>Other expenses:</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450" w:right="0" w:hanging="225"/>
              <w:rPr/>
            </w:pPr>
            <w:r>
              <w:rPr/>
              <w:t>Salaries and wages</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23,217</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19,529</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18,491</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450" w:right="0" w:hanging="225"/>
              <w:rPr/>
            </w:pPr>
            <w:r>
              <w:rPr/>
              <w:t>Employee benefits</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5,271</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4,297</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3,823</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450" w:right="0" w:hanging="225"/>
              <w:rPr/>
            </w:pPr>
            <w:r>
              <w:rPr/>
              <w:t>Net occupancy expense of premises</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4,576</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3,921</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3,158</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450" w:right="0" w:hanging="225"/>
              <w:rPr/>
            </w:pPr>
            <w:r>
              <w:rPr/>
              <w:t>Furniture and equipment expenses</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3,099</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2,384</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2,446</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450" w:right="0" w:hanging="225"/>
              <w:rPr/>
            </w:pPr>
            <w:r>
              <w:rPr/>
              <w:t>Data processing</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1,962</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1,915</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1,755</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450" w:right="0" w:hanging="225"/>
              <w:rPr/>
            </w:pPr>
            <w:r>
              <w:rPr/>
              <w:t>Amortization of intangible assets</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1,101</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631</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414</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450" w:right="0" w:hanging="225"/>
              <w:rPr/>
            </w:pPr>
            <w:r>
              <w:rPr/>
              <w:t>Stationery, supplies and printing</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1,123</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1,020</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1,061</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0"/>
              <w:ind w:left="450" w:right="0" w:hanging="225"/>
              <w:rPr/>
            </w:pPr>
            <w:r>
              <w:rPr/>
              <w:t>Other</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10,766</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9,388</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8,821</w:t>
            </w:r>
          </w:p>
        </w:tc>
        <w:tc>
          <w:tcPr>
            <w:tcW w:w="238" w:type="dxa"/>
            <w:tcBorders/>
            <w:shd w:fill="auto"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58" w:type="dxa"/>
            <w:tcBorders/>
            <w:shd w:fill="CCEEFF" w:val="clear"/>
            <w:vAlign w:val="bottom"/>
          </w:tcPr>
          <w:p>
            <w:pPr>
              <w:pStyle w:val="TableContents"/>
              <w:spacing w:before="0" w:after="0"/>
              <w:ind w:left="900" w:right="0" w:hanging="225"/>
              <w:rPr>
                <w:b/>
              </w:rPr>
            </w:pPr>
            <w:r>
              <w:rPr>
                <w:b/>
              </w:rPr>
              <w:t>Total other expenses</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51,115</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43,085</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39,969</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58" w:type="dxa"/>
            <w:tcBorders/>
            <w:shd w:fill="auto" w:val="clear"/>
            <w:vAlign w:val="bottom"/>
          </w:tcPr>
          <w:p>
            <w:pPr>
              <w:pStyle w:val="TableContents"/>
              <w:spacing w:before="0" w:after="0"/>
              <w:ind w:left="900" w:right="0" w:hanging="225"/>
              <w:rPr>
                <w:b/>
              </w:rPr>
            </w:pPr>
            <w:r>
              <w:rPr>
                <w:b/>
              </w:rPr>
              <w:t>Income before income taxes</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b/>
              </w:rPr>
            </w:pPr>
            <w:r>
              <w:rPr>
                <w:b/>
              </w:rPr>
              <w:t>39,894</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33,678</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29,889</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225" w:right="0" w:hanging="225"/>
              <w:rPr/>
            </w:pPr>
            <w:r>
              <w:rPr/>
              <w:t>Income taxes</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12,960</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11,224</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10,025</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58" w:type="dxa"/>
            <w:tcBorders/>
            <w:shd w:fill="auto" w:val="clear"/>
            <w:vAlign w:val="bottom"/>
          </w:tcPr>
          <w:p>
            <w:pPr>
              <w:pStyle w:val="TableContents"/>
              <w:spacing w:before="0" w:after="0"/>
              <w:ind w:left="900" w:right="0" w:hanging="225"/>
              <w:rPr>
                <w:b/>
              </w:rPr>
            </w:pPr>
            <w:r>
              <w:rPr>
                <w:b/>
              </w:rPr>
              <w:t>Net income</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b/>
              </w:rPr>
            </w:pPr>
            <w:r>
              <w:rPr>
                <w:b/>
              </w:rPr>
              <w:t>$</w:t>
            </w:r>
          </w:p>
        </w:tc>
        <w:tc>
          <w:tcPr>
            <w:tcW w:w="1271" w:type="dxa"/>
            <w:tcBorders/>
            <w:shd w:fill="auto" w:val="clear"/>
            <w:vAlign w:val="bottom"/>
          </w:tcPr>
          <w:p>
            <w:pPr>
              <w:pStyle w:val="TableContents"/>
              <w:spacing w:before="0" w:after="283"/>
              <w:jc w:val="right"/>
              <w:rPr>
                <w:b/>
              </w:rPr>
            </w:pPr>
            <w:r>
              <w:rPr>
                <w:b/>
              </w:rPr>
              <w:t>26,934</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w:t>
            </w:r>
          </w:p>
        </w:tc>
        <w:tc>
          <w:tcPr>
            <w:tcW w:w="1087" w:type="dxa"/>
            <w:tcBorders/>
            <w:shd w:fill="auto" w:val="clear"/>
            <w:vAlign w:val="bottom"/>
          </w:tcPr>
          <w:p>
            <w:pPr>
              <w:pStyle w:val="TableContents"/>
              <w:spacing w:before="0" w:after="283"/>
              <w:jc w:val="right"/>
              <w:rPr/>
            </w:pPr>
            <w:r>
              <w:rPr/>
              <w:t>22,454</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w:t>
            </w:r>
          </w:p>
        </w:tc>
        <w:tc>
          <w:tcPr>
            <w:tcW w:w="1087" w:type="dxa"/>
            <w:tcBorders/>
            <w:shd w:fill="auto" w:val="clear"/>
            <w:vAlign w:val="bottom"/>
          </w:tcPr>
          <w:p>
            <w:pPr>
              <w:pStyle w:val="TableContents"/>
              <w:spacing w:before="0" w:after="283"/>
              <w:jc w:val="right"/>
              <w:rPr/>
            </w:pPr>
            <w:r>
              <w:rPr/>
              <w:t>19,864</w:t>
            </w:r>
          </w:p>
        </w:tc>
        <w:tc>
          <w:tcPr>
            <w:tcW w:w="238" w:type="dxa"/>
            <w:tcBorders/>
            <w:shd w:fill="auto"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058" w:type="dxa"/>
            <w:tcBorders/>
            <w:shd w:fill="auto" w:val="clear"/>
            <w:vAlign w:val="bottom"/>
          </w:tcPr>
          <w:p>
            <w:pPr>
              <w:pStyle w:val="TableContents"/>
              <w:spacing w:before="0" w:after="0"/>
              <w:ind w:left="225" w:right="0" w:hanging="225"/>
              <w:rPr/>
            </w:pPr>
            <w:r>
              <w:rPr/>
              <w:t> </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4058" w:type="dxa"/>
            <w:tcBorders/>
            <w:shd w:fill="CCEEFF" w:val="clear"/>
            <w:vAlign w:val="bottom"/>
          </w:tcPr>
          <w:p>
            <w:pPr>
              <w:pStyle w:val="TableContents"/>
              <w:spacing w:before="0" w:after="0"/>
              <w:ind w:left="225" w:right="0" w:hanging="225"/>
              <w:rPr/>
            </w:pPr>
            <w:r>
              <w:rPr/>
              <w:t>Basic earnings per share</w:t>
            </w:r>
          </w:p>
        </w:tc>
        <w:tc>
          <w:tcPr>
            <w:tcW w:w="282"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b/>
              </w:rPr>
            </w:pPr>
            <w:r>
              <w:rPr>
                <w:b/>
              </w:rPr>
              <w:t>$</w:t>
            </w:r>
          </w:p>
        </w:tc>
        <w:tc>
          <w:tcPr>
            <w:tcW w:w="1271" w:type="dxa"/>
            <w:tcBorders/>
            <w:shd w:fill="CCEEFF" w:val="clear"/>
            <w:vAlign w:val="bottom"/>
          </w:tcPr>
          <w:p>
            <w:pPr>
              <w:pStyle w:val="TableContents"/>
              <w:spacing w:before="0" w:after="283"/>
              <w:jc w:val="right"/>
              <w:rPr>
                <w:b/>
              </w:rPr>
            </w:pPr>
            <w:r>
              <w:rPr>
                <w:b/>
              </w:rPr>
              <w:t>1.29</w:t>
            </w:r>
          </w:p>
        </w:tc>
        <w:tc>
          <w:tcPr>
            <w:tcW w:w="2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pPr>
            <w:r>
              <w:rPr/>
              <w:t>$</w:t>
            </w:r>
          </w:p>
        </w:tc>
        <w:tc>
          <w:tcPr>
            <w:tcW w:w="1087" w:type="dxa"/>
            <w:tcBorders/>
            <w:shd w:fill="CCEEFF" w:val="clear"/>
            <w:vAlign w:val="bottom"/>
          </w:tcPr>
          <w:p>
            <w:pPr>
              <w:pStyle w:val="TableContents"/>
              <w:spacing w:before="0" w:after="283"/>
              <w:jc w:val="right"/>
              <w:rPr/>
            </w:pPr>
            <w:r>
              <w:rPr/>
              <w:t>1.10</w:t>
            </w:r>
          </w:p>
        </w:tc>
        <w:tc>
          <w:tcPr>
            <w:tcW w:w="225"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pPr>
            <w:r>
              <w:rPr/>
              <w:t>$</w:t>
            </w:r>
          </w:p>
        </w:tc>
        <w:tc>
          <w:tcPr>
            <w:tcW w:w="1087" w:type="dxa"/>
            <w:tcBorders/>
            <w:shd w:fill="CCEEFF" w:val="clear"/>
            <w:vAlign w:val="bottom"/>
          </w:tcPr>
          <w:p>
            <w:pPr>
              <w:pStyle w:val="TableContents"/>
              <w:spacing w:before="0" w:after="283"/>
              <w:jc w:val="right"/>
              <w:rPr/>
            </w:pPr>
            <w:r>
              <w:rPr/>
              <w:t>0.98</w:t>
            </w:r>
          </w:p>
        </w:tc>
        <w:tc>
          <w:tcPr>
            <w:tcW w:w="238" w:type="dxa"/>
            <w:tcBorders/>
            <w:shd w:fill="CCEEFF"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058" w:type="dxa"/>
            <w:tcBorders/>
            <w:shd w:fill="auto" w:val="clear"/>
            <w:vAlign w:val="bottom"/>
          </w:tcPr>
          <w:p>
            <w:pPr>
              <w:pStyle w:val="TableContents"/>
              <w:spacing w:before="0" w:after="0"/>
              <w:ind w:left="225" w:right="0" w:hanging="225"/>
              <w:rPr/>
            </w:pPr>
            <w:r>
              <w:rPr/>
              <w:t>Diluted earnings per share</w:t>
            </w:r>
          </w:p>
        </w:tc>
        <w:tc>
          <w:tcPr>
            <w:tcW w:w="28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b/>
              </w:rPr>
            </w:pPr>
            <w:r>
              <w:rPr>
                <w:b/>
              </w:rPr>
              <w:t>$</w:t>
            </w:r>
          </w:p>
        </w:tc>
        <w:tc>
          <w:tcPr>
            <w:tcW w:w="1271" w:type="dxa"/>
            <w:tcBorders/>
            <w:shd w:fill="auto" w:val="clear"/>
            <w:vAlign w:val="bottom"/>
          </w:tcPr>
          <w:p>
            <w:pPr>
              <w:pStyle w:val="TableContents"/>
              <w:spacing w:before="0" w:after="283"/>
              <w:jc w:val="right"/>
              <w:rPr>
                <w:b/>
              </w:rPr>
            </w:pPr>
            <w:r>
              <w:rPr>
                <w:b/>
              </w:rPr>
              <w:t>1.29</w:t>
            </w:r>
          </w:p>
        </w:tc>
        <w:tc>
          <w:tcPr>
            <w:tcW w:w="2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w:t>
            </w:r>
          </w:p>
        </w:tc>
        <w:tc>
          <w:tcPr>
            <w:tcW w:w="1087" w:type="dxa"/>
            <w:tcBorders/>
            <w:shd w:fill="auto" w:val="clear"/>
            <w:vAlign w:val="bottom"/>
          </w:tcPr>
          <w:p>
            <w:pPr>
              <w:pStyle w:val="TableContents"/>
              <w:spacing w:before="0" w:after="283"/>
              <w:jc w:val="right"/>
              <w:rPr/>
            </w:pPr>
            <w:r>
              <w:rPr/>
              <w:t>1.09</w:t>
            </w:r>
          </w:p>
        </w:tc>
        <w:tc>
          <w:tcPr>
            <w:tcW w:w="22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w:t>
            </w:r>
          </w:p>
        </w:tc>
        <w:tc>
          <w:tcPr>
            <w:tcW w:w="1087" w:type="dxa"/>
            <w:tcBorders/>
            <w:shd w:fill="auto" w:val="clear"/>
            <w:vAlign w:val="bottom"/>
          </w:tcPr>
          <w:p>
            <w:pPr>
              <w:pStyle w:val="TableContents"/>
              <w:spacing w:before="0" w:after="283"/>
              <w:jc w:val="right"/>
              <w:rPr/>
            </w:pPr>
            <w:r>
              <w:rPr/>
              <w:t>0.97</w:t>
            </w:r>
          </w:p>
        </w:tc>
        <w:tc>
          <w:tcPr>
            <w:tcW w:w="238" w:type="dxa"/>
            <w:tcBorders/>
            <w:shd w:fill="auto" w:val="clear"/>
            <w:vAlign w:val="bottom"/>
          </w:tcPr>
          <w:p>
            <w:pPr>
              <w:pStyle w:val="TableContents"/>
              <w:spacing w:before="0" w:after="283"/>
              <w:rPr/>
            </w:pPr>
            <w:r>
              <w:rPr/>
              <w:t> </w:t>
            </w:r>
          </w:p>
        </w:tc>
      </w:tr>
      <w:tr>
        <w:trPr/>
        <w:tc>
          <w:tcPr>
            <w:tcW w:w="4058"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5865"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See accompanying notes to consolidated financial statements. </w:t>
      </w:r>
    </w:p>
    <w:p>
      <w:pPr>
        <w:pStyle w:val="TextBody"/>
        <w:jc w:val="center"/>
        <w:rPr>
          <w:rFonts w:ascii="Arial;Helvetica;sans-serif" w:hAnsi="Arial;Helvetica;sans-serif"/>
          <w:sz w:val="17"/>
        </w:rPr>
      </w:pPr>
      <w:r>
        <w:rPr>
          <w:rFonts w:ascii="Arial;Helvetica;sans-serif" w:hAnsi="Arial;Helvetica;sans-serif"/>
          <w:sz w:val="17"/>
        </w:rPr>
        <w:t xml:space="preserve">49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0" w:after="0"/>
        <w:jc w:val="left"/>
        <w:rPr>
          <w:rFonts w:ascii="Arial;Helvetica;sans-serif" w:hAnsi="Arial;Helvetica;sans-serif"/>
          <w:b/>
          <w:sz w:val="17"/>
        </w:rPr>
      </w:pPr>
      <w:bookmarkStart w:id="33" w:name="304"/>
      <w:bookmarkEnd w:id="33"/>
      <w:r>
        <w:rPr>
          <w:rFonts w:ascii="Arial;Helvetica;sans-serif" w:hAnsi="Arial;Helvetica;sans-serif"/>
          <w:b/>
          <w:sz w:val="17"/>
        </w:rPr>
        <w:t>CONSOLIDATED STATEMENTS OF STOCKHOLDERS EQUITY</w:t>
      </w:r>
    </w:p>
    <w:p>
      <w:pPr>
        <w:pStyle w:val="TextBody"/>
        <w:spacing w:before="0" w:after="0"/>
        <w:jc w:val="left"/>
        <w:rPr>
          <w:rFonts w:ascii="Arial;Helvetica;sans-serif" w:hAnsi="Arial;Helvetica;sans-serif"/>
          <w:b/>
          <w:sz w:val="17"/>
        </w:rPr>
      </w:pPr>
      <w:r>
        <w:rPr>
          <w:rFonts w:ascii="Arial;Helvetica;sans-serif" w:hAnsi="Arial;Helvetica;sans-serif"/>
          <w:b/>
          <w:sz w:val="17"/>
        </w:rPr>
        <w:t>Years Ended December 31, 2005, 2004 and 2003</w:t>
      </w:r>
    </w:p>
    <w:tbl>
      <w:tblPr>
        <w:tblW w:w="10480" w:type="dxa"/>
        <w:jc w:val="center"/>
        <w:tblInd w:w="0" w:type="dxa"/>
        <w:tblCellMar>
          <w:top w:w="0" w:type="dxa"/>
          <w:left w:w="0" w:type="dxa"/>
          <w:bottom w:w="0" w:type="dxa"/>
          <w:right w:w="0" w:type="dxa"/>
        </w:tblCellMar>
      </w:tblPr>
      <w:tblGrid>
        <w:gridCol w:w="1280"/>
        <w:gridCol w:w="60"/>
        <w:gridCol w:w="166"/>
        <w:gridCol w:w="666"/>
        <w:gridCol w:w="73"/>
        <w:gridCol w:w="60"/>
        <w:gridCol w:w="140"/>
        <w:gridCol w:w="680"/>
        <w:gridCol w:w="95"/>
        <w:gridCol w:w="60"/>
        <w:gridCol w:w="140"/>
        <w:gridCol w:w="800"/>
        <w:gridCol w:w="95"/>
        <w:gridCol w:w="60"/>
        <w:gridCol w:w="229"/>
        <w:gridCol w:w="1118"/>
        <w:gridCol w:w="158"/>
        <w:gridCol w:w="60"/>
        <w:gridCol w:w="140"/>
        <w:gridCol w:w="755"/>
        <w:gridCol w:w="95"/>
        <w:gridCol w:w="60"/>
        <w:gridCol w:w="152"/>
        <w:gridCol w:w="693"/>
        <w:gridCol w:w="105"/>
        <w:gridCol w:w="60"/>
        <w:gridCol w:w="339"/>
        <w:gridCol w:w="813"/>
        <w:gridCol w:w="233"/>
        <w:gridCol w:w="60"/>
        <w:gridCol w:w="140"/>
        <w:gridCol w:w="800"/>
        <w:gridCol w:w="95"/>
      </w:tblGrid>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0480" w:type="dxa"/>
            <w:gridSpan w:val="33"/>
            <w:tcBorders>
              <w:bottom w:val="single" w:sz="2" w:space="0" w:color="000000"/>
            </w:tcBorders>
            <w:shd w:fill="auto" w:val="clear"/>
            <w:tcMar>
              <w:bottom w:w="28" w:type="dxa"/>
            </w:tcMar>
            <w:vAlign w:val="bottom"/>
          </w:tcPr>
          <w:p>
            <w:pPr>
              <w:pStyle w:val="TableContents"/>
              <w:spacing w:before="0" w:after="283"/>
              <w:jc w:val="center"/>
              <w:rPr/>
            </w:pPr>
            <w:r>
              <w:rPr/>
              <w:t>(Dollars in thousands)</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Deferred</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 </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3"/>
            <w:tcBorders/>
            <w:shd w:fill="auto" w:val="clear"/>
            <w:vAlign w:val="bottom"/>
          </w:tcPr>
          <w:p>
            <w:pPr>
              <w:pStyle w:val="TableContents"/>
              <w:spacing w:before="0" w:after="283"/>
              <w:jc w:val="center"/>
              <w:rPr/>
            </w:pPr>
            <w:r>
              <w:rPr/>
              <w:t>Accumulated</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Compensation</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 </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3"/>
            <w:tcBorders/>
            <w:shd w:fill="auto" w:val="clear"/>
            <w:vAlign w:val="bottom"/>
          </w:tcPr>
          <w:p>
            <w:pPr>
              <w:pStyle w:val="TableContents"/>
              <w:spacing w:before="0" w:after="283"/>
              <w:jc w:val="center"/>
              <w:rPr/>
            </w:pPr>
            <w:r>
              <w:rPr/>
              <w:t>Other</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3"/>
            <w:tcBorders/>
            <w:shd w:fill="auto" w:val="clear"/>
            <w:vAlign w:val="bottom"/>
          </w:tcPr>
          <w:p>
            <w:pPr>
              <w:pStyle w:val="TableContents"/>
              <w:spacing w:before="0" w:after="283"/>
              <w:jc w:val="center"/>
              <w:rPr/>
            </w:pPr>
            <w:r>
              <w:rPr/>
              <w:t>Unearned</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for Restricted</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 </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gridSpan w:val="3"/>
            <w:tcBorders/>
            <w:shd w:fill="auto" w:val="clear"/>
            <w:vAlign w:val="bottom"/>
          </w:tcPr>
          <w:p>
            <w:pPr>
              <w:pStyle w:val="TableContents"/>
              <w:spacing w:before="0" w:after="283"/>
              <w:jc w:val="center"/>
              <w:rPr/>
            </w:pPr>
            <w:r>
              <w:rPr/>
              <w:t>Common</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Retained</w:t>
            </w:r>
          </w:p>
        </w:tc>
        <w:tc>
          <w:tcPr>
            <w:tcW w:w="60" w:type="dxa"/>
            <w:tcBorders/>
            <w:shd w:fill="auto" w:val="clear"/>
            <w:vAlign w:val="bottom"/>
          </w:tcPr>
          <w:p>
            <w:pPr>
              <w:pStyle w:val="TableContents"/>
              <w:spacing w:before="0" w:after="283"/>
              <w:rPr/>
            </w:pPr>
            <w:r>
              <w:rPr/>
              <w:t> </w:t>
            </w:r>
          </w:p>
        </w:tc>
        <w:tc>
          <w:tcPr>
            <w:tcW w:w="1505" w:type="dxa"/>
            <w:gridSpan w:val="3"/>
            <w:tcBorders/>
            <w:shd w:fill="auto" w:val="clear"/>
            <w:vAlign w:val="bottom"/>
          </w:tcPr>
          <w:p>
            <w:pPr>
              <w:pStyle w:val="TableContents"/>
              <w:spacing w:before="0" w:after="283"/>
              <w:jc w:val="center"/>
              <w:rPr/>
            </w:pPr>
            <w:r>
              <w:rPr/>
              <w:t>Comprehensive</w:t>
            </w:r>
          </w:p>
        </w:tc>
        <w:tc>
          <w:tcPr>
            <w:tcW w:w="60" w:type="dxa"/>
            <w:tcBorders/>
            <w:shd w:fill="auto" w:val="clear"/>
            <w:vAlign w:val="bottom"/>
          </w:tcPr>
          <w:p>
            <w:pPr>
              <w:pStyle w:val="TableContents"/>
              <w:spacing w:before="0" w:after="283"/>
              <w:rPr/>
            </w:pPr>
            <w:r>
              <w:rPr/>
              <w:t> </w:t>
            </w:r>
          </w:p>
        </w:tc>
        <w:tc>
          <w:tcPr>
            <w:tcW w:w="990" w:type="dxa"/>
            <w:gridSpan w:val="3"/>
            <w:tcBorders/>
            <w:shd w:fill="auto" w:val="clear"/>
            <w:vAlign w:val="bottom"/>
          </w:tcPr>
          <w:p>
            <w:pPr>
              <w:pStyle w:val="TableContents"/>
              <w:spacing w:before="0" w:after="283"/>
              <w:jc w:val="center"/>
              <w:rPr/>
            </w:pPr>
            <w:r>
              <w:rPr/>
              <w:t>Treasury</w:t>
            </w:r>
          </w:p>
        </w:tc>
        <w:tc>
          <w:tcPr>
            <w:tcW w:w="60" w:type="dxa"/>
            <w:tcBorders/>
            <w:shd w:fill="auto" w:val="clear"/>
            <w:vAlign w:val="bottom"/>
          </w:tcPr>
          <w:p>
            <w:pPr>
              <w:pStyle w:val="TableContents"/>
              <w:spacing w:before="0" w:after="283"/>
              <w:rPr/>
            </w:pPr>
            <w:r>
              <w:rPr/>
              <w:t> </w:t>
            </w:r>
          </w:p>
        </w:tc>
        <w:tc>
          <w:tcPr>
            <w:tcW w:w="950" w:type="dxa"/>
            <w:gridSpan w:val="3"/>
            <w:tcBorders/>
            <w:shd w:fill="auto" w:val="clear"/>
            <w:vAlign w:val="bottom"/>
          </w:tcPr>
          <w:p>
            <w:pPr>
              <w:pStyle w:val="TableContents"/>
              <w:spacing w:before="0" w:after="283"/>
              <w:jc w:val="center"/>
              <w:rPr/>
            </w:pPr>
            <w:r>
              <w:rPr/>
              <w:t>ESOP</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Stock</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 </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gridSpan w:val="3"/>
            <w:tcBorders/>
            <w:shd w:fill="auto" w:val="clear"/>
            <w:vAlign w:val="bottom"/>
          </w:tcPr>
          <w:p>
            <w:pPr>
              <w:pStyle w:val="TableContents"/>
              <w:spacing w:before="0" w:after="283"/>
              <w:jc w:val="center"/>
              <w:rPr/>
            </w:pPr>
            <w:r>
              <w:rPr/>
              <w:t>Stock</w:t>
            </w:r>
          </w:p>
        </w:tc>
        <w:tc>
          <w:tcPr>
            <w:tcW w:w="60" w:type="dxa"/>
            <w:tcBorders/>
            <w:shd w:fill="auto" w:val="clear"/>
            <w:vAlign w:val="bottom"/>
          </w:tcPr>
          <w:p>
            <w:pPr>
              <w:pStyle w:val="TableContents"/>
              <w:spacing w:before="0" w:after="283"/>
              <w:rPr/>
            </w:pPr>
            <w:r>
              <w:rPr/>
              <w:t> </w:t>
            </w:r>
          </w:p>
        </w:tc>
        <w:tc>
          <w:tcPr>
            <w:tcW w:w="915" w:type="dxa"/>
            <w:gridSpan w:val="3"/>
            <w:tcBorders/>
            <w:shd w:fill="auto" w:val="clear"/>
            <w:vAlign w:val="bottom"/>
          </w:tcPr>
          <w:p>
            <w:pPr>
              <w:pStyle w:val="TableContents"/>
              <w:spacing w:before="0" w:after="283"/>
              <w:jc w:val="center"/>
              <w:rPr/>
            </w:pPr>
            <w:r>
              <w:rPr/>
              <w:t>Surplus</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Earnings</w:t>
            </w:r>
          </w:p>
        </w:tc>
        <w:tc>
          <w:tcPr>
            <w:tcW w:w="60" w:type="dxa"/>
            <w:tcBorders/>
            <w:shd w:fill="auto" w:val="clear"/>
            <w:vAlign w:val="bottom"/>
          </w:tcPr>
          <w:p>
            <w:pPr>
              <w:pStyle w:val="TableContents"/>
              <w:spacing w:before="0" w:after="283"/>
              <w:rPr/>
            </w:pPr>
            <w:r>
              <w:rPr/>
              <w:t> </w:t>
            </w:r>
          </w:p>
        </w:tc>
        <w:tc>
          <w:tcPr>
            <w:tcW w:w="1505" w:type="dxa"/>
            <w:gridSpan w:val="3"/>
            <w:tcBorders/>
            <w:shd w:fill="auto" w:val="clear"/>
            <w:vAlign w:val="bottom"/>
          </w:tcPr>
          <w:p>
            <w:pPr>
              <w:pStyle w:val="TableContents"/>
              <w:spacing w:before="0" w:after="283"/>
              <w:jc w:val="center"/>
              <w:rPr/>
            </w:pPr>
            <w:r>
              <w:rPr/>
              <w:t>Income (loss)</w:t>
            </w:r>
          </w:p>
        </w:tc>
        <w:tc>
          <w:tcPr>
            <w:tcW w:w="60" w:type="dxa"/>
            <w:tcBorders/>
            <w:shd w:fill="auto" w:val="clear"/>
            <w:vAlign w:val="bottom"/>
          </w:tcPr>
          <w:p>
            <w:pPr>
              <w:pStyle w:val="TableContents"/>
              <w:spacing w:before="0" w:after="283"/>
              <w:rPr/>
            </w:pPr>
            <w:r>
              <w:rPr/>
              <w:t> </w:t>
            </w:r>
          </w:p>
        </w:tc>
        <w:tc>
          <w:tcPr>
            <w:tcW w:w="990" w:type="dxa"/>
            <w:gridSpan w:val="3"/>
            <w:tcBorders/>
            <w:shd w:fill="auto" w:val="clear"/>
            <w:vAlign w:val="bottom"/>
          </w:tcPr>
          <w:p>
            <w:pPr>
              <w:pStyle w:val="TableContents"/>
              <w:spacing w:before="0" w:after="283"/>
              <w:jc w:val="center"/>
              <w:rPr/>
            </w:pPr>
            <w:r>
              <w:rPr/>
              <w:t>Stock</w:t>
            </w:r>
          </w:p>
        </w:tc>
        <w:tc>
          <w:tcPr>
            <w:tcW w:w="60" w:type="dxa"/>
            <w:tcBorders/>
            <w:shd w:fill="auto" w:val="clear"/>
            <w:vAlign w:val="bottom"/>
          </w:tcPr>
          <w:p>
            <w:pPr>
              <w:pStyle w:val="TableContents"/>
              <w:spacing w:before="0" w:after="283"/>
              <w:rPr/>
            </w:pPr>
            <w:r>
              <w:rPr/>
              <w:t> </w:t>
            </w:r>
          </w:p>
        </w:tc>
        <w:tc>
          <w:tcPr>
            <w:tcW w:w="950" w:type="dxa"/>
            <w:gridSpan w:val="3"/>
            <w:tcBorders/>
            <w:shd w:fill="auto" w:val="clear"/>
            <w:vAlign w:val="bottom"/>
          </w:tcPr>
          <w:p>
            <w:pPr>
              <w:pStyle w:val="TableContents"/>
              <w:spacing w:before="0" w:after="283"/>
              <w:jc w:val="center"/>
              <w:rPr/>
            </w:pPr>
            <w:r>
              <w:rPr/>
              <w:t>Shares</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Awards</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Total</w:t>
            </w:r>
          </w:p>
        </w:tc>
      </w:tr>
      <w:tr>
        <w:trPr/>
        <w:tc>
          <w:tcPr>
            <w:tcW w:w="12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40" w:type="dxa"/>
            <w:gridSpan w:val="3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280" w:type="dxa"/>
            <w:tcBorders/>
            <w:shd w:fill="auto" w:val="clear"/>
            <w:vAlign w:val="center"/>
          </w:tcPr>
          <w:p>
            <w:pPr>
              <w:pStyle w:val="TableContents"/>
              <w:spacing w:before="0" w:after="283"/>
              <w:rPr/>
            </w:pPr>
            <w:r>
              <w:rPr/>
              <w:t> </w:t>
            </w:r>
          </w:p>
        </w:tc>
        <w:tc>
          <w:tcPr>
            <w:tcW w:w="9200" w:type="dxa"/>
            <w:gridSpan w:val="32"/>
            <w:tcBorders/>
            <w:shd w:fill="auto" w:val="clear"/>
          </w:tcPr>
          <w:p>
            <w:pPr>
              <w:pStyle w:val="TableContents"/>
              <w:spacing w:before="0" w:after="283"/>
              <w:rPr>
                <w:sz w:val="4"/>
                <w:szCs w:val="4"/>
              </w:rPr>
            </w:pPr>
            <w:r>
              <w:rPr>
                <w:sz w:val="4"/>
                <w:szCs w:val="4"/>
              </w:rPr>
            </w:r>
          </w:p>
        </w:tc>
      </w:tr>
      <w:tr>
        <w:trPr/>
        <w:tc>
          <w:tcPr>
            <w:tcW w:w="1280" w:type="dxa"/>
            <w:tcBorders/>
            <w:shd w:fill="CCEEFF" w:val="clear"/>
            <w:vAlign w:val="bottom"/>
          </w:tcPr>
          <w:p>
            <w:pPr>
              <w:pStyle w:val="TableContents"/>
              <w:spacing w:before="0" w:after="0"/>
              <w:ind w:left="225" w:right="0" w:hanging="225"/>
              <w:rPr/>
            </w:pPr>
            <w:r>
              <w:rPr/>
              <w:t>Balance, December 31, 2002</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right"/>
              <w:rPr/>
            </w:pPr>
            <w:r>
              <w:rPr/>
              <w:t>$</w:t>
            </w:r>
          </w:p>
        </w:tc>
        <w:tc>
          <w:tcPr>
            <w:tcW w:w="666" w:type="dxa"/>
            <w:tcBorders/>
            <w:shd w:fill="CCEEFF" w:val="clear"/>
            <w:vAlign w:val="bottom"/>
          </w:tcPr>
          <w:p>
            <w:pPr>
              <w:pStyle w:val="TableContents"/>
              <w:spacing w:before="0" w:after="283"/>
              <w:jc w:val="right"/>
              <w:rPr/>
            </w:pPr>
            <w:r>
              <w:rPr/>
              <w:t>6,291</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680" w:type="dxa"/>
            <w:tcBorders/>
            <w:shd w:fill="CCEEFF" w:val="clear"/>
            <w:vAlign w:val="bottom"/>
          </w:tcPr>
          <w:p>
            <w:pPr>
              <w:pStyle w:val="TableContents"/>
              <w:spacing w:before="0" w:after="283"/>
              <w:jc w:val="right"/>
              <w:rPr/>
            </w:pPr>
            <w:r>
              <w:rPr/>
              <w:t>20,862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800" w:type="dxa"/>
            <w:tcBorders/>
            <w:shd w:fill="CCEEFF" w:val="clear"/>
            <w:vAlign w:val="bottom"/>
          </w:tcPr>
          <w:p>
            <w:pPr>
              <w:pStyle w:val="TableContents"/>
              <w:spacing w:before="0" w:after="283"/>
              <w:jc w:val="right"/>
              <w:rPr/>
            </w:pPr>
            <w:r>
              <w:rPr/>
              <w:t>91,639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right"/>
              <w:rPr/>
            </w:pPr>
            <w:r>
              <w:rPr/>
              <w:t>$</w:t>
            </w:r>
          </w:p>
        </w:tc>
        <w:tc>
          <w:tcPr>
            <w:tcW w:w="1118" w:type="dxa"/>
            <w:tcBorders/>
            <w:shd w:fill="CCEEFF" w:val="clear"/>
            <w:vAlign w:val="bottom"/>
          </w:tcPr>
          <w:p>
            <w:pPr>
              <w:pStyle w:val="TableContents"/>
              <w:spacing w:before="0" w:after="283"/>
              <w:jc w:val="right"/>
              <w:rPr/>
            </w:pPr>
            <w:r>
              <w:rPr/>
              <w:t>10,276</w:t>
            </w:r>
          </w:p>
        </w:tc>
        <w:tc>
          <w:tcPr>
            <w:tcW w:w="1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755" w:type="dxa"/>
            <w:tcBorders/>
            <w:shd w:fill="CCEEFF" w:val="clear"/>
            <w:vAlign w:val="bottom"/>
          </w:tcPr>
          <w:p>
            <w:pPr>
              <w:pStyle w:val="TableContents"/>
              <w:spacing w:before="0" w:after="283"/>
              <w:jc w:val="right"/>
              <w:rPr/>
            </w:pPr>
            <w:r>
              <w:rPr/>
              <w:t>(12,050</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(1,759</w:t>
            </w:r>
          </w:p>
        </w:tc>
        <w:tc>
          <w:tcPr>
            <w:tcW w:w="10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jc w:val="right"/>
              <w:rPr/>
            </w:pPr>
            <w:r>
              <w:rPr/>
              <w:t>$</w:t>
            </w:r>
          </w:p>
        </w:tc>
        <w:tc>
          <w:tcPr>
            <w:tcW w:w="813" w:type="dxa"/>
            <w:tcBorders/>
            <w:shd w:fill="CCEEFF" w:val="clear"/>
            <w:vAlign w:val="bottom"/>
          </w:tcPr>
          <w:p>
            <w:pPr>
              <w:pStyle w:val="TableContents"/>
              <w:spacing w:before="0" w:after="283"/>
              <w:jc w:val="right"/>
              <w:rPr/>
            </w:pPr>
            <w:r>
              <w:rPr/>
              <w:t>(96</w:t>
            </w:r>
          </w:p>
        </w:tc>
        <w:tc>
          <w:tcPr>
            <w:tcW w:w="233"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800" w:type="dxa"/>
            <w:tcBorders/>
            <w:shd w:fill="CCEEFF" w:val="clear"/>
            <w:vAlign w:val="bottom"/>
          </w:tcPr>
          <w:p>
            <w:pPr>
              <w:pStyle w:val="TableContents"/>
              <w:spacing w:before="0" w:after="283"/>
              <w:jc w:val="right"/>
              <w:rPr/>
            </w:pPr>
            <w:r>
              <w:rPr/>
              <w:t>115,163</w:t>
            </w:r>
          </w:p>
        </w:tc>
        <w:tc>
          <w:tcPr>
            <w:tcW w:w="95" w:type="dxa"/>
            <w:tcBorders/>
            <w:shd w:fill="CCEEFF" w:val="clear"/>
            <w:vAlign w:val="bottom"/>
          </w:tcPr>
          <w:p>
            <w:pPr>
              <w:pStyle w:val="TableContents"/>
              <w:spacing w:before="0" w:after="283"/>
              <w:rPr/>
            </w:pPr>
            <w:r>
              <w:rPr/>
              <w:t> </w:t>
            </w:r>
          </w:p>
        </w:tc>
      </w:tr>
      <w:tr>
        <w:trPr/>
        <w:tc>
          <w:tcPr>
            <w:tcW w:w="1280" w:type="dxa"/>
            <w:tcBorders/>
            <w:shd w:fill="auto" w:val="clear"/>
            <w:vAlign w:val="center"/>
          </w:tcPr>
          <w:p>
            <w:pPr>
              <w:pStyle w:val="TableContents"/>
              <w:spacing w:before="0" w:after="283"/>
              <w:rPr/>
            </w:pPr>
            <w:r>
              <w:rPr/>
              <w:t> </w:t>
            </w:r>
          </w:p>
        </w:tc>
        <w:tc>
          <w:tcPr>
            <w:tcW w:w="9200" w:type="dxa"/>
            <w:gridSpan w:val="32"/>
            <w:tcBorders/>
            <w:shd w:fill="auto" w:val="clear"/>
          </w:tcPr>
          <w:p>
            <w:pPr>
              <w:pStyle w:val="TableContents"/>
              <w:spacing w:before="0" w:after="283"/>
              <w:rPr>
                <w:sz w:val="4"/>
                <w:szCs w:val="4"/>
              </w:rPr>
            </w:pPr>
            <w:r>
              <w:rPr>
                <w:sz w:val="4"/>
                <w:szCs w:val="4"/>
              </w:rPr>
            </w:r>
          </w:p>
        </w:tc>
      </w:tr>
      <w:tr>
        <w:trPr/>
        <w:tc>
          <w:tcPr>
            <w:tcW w:w="1280" w:type="dxa"/>
            <w:tcBorders/>
            <w:shd w:fill="auto" w:val="clear"/>
            <w:vAlign w:val="bottom"/>
          </w:tcPr>
          <w:p>
            <w:pPr>
              <w:pStyle w:val="TableContents"/>
              <w:spacing w:before="0" w:after="0"/>
              <w:ind w:left="225" w:right="0" w:hanging="225"/>
              <w:rPr/>
            </w:pPr>
            <w:r>
              <w:rPr/>
              <w:t>Comprehensive income:</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450" w:right="0" w:hanging="225"/>
              <w:rPr/>
            </w:pPr>
            <w:r>
              <w:rPr/>
              <w:t>Net income</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19,864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pPr>
            <w:r>
              <w:rPr/>
              <w:t></w:t>
            </w:r>
          </w:p>
        </w:tc>
        <w:tc>
          <w:tcPr>
            <w:tcW w:w="1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19,864</w:t>
            </w:r>
          </w:p>
        </w:tc>
        <w:tc>
          <w:tcPr>
            <w:tcW w:w="95" w:type="dxa"/>
            <w:tcBorders/>
            <w:shd w:fill="CCEEFF"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450" w:right="0" w:hanging="225"/>
              <w:rPr/>
            </w:pPr>
            <w:r>
              <w:rPr/>
              <w:t>Other comprehensive income, net of tax:</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675" w:right="0" w:hanging="225"/>
              <w:rPr/>
            </w:pPr>
            <w:r>
              <w:rPr/>
              <w:t>Unrealized losses on securities available for sale arising during period, net of tax benefit of ($306)</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pPr>
            <w:r>
              <w:rPr/>
              <w:t></w:t>
            </w:r>
          </w:p>
        </w:tc>
        <w:tc>
          <w:tcPr>
            <w:tcW w:w="1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(497</w:t>
            </w:r>
          </w:p>
        </w:tc>
        <w:tc>
          <w:tcPr>
            <w:tcW w:w="95" w:type="dxa"/>
            <w:tcBorders/>
            <w:shd w:fill="CCEEFF" w:val="clear"/>
            <w:vAlign w:val="bottom"/>
          </w:tcPr>
          <w:p>
            <w:pPr>
              <w:pStyle w:val="TableContents"/>
              <w:spacing w:before="0" w:after="283"/>
              <w:rPr/>
            </w:pPr>
            <w:r>
              <w:rPr/>
              <w:t>)</w:t>
            </w:r>
          </w:p>
        </w:tc>
      </w:tr>
      <w:tr>
        <w:trPr/>
        <w:tc>
          <w:tcPr>
            <w:tcW w:w="1280" w:type="dxa"/>
            <w:tcBorders/>
            <w:shd w:fill="auto" w:val="clear"/>
            <w:vAlign w:val="bottom"/>
          </w:tcPr>
          <w:p>
            <w:pPr>
              <w:pStyle w:val="TableContents"/>
              <w:spacing w:before="0" w:after="0"/>
              <w:ind w:left="675" w:right="0" w:hanging="225"/>
              <w:rPr/>
            </w:pPr>
            <w:r>
              <w:rPr/>
              <w:t>Reclassification adjustment, net of taxes of ($387)</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w:t>
            </w:r>
          </w:p>
        </w:tc>
        <w:tc>
          <w:tcPr>
            <w:tcW w:w="1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 </w:t>
            </w:r>
          </w:p>
        </w:tc>
        <w:tc>
          <w:tcPr>
            <w:tcW w:w="800" w:type="dxa"/>
            <w:tcBorders/>
            <w:shd w:fill="auto" w:val="clear"/>
            <w:vAlign w:val="bottom"/>
          </w:tcPr>
          <w:p>
            <w:pPr>
              <w:pStyle w:val="TableContents"/>
              <w:spacing w:before="0" w:after="283"/>
              <w:jc w:val="right"/>
              <w:rPr/>
            </w:pPr>
            <w:r>
              <w:rPr/>
              <w:t>(588</w:t>
            </w:r>
          </w:p>
        </w:tc>
        <w:tc>
          <w:tcPr>
            <w:tcW w:w="95" w:type="dxa"/>
            <w:tcBorders/>
            <w:shd w:fill="auto" w:val="clear"/>
            <w:vAlign w:val="bottom"/>
          </w:tcPr>
          <w:p>
            <w:pPr>
              <w:pStyle w:val="TableContents"/>
              <w:spacing w:before="0" w:after="283"/>
              <w:rPr/>
            </w:pPr>
            <w:r>
              <w:rPr/>
              <w:t>)</w:t>
            </w:r>
          </w:p>
        </w:tc>
      </w:tr>
      <w:tr>
        <w:trPr/>
        <w:tc>
          <w:tcPr>
            <w:tcW w:w="128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1118"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693"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813"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450" w:right="0" w:hanging="225"/>
              <w:rPr/>
            </w:pPr>
            <w:r>
              <w:rPr/>
              <w:t>Other comprehensive income, net of tax of ($693)</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right"/>
              <w:rPr/>
            </w:pPr>
            <w:r>
              <w:rPr/>
              <w:t> </w:t>
            </w:r>
          </w:p>
        </w:tc>
        <w:tc>
          <w:tcPr>
            <w:tcW w:w="1118" w:type="dxa"/>
            <w:tcBorders/>
            <w:shd w:fill="CCEEFF" w:val="clear"/>
            <w:vAlign w:val="bottom"/>
          </w:tcPr>
          <w:p>
            <w:pPr>
              <w:pStyle w:val="TableContents"/>
              <w:spacing w:before="0" w:after="283"/>
              <w:jc w:val="right"/>
              <w:rPr/>
            </w:pPr>
            <w:r>
              <w:rPr/>
              <w:t>(1,085</w:t>
            </w:r>
          </w:p>
        </w:tc>
        <w:tc>
          <w:tcPr>
            <w:tcW w:w="158"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(1,085</w:t>
            </w:r>
          </w:p>
        </w:tc>
        <w:tc>
          <w:tcPr>
            <w:tcW w:w="95" w:type="dxa"/>
            <w:tcBorders/>
            <w:shd w:fill="CCEEFF" w:val="clear"/>
            <w:vAlign w:val="bottom"/>
          </w:tcPr>
          <w:p>
            <w:pPr>
              <w:pStyle w:val="TableContents"/>
              <w:spacing w:before="0" w:after="283"/>
              <w:rPr/>
            </w:pPr>
            <w:r>
              <w:rPr/>
              <w:t>)</w:t>
            </w:r>
          </w:p>
        </w:tc>
      </w:tr>
      <w:tr>
        <w:trPr/>
        <w:tc>
          <w:tcPr>
            <w:tcW w:w="128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1118"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693"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813"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Comprehensive income</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w:t>
            </w:r>
          </w:p>
        </w:tc>
        <w:tc>
          <w:tcPr>
            <w:tcW w:w="1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18,779</w:t>
            </w:r>
          </w:p>
        </w:tc>
        <w:tc>
          <w:tcPr>
            <w:tcW w:w="95" w:type="dxa"/>
            <w:tcBorders/>
            <w:shd w:fill="auto" w:val="clear"/>
            <w:vAlign w:val="bottom"/>
          </w:tcPr>
          <w:p>
            <w:pPr>
              <w:pStyle w:val="TableContents"/>
              <w:spacing w:before="0" w:after="283"/>
              <w:rPr/>
            </w:pPr>
            <w:r>
              <w:rPr/>
              <w:t> </w:t>
            </w:r>
          </w:p>
        </w:tc>
      </w:tr>
      <w:tr>
        <w:trPr/>
        <w:tc>
          <w:tcPr>
            <w:tcW w:w="128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1118"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693"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813"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225" w:right="0" w:hanging="225"/>
              <w:rPr/>
            </w:pPr>
            <w:r>
              <w:rPr/>
              <w:t>Purchase of 235,200 shares for the treasury</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pPr>
            <w:r>
              <w:rPr/>
              <w:t></w:t>
            </w:r>
          </w:p>
        </w:tc>
        <w:tc>
          <w:tcPr>
            <w:tcW w:w="1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755" w:type="dxa"/>
            <w:tcBorders/>
            <w:shd w:fill="CCEEFF" w:val="clear"/>
            <w:vAlign w:val="bottom"/>
          </w:tcPr>
          <w:p>
            <w:pPr>
              <w:pStyle w:val="TableContents"/>
              <w:spacing w:before="0" w:after="283"/>
              <w:jc w:val="right"/>
              <w:rPr/>
            </w:pPr>
            <w:r>
              <w:rPr/>
              <w:t>(4,079</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(4,079</w:t>
            </w:r>
          </w:p>
        </w:tc>
        <w:tc>
          <w:tcPr>
            <w:tcW w:w="95" w:type="dxa"/>
            <w:tcBorders/>
            <w:shd w:fill="CCEEFF" w:val="clear"/>
            <w:vAlign w:val="bottom"/>
          </w:tcPr>
          <w:p>
            <w:pPr>
              <w:pStyle w:val="TableContents"/>
              <w:spacing w:before="0" w:after="283"/>
              <w:rPr/>
            </w:pPr>
            <w:r>
              <w:rPr/>
              <w:t>)</w:t>
            </w:r>
          </w:p>
        </w:tc>
      </w:tr>
      <w:tr>
        <w:trPr/>
        <w:tc>
          <w:tcPr>
            <w:tcW w:w="1280" w:type="dxa"/>
            <w:tcBorders/>
            <w:shd w:fill="auto" w:val="clear"/>
            <w:vAlign w:val="bottom"/>
          </w:tcPr>
          <w:p>
            <w:pPr>
              <w:pStyle w:val="TableContents"/>
              <w:spacing w:before="0" w:after="0"/>
              <w:ind w:left="225" w:right="0" w:hanging="225"/>
              <w:rPr/>
            </w:pPr>
            <w:r>
              <w:rPr/>
              <w:t>Issuance of 265,263 shares of treasury stock for option exercise and related tax benefit</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 </w:t>
            </w:r>
          </w:p>
        </w:tc>
        <w:tc>
          <w:tcPr>
            <w:tcW w:w="680" w:type="dxa"/>
            <w:tcBorders/>
            <w:shd w:fill="auto" w:val="clear"/>
            <w:vAlign w:val="bottom"/>
          </w:tcPr>
          <w:p>
            <w:pPr>
              <w:pStyle w:val="TableContents"/>
              <w:spacing w:before="0" w:after="283"/>
              <w:jc w:val="right"/>
              <w:rPr/>
            </w:pPr>
            <w:r>
              <w:rPr/>
              <w:t>(126</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w:t>
            </w:r>
          </w:p>
        </w:tc>
        <w:tc>
          <w:tcPr>
            <w:tcW w:w="1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3,575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3,449</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225" w:right="0" w:hanging="225"/>
              <w:rPr/>
            </w:pPr>
            <w:r>
              <w:rPr/>
              <w:t>Issuance of 133,823 shares of treasury stock to benefit plans</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173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pPr>
            <w:r>
              <w:rPr/>
              <w:t></w:t>
            </w:r>
          </w:p>
        </w:tc>
        <w:tc>
          <w:tcPr>
            <w:tcW w:w="1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1,887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2,060</w:t>
            </w:r>
          </w:p>
        </w:tc>
        <w:tc>
          <w:tcPr>
            <w:tcW w:w="95" w:type="dxa"/>
            <w:tcBorders/>
            <w:shd w:fill="CCEEFF"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Cash dividends:</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450" w:right="0" w:hanging="225"/>
              <w:rPr/>
            </w:pPr>
            <w:r>
              <w:rPr/>
              <w:t>Common stock at $.45 per share</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(9,215</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pPr>
            <w:r>
              <w:rPr/>
              <w:t></w:t>
            </w:r>
          </w:p>
        </w:tc>
        <w:tc>
          <w:tcPr>
            <w:tcW w:w="1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(9,215</w:t>
            </w:r>
          </w:p>
        </w:tc>
        <w:tc>
          <w:tcPr>
            <w:tcW w:w="95" w:type="dxa"/>
            <w:tcBorders/>
            <w:shd w:fill="CCEEFF" w:val="clear"/>
            <w:vAlign w:val="bottom"/>
          </w:tcPr>
          <w:p>
            <w:pPr>
              <w:pStyle w:val="TableContents"/>
              <w:spacing w:before="0" w:after="283"/>
              <w:rPr/>
            </w:pPr>
            <w:r>
              <w:rPr/>
              <w:t>)</w:t>
            </w:r>
          </w:p>
        </w:tc>
      </w:tr>
      <w:tr>
        <w:trPr/>
        <w:tc>
          <w:tcPr>
            <w:tcW w:w="1280" w:type="dxa"/>
            <w:tcBorders/>
            <w:shd w:fill="auto" w:val="clear"/>
            <w:vAlign w:val="bottom"/>
          </w:tcPr>
          <w:p>
            <w:pPr>
              <w:pStyle w:val="TableContents"/>
              <w:spacing w:before="0" w:after="0"/>
              <w:ind w:left="225" w:right="0" w:hanging="225"/>
              <w:rPr/>
            </w:pPr>
            <w:r>
              <w:rPr/>
              <w:t>Employee stock ownership plan shares allocated</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59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w:t>
            </w:r>
          </w:p>
        </w:tc>
        <w:tc>
          <w:tcPr>
            <w:tcW w:w="1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262</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321</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225" w:right="0" w:hanging="225"/>
              <w:rPr/>
            </w:pPr>
            <w:r>
              <w:rPr/>
              <w:t>Proceeds from employee stock ownership plan debt</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pPr>
            <w:r>
              <w:rPr/>
              <w:t></w:t>
            </w:r>
          </w:p>
        </w:tc>
        <w:tc>
          <w:tcPr>
            <w:tcW w:w="1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right"/>
              <w:rPr/>
            </w:pPr>
            <w:r>
              <w:rPr/>
              <w:t> </w:t>
            </w:r>
          </w:p>
        </w:tc>
        <w:tc>
          <w:tcPr>
            <w:tcW w:w="693" w:type="dxa"/>
            <w:tcBorders/>
            <w:shd w:fill="CCEEFF" w:val="clear"/>
            <w:vAlign w:val="bottom"/>
          </w:tcPr>
          <w:p>
            <w:pPr>
              <w:pStyle w:val="TableContents"/>
              <w:spacing w:before="0" w:after="283"/>
              <w:jc w:val="right"/>
              <w:rPr/>
            </w:pPr>
            <w:r>
              <w:rPr/>
              <w:t>(1,356</w:t>
            </w:r>
          </w:p>
        </w:tc>
        <w:tc>
          <w:tcPr>
            <w:tcW w:w="10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(1,356</w:t>
            </w:r>
          </w:p>
        </w:tc>
        <w:tc>
          <w:tcPr>
            <w:tcW w:w="95" w:type="dxa"/>
            <w:tcBorders/>
            <w:shd w:fill="CCEEFF" w:val="clear"/>
            <w:vAlign w:val="bottom"/>
          </w:tcPr>
          <w:p>
            <w:pPr>
              <w:pStyle w:val="TableContents"/>
              <w:spacing w:before="0" w:after="283"/>
              <w:rPr/>
            </w:pPr>
            <w:r>
              <w:rPr/>
              <w:t>)</w:t>
            </w:r>
          </w:p>
        </w:tc>
      </w:tr>
      <w:tr>
        <w:trPr/>
        <w:tc>
          <w:tcPr>
            <w:tcW w:w="1280" w:type="dxa"/>
            <w:tcBorders/>
            <w:shd w:fill="auto" w:val="clear"/>
            <w:vAlign w:val="bottom"/>
          </w:tcPr>
          <w:p>
            <w:pPr>
              <w:pStyle w:val="TableContents"/>
              <w:spacing w:before="0" w:after="0"/>
              <w:ind w:left="225" w:right="0" w:hanging="225"/>
              <w:rPr/>
            </w:pPr>
            <w:r>
              <w:rPr/>
              <w:t>Amortization of restricted stock issued under restricted stock award plan</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w:t>
            </w:r>
          </w:p>
        </w:tc>
        <w:tc>
          <w:tcPr>
            <w:tcW w:w="1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55</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55</w:t>
            </w:r>
          </w:p>
        </w:tc>
        <w:tc>
          <w:tcPr>
            <w:tcW w:w="95" w:type="dxa"/>
            <w:tcBorders/>
            <w:shd w:fill="auto" w:val="clear"/>
            <w:vAlign w:val="bottom"/>
          </w:tcPr>
          <w:p>
            <w:pPr>
              <w:pStyle w:val="TableContents"/>
              <w:spacing w:before="0" w:after="283"/>
              <w:rPr/>
            </w:pPr>
            <w:r>
              <w:rPr/>
              <w:t> </w:t>
            </w:r>
          </w:p>
        </w:tc>
      </w:tr>
      <w:tr>
        <w:trPr/>
        <w:tc>
          <w:tcPr>
            <w:tcW w:w="10480" w:type="dxa"/>
            <w:gridSpan w:val="3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28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225" w:right="0" w:hanging="225"/>
              <w:rPr/>
            </w:pPr>
            <w:r>
              <w:rPr/>
              <w:t>Balance, December 31, 2003</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right"/>
              <w:rPr/>
            </w:pPr>
            <w:r>
              <w:rPr/>
              <w:t>$</w:t>
            </w:r>
          </w:p>
        </w:tc>
        <w:tc>
          <w:tcPr>
            <w:tcW w:w="666" w:type="dxa"/>
            <w:tcBorders/>
            <w:shd w:fill="CCEEFF" w:val="clear"/>
            <w:vAlign w:val="bottom"/>
          </w:tcPr>
          <w:p>
            <w:pPr>
              <w:pStyle w:val="TableContents"/>
              <w:spacing w:before="0" w:after="283"/>
              <w:jc w:val="right"/>
              <w:rPr/>
            </w:pPr>
            <w:r>
              <w:rPr/>
              <w:t>6,291</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680" w:type="dxa"/>
            <w:tcBorders/>
            <w:shd w:fill="CCEEFF" w:val="clear"/>
            <w:vAlign w:val="bottom"/>
          </w:tcPr>
          <w:p>
            <w:pPr>
              <w:pStyle w:val="TableContents"/>
              <w:spacing w:before="0" w:after="283"/>
              <w:jc w:val="right"/>
              <w:rPr/>
            </w:pPr>
            <w:r>
              <w:rPr/>
              <w:t>20,968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800" w:type="dxa"/>
            <w:tcBorders/>
            <w:shd w:fill="CCEEFF" w:val="clear"/>
            <w:vAlign w:val="bottom"/>
          </w:tcPr>
          <w:p>
            <w:pPr>
              <w:pStyle w:val="TableContents"/>
              <w:spacing w:before="0" w:after="283"/>
              <w:jc w:val="right"/>
              <w:rPr/>
            </w:pPr>
            <w:r>
              <w:rPr/>
              <w:t>102,288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right"/>
              <w:rPr/>
            </w:pPr>
            <w:r>
              <w:rPr/>
              <w:t>$</w:t>
            </w:r>
          </w:p>
        </w:tc>
        <w:tc>
          <w:tcPr>
            <w:tcW w:w="1118" w:type="dxa"/>
            <w:tcBorders/>
            <w:shd w:fill="CCEEFF" w:val="clear"/>
            <w:vAlign w:val="bottom"/>
          </w:tcPr>
          <w:p>
            <w:pPr>
              <w:pStyle w:val="TableContents"/>
              <w:spacing w:before="0" w:after="283"/>
              <w:jc w:val="right"/>
              <w:rPr/>
            </w:pPr>
            <w:r>
              <w:rPr/>
              <w:t>9,191</w:t>
            </w:r>
          </w:p>
        </w:tc>
        <w:tc>
          <w:tcPr>
            <w:tcW w:w="1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755" w:type="dxa"/>
            <w:tcBorders/>
            <w:shd w:fill="CCEEFF" w:val="clear"/>
            <w:vAlign w:val="bottom"/>
          </w:tcPr>
          <w:p>
            <w:pPr>
              <w:pStyle w:val="TableContents"/>
              <w:spacing w:before="0" w:after="283"/>
              <w:jc w:val="right"/>
              <w:rPr/>
            </w:pPr>
            <w:r>
              <w:rPr/>
              <w:t>(10,667</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(2,853</w:t>
            </w:r>
          </w:p>
        </w:tc>
        <w:tc>
          <w:tcPr>
            <w:tcW w:w="10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jc w:val="right"/>
              <w:rPr/>
            </w:pPr>
            <w:r>
              <w:rPr/>
              <w:t>$</w:t>
            </w:r>
          </w:p>
        </w:tc>
        <w:tc>
          <w:tcPr>
            <w:tcW w:w="813" w:type="dxa"/>
            <w:tcBorders/>
            <w:shd w:fill="CCEEFF" w:val="clear"/>
            <w:vAlign w:val="bottom"/>
          </w:tcPr>
          <w:p>
            <w:pPr>
              <w:pStyle w:val="TableContents"/>
              <w:spacing w:before="0" w:after="283"/>
              <w:jc w:val="right"/>
              <w:rPr/>
            </w:pPr>
            <w:r>
              <w:rPr/>
              <w:t>(41</w:t>
            </w:r>
          </w:p>
        </w:tc>
        <w:tc>
          <w:tcPr>
            <w:tcW w:w="233"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800" w:type="dxa"/>
            <w:tcBorders/>
            <w:shd w:fill="CCEEFF" w:val="clear"/>
            <w:vAlign w:val="bottom"/>
          </w:tcPr>
          <w:p>
            <w:pPr>
              <w:pStyle w:val="TableContents"/>
              <w:spacing w:before="0" w:after="283"/>
              <w:jc w:val="right"/>
              <w:rPr/>
            </w:pPr>
            <w:r>
              <w:rPr/>
              <w:t>125,177</w:t>
            </w:r>
          </w:p>
        </w:tc>
        <w:tc>
          <w:tcPr>
            <w:tcW w:w="95" w:type="dxa"/>
            <w:tcBorders/>
            <w:shd w:fill="CCEEFF" w:val="clear"/>
            <w:vAlign w:val="bottom"/>
          </w:tcPr>
          <w:p>
            <w:pPr>
              <w:pStyle w:val="TableContents"/>
              <w:spacing w:before="0" w:after="283"/>
              <w:rPr/>
            </w:pPr>
            <w:r>
              <w:rPr/>
              <w:t> </w:t>
            </w:r>
          </w:p>
        </w:tc>
      </w:tr>
      <w:tr>
        <w:trPr/>
        <w:tc>
          <w:tcPr>
            <w:tcW w:w="10480" w:type="dxa"/>
            <w:gridSpan w:val="33"/>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240" w:after="283"/>
        <w:jc w:val="right"/>
        <w:rPr>
          <w:rFonts w:ascii="Arial;Helvetica;sans-serif" w:hAnsi="Arial;Helvetica;sans-serif"/>
          <w:sz w:val="17"/>
        </w:rPr>
      </w:pPr>
      <w:r>
        <w:rPr>
          <w:rFonts w:ascii="Arial;Helvetica;sans-serif" w:hAnsi="Arial;Helvetica;sans-serif"/>
          <w:sz w:val="17"/>
        </w:rPr>
        <w:t xml:space="preserve">(continued) </w:t>
      </w:r>
    </w:p>
    <w:p>
      <w:pPr>
        <w:pStyle w:val="TextBody"/>
        <w:jc w:val="center"/>
        <w:rPr>
          <w:rFonts w:ascii="Arial;Helvetica;sans-serif" w:hAnsi="Arial;Helvetica;sans-serif"/>
          <w:sz w:val="17"/>
        </w:rPr>
      </w:pPr>
      <w:r>
        <w:rPr>
          <w:rFonts w:ascii="Arial;Helvetica;sans-serif" w:hAnsi="Arial;Helvetica;sans-serif"/>
          <w:sz w:val="17"/>
        </w:rPr>
        <w:t xml:space="preserve">50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Arial;Helvetica;sans-serif" w:hAnsi="Arial;Helvetica;sans-serif"/>
          <w:sz w:val="17"/>
        </w:rPr>
      </w:pPr>
      <w:r>
        <w:rPr>
          <w:rFonts w:ascii="Arial;Helvetica;sans-serif" w:hAnsi="Arial;Helvetica;sans-serif"/>
          <w:b/>
          <w:sz w:val="17"/>
        </w:rPr>
        <w:t>FIRST BUSEY CORPORATION AND SUBSIDIARIES</w:t>
        <w:br/>
        <w:t>CONSOLIDATED STATEMENTS OF STOCKHOLDERS EQUITY (continued)</w:t>
        <w:br/>
        <w:t>Years Ended December 31, 2005, 2004, and 2003</w:t>
      </w:r>
      <w:r>
        <w:rPr>
          <w:rFonts w:ascii="Arial;Helvetica;sans-serif" w:hAnsi="Arial;Helvetica;sans-serif"/>
          <w:sz w:val="17"/>
        </w:rPr>
        <w:t xml:space="preserve"> </w:t>
      </w:r>
    </w:p>
    <w:tbl>
      <w:tblPr>
        <w:tblW w:w="10445" w:type="dxa"/>
        <w:jc w:val="center"/>
        <w:tblInd w:w="0" w:type="dxa"/>
        <w:tblCellMar>
          <w:top w:w="0" w:type="dxa"/>
          <w:left w:w="0" w:type="dxa"/>
          <w:bottom w:w="0" w:type="dxa"/>
          <w:right w:w="0" w:type="dxa"/>
        </w:tblCellMar>
      </w:tblPr>
      <w:tblGrid>
        <w:gridCol w:w="1280"/>
        <w:gridCol w:w="60"/>
        <w:gridCol w:w="166"/>
        <w:gridCol w:w="666"/>
        <w:gridCol w:w="73"/>
        <w:gridCol w:w="60"/>
        <w:gridCol w:w="140"/>
        <w:gridCol w:w="680"/>
        <w:gridCol w:w="60"/>
        <w:gridCol w:w="60"/>
        <w:gridCol w:w="140"/>
        <w:gridCol w:w="800"/>
        <w:gridCol w:w="95"/>
        <w:gridCol w:w="60"/>
        <w:gridCol w:w="264"/>
        <w:gridCol w:w="1059"/>
        <w:gridCol w:w="182"/>
        <w:gridCol w:w="60"/>
        <w:gridCol w:w="140"/>
        <w:gridCol w:w="755"/>
        <w:gridCol w:w="95"/>
        <w:gridCol w:w="60"/>
        <w:gridCol w:w="152"/>
        <w:gridCol w:w="693"/>
        <w:gridCol w:w="105"/>
        <w:gridCol w:w="60"/>
        <w:gridCol w:w="339"/>
        <w:gridCol w:w="813"/>
        <w:gridCol w:w="233"/>
        <w:gridCol w:w="60"/>
        <w:gridCol w:w="140"/>
        <w:gridCol w:w="800"/>
        <w:gridCol w:w="95"/>
      </w:tblGrid>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0445" w:type="dxa"/>
            <w:gridSpan w:val="33"/>
            <w:tcBorders>
              <w:bottom w:val="single" w:sz="2" w:space="0" w:color="000000"/>
            </w:tcBorders>
            <w:shd w:fill="auto" w:val="clear"/>
            <w:tcMar>
              <w:bottom w:w="28" w:type="dxa"/>
            </w:tcMar>
            <w:vAlign w:val="bottom"/>
          </w:tcPr>
          <w:p>
            <w:pPr>
              <w:pStyle w:val="TableContents"/>
              <w:spacing w:before="0" w:after="283"/>
              <w:jc w:val="center"/>
              <w:rPr/>
            </w:pPr>
            <w:r>
              <w:rPr/>
              <w:t>(Dollars in thousands)</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Deferred</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 </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3"/>
            <w:tcBorders/>
            <w:shd w:fill="auto" w:val="clear"/>
            <w:vAlign w:val="bottom"/>
          </w:tcPr>
          <w:p>
            <w:pPr>
              <w:pStyle w:val="TableContents"/>
              <w:spacing w:before="0" w:after="283"/>
              <w:jc w:val="center"/>
              <w:rPr/>
            </w:pPr>
            <w:r>
              <w:rPr/>
              <w:t>Accumulated</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Compensation</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 </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3"/>
            <w:tcBorders/>
            <w:shd w:fill="auto" w:val="clear"/>
            <w:vAlign w:val="bottom"/>
          </w:tcPr>
          <w:p>
            <w:pPr>
              <w:pStyle w:val="TableContents"/>
              <w:spacing w:before="0" w:after="283"/>
              <w:jc w:val="center"/>
              <w:rPr/>
            </w:pPr>
            <w:r>
              <w:rPr/>
              <w:t>Other</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3"/>
            <w:tcBorders/>
            <w:shd w:fill="auto" w:val="clear"/>
            <w:vAlign w:val="bottom"/>
          </w:tcPr>
          <w:p>
            <w:pPr>
              <w:pStyle w:val="TableContents"/>
              <w:spacing w:before="0" w:after="283"/>
              <w:jc w:val="center"/>
              <w:rPr/>
            </w:pPr>
            <w:r>
              <w:rPr/>
              <w:t>Unearned</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for Restricted</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 </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gridSpan w:val="3"/>
            <w:tcBorders/>
            <w:shd w:fill="auto" w:val="clear"/>
            <w:vAlign w:val="bottom"/>
          </w:tcPr>
          <w:p>
            <w:pPr>
              <w:pStyle w:val="TableContents"/>
              <w:spacing w:before="0" w:after="283"/>
              <w:jc w:val="center"/>
              <w:rPr/>
            </w:pPr>
            <w:r>
              <w:rPr/>
              <w:t>Common</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Retained</w:t>
            </w:r>
          </w:p>
        </w:tc>
        <w:tc>
          <w:tcPr>
            <w:tcW w:w="60" w:type="dxa"/>
            <w:tcBorders/>
            <w:shd w:fill="auto" w:val="clear"/>
            <w:vAlign w:val="bottom"/>
          </w:tcPr>
          <w:p>
            <w:pPr>
              <w:pStyle w:val="TableContents"/>
              <w:spacing w:before="0" w:after="283"/>
              <w:rPr/>
            </w:pPr>
            <w:r>
              <w:rPr/>
              <w:t> </w:t>
            </w:r>
          </w:p>
        </w:tc>
        <w:tc>
          <w:tcPr>
            <w:tcW w:w="1505" w:type="dxa"/>
            <w:gridSpan w:val="3"/>
            <w:tcBorders/>
            <w:shd w:fill="auto" w:val="clear"/>
            <w:vAlign w:val="bottom"/>
          </w:tcPr>
          <w:p>
            <w:pPr>
              <w:pStyle w:val="TableContents"/>
              <w:spacing w:before="0" w:after="283"/>
              <w:jc w:val="center"/>
              <w:rPr/>
            </w:pPr>
            <w:r>
              <w:rPr/>
              <w:t>Comprehensive</w:t>
            </w:r>
          </w:p>
        </w:tc>
        <w:tc>
          <w:tcPr>
            <w:tcW w:w="60" w:type="dxa"/>
            <w:tcBorders/>
            <w:shd w:fill="auto" w:val="clear"/>
            <w:vAlign w:val="bottom"/>
          </w:tcPr>
          <w:p>
            <w:pPr>
              <w:pStyle w:val="TableContents"/>
              <w:spacing w:before="0" w:after="283"/>
              <w:rPr/>
            </w:pPr>
            <w:r>
              <w:rPr/>
              <w:t> </w:t>
            </w:r>
          </w:p>
        </w:tc>
        <w:tc>
          <w:tcPr>
            <w:tcW w:w="990" w:type="dxa"/>
            <w:gridSpan w:val="3"/>
            <w:tcBorders/>
            <w:shd w:fill="auto" w:val="clear"/>
            <w:vAlign w:val="bottom"/>
          </w:tcPr>
          <w:p>
            <w:pPr>
              <w:pStyle w:val="TableContents"/>
              <w:spacing w:before="0" w:after="283"/>
              <w:jc w:val="center"/>
              <w:rPr/>
            </w:pPr>
            <w:r>
              <w:rPr/>
              <w:t>Treasury</w:t>
            </w:r>
          </w:p>
        </w:tc>
        <w:tc>
          <w:tcPr>
            <w:tcW w:w="60" w:type="dxa"/>
            <w:tcBorders/>
            <w:shd w:fill="auto" w:val="clear"/>
            <w:vAlign w:val="bottom"/>
          </w:tcPr>
          <w:p>
            <w:pPr>
              <w:pStyle w:val="TableContents"/>
              <w:spacing w:before="0" w:after="283"/>
              <w:rPr/>
            </w:pPr>
            <w:r>
              <w:rPr/>
              <w:t> </w:t>
            </w:r>
          </w:p>
        </w:tc>
        <w:tc>
          <w:tcPr>
            <w:tcW w:w="950" w:type="dxa"/>
            <w:gridSpan w:val="3"/>
            <w:tcBorders/>
            <w:shd w:fill="auto" w:val="clear"/>
            <w:vAlign w:val="bottom"/>
          </w:tcPr>
          <w:p>
            <w:pPr>
              <w:pStyle w:val="TableContents"/>
              <w:spacing w:before="0" w:after="283"/>
              <w:jc w:val="center"/>
              <w:rPr/>
            </w:pPr>
            <w:r>
              <w:rPr/>
              <w:t>ESOP</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Stock</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 </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gridSpan w:val="3"/>
            <w:tcBorders/>
            <w:shd w:fill="auto" w:val="clear"/>
            <w:vAlign w:val="bottom"/>
          </w:tcPr>
          <w:p>
            <w:pPr>
              <w:pStyle w:val="TableContents"/>
              <w:spacing w:before="0" w:after="283"/>
              <w:jc w:val="center"/>
              <w:rPr/>
            </w:pPr>
            <w:r>
              <w:rPr/>
              <w:t>Stock</w:t>
            </w:r>
          </w:p>
        </w:tc>
        <w:tc>
          <w:tcPr>
            <w:tcW w:w="60" w:type="dxa"/>
            <w:tcBorders/>
            <w:shd w:fill="auto" w:val="clear"/>
            <w:vAlign w:val="bottom"/>
          </w:tcPr>
          <w:p>
            <w:pPr>
              <w:pStyle w:val="TableContents"/>
              <w:spacing w:before="0" w:after="283"/>
              <w:rPr/>
            </w:pPr>
            <w:r>
              <w:rPr/>
              <w:t> </w:t>
            </w:r>
          </w:p>
        </w:tc>
        <w:tc>
          <w:tcPr>
            <w:tcW w:w="880" w:type="dxa"/>
            <w:gridSpan w:val="3"/>
            <w:tcBorders/>
            <w:shd w:fill="auto" w:val="clear"/>
            <w:vAlign w:val="bottom"/>
          </w:tcPr>
          <w:p>
            <w:pPr>
              <w:pStyle w:val="TableContents"/>
              <w:spacing w:before="0" w:after="283"/>
              <w:jc w:val="center"/>
              <w:rPr/>
            </w:pPr>
            <w:r>
              <w:rPr/>
              <w:t>Surplus</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Earnings</w:t>
            </w:r>
          </w:p>
        </w:tc>
        <w:tc>
          <w:tcPr>
            <w:tcW w:w="60" w:type="dxa"/>
            <w:tcBorders/>
            <w:shd w:fill="auto" w:val="clear"/>
            <w:vAlign w:val="bottom"/>
          </w:tcPr>
          <w:p>
            <w:pPr>
              <w:pStyle w:val="TableContents"/>
              <w:spacing w:before="0" w:after="283"/>
              <w:rPr/>
            </w:pPr>
            <w:r>
              <w:rPr/>
              <w:t> </w:t>
            </w:r>
          </w:p>
        </w:tc>
        <w:tc>
          <w:tcPr>
            <w:tcW w:w="1505" w:type="dxa"/>
            <w:gridSpan w:val="3"/>
            <w:tcBorders/>
            <w:shd w:fill="auto" w:val="clear"/>
            <w:vAlign w:val="bottom"/>
          </w:tcPr>
          <w:p>
            <w:pPr>
              <w:pStyle w:val="TableContents"/>
              <w:spacing w:before="0" w:after="283"/>
              <w:jc w:val="center"/>
              <w:rPr/>
            </w:pPr>
            <w:r>
              <w:rPr/>
              <w:t>Income (loss)</w:t>
            </w:r>
          </w:p>
        </w:tc>
        <w:tc>
          <w:tcPr>
            <w:tcW w:w="60" w:type="dxa"/>
            <w:tcBorders/>
            <w:shd w:fill="auto" w:val="clear"/>
            <w:vAlign w:val="bottom"/>
          </w:tcPr>
          <w:p>
            <w:pPr>
              <w:pStyle w:val="TableContents"/>
              <w:spacing w:before="0" w:after="283"/>
              <w:rPr/>
            </w:pPr>
            <w:r>
              <w:rPr/>
              <w:t> </w:t>
            </w:r>
          </w:p>
        </w:tc>
        <w:tc>
          <w:tcPr>
            <w:tcW w:w="990" w:type="dxa"/>
            <w:gridSpan w:val="3"/>
            <w:tcBorders/>
            <w:shd w:fill="auto" w:val="clear"/>
            <w:vAlign w:val="bottom"/>
          </w:tcPr>
          <w:p>
            <w:pPr>
              <w:pStyle w:val="TableContents"/>
              <w:spacing w:before="0" w:after="283"/>
              <w:jc w:val="center"/>
              <w:rPr/>
            </w:pPr>
            <w:r>
              <w:rPr/>
              <w:t>Stock</w:t>
            </w:r>
          </w:p>
        </w:tc>
        <w:tc>
          <w:tcPr>
            <w:tcW w:w="60" w:type="dxa"/>
            <w:tcBorders/>
            <w:shd w:fill="auto" w:val="clear"/>
            <w:vAlign w:val="bottom"/>
          </w:tcPr>
          <w:p>
            <w:pPr>
              <w:pStyle w:val="TableContents"/>
              <w:spacing w:before="0" w:after="283"/>
              <w:rPr/>
            </w:pPr>
            <w:r>
              <w:rPr/>
              <w:t> </w:t>
            </w:r>
          </w:p>
        </w:tc>
        <w:tc>
          <w:tcPr>
            <w:tcW w:w="950" w:type="dxa"/>
            <w:gridSpan w:val="3"/>
            <w:tcBorders/>
            <w:shd w:fill="auto" w:val="clear"/>
            <w:vAlign w:val="bottom"/>
          </w:tcPr>
          <w:p>
            <w:pPr>
              <w:pStyle w:val="TableContents"/>
              <w:spacing w:before="0" w:after="283"/>
              <w:jc w:val="center"/>
              <w:rPr/>
            </w:pPr>
            <w:r>
              <w:rPr/>
              <w:t>Shares</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Awards</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Total</w:t>
            </w:r>
          </w:p>
        </w:tc>
      </w:tr>
      <w:tr>
        <w:trPr/>
        <w:tc>
          <w:tcPr>
            <w:tcW w:w="12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05" w:type="dxa"/>
            <w:gridSpan w:val="3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280" w:type="dxa"/>
            <w:tcBorders/>
            <w:shd w:fill="CCEEFF" w:val="clear"/>
            <w:vAlign w:val="bottom"/>
          </w:tcPr>
          <w:p>
            <w:pPr>
              <w:pStyle w:val="TableContents"/>
              <w:spacing w:before="0" w:after="0"/>
              <w:ind w:left="225" w:right="0" w:hanging="225"/>
              <w:rPr/>
            </w:pPr>
            <w:r>
              <w:rPr/>
              <w:t>Balance, December 31, 2003</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right"/>
              <w:rPr/>
            </w:pPr>
            <w:r>
              <w:rPr/>
              <w:t>$</w:t>
            </w:r>
          </w:p>
        </w:tc>
        <w:tc>
          <w:tcPr>
            <w:tcW w:w="666" w:type="dxa"/>
            <w:tcBorders/>
            <w:shd w:fill="CCEEFF" w:val="clear"/>
            <w:vAlign w:val="bottom"/>
          </w:tcPr>
          <w:p>
            <w:pPr>
              <w:pStyle w:val="TableContents"/>
              <w:spacing w:before="0" w:after="283"/>
              <w:jc w:val="right"/>
              <w:rPr/>
            </w:pPr>
            <w:r>
              <w:rPr/>
              <w:t>6,291</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680" w:type="dxa"/>
            <w:tcBorders/>
            <w:shd w:fill="CCEEFF" w:val="clear"/>
            <w:vAlign w:val="bottom"/>
          </w:tcPr>
          <w:p>
            <w:pPr>
              <w:pStyle w:val="TableContents"/>
              <w:spacing w:before="0" w:after="283"/>
              <w:jc w:val="right"/>
              <w:rPr/>
            </w:pPr>
            <w:r>
              <w:rPr/>
              <w:t>20,968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800" w:type="dxa"/>
            <w:tcBorders/>
            <w:shd w:fill="CCEEFF" w:val="clear"/>
            <w:vAlign w:val="bottom"/>
          </w:tcPr>
          <w:p>
            <w:pPr>
              <w:pStyle w:val="TableContents"/>
              <w:spacing w:before="0" w:after="283"/>
              <w:jc w:val="right"/>
              <w:rPr/>
            </w:pPr>
            <w:r>
              <w:rPr/>
              <w:t>102,288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jc w:val="right"/>
              <w:rPr/>
            </w:pPr>
            <w:r>
              <w:rPr/>
              <w:t>$</w:t>
            </w:r>
          </w:p>
        </w:tc>
        <w:tc>
          <w:tcPr>
            <w:tcW w:w="1059" w:type="dxa"/>
            <w:tcBorders/>
            <w:shd w:fill="CCEEFF" w:val="clear"/>
            <w:vAlign w:val="bottom"/>
          </w:tcPr>
          <w:p>
            <w:pPr>
              <w:pStyle w:val="TableContents"/>
              <w:spacing w:before="0" w:after="283"/>
              <w:jc w:val="right"/>
              <w:rPr/>
            </w:pPr>
            <w:r>
              <w:rPr/>
              <w:t>9,191</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755" w:type="dxa"/>
            <w:tcBorders/>
            <w:shd w:fill="CCEEFF" w:val="clear"/>
            <w:vAlign w:val="bottom"/>
          </w:tcPr>
          <w:p>
            <w:pPr>
              <w:pStyle w:val="TableContents"/>
              <w:spacing w:before="0" w:after="283"/>
              <w:jc w:val="right"/>
              <w:rPr/>
            </w:pPr>
            <w:r>
              <w:rPr/>
              <w:t>(10,667</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(2,853</w:t>
            </w:r>
          </w:p>
        </w:tc>
        <w:tc>
          <w:tcPr>
            <w:tcW w:w="10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jc w:val="right"/>
              <w:rPr/>
            </w:pPr>
            <w:r>
              <w:rPr/>
              <w:t>$</w:t>
            </w:r>
          </w:p>
        </w:tc>
        <w:tc>
          <w:tcPr>
            <w:tcW w:w="813" w:type="dxa"/>
            <w:tcBorders/>
            <w:shd w:fill="CCEEFF" w:val="clear"/>
            <w:vAlign w:val="bottom"/>
          </w:tcPr>
          <w:p>
            <w:pPr>
              <w:pStyle w:val="TableContents"/>
              <w:spacing w:before="0" w:after="283"/>
              <w:jc w:val="right"/>
              <w:rPr/>
            </w:pPr>
            <w:r>
              <w:rPr/>
              <w:t>(41</w:t>
            </w:r>
          </w:p>
        </w:tc>
        <w:tc>
          <w:tcPr>
            <w:tcW w:w="233"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800" w:type="dxa"/>
            <w:tcBorders/>
            <w:shd w:fill="CCEEFF" w:val="clear"/>
            <w:vAlign w:val="bottom"/>
          </w:tcPr>
          <w:p>
            <w:pPr>
              <w:pStyle w:val="TableContents"/>
              <w:spacing w:before="0" w:after="283"/>
              <w:jc w:val="right"/>
              <w:rPr/>
            </w:pPr>
            <w:r>
              <w:rPr/>
              <w:t>125,177</w:t>
            </w:r>
          </w:p>
        </w:tc>
        <w:tc>
          <w:tcPr>
            <w:tcW w:w="95" w:type="dxa"/>
            <w:tcBorders/>
            <w:shd w:fill="CCEEFF"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Comprehensive Income:</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450" w:right="0" w:hanging="225"/>
              <w:rPr/>
            </w:pPr>
            <w:r>
              <w:rPr/>
              <w:t>Net Income</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22,454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pPr>
            <w:r>
              <w:rPr/>
              <w:t></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22,454</w:t>
            </w:r>
          </w:p>
        </w:tc>
        <w:tc>
          <w:tcPr>
            <w:tcW w:w="95" w:type="dxa"/>
            <w:tcBorders/>
            <w:shd w:fill="CCEEFF"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450" w:right="0" w:hanging="225"/>
              <w:rPr/>
            </w:pPr>
            <w:r>
              <w:rPr/>
              <w:t>Other comprehensive income, net of tax:</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675" w:right="0" w:hanging="225"/>
              <w:rPr/>
            </w:pPr>
            <w:r>
              <w:rPr/>
              <w:t>Unrealized gains on securities available for sale arising during the period, net of tax benefit of $535</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pPr>
            <w:r>
              <w:rPr/>
              <w:t></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806</w:t>
            </w:r>
          </w:p>
        </w:tc>
        <w:tc>
          <w:tcPr>
            <w:tcW w:w="95" w:type="dxa"/>
            <w:tcBorders/>
            <w:shd w:fill="CCEEFF"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675" w:right="0" w:hanging="225"/>
              <w:rPr/>
            </w:pPr>
            <w:r>
              <w:rPr/>
              <w:t>Reclassification adjustment, net of taxes of ($546)</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pPr>
            <w:r>
              <w:rPr/>
              <w:t></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 </w:t>
            </w:r>
          </w:p>
        </w:tc>
        <w:tc>
          <w:tcPr>
            <w:tcW w:w="800" w:type="dxa"/>
            <w:tcBorders/>
            <w:shd w:fill="auto" w:val="clear"/>
            <w:vAlign w:val="bottom"/>
          </w:tcPr>
          <w:p>
            <w:pPr>
              <w:pStyle w:val="TableContents"/>
              <w:spacing w:before="0" w:after="283"/>
              <w:jc w:val="right"/>
              <w:rPr/>
            </w:pPr>
            <w:r>
              <w:rPr/>
              <w:t>(827</w:t>
            </w:r>
          </w:p>
        </w:tc>
        <w:tc>
          <w:tcPr>
            <w:tcW w:w="95" w:type="dxa"/>
            <w:tcBorders/>
            <w:shd w:fill="auto" w:val="clear"/>
            <w:vAlign w:val="bottom"/>
          </w:tcPr>
          <w:p>
            <w:pPr>
              <w:pStyle w:val="TableContents"/>
              <w:spacing w:before="0" w:after="283"/>
              <w:rPr/>
            </w:pPr>
            <w:r>
              <w:rPr/>
              <w:t>)</w:t>
            </w:r>
          </w:p>
        </w:tc>
      </w:tr>
      <w:tr>
        <w:trPr/>
        <w:tc>
          <w:tcPr>
            <w:tcW w:w="128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05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693"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813"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450" w:right="0" w:hanging="225"/>
              <w:rPr/>
            </w:pPr>
            <w:r>
              <w:rPr/>
              <w:t>Other comprehensive income, net of tax of ($11)</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jc w:val="right"/>
              <w:rPr/>
            </w:pPr>
            <w:r>
              <w:rPr/>
              <w:t> </w:t>
            </w:r>
          </w:p>
        </w:tc>
        <w:tc>
          <w:tcPr>
            <w:tcW w:w="1059" w:type="dxa"/>
            <w:tcBorders/>
            <w:shd w:fill="CCEEFF" w:val="clear"/>
            <w:vAlign w:val="bottom"/>
          </w:tcPr>
          <w:p>
            <w:pPr>
              <w:pStyle w:val="TableContents"/>
              <w:spacing w:before="0" w:after="283"/>
              <w:jc w:val="right"/>
              <w:rPr/>
            </w:pPr>
            <w:r>
              <w:rPr/>
              <w:t>(21</w:t>
            </w:r>
          </w:p>
        </w:tc>
        <w:tc>
          <w:tcPr>
            <w:tcW w:w="182"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(21</w:t>
            </w:r>
          </w:p>
        </w:tc>
        <w:tc>
          <w:tcPr>
            <w:tcW w:w="95" w:type="dxa"/>
            <w:tcBorders/>
            <w:shd w:fill="CCEEFF" w:val="clear"/>
            <w:vAlign w:val="bottom"/>
          </w:tcPr>
          <w:p>
            <w:pPr>
              <w:pStyle w:val="TableContents"/>
              <w:spacing w:before="0" w:after="283"/>
              <w:rPr/>
            </w:pPr>
            <w:r>
              <w:rPr/>
              <w:t>)</w:t>
            </w:r>
          </w:p>
        </w:tc>
      </w:tr>
      <w:tr>
        <w:trPr/>
        <w:tc>
          <w:tcPr>
            <w:tcW w:w="128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05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693"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813"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Comprehensive Income</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pPr>
            <w:r>
              <w:rPr/>
              <w:t></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22,433</w:t>
            </w:r>
          </w:p>
        </w:tc>
        <w:tc>
          <w:tcPr>
            <w:tcW w:w="95" w:type="dxa"/>
            <w:tcBorders/>
            <w:shd w:fill="auto" w:val="clear"/>
            <w:vAlign w:val="bottom"/>
          </w:tcPr>
          <w:p>
            <w:pPr>
              <w:pStyle w:val="TableContents"/>
              <w:spacing w:before="0" w:after="283"/>
              <w:rPr/>
            </w:pPr>
            <w:r>
              <w:rPr/>
              <w:t> </w:t>
            </w:r>
          </w:p>
        </w:tc>
      </w:tr>
      <w:tr>
        <w:trPr/>
        <w:tc>
          <w:tcPr>
            <w:tcW w:w="128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059"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693"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813"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225" w:right="0" w:hanging="225"/>
              <w:rPr/>
            </w:pPr>
            <w:r>
              <w:rPr/>
              <w:t>Purchase of 123,727 shares for the treasury</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pPr>
            <w:r>
              <w:rPr/>
              <w:t></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755" w:type="dxa"/>
            <w:tcBorders/>
            <w:shd w:fill="CCEEFF" w:val="clear"/>
            <w:vAlign w:val="bottom"/>
          </w:tcPr>
          <w:p>
            <w:pPr>
              <w:pStyle w:val="TableContents"/>
              <w:spacing w:before="0" w:after="283"/>
              <w:jc w:val="right"/>
              <w:rPr/>
            </w:pPr>
            <w:r>
              <w:rPr/>
              <w:t>(2,264</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(2,264</w:t>
            </w:r>
          </w:p>
        </w:tc>
        <w:tc>
          <w:tcPr>
            <w:tcW w:w="95" w:type="dxa"/>
            <w:tcBorders/>
            <w:shd w:fill="CCEEFF" w:val="clear"/>
            <w:vAlign w:val="bottom"/>
          </w:tcPr>
          <w:p>
            <w:pPr>
              <w:pStyle w:val="TableContents"/>
              <w:spacing w:before="0" w:after="283"/>
              <w:rPr/>
            </w:pPr>
            <w:r>
              <w:rPr/>
              <w:t>)</w:t>
            </w:r>
          </w:p>
        </w:tc>
      </w:tr>
      <w:tr>
        <w:trPr/>
        <w:tc>
          <w:tcPr>
            <w:tcW w:w="1280" w:type="dxa"/>
            <w:tcBorders/>
            <w:shd w:fill="auto" w:val="clear"/>
            <w:vAlign w:val="bottom"/>
          </w:tcPr>
          <w:p>
            <w:pPr>
              <w:pStyle w:val="TableContents"/>
              <w:spacing w:before="0" w:after="0"/>
              <w:ind w:left="225" w:right="0" w:hanging="225"/>
              <w:rPr/>
            </w:pPr>
            <w:r>
              <w:rPr/>
              <w:t>Issuance of 173,550 shares of treasury stock for option exercise and related tax benefit</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356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pPr>
            <w:r>
              <w:rPr/>
              <w:t></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2,220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2,576</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225" w:right="0" w:hanging="225"/>
              <w:rPr/>
            </w:pPr>
            <w:r>
              <w:rPr/>
              <w:t>Issuance of 42,113 shares of treasury stock to benefit plans</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270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pPr>
            <w:r>
              <w:rPr/>
              <w:t></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538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808</w:t>
            </w:r>
          </w:p>
        </w:tc>
        <w:tc>
          <w:tcPr>
            <w:tcW w:w="95" w:type="dxa"/>
            <w:tcBorders/>
            <w:shd w:fill="CCEEFF"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Cash dividends:</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450" w:right="0" w:hanging="225"/>
              <w:rPr/>
            </w:pPr>
            <w:r>
              <w:rPr/>
              <w:t>Common stock at $.51 per share</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(10,383</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pPr>
            <w:r>
              <w:rPr/>
              <w:t></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(10,383</w:t>
            </w:r>
          </w:p>
        </w:tc>
        <w:tc>
          <w:tcPr>
            <w:tcW w:w="95" w:type="dxa"/>
            <w:tcBorders/>
            <w:shd w:fill="CCEEFF" w:val="clear"/>
            <w:vAlign w:val="bottom"/>
          </w:tcPr>
          <w:p>
            <w:pPr>
              <w:pStyle w:val="TableContents"/>
              <w:spacing w:before="0" w:after="283"/>
              <w:rPr/>
            </w:pPr>
            <w:r>
              <w:rPr/>
              <w:t>)</w:t>
            </w:r>
          </w:p>
        </w:tc>
      </w:tr>
      <w:tr>
        <w:trPr/>
        <w:tc>
          <w:tcPr>
            <w:tcW w:w="1280" w:type="dxa"/>
            <w:tcBorders/>
            <w:shd w:fill="auto" w:val="clear"/>
            <w:vAlign w:val="bottom"/>
          </w:tcPr>
          <w:p>
            <w:pPr>
              <w:pStyle w:val="TableContents"/>
              <w:spacing w:before="0" w:after="0"/>
              <w:ind w:left="225" w:right="0" w:hanging="225"/>
              <w:rPr/>
            </w:pPr>
            <w:r>
              <w:rPr/>
              <w:t>Employee stock ownership plan shares allocated</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pPr>
            <w:r>
              <w:rPr/>
              <w:t></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397</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499</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225" w:right="0" w:hanging="225"/>
              <w:rPr/>
            </w:pPr>
            <w:r>
              <w:rPr/>
              <w:t>Amortization of restricted stock issued under restricted stock award plan</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6" w:type="dxa"/>
            <w:tcBorders/>
            <w:shd w:fill="CCEEFF" w:val="clear"/>
            <w:vAlign w:val="bottom"/>
          </w:tcPr>
          <w:p>
            <w:pPr>
              <w:pStyle w:val="TableContents"/>
              <w:spacing w:before="0" w:after="283"/>
              <w:jc w:val="right"/>
              <w:rPr/>
            </w:pPr>
            <w:r>
              <w:rPr/>
              <w:t></w:t>
            </w:r>
          </w:p>
        </w:tc>
        <w:tc>
          <w:tcPr>
            <w:tcW w:w="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pPr>
            <w:r>
              <w:rPr/>
              <w:t></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26</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26</w:t>
            </w:r>
          </w:p>
        </w:tc>
        <w:tc>
          <w:tcPr>
            <w:tcW w:w="95" w:type="dxa"/>
            <w:tcBorders/>
            <w:shd w:fill="CCEEFF"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0445" w:type="dxa"/>
            <w:gridSpan w:val="3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28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Balance, December 31, 2004</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right"/>
              <w:rPr>
                <w:b/>
              </w:rPr>
            </w:pPr>
            <w:r>
              <w:rPr>
                <w:b/>
              </w:rPr>
              <w:t>$</w:t>
            </w:r>
          </w:p>
        </w:tc>
        <w:tc>
          <w:tcPr>
            <w:tcW w:w="666" w:type="dxa"/>
            <w:tcBorders/>
            <w:shd w:fill="auto" w:val="clear"/>
            <w:vAlign w:val="bottom"/>
          </w:tcPr>
          <w:p>
            <w:pPr>
              <w:pStyle w:val="TableContents"/>
              <w:spacing w:before="0" w:after="283"/>
              <w:jc w:val="right"/>
              <w:rPr>
                <w:b/>
              </w:rPr>
            </w:pPr>
            <w:r>
              <w:rPr>
                <w:b/>
              </w:rPr>
              <w:t>6,291</w:t>
            </w:r>
          </w:p>
        </w:tc>
        <w:tc>
          <w:tcPr>
            <w:tcW w:w="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b/>
              </w:rPr>
            </w:pPr>
            <w:r>
              <w:rPr>
                <w:b/>
              </w:rPr>
              <w:t>$</w:t>
            </w:r>
          </w:p>
        </w:tc>
        <w:tc>
          <w:tcPr>
            <w:tcW w:w="680" w:type="dxa"/>
            <w:tcBorders/>
            <w:shd w:fill="auto" w:val="clear"/>
            <w:vAlign w:val="bottom"/>
          </w:tcPr>
          <w:p>
            <w:pPr>
              <w:pStyle w:val="TableContents"/>
              <w:spacing w:before="0" w:after="283"/>
              <w:jc w:val="right"/>
              <w:rPr>
                <w:b/>
              </w:rPr>
            </w:pPr>
            <w:r>
              <w:rPr>
                <w:b/>
              </w:rPr>
              <w:t>21,696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b/>
              </w:rPr>
            </w:pPr>
            <w:r>
              <w:rPr>
                <w:b/>
              </w:rPr>
              <w:t>$</w:t>
            </w:r>
          </w:p>
        </w:tc>
        <w:tc>
          <w:tcPr>
            <w:tcW w:w="800" w:type="dxa"/>
            <w:tcBorders/>
            <w:shd w:fill="auto" w:val="clear"/>
            <w:vAlign w:val="bottom"/>
          </w:tcPr>
          <w:p>
            <w:pPr>
              <w:pStyle w:val="TableContents"/>
              <w:spacing w:before="0" w:after="283"/>
              <w:jc w:val="right"/>
              <w:rPr>
                <w:b/>
              </w:rPr>
            </w:pPr>
            <w:r>
              <w:rPr>
                <w:b/>
              </w:rPr>
              <w:t>114,359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jc w:val="right"/>
              <w:rPr>
                <w:b/>
              </w:rPr>
            </w:pPr>
            <w:r>
              <w:rPr>
                <w:b/>
              </w:rPr>
              <w:t>$</w:t>
            </w:r>
          </w:p>
        </w:tc>
        <w:tc>
          <w:tcPr>
            <w:tcW w:w="1059" w:type="dxa"/>
            <w:tcBorders/>
            <w:shd w:fill="auto" w:val="clear"/>
            <w:vAlign w:val="bottom"/>
          </w:tcPr>
          <w:p>
            <w:pPr>
              <w:pStyle w:val="TableContents"/>
              <w:spacing w:before="0" w:after="283"/>
              <w:jc w:val="right"/>
              <w:rPr>
                <w:b/>
              </w:rPr>
            </w:pPr>
            <w:r>
              <w:rPr>
                <w:b/>
              </w:rPr>
              <w:t>9,170</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b/>
              </w:rPr>
            </w:pPr>
            <w:r>
              <w:rPr>
                <w:b/>
              </w:rPr>
              <w:t>$</w:t>
            </w:r>
          </w:p>
        </w:tc>
        <w:tc>
          <w:tcPr>
            <w:tcW w:w="755" w:type="dxa"/>
            <w:tcBorders/>
            <w:shd w:fill="auto" w:val="clear"/>
            <w:vAlign w:val="bottom"/>
          </w:tcPr>
          <w:p>
            <w:pPr>
              <w:pStyle w:val="TableContents"/>
              <w:spacing w:before="0" w:after="283"/>
              <w:jc w:val="right"/>
              <w:rPr>
                <w:b/>
              </w:rPr>
            </w:pPr>
            <w:r>
              <w:rPr>
                <w:b/>
              </w:rPr>
              <w:t>(10,173</w:t>
            </w:r>
          </w:p>
        </w:tc>
        <w:tc>
          <w:tcPr>
            <w:tcW w:w="95" w:type="dxa"/>
            <w:tcBorders/>
            <w:shd w:fill="auto" w:val="clear"/>
            <w:vAlign w:val="bottom"/>
          </w:tcPr>
          <w:p>
            <w:pPr>
              <w:pStyle w:val="TableContents"/>
              <w:spacing w:before="0" w:after="283"/>
              <w:rPr>
                <w:b/>
              </w:rPr>
            </w:pPr>
            <w:r>
              <w:rPr>
                <w:b/>
              </w:rPr>
              <w:t>)</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right"/>
              <w:rPr>
                <w:b/>
              </w:rPr>
            </w:pPr>
            <w:r>
              <w:rPr>
                <w:b/>
              </w:rPr>
              <w:t>$</w:t>
            </w:r>
          </w:p>
        </w:tc>
        <w:tc>
          <w:tcPr>
            <w:tcW w:w="693" w:type="dxa"/>
            <w:tcBorders/>
            <w:shd w:fill="auto" w:val="clear"/>
            <w:vAlign w:val="bottom"/>
          </w:tcPr>
          <w:p>
            <w:pPr>
              <w:pStyle w:val="TableContents"/>
              <w:spacing w:before="0" w:after="283"/>
              <w:jc w:val="right"/>
              <w:rPr>
                <w:b/>
              </w:rPr>
            </w:pPr>
            <w:r>
              <w:rPr>
                <w:b/>
              </w:rPr>
              <w:t>(2,456</w:t>
            </w:r>
          </w:p>
        </w:tc>
        <w:tc>
          <w:tcPr>
            <w:tcW w:w="105" w:type="dxa"/>
            <w:tcBorders/>
            <w:shd w:fill="auto" w:val="clear"/>
            <w:vAlign w:val="bottom"/>
          </w:tcPr>
          <w:p>
            <w:pPr>
              <w:pStyle w:val="TableContents"/>
              <w:spacing w:before="0" w:after="283"/>
              <w:rPr>
                <w:b/>
              </w:rPr>
            </w:pPr>
            <w:r>
              <w:rPr>
                <w:b/>
              </w:rPr>
              <w:t>)</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b/>
              </w:rPr>
            </w:pPr>
            <w:r>
              <w:rPr>
                <w:b/>
              </w:rPr>
              <w:t>$</w:t>
            </w:r>
          </w:p>
        </w:tc>
        <w:tc>
          <w:tcPr>
            <w:tcW w:w="813" w:type="dxa"/>
            <w:tcBorders/>
            <w:shd w:fill="auto" w:val="clear"/>
            <w:vAlign w:val="bottom"/>
          </w:tcPr>
          <w:p>
            <w:pPr>
              <w:pStyle w:val="TableContents"/>
              <w:spacing w:before="0" w:after="283"/>
              <w:jc w:val="right"/>
              <w:rPr>
                <w:b/>
              </w:rPr>
            </w:pPr>
            <w:r>
              <w:rPr>
                <w:b/>
              </w:rPr>
              <w:t>(15</w:t>
            </w:r>
          </w:p>
        </w:tc>
        <w:tc>
          <w:tcPr>
            <w:tcW w:w="233" w:type="dxa"/>
            <w:tcBorders/>
            <w:shd w:fill="auto" w:val="clear"/>
            <w:vAlign w:val="bottom"/>
          </w:tcPr>
          <w:p>
            <w:pPr>
              <w:pStyle w:val="TableContents"/>
              <w:spacing w:before="0" w:after="283"/>
              <w:rPr>
                <w:b/>
              </w:rPr>
            </w:pPr>
            <w:r>
              <w:rPr>
                <w:b/>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b/>
              </w:rPr>
            </w:pPr>
            <w:r>
              <w:rPr>
                <w:b/>
              </w:rPr>
              <w:t>$</w:t>
            </w:r>
          </w:p>
        </w:tc>
        <w:tc>
          <w:tcPr>
            <w:tcW w:w="800" w:type="dxa"/>
            <w:tcBorders/>
            <w:shd w:fill="auto" w:val="clear"/>
            <w:vAlign w:val="bottom"/>
          </w:tcPr>
          <w:p>
            <w:pPr>
              <w:pStyle w:val="TableContents"/>
              <w:spacing w:before="0" w:after="283"/>
              <w:jc w:val="right"/>
              <w:rPr>
                <w:b/>
              </w:rPr>
            </w:pPr>
            <w:r>
              <w:rPr>
                <w:b/>
              </w:rPr>
              <w:t>138,872</w:t>
            </w:r>
          </w:p>
        </w:tc>
        <w:tc>
          <w:tcPr>
            <w:tcW w:w="95" w:type="dxa"/>
            <w:tcBorders/>
            <w:shd w:fill="auto" w:val="clear"/>
            <w:vAlign w:val="bottom"/>
          </w:tcPr>
          <w:p>
            <w:pPr>
              <w:pStyle w:val="TableContents"/>
              <w:spacing w:before="0" w:after="283"/>
              <w:rPr/>
            </w:pPr>
            <w:r>
              <w:rPr/>
              <w:t> </w:t>
            </w:r>
          </w:p>
        </w:tc>
      </w:tr>
      <w:tr>
        <w:trPr/>
        <w:tc>
          <w:tcPr>
            <w:tcW w:w="10445" w:type="dxa"/>
            <w:gridSpan w:val="33"/>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240" w:after="283"/>
        <w:jc w:val="right"/>
        <w:rPr>
          <w:rFonts w:ascii="Arial;Helvetica;sans-serif" w:hAnsi="Arial;Helvetica;sans-serif"/>
          <w:sz w:val="17"/>
        </w:rPr>
      </w:pPr>
      <w:r>
        <w:rPr>
          <w:rFonts w:ascii="Arial;Helvetica;sans-serif" w:hAnsi="Arial;Helvetica;sans-serif"/>
          <w:sz w:val="17"/>
        </w:rPr>
        <w:t xml:space="preserve">(continued) </w:t>
      </w:r>
    </w:p>
    <w:p>
      <w:pPr>
        <w:pStyle w:val="TextBody"/>
        <w:jc w:val="center"/>
        <w:rPr>
          <w:rFonts w:ascii="Arial;Helvetica;sans-serif" w:hAnsi="Arial;Helvetica;sans-serif"/>
          <w:sz w:val="17"/>
        </w:rPr>
      </w:pPr>
      <w:r>
        <w:rPr>
          <w:rFonts w:ascii="Arial;Helvetica;sans-serif" w:hAnsi="Arial;Helvetica;sans-serif"/>
          <w:sz w:val="17"/>
        </w:rPr>
        <w:t xml:space="preserve">51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Arial;Helvetica;sans-serif" w:hAnsi="Arial;Helvetica;sans-serif"/>
          <w:sz w:val="17"/>
        </w:rPr>
      </w:pPr>
      <w:r>
        <w:rPr>
          <w:rFonts w:ascii="Arial;Helvetica;sans-serif" w:hAnsi="Arial;Helvetica;sans-serif"/>
          <w:b/>
          <w:sz w:val="17"/>
        </w:rPr>
        <w:t>FIRST BUSEY CORPORATION AND SUBSIDIARIES</w:t>
        <w:br/>
        <w:t>CONSOLIDATED STATEMENTS OF STOCKHOLDERS EQUITY (continued)</w:t>
        <w:br/>
        <w:t>YEARS ENDED DECEMBER 31, 2005, 2004, AND 2003</w:t>
      </w:r>
      <w:r>
        <w:rPr>
          <w:rFonts w:ascii="Arial;Helvetica;sans-serif" w:hAnsi="Arial;Helvetica;sans-serif"/>
          <w:sz w:val="17"/>
        </w:rPr>
        <w:t xml:space="preserve"> </w:t>
      </w:r>
    </w:p>
    <w:tbl>
      <w:tblPr>
        <w:tblW w:w="11590" w:type="dxa"/>
        <w:jc w:val="center"/>
        <w:tblInd w:w="0" w:type="dxa"/>
        <w:tblCellMar>
          <w:top w:w="0" w:type="dxa"/>
          <w:left w:w="0" w:type="dxa"/>
          <w:bottom w:w="0" w:type="dxa"/>
          <w:right w:w="0" w:type="dxa"/>
        </w:tblCellMar>
      </w:tblPr>
      <w:tblGrid>
        <w:gridCol w:w="1280"/>
        <w:gridCol w:w="60"/>
        <w:gridCol w:w="145"/>
        <w:gridCol w:w="660"/>
        <w:gridCol w:w="100"/>
        <w:gridCol w:w="60"/>
        <w:gridCol w:w="261"/>
        <w:gridCol w:w="709"/>
        <w:gridCol w:w="115"/>
        <w:gridCol w:w="60"/>
        <w:gridCol w:w="140"/>
        <w:gridCol w:w="680"/>
        <w:gridCol w:w="60"/>
        <w:gridCol w:w="60"/>
        <w:gridCol w:w="140"/>
        <w:gridCol w:w="800"/>
        <w:gridCol w:w="95"/>
        <w:gridCol w:w="60"/>
        <w:gridCol w:w="241"/>
        <w:gridCol w:w="1098"/>
        <w:gridCol w:w="166"/>
        <w:gridCol w:w="60"/>
        <w:gridCol w:w="140"/>
        <w:gridCol w:w="755"/>
        <w:gridCol w:w="95"/>
        <w:gridCol w:w="60"/>
        <w:gridCol w:w="152"/>
        <w:gridCol w:w="693"/>
        <w:gridCol w:w="105"/>
        <w:gridCol w:w="60"/>
        <w:gridCol w:w="339"/>
        <w:gridCol w:w="813"/>
        <w:gridCol w:w="233"/>
        <w:gridCol w:w="60"/>
        <w:gridCol w:w="140"/>
        <w:gridCol w:w="800"/>
        <w:gridCol w:w="95"/>
      </w:tblGrid>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1590" w:type="dxa"/>
            <w:gridSpan w:val="37"/>
            <w:tcBorders>
              <w:bottom w:val="single" w:sz="2" w:space="0" w:color="000000"/>
            </w:tcBorders>
            <w:shd w:fill="auto" w:val="clear"/>
            <w:tcMar>
              <w:bottom w:w="28" w:type="dxa"/>
            </w:tcMar>
            <w:vAlign w:val="bottom"/>
          </w:tcPr>
          <w:p>
            <w:pPr>
              <w:pStyle w:val="TableContents"/>
              <w:spacing w:before="0" w:after="283"/>
              <w:jc w:val="center"/>
              <w:rPr/>
            </w:pPr>
            <w:r>
              <w:rPr/>
              <w:t>(Dollars in thousands)</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Deferred</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 </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3"/>
            <w:tcBorders/>
            <w:shd w:fill="auto" w:val="clear"/>
            <w:vAlign w:val="bottom"/>
          </w:tcPr>
          <w:p>
            <w:pPr>
              <w:pStyle w:val="TableContents"/>
              <w:spacing w:before="0" w:after="283"/>
              <w:jc w:val="center"/>
              <w:rPr/>
            </w:pPr>
            <w:r>
              <w:rPr/>
              <w:t>Accumulated</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Compensation</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 </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3"/>
            <w:tcBorders/>
            <w:shd w:fill="auto" w:val="clear"/>
            <w:vAlign w:val="bottom"/>
          </w:tcPr>
          <w:p>
            <w:pPr>
              <w:pStyle w:val="TableContents"/>
              <w:spacing w:before="0" w:after="283"/>
              <w:jc w:val="center"/>
              <w:rPr/>
            </w:pPr>
            <w:r>
              <w:rPr/>
              <w:t>Common</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3"/>
            <w:tcBorders/>
            <w:shd w:fill="auto" w:val="clear"/>
            <w:vAlign w:val="bottom"/>
          </w:tcPr>
          <w:p>
            <w:pPr>
              <w:pStyle w:val="TableContents"/>
              <w:spacing w:before="0" w:after="283"/>
              <w:jc w:val="center"/>
              <w:rPr/>
            </w:pPr>
            <w:r>
              <w:rPr/>
              <w:t>Other</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3"/>
            <w:tcBorders/>
            <w:shd w:fill="auto" w:val="clear"/>
            <w:vAlign w:val="bottom"/>
          </w:tcPr>
          <w:p>
            <w:pPr>
              <w:pStyle w:val="TableContents"/>
              <w:spacing w:before="0" w:after="283"/>
              <w:jc w:val="center"/>
              <w:rPr/>
            </w:pPr>
            <w:r>
              <w:rPr/>
              <w:t>Unearned</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for Restricted</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 </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gridSpan w:val="3"/>
            <w:tcBorders/>
            <w:shd w:fill="auto" w:val="clear"/>
            <w:vAlign w:val="bottom"/>
          </w:tcPr>
          <w:p>
            <w:pPr>
              <w:pStyle w:val="TableContents"/>
              <w:spacing w:before="0" w:after="283"/>
              <w:jc w:val="center"/>
              <w:rPr/>
            </w:pPr>
            <w:r>
              <w:rPr/>
              <w:t>Common</w:t>
            </w:r>
          </w:p>
        </w:tc>
        <w:tc>
          <w:tcPr>
            <w:tcW w:w="60" w:type="dxa"/>
            <w:tcBorders/>
            <w:shd w:fill="auto" w:val="clear"/>
            <w:vAlign w:val="bottom"/>
          </w:tcPr>
          <w:p>
            <w:pPr>
              <w:pStyle w:val="TableContents"/>
              <w:spacing w:before="0" w:after="283"/>
              <w:rPr/>
            </w:pPr>
            <w:r>
              <w:rPr/>
              <w:t> </w:t>
            </w:r>
          </w:p>
        </w:tc>
        <w:tc>
          <w:tcPr>
            <w:tcW w:w="1085" w:type="dxa"/>
            <w:gridSpan w:val="3"/>
            <w:tcBorders/>
            <w:shd w:fill="auto" w:val="clear"/>
            <w:vAlign w:val="bottom"/>
          </w:tcPr>
          <w:p>
            <w:pPr>
              <w:pStyle w:val="TableContents"/>
              <w:spacing w:before="0" w:after="283"/>
              <w:jc w:val="center"/>
              <w:rPr/>
            </w:pPr>
            <w:r>
              <w:rPr/>
              <w:t>Stock to be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Retained</w:t>
            </w:r>
          </w:p>
        </w:tc>
        <w:tc>
          <w:tcPr>
            <w:tcW w:w="60" w:type="dxa"/>
            <w:tcBorders/>
            <w:shd w:fill="auto" w:val="clear"/>
            <w:vAlign w:val="bottom"/>
          </w:tcPr>
          <w:p>
            <w:pPr>
              <w:pStyle w:val="TableContents"/>
              <w:spacing w:before="0" w:after="283"/>
              <w:rPr/>
            </w:pPr>
            <w:r>
              <w:rPr/>
              <w:t> </w:t>
            </w:r>
          </w:p>
        </w:tc>
        <w:tc>
          <w:tcPr>
            <w:tcW w:w="1505" w:type="dxa"/>
            <w:gridSpan w:val="3"/>
            <w:tcBorders/>
            <w:shd w:fill="auto" w:val="clear"/>
            <w:vAlign w:val="bottom"/>
          </w:tcPr>
          <w:p>
            <w:pPr>
              <w:pStyle w:val="TableContents"/>
              <w:spacing w:before="0" w:after="283"/>
              <w:jc w:val="center"/>
              <w:rPr/>
            </w:pPr>
            <w:r>
              <w:rPr/>
              <w:t>Comprehensive</w:t>
            </w:r>
          </w:p>
        </w:tc>
        <w:tc>
          <w:tcPr>
            <w:tcW w:w="60" w:type="dxa"/>
            <w:tcBorders/>
            <w:shd w:fill="auto" w:val="clear"/>
            <w:vAlign w:val="bottom"/>
          </w:tcPr>
          <w:p>
            <w:pPr>
              <w:pStyle w:val="TableContents"/>
              <w:spacing w:before="0" w:after="283"/>
              <w:rPr/>
            </w:pPr>
            <w:r>
              <w:rPr/>
              <w:t> </w:t>
            </w:r>
          </w:p>
        </w:tc>
        <w:tc>
          <w:tcPr>
            <w:tcW w:w="990" w:type="dxa"/>
            <w:gridSpan w:val="3"/>
            <w:tcBorders/>
            <w:shd w:fill="auto" w:val="clear"/>
            <w:vAlign w:val="bottom"/>
          </w:tcPr>
          <w:p>
            <w:pPr>
              <w:pStyle w:val="TableContents"/>
              <w:spacing w:before="0" w:after="283"/>
              <w:jc w:val="center"/>
              <w:rPr/>
            </w:pPr>
            <w:r>
              <w:rPr/>
              <w:t>Treasury</w:t>
            </w:r>
          </w:p>
        </w:tc>
        <w:tc>
          <w:tcPr>
            <w:tcW w:w="60" w:type="dxa"/>
            <w:tcBorders/>
            <w:shd w:fill="auto" w:val="clear"/>
            <w:vAlign w:val="bottom"/>
          </w:tcPr>
          <w:p>
            <w:pPr>
              <w:pStyle w:val="TableContents"/>
              <w:spacing w:before="0" w:after="283"/>
              <w:rPr/>
            </w:pPr>
            <w:r>
              <w:rPr/>
              <w:t> </w:t>
            </w:r>
          </w:p>
        </w:tc>
        <w:tc>
          <w:tcPr>
            <w:tcW w:w="950" w:type="dxa"/>
            <w:gridSpan w:val="3"/>
            <w:tcBorders/>
            <w:shd w:fill="auto" w:val="clear"/>
            <w:vAlign w:val="bottom"/>
          </w:tcPr>
          <w:p>
            <w:pPr>
              <w:pStyle w:val="TableContents"/>
              <w:spacing w:before="0" w:after="283"/>
              <w:jc w:val="center"/>
              <w:rPr/>
            </w:pPr>
            <w:r>
              <w:rPr/>
              <w:t>ESOP</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Stock</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 </w:t>
            </w:r>
          </w:p>
        </w:tc>
      </w:tr>
      <w:tr>
        <w:trPr/>
        <w:tc>
          <w:tcPr>
            <w:tcW w:w="1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gridSpan w:val="3"/>
            <w:tcBorders/>
            <w:shd w:fill="auto" w:val="clear"/>
            <w:vAlign w:val="bottom"/>
          </w:tcPr>
          <w:p>
            <w:pPr>
              <w:pStyle w:val="TableContents"/>
              <w:spacing w:before="0" w:after="283"/>
              <w:jc w:val="center"/>
              <w:rPr/>
            </w:pPr>
            <w:r>
              <w:rPr/>
              <w:t>Stock</w:t>
            </w:r>
          </w:p>
        </w:tc>
        <w:tc>
          <w:tcPr>
            <w:tcW w:w="60" w:type="dxa"/>
            <w:tcBorders/>
            <w:shd w:fill="auto" w:val="clear"/>
            <w:vAlign w:val="bottom"/>
          </w:tcPr>
          <w:p>
            <w:pPr>
              <w:pStyle w:val="TableContents"/>
              <w:spacing w:before="0" w:after="283"/>
              <w:rPr/>
            </w:pPr>
            <w:r>
              <w:rPr/>
              <w:t> </w:t>
            </w:r>
          </w:p>
        </w:tc>
        <w:tc>
          <w:tcPr>
            <w:tcW w:w="1085" w:type="dxa"/>
            <w:gridSpan w:val="3"/>
            <w:tcBorders/>
            <w:shd w:fill="auto" w:val="clear"/>
            <w:vAlign w:val="bottom"/>
          </w:tcPr>
          <w:p>
            <w:pPr>
              <w:pStyle w:val="TableContents"/>
              <w:spacing w:before="0" w:after="283"/>
              <w:jc w:val="center"/>
              <w:rPr/>
            </w:pPr>
            <w:r>
              <w:rPr/>
              <w:t>Issued</w:t>
            </w:r>
          </w:p>
        </w:tc>
        <w:tc>
          <w:tcPr>
            <w:tcW w:w="60" w:type="dxa"/>
            <w:tcBorders/>
            <w:shd w:fill="auto" w:val="clear"/>
            <w:vAlign w:val="bottom"/>
          </w:tcPr>
          <w:p>
            <w:pPr>
              <w:pStyle w:val="TableContents"/>
              <w:spacing w:before="0" w:after="283"/>
              <w:rPr/>
            </w:pPr>
            <w:r>
              <w:rPr/>
              <w:t> </w:t>
            </w:r>
          </w:p>
        </w:tc>
        <w:tc>
          <w:tcPr>
            <w:tcW w:w="880" w:type="dxa"/>
            <w:gridSpan w:val="3"/>
            <w:tcBorders/>
            <w:shd w:fill="auto" w:val="clear"/>
            <w:vAlign w:val="bottom"/>
          </w:tcPr>
          <w:p>
            <w:pPr>
              <w:pStyle w:val="TableContents"/>
              <w:spacing w:before="0" w:after="283"/>
              <w:jc w:val="center"/>
              <w:rPr/>
            </w:pPr>
            <w:r>
              <w:rPr/>
              <w:t>Surplus</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Earnings</w:t>
            </w:r>
          </w:p>
        </w:tc>
        <w:tc>
          <w:tcPr>
            <w:tcW w:w="60" w:type="dxa"/>
            <w:tcBorders/>
            <w:shd w:fill="auto" w:val="clear"/>
            <w:vAlign w:val="bottom"/>
          </w:tcPr>
          <w:p>
            <w:pPr>
              <w:pStyle w:val="TableContents"/>
              <w:spacing w:before="0" w:after="283"/>
              <w:rPr/>
            </w:pPr>
            <w:r>
              <w:rPr/>
              <w:t> </w:t>
            </w:r>
          </w:p>
        </w:tc>
        <w:tc>
          <w:tcPr>
            <w:tcW w:w="1505" w:type="dxa"/>
            <w:gridSpan w:val="3"/>
            <w:tcBorders/>
            <w:shd w:fill="auto" w:val="clear"/>
            <w:vAlign w:val="bottom"/>
          </w:tcPr>
          <w:p>
            <w:pPr>
              <w:pStyle w:val="TableContents"/>
              <w:spacing w:before="0" w:after="283"/>
              <w:jc w:val="center"/>
              <w:rPr/>
            </w:pPr>
            <w:r>
              <w:rPr/>
              <w:t>Income (loss)</w:t>
            </w:r>
          </w:p>
        </w:tc>
        <w:tc>
          <w:tcPr>
            <w:tcW w:w="60" w:type="dxa"/>
            <w:tcBorders/>
            <w:shd w:fill="auto" w:val="clear"/>
            <w:vAlign w:val="bottom"/>
          </w:tcPr>
          <w:p>
            <w:pPr>
              <w:pStyle w:val="TableContents"/>
              <w:spacing w:before="0" w:after="283"/>
              <w:rPr/>
            </w:pPr>
            <w:r>
              <w:rPr/>
              <w:t> </w:t>
            </w:r>
          </w:p>
        </w:tc>
        <w:tc>
          <w:tcPr>
            <w:tcW w:w="990" w:type="dxa"/>
            <w:gridSpan w:val="3"/>
            <w:tcBorders/>
            <w:shd w:fill="auto" w:val="clear"/>
            <w:vAlign w:val="bottom"/>
          </w:tcPr>
          <w:p>
            <w:pPr>
              <w:pStyle w:val="TableContents"/>
              <w:spacing w:before="0" w:after="283"/>
              <w:jc w:val="center"/>
              <w:rPr/>
            </w:pPr>
            <w:r>
              <w:rPr/>
              <w:t>Stock</w:t>
            </w:r>
          </w:p>
        </w:tc>
        <w:tc>
          <w:tcPr>
            <w:tcW w:w="60" w:type="dxa"/>
            <w:tcBorders/>
            <w:shd w:fill="auto" w:val="clear"/>
            <w:vAlign w:val="bottom"/>
          </w:tcPr>
          <w:p>
            <w:pPr>
              <w:pStyle w:val="TableContents"/>
              <w:spacing w:before="0" w:after="283"/>
              <w:rPr/>
            </w:pPr>
            <w:r>
              <w:rPr/>
              <w:t> </w:t>
            </w:r>
          </w:p>
        </w:tc>
        <w:tc>
          <w:tcPr>
            <w:tcW w:w="950" w:type="dxa"/>
            <w:gridSpan w:val="3"/>
            <w:tcBorders/>
            <w:shd w:fill="auto" w:val="clear"/>
            <w:vAlign w:val="bottom"/>
          </w:tcPr>
          <w:p>
            <w:pPr>
              <w:pStyle w:val="TableContents"/>
              <w:spacing w:before="0" w:after="283"/>
              <w:jc w:val="center"/>
              <w:rPr/>
            </w:pPr>
            <w:r>
              <w:rPr/>
              <w:t>Shares</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Awards</w:t>
            </w:r>
          </w:p>
        </w:tc>
        <w:tc>
          <w:tcPr>
            <w:tcW w:w="60" w:type="dxa"/>
            <w:tcBorders/>
            <w:shd w:fill="auto" w:val="clear"/>
            <w:vAlign w:val="bottom"/>
          </w:tcPr>
          <w:p>
            <w:pPr>
              <w:pStyle w:val="TableContents"/>
              <w:spacing w:before="0" w:after="283"/>
              <w:rPr/>
            </w:pPr>
            <w:r>
              <w:rPr/>
              <w:t> </w:t>
            </w:r>
          </w:p>
        </w:tc>
        <w:tc>
          <w:tcPr>
            <w:tcW w:w="1035" w:type="dxa"/>
            <w:gridSpan w:val="3"/>
            <w:tcBorders/>
            <w:shd w:fill="auto" w:val="clear"/>
            <w:vAlign w:val="bottom"/>
          </w:tcPr>
          <w:p>
            <w:pPr>
              <w:pStyle w:val="TableContents"/>
              <w:spacing w:before="0" w:after="283"/>
              <w:jc w:val="center"/>
              <w:rPr/>
            </w:pPr>
            <w:r>
              <w:rPr/>
              <w:t>Total</w:t>
            </w:r>
          </w:p>
        </w:tc>
      </w:tr>
      <w:tr>
        <w:trPr/>
        <w:tc>
          <w:tcPr>
            <w:tcW w:w="12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0" w:type="dxa"/>
            <w:gridSpan w:val="3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280" w:type="dxa"/>
            <w:tcBorders/>
            <w:shd w:fill="CCEEFF" w:val="clear"/>
            <w:vAlign w:val="bottom"/>
          </w:tcPr>
          <w:p>
            <w:pPr>
              <w:pStyle w:val="TableContents"/>
              <w:spacing w:before="0" w:after="0"/>
              <w:ind w:left="225" w:right="0" w:hanging="225"/>
              <w:rPr/>
            </w:pPr>
            <w:r>
              <w:rPr/>
              <w:t>Balance, December 31, 2004</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right"/>
              <w:rPr/>
            </w:pPr>
            <w:r>
              <w:rPr/>
              <w:t>$</w:t>
            </w:r>
          </w:p>
        </w:tc>
        <w:tc>
          <w:tcPr>
            <w:tcW w:w="660" w:type="dxa"/>
            <w:tcBorders/>
            <w:shd w:fill="CCEEFF" w:val="clear"/>
            <w:vAlign w:val="bottom"/>
          </w:tcPr>
          <w:p>
            <w:pPr>
              <w:pStyle w:val="TableContents"/>
              <w:spacing w:before="0" w:after="283"/>
              <w:jc w:val="right"/>
              <w:rPr/>
            </w:pPr>
            <w:r>
              <w:rPr/>
              <w:t>6,291</w:t>
            </w:r>
          </w:p>
        </w:tc>
        <w:tc>
          <w:tcPr>
            <w:tcW w:w="1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jc w:val="right"/>
              <w:rPr/>
            </w:pPr>
            <w:r>
              <w:rPr/>
              <w:t>$</w:t>
            </w:r>
          </w:p>
        </w:tc>
        <w:tc>
          <w:tcPr>
            <w:tcW w:w="70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680" w:type="dxa"/>
            <w:tcBorders/>
            <w:shd w:fill="CCEEFF" w:val="clear"/>
            <w:vAlign w:val="bottom"/>
          </w:tcPr>
          <w:p>
            <w:pPr>
              <w:pStyle w:val="TableContents"/>
              <w:spacing w:before="0" w:after="283"/>
              <w:jc w:val="right"/>
              <w:rPr/>
            </w:pPr>
            <w:r>
              <w:rPr/>
              <w:t>21,696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800" w:type="dxa"/>
            <w:tcBorders/>
            <w:shd w:fill="CCEEFF" w:val="clear"/>
            <w:vAlign w:val="bottom"/>
          </w:tcPr>
          <w:p>
            <w:pPr>
              <w:pStyle w:val="TableContents"/>
              <w:spacing w:before="0" w:after="283"/>
              <w:jc w:val="right"/>
              <w:rPr/>
            </w:pPr>
            <w:r>
              <w:rPr/>
              <w:t>114,359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jc w:val="right"/>
              <w:rPr/>
            </w:pPr>
            <w:r>
              <w:rPr/>
              <w:t>$</w:t>
            </w:r>
          </w:p>
        </w:tc>
        <w:tc>
          <w:tcPr>
            <w:tcW w:w="1098" w:type="dxa"/>
            <w:tcBorders/>
            <w:shd w:fill="CCEEFF" w:val="clear"/>
            <w:vAlign w:val="bottom"/>
          </w:tcPr>
          <w:p>
            <w:pPr>
              <w:pStyle w:val="TableContents"/>
              <w:spacing w:before="0" w:after="283"/>
              <w:jc w:val="right"/>
              <w:rPr/>
            </w:pPr>
            <w:r>
              <w:rPr/>
              <w:t>9,170</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755" w:type="dxa"/>
            <w:tcBorders/>
            <w:shd w:fill="CCEEFF" w:val="clear"/>
            <w:vAlign w:val="bottom"/>
          </w:tcPr>
          <w:p>
            <w:pPr>
              <w:pStyle w:val="TableContents"/>
              <w:spacing w:before="0" w:after="283"/>
              <w:jc w:val="right"/>
              <w:rPr/>
            </w:pPr>
            <w:r>
              <w:rPr/>
              <w:t>(10,173</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(2,456</w:t>
            </w:r>
          </w:p>
        </w:tc>
        <w:tc>
          <w:tcPr>
            <w:tcW w:w="10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jc w:val="right"/>
              <w:rPr/>
            </w:pPr>
            <w:r>
              <w:rPr/>
              <w:t>$</w:t>
            </w:r>
          </w:p>
        </w:tc>
        <w:tc>
          <w:tcPr>
            <w:tcW w:w="813" w:type="dxa"/>
            <w:tcBorders/>
            <w:shd w:fill="CCEEFF" w:val="clear"/>
            <w:vAlign w:val="bottom"/>
          </w:tcPr>
          <w:p>
            <w:pPr>
              <w:pStyle w:val="TableContents"/>
              <w:spacing w:before="0" w:after="283"/>
              <w:jc w:val="right"/>
              <w:rPr/>
            </w:pPr>
            <w:r>
              <w:rPr/>
              <w:t>(15</w:t>
            </w:r>
          </w:p>
        </w:tc>
        <w:tc>
          <w:tcPr>
            <w:tcW w:w="233"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800" w:type="dxa"/>
            <w:tcBorders/>
            <w:shd w:fill="CCEEFF" w:val="clear"/>
            <w:vAlign w:val="bottom"/>
          </w:tcPr>
          <w:p>
            <w:pPr>
              <w:pStyle w:val="TableContents"/>
              <w:spacing w:before="0" w:after="283"/>
              <w:jc w:val="right"/>
              <w:rPr/>
            </w:pPr>
            <w:r>
              <w:rPr/>
              <w:t>138,872</w:t>
            </w:r>
          </w:p>
        </w:tc>
        <w:tc>
          <w:tcPr>
            <w:tcW w:w="95" w:type="dxa"/>
            <w:tcBorders/>
            <w:shd w:fill="CCEEFF"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Comprehensive Income:</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450" w:right="0" w:hanging="225"/>
              <w:rPr/>
            </w:pPr>
            <w:r>
              <w:rPr/>
              <w:t>Net Income</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26,934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26,934</w:t>
            </w:r>
          </w:p>
        </w:tc>
        <w:tc>
          <w:tcPr>
            <w:tcW w:w="95" w:type="dxa"/>
            <w:tcBorders/>
            <w:shd w:fill="CCEEFF"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450" w:right="0" w:hanging="225"/>
              <w:rPr/>
            </w:pPr>
            <w:r>
              <w:rPr/>
              <w:t>Other comprehensive income, net of tax:</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675" w:right="0" w:hanging="225"/>
              <w:rPr/>
            </w:pPr>
            <w:r>
              <w:rPr/>
              <w:t>Unrealized losses on securities available for sale arising during the period, net of tax benefit of $1,265</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(1,921</w:t>
            </w:r>
          </w:p>
        </w:tc>
        <w:tc>
          <w:tcPr>
            <w:tcW w:w="95" w:type="dxa"/>
            <w:tcBorders/>
            <w:shd w:fill="CCEEFF" w:val="clear"/>
            <w:vAlign w:val="bottom"/>
          </w:tcPr>
          <w:p>
            <w:pPr>
              <w:pStyle w:val="TableContents"/>
              <w:spacing w:before="0" w:after="283"/>
              <w:rPr/>
            </w:pPr>
            <w:r>
              <w:rPr/>
              <w:t>)</w:t>
            </w:r>
          </w:p>
        </w:tc>
      </w:tr>
      <w:tr>
        <w:trPr/>
        <w:tc>
          <w:tcPr>
            <w:tcW w:w="1280" w:type="dxa"/>
            <w:tcBorders/>
            <w:shd w:fill="auto" w:val="clear"/>
            <w:vAlign w:val="bottom"/>
          </w:tcPr>
          <w:p>
            <w:pPr>
              <w:pStyle w:val="TableContents"/>
              <w:spacing w:before="0" w:after="0"/>
              <w:ind w:left="675" w:right="0" w:hanging="225"/>
              <w:rPr/>
            </w:pPr>
            <w:r>
              <w:rPr/>
              <w:t>Reclassification adjustment, net of tax benefit of $21</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33</w:t>
            </w:r>
          </w:p>
        </w:tc>
        <w:tc>
          <w:tcPr>
            <w:tcW w:w="95" w:type="dxa"/>
            <w:tcBorders/>
            <w:shd w:fill="auto" w:val="clear"/>
            <w:vAlign w:val="bottom"/>
          </w:tcPr>
          <w:p>
            <w:pPr>
              <w:pStyle w:val="TableContents"/>
              <w:spacing w:before="0" w:after="283"/>
              <w:rPr/>
            </w:pPr>
            <w:r>
              <w:rPr/>
              <w:t> </w:t>
            </w:r>
          </w:p>
        </w:tc>
      </w:tr>
      <w:tr>
        <w:trPr/>
        <w:tc>
          <w:tcPr>
            <w:tcW w:w="128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6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709"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693"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813"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450" w:right="0" w:hanging="225"/>
              <w:rPr/>
            </w:pPr>
            <w:r>
              <w:rPr/>
              <w:t>Other comprehensive loss, net of tax benefit of $1,244</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jc w:val="right"/>
              <w:rPr/>
            </w:pPr>
            <w:r>
              <w:rPr/>
              <w:t> </w:t>
            </w:r>
          </w:p>
        </w:tc>
        <w:tc>
          <w:tcPr>
            <w:tcW w:w="1098" w:type="dxa"/>
            <w:tcBorders/>
            <w:shd w:fill="CCEEFF" w:val="clear"/>
            <w:vAlign w:val="bottom"/>
          </w:tcPr>
          <w:p>
            <w:pPr>
              <w:pStyle w:val="TableContents"/>
              <w:spacing w:before="0" w:after="283"/>
              <w:jc w:val="right"/>
              <w:rPr/>
            </w:pPr>
            <w:r>
              <w:rPr/>
              <w:t>(1,888</w:t>
            </w:r>
          </w:p>
        </w:tc>
        <w:tc>
          <w:tcPr>
            <w:tcW w:w="166"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(1,888</w:t>
            </w:r>
          </w:p>
        </w:tc>
        <w:tc>
          <w:tcPr>
            <w:tcW w:w="95" w:type="dxa"/>
            <w:tcBorders/>
            <w:shd w:fill="CCEEFF" w:val="clear"/>
            <w:vAlign w:val="bottom"/>
          </w:tcPr>
          <w:p>
            <w:pPr>
              <w:pStyle w:val="TableContents"/>
              <w:spacing w:before="0" w:after="283"/>
              <w:rPr/>
            </w:pPr>
            <w:r>
              <w:rPr/>
              <w:t>)</w:t>
            </w:r>
          </w:p>
        </w:tc>
      </w:tr>
      <w:tr>
        <w:trPr/>
        <w:tc>
          <w:tcPr>
            <w:tcW w:w="128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6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709"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693"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813"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Comprehensive Income</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25,046</w:t>
            </w:r>
          </w:p>
        </w:tc>
        <w:tc>
          <w:tcPr>
            <w:tcW w:w="95" w:type="dxa"/>
            <w:tcBorders/>
            <w:shd w:fill="auto" w:val="clear"/>
            <w:vAlign w:val="bottom"/>
          </w:tcPr>
          <w:p>
            <w:pPr>
              <w:pStyle w:val="TableContents"/>
              <w:spacing w:before="0" w:after="283"/>
              <w:rPr/>
            </w:pPr>
            <w:r>
              <w:rPr/>
              <w:t> </w:t>
            </w:r>
          </w:p>
        </w:tc>
      </w:tr>
      <w:tr>
        <w:trPr/>
        <w:tc>
          <w:tcPr>
            <w:tcW w:w="128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6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709"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693"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813"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225" w:right="0" w:hanging="225"/>
              <w:rPr/>
            </w:pPr>
            <w:r>
              <w:rPr/>
              <w:t>Reclassification of common stock from no par value to $.001 par value</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right"/>
              <w:rPr/>
            </w:pPr>
            <w:r>
              <w:rPr/>
              <w:t> </w:t>
            </w:r>
          </w:p>
        </w:tc>
        <w:tc>
          <w:tcPr>
            <w:tcW w:w="660" w:type="dxa"/>
            <w:tcBorders/>
            <w:shd w:fill="CCEEFF" w:val="clear"/>
            <w:vAlign w:val="bottom"/>
          </w:tcPr>
          <w:p>
            <w:pPr>
              <w:pStyle w:val="TableContents"/>
              <w:spacing w:before="0" w:after="283"/>
              <w:jc w:val="right"/>
              <w:rPr/>
            </w:pPr>
            <w:r>
              <w:rPr/>
              <w:t>(6,270</w:t>
            </w:r>
          </w:p>
        </w:tc>
        <w:tc>
          <w:tcPr>
            <w:tcW w:w="10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6,270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Issuance of 849,965 shares of common stock for purchase of Tarpon Coast Bancorp, Inc.</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1</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pPr>
            <w:r>
              <w:rPr/>
              <w:t>408</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16,369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16,778</w:t>
            </w:r>
          </w:p>
        </w:tc>
        <w:tc>
          <w:tcPr>
            <w:tcW w:w="95" w:type="dxa"/>
            <w:tcBorders/>
            <w:shd w:fill="auto"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225" w:right="0" w:hanging="225"/>
              <w:rPr/>
            </w:pPr>
            <w:r>
              <w:rPr/>
              <w:t>Purchase of 156,934 shares of treasury</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755" w:type="dxa"/>
            <w:tcBorders/>
            <w:shd w:fill="CCEEFF" w:val="clear"/>
            <w:vAlign w:val="bottom"/>
          </w:tcPr>
          <w:p>
            <w:pPr>
              <w:pStyle w:val="TableContents"/>
              <w:spacing w:before="0" w:after="283"/>
              <w:jc w:val="right"/>
              <w:rPr/>
            </w:pPr>
            <w:r>
              <w:rPr/>
              <w:t>(3,235</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(3,235</w:t>
            </w:r>
          </w:p>
        </w:tc>
        <w:tc>
          <w:tcPr>
            <w:tcW w:w="95" w:type="dxa"/>
            <w:tcBorders/>
            <w:shd w:fill="CCEEFF" w:val="clear"/>
            <w:vAlign w:val="bottom"/>
          </w:tcPr>
          <w:p>
            <w:pPr>
              <w:pStyle w:val="TableContents"/>
              <w:spacing w:before="0" w:after="283"/>
              <w:rPr/>
            </w:pPr>
            <w:r>
              <w:rPr/>
              <w:t>)</w:t>
            </w:r>
          </w:p>
        </w:tc>
      </w:tr>
      <w:tr>
        <w:trPr/>
        <w:tc>
          <w:tcPr>
            <w:tcW w:w="1280" w:type="dxa"/>
            <w:tcBorders/>
            <w:shd w:fill="auto" w:val="clear"/>
            <w:vAlign w:val="bottom"/>
          </w:tcPr>
          <w:p>
            <w:pPr>
              <w:pStyle w:val="TableContents"/>
              <w:spacing w:before="0" w:after="0"/>
              <w:ind w:left="225" w:right="0" w:hanging="225"/>
              <w:rPr/>
            </w:pPr>
            <w:r>
              <w:rPr/>
              <w:t>Issuance of 192,900 shares of treasury stock for option exercise and related tax benefit</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285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2,791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3,076</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225" w:right="0" w:hanging="225"/>
              <w:rPr/>
            </w:pPr>
            <w:r>
              <w:rPr/>
              <w:t>Issuance of 10,000 shares of treasury stock to benefit plans</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140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207</w:t>
            </w:r>
          </w:p>
        </w:tc>
        <w:tc>
          <w:tcPr>
            <w:tcW w:w="95" w:type="dxa"/>
            <w:tcBorders/>
            <w:shd w:fill="CCEEFF"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Cash dividends:</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450" w:right="0" w:hanging="225"/>
              <w:rPr/>
            </w:pPr>
            <w:r>
              <w:rPr/>
              <w:t>Common stock at $.56 per share</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(11,564</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 </w:t>
            </w:r>
          </w:p>
        </w:tc>
        <w:tc>
          <w:tcPr>
            <w:tcW w:w="800" w:type="dxa"/>
            <w:tcBorders/>
            <w:shd w:fill="CCEEFF" w:val="clear"/>
            <w:vAlign w:val="bottom"/>
          </w:tcPr>
          <w:p>
            <w:pPr>
              <w:pStyle w:val="TableContents"/>
              <w:spacing w:before="0" w:after="283"/>
              <w:jc w:val="right"/>
              <w:rPr/>
            </w:pPr>
            <w:r>
              <w:rPr/>
              <w:t>(11,564</w:t>
            </w:r>
          </w:p>
        </w:tc>
        <w:tc>
          <w:tcPr>
            <w:tcW w:w="95" w:type="dxa"/>
            <w:tcBorders/>
            <w:shd w:fill="CCEEFF" w:val="clear"/>
            <w:vAlign w:val="bottom"/>
          </w:tcPr>
          <w:p>
            <w:pPr>
              <w:pStyle w:val="TableContents"/>
              <w:spacing w:before="0" w:after="283"/>
              <w:rPr/>
            </w:pPr>
            <w:r>
              <w:rPr/>
              <w:t>)</w:t>
            </w:r>
          </w:p>
        </w:tc>
      </w:tr>
      <w:tr>
        <w:trPr/>
        <w:tc>
          <w:tcPr>
            <w:tcW w:w="1280" w:type="dxa"/>
            <w:tcBorders/>
            <w:shd w:fill="auto" w:val="clear"/>
            <w:vAlign w:val="bottom"/>
          </w:tcPr>
          <w:p>
            <w:pPr>
              <w:pStyle w:val="TableContents"/>
              <w:spacing w:before="0" w:after="0"/>
              <w:ind w:left="225" w:right="0" w:hanging="225"/>
              <w:rPr/>
            </w:pPr>
            <w:r>
              <w:rPr/>
              <w:t>Employee stock ownership plan shares allocated</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125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398</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523</w:t>
            </w:r>
          </w:p>
        </w:tc>
        <w:tc>
          <w:tcPr>
            <w:tcW w:w="95" w:type="dxa"/>
            <w:tcBorders/>
            <w:shd w:fill="auto" w:val="clear"/>
            <w:vAlign w:val="bottom"/>
          </w:tcPr>
          <w:p>
            <w:pPr>
              <w:pStyle w:val="TableContents"/>
              <w:spacing w:before="0" w:after="283"/>
              <w:rPr/>
            </w:pPr>
            <w:r>
              <w:rPr/>
              <w:t> </w:t>
            </w:r>
          </w:p>
        </w:tc>
      </w:tr>
      <w:tr>
        <w:trPr/>
        <w:tc>
          <w:tcPr>
            <w:tcW w:w="1280" w:type="dxa"/>
            <w:tcBorders/>
            <w:shd w:fill="CCEEFF" w:val="clear"/>
            <w:vAlign w:val="bottom"/>
          </w:tcPr>
          <w:p>
            <w:pPr>
              <w:pStyle w:val="TableContents"/>
              <w:spacing w:before="0" w:after="0"/>
              <w:ind w:left="225" w:right="0" w:hanging="225"/>
              <w:rPr/>
            </w:pPr>
            <w:r>
              <w:rPr/>
              <w:t>Amortization of restricted stock issued under restricted stock award plan</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6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11</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11</w:t>
            </w:r>
          </w:p>
        </w:tc>
        <w:tc>
          <w:tcPr>
            <w:tcW w:w="95" w:type="dxa"/>
            <w:tcBorders/>
            <w:shd w:fill="CCEEFF" w:val="clear"/>
            <w:vAlign w:val="bottom"/>
          </w:tcPr>
          <w:p>
            <w:pPr>
              <w:pStyle w:val="TableContents"/>
              <w:spacing w:before="0" w:after="283"/>
              <w:rPr/>
            </w:pPr>
            <w:r>
              <w:rPr/>
              <w:t> </w:t>
            </w:r>
          </w:p>
        </w:tc>
      </w:tr>
      <w:tr>
        <w:trPr/>
        <w:tc>
          <w:tcPr>
            <w:tcW w:w="11590" w:type="dxa"/>
            <w:gridSpan w:val="3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28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80" w:type="dxa"/>
            <w:tcBorders/>
            <w:shd w:fill="auto" w:val="clear"/>
            <w:vAlign w:val="bottom"/>
          </w:tcPr>
          <w:p>
            <w:pPr>
              <w:pStyle w:val="TableContents"/>
              <w:spacing w:before="0" w:after="0"/>
              <w:ind w:left="225" w:right="0" w:hanging="225"/>
              <w:rPr/>
            </w:pPr>
            <w:r>
              <w:rPr/>
              <w:t>Balance, December 31, 2005</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right"/>
              <w:rPr>
                <w:b/>
              </w:rPr>
            </w:pPr>
            <w:r>
              <w:rPr>
                <w:b/>
              </w:rPr>
              <w:t>$</w:t>
            </w:r>
          </w:p>
        </w:tc>
        <w:tc>
          <w:tcPr>
            <w:tcW w:w="660" w:type="dxa"/>
            <w:tcBorders/>
            <w:shd w:fill="auto" w:val="clear"/>
            <w:vAlign w:val="bottom"/>
          </w:tcPr>
          <w:p>
            <w:pPr>
              <w:pStyle w:val="TableContents"/>
              <w:spacing w:before="0" w:after="283"/>
              <w:jc w:val="right"/>
              <w:rPr>
                <w:b/>
              </w:rPr>
            </w:pPr>
            <w:r>
              <w:rPr>
                <w:b/>
              </w:rPr>
              <w:t>22</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b/>
              </w:rPr>
            </w:pPr>
            <w:r>
              <w:rPr>
                <w:b/>
              </w:rPr>
              <w:t>$</w:t>
            </w:r>
          </w:p>
        </w:tc>
        <w:tc>
          <w:tcPr>
            <w:tcW w:w="709" w:type="dxa"/>
            <w:tcBorders/>
            <w:shd w:fill="auto" w:val="clear"/>
            <w:vAlign w:val="bottom"/>
          </w:tcPr>
          <w:p>
            <w:pPr>
              <w:pStyle w:val="TableContents"/>
              <w:spacing w:before="0" w:after="283"/>
              <w:jc w:val="right"/>
              <w:rPr>
                <w:b/>
              </w:rPr>
            </w:pPr>
            <w:r>
              <w:rPr>
                <w:b/>
              </w:rPr>
              <w:t>408</w:t>
            </w:r>
          </w:p>
        </w:tc>
        <w:tc>
          <w:tcPr>
            <w:tcW w:w="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b/>
              </w:rPr>
            </w:pPr>
            <w:r>
              <w:rPr>
                <w:b/>
              </w:rPr>
              <w:t>$</w:t>
            </w:r>
          </w:p>
        </w:tc>
        <w:tc>
          <w:tcPr>
            <w:tcW w:w="680" w:type="dxa"/>
            <w:tcBorders/>
            <w:shd w:fill="auto" w:val="clear"/>
            <w:vAlign w:val="bottom"/>
          </w:tcPr>
          <w:p>
            <w:pPr>
              <w:pStyle w:val="TableContents"/>
              <w:spacing w:before="0" w:after="283"/>
              <w:jc w:val="right"/>
              <w:rPr>
                <w:b/>
              </w:rPr>
            </w:pPr>
            <w:r>
              <w:rPr>
                <w:b/>
              </w:rPr>
              <w:t>44,812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b/>
              </w:rPr>
            </w:pPr>
            <w:r>
              <w:rPr>
                <w:b/>
              </w:rPr>
              <w:t>$</w:t>
            </w:r>
          </w:p>
        </w:tc>
        <w:tc>
          <w:tcPr>
            <w:tcW w:w="800" w:type="dxa"/>
            <w:tcBorders/>
            <w:shd w:fill="auto" w:val="clear"/>
            <w:vAlign w:val="bottom"/>
          </w:tcPr>
          <w:p>
            <w:pPr>
              <w:pStyle w:val="TableContents"/>
              <w:spacing w:before="0" w:after="283"/>
              <w:jc w:val="right"/>
              <w:rPr>
                <w:b/>
              </w:rPr>
            </w:pPr>
            <w:r>
              <w:rPr>
                <w:b/>
              </w:rPr>
              <w:t>129,729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jc w:val="right"/>
              <w:rPr>
                <w:b/>
              </w:rPr>
            </w:pPr>
            <w:r>
              <w:rPr>
                <w:b/>
              </w:rPr>
              <w:t>$</w:t>
            </w:r>
          </w:p>
        </w:tc>
        <w:tc>
          <w:tcPr>
            <w:tcW w:w="1098" w:type="dxa"/>
            <w:tcBorders/>
            <w:shd w:fill="auto" w:val="clear"/>
            <w:vAlign w:val="bottom"/>
          </w:tcPr>
          <w:p>
            <w:pPr>
              <w:pStyle w:val="TableContents"/>
              <w:spacing w:before="0" w:after="283"/>
              <w:jc w:val="right"/>
              <w:rPr>
                <w:b/>
              </w:rPr>
            </w:pPr>
            <w:r>
              <w:rPr>
                <w:b/>
              </w:rPr>
              <w:t>7,282</w:t>
            </w:r>
          </w:p>
        </w:tc>
        <w:tc>
          <w:tcPr>
            <w:tcW w:w="1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b/>
              </w:rPr>
            </w:pPr>
            <w:r>
              <w:rPr>
                <w:b/>
              </w:rPr>
              <w:t>$</w:t>
            </w:r>
          </w:p>
        </w:tc>
        <w:tc>
          <w:tcPr>
            <w:tcW w:w="755" w:type="dxa"/>
            <w:tcBorders/>
            <w:shd w:fill="auto" w:val="clear"/>
            <w:vAlign w:val="bottom"/>
          </w:tcPr>
          <w:p>
            <w:pPr>
              <w:pStyle w:val="TableContents"/>
              <w:spacing w:before="0" w:after="283"/>
              <w:jc w:val="right"/>
              <w:rPr>
                <w:b/>
              </w:rPr>
            </w:pPr>
            <w:r>
              <w:rPr>
                <w:b/>
              </w:rPr>
              <w:t>(10,477</w:t>
            </w:r>
          </w:p>
        </w:tc>
        <w:tc>
          <w:tcPr>
            <w:tcW w:w="95" w:type="dxa"/>
            <w:tcBorders/>
            <w:shd w:fill="auto" w:val="clear"/>
            <w:vAlign w:val="bottom"/>
          </w:tcPr>
          <w:p>
            <w:pPr>
              <w:pStyle w:val="TableContents"/>
              <w:spacing w:before="0" w:after="283"/>
              <w:rPr>
                <w:b/>
              </w:rPr>
            </w:pPr>
            <w:r>
              <w:rPr>
                <w:b/>
              </w:rPr>
              <w:t>)</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right"/>
              <w:rPr>
                <w:b/>
              </w:rPr>
            </w:pPr>
            <w:r>
              <w:rPr>
                <w:b/>
              </w:rPr>
              <w:t>$</w:t>
            </w:r>
          </w:p>
        </w:tc>
        <w:tc>
          <w:tcPr>
            <w:tcW w:w="693" w:type="dxa"/>
            <w:tcBorders/>
            <w:shd w:fill="auto" w:val="clear"/>
            <w:vAlign w:val="bottom"/>
          </w:tcPr>
          <w:p>
            <w:pPr>
              <w:pStyle w:val="TableContents"/>
              <w:spacing w:before="0" w:after="283"/>
              <w:jc w:val="right"/>
              <w:rPr>
                <w:b/>
              </w:rPr>
            </w:pPr>
            <w:r>
              <w:rPr>
                <w:b/>
              </w:rPr>
              <w:t>(2,058</w:t>
            </w:r>
          </w:p>
        </w:tc>
        <w:tc>
          <w:tcPr>
            <w:tcW w:w="105" w:type="dxa"/>
            <w:tcBorders/>
            <w:shd w:fill="auto" w:val="clear"/>
            <w:vAlign w:val="bottom"/>
          </w:tcPr>
          <w:p>
            <w:pPr>
              <w:pStyle w:val="TableContents"/>
              <w:spacing w:before="0" w:after="283"/>
              <w:rPr>
                <w:b/>
              </w:rPr>
            </w:pPr>
            <w:r>
              <w:rPr>
                <w:b/>
              </w:rPr>
              <w:t>)</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b/>
              </w:rPr>
            </w:pPr>
            <w:r>
              <w:rPr>
                <w:b/>
              </w:rPr>
              <w:t>$</w:t>
            </w:r>
          </w:p>
        </w:tc>
        <w:tc>
          <w:tcPr>
            <w:tcW w:w="813" w:type="dxa"/>
            <w:tcBorders/>
            <w:shd w:fill="auto" w:val="clear"/>
            <w:vAlign w:val="bottom"/>
          </w:tcPr>
          <w:p>
            <w:pPr>
              <w:pStyle w:val="TableContents"/>
              <w:spacing w:before="0" w:after="283"/>
              <w:jc w:val="right"/>
              <w:rPr>
                <w:b/>
              </w:rPr>
            </w:pPr>
            <w:r>
              <w:rPr>
                <w:b/>
              </w:rPr>
              <w:t>(4</w:t>
            </w:r>
          </w:p>
        </w:tc>
        <w:tc>
          <w:tcPr>
            <w:tcW w:w="233" w:type="dxa"/>
            <w:tcBorders/>
            <w:shd w:fill="auto" w:val="clear"/>
            <w:vAlign w:val="bottom"/>
          </w:tcPr>
          <w:p>
            <w:pPr>
              <w:pStyle w:val="TableContents"/>
              <w:spacing w:before="0" w:after="283"/>
              <w:rPr>
                <w:b/>
              </w:rPr>
            </w:pPr>
            <w:r>
              <w:rPr>
                <w:b/>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b/>
              </w:rPr>
            </w:pPr>
            <w:r>
              <w:rPr>
                <w:b/>
              </w:rPr>
              <w:t>$</w:t>
            </w:r>
          </w:p>
        </w:tc>
        <w:tc>
          <w:tcPr>
            <w:tcW w:w="800" w:type="dxa"/>
            <w:tcBorders/>
            <w:shd w:fill="auto" w:val="clear"/>
            <w:vAlign w:val="bottom"/>
          </w:tcPr>
          <w:p>
            <w:pPr>
              <w:pStyle w:val="TableContents"/>
              <w:spacing w:before="0" w:after="283"/>
              <w:jc w:val="right"/>
              <w:rPr>
                <w:b/>
              </w:rPr>
            </w:pPr>
            <w:r>
              <w:rPr>
                <w:b/>
              </w:rPr>
              <w:t>169,714</w:t>
            </w:r>
          </w:p>
        </w:tc>
        <w:tc>
          <w:tcPr>
            <w:tcW w:w="95" w:type="dxa"/>
            <w:tcBorders/>
            <w:shd w:fill="auto" w:val="clear"/>
            <w:vAlign w:val="bottom"/>
          </w:tcPr>
          <w:p>
            <w:pPr>
              <w:pStyle w:val="TableContents"/>
              <w:spacing w:before="0" w:after="283"/>
              <w:rPr/>
            </w:pPr>
            <w:r>
              <w:rPr/>
              <w:t> </w:t>
            </w:r>
          </w:p>
        </w:tc>
      </w:tr>
      <w:tr>
        <w:trPr/>
        <w:tc>
          <w:tcPr>
            <w:tcW w:w="11590" w:type="dxa"/>
            <w:gridSpan w:val="3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See accompanying notes to consolidated financial statements </w:t>
      </w:r>
    </w:p>
    <w:p>
      <w:pPr>
        <w:pStyle w:val="TextBody"/>
        <w:jc w:val="center"/>
        <w:rPr>
          <w:rFonts w:ascii="Arial;Helvetica;sans-serif" w:hAnsi="Arial;Helvetica;sans-serif"/>
          <w:sz w:val="17"/>
        </w:rPr>
      </w:pPr>
      <w:r>
        <w:rPr>
          <w:rFonts w:ascii="Arial;Helvetica;sans-serif" w:hAnsi="Arial;Helvetica;sans-serif"/>
          <w:sz w:val="17"/>
        </w:rPr>
        <w:t xml:space="preserve">52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0" w:after="0"/>
        <w:jc w:val="left"/>
        <w:rPr>
          <w:rFonts w:ascii="Arial;Helvetica;sans-serif" w:hAnsi="Arial;Helvetica;sans-serif"/>
          <w:b/>
          <w:sz w:val="17"/>
        </w:rPr>
      </w:pPr>
      <w:bookmarkStart w:id="34" w:name="305"/>
      <w:bookmarkEnd w:id="34"/>
      <w:r>
        <w:rPr>
          <w:rFonts w:ascii="Arial;Helvetica;sans-serif" w:hAnsi="Arial;Helvetica;sans-serif"/>
          <w:b/>
          <w:sz w:val="17"/>
        </w:rPr>
        <w:t>CONSOLIDATED STATEMENTS OF CASH FLOWS</w:t>
      </w:r>
    </w:p>
    <w:p>
      <w:pPr>
        <w:pStyle w:val="TextBody"/>
        <w:spacing w:before="0" w:after="0"/>
        <w:jc w:val="left"/>
        <w:rPr>
          <w:rFonts w:ascii="Arial;Helvetica;sans-serif" w:hAnsi="Arial;Helvetica;sans-serif"/>
          <w:b/>
          <w:sz w:val="17"/>
        </w:rPr>
      </w:pPr>
      <w:r>
        <w:rPr>
          <w:rFonts w:ascii="Arial;Helvetica;sans-serif" w:hAnsi="Arial;Helvetica;sans-serif"/>
          <w:b/>
          <w:sz w:val="17"/>
        </w:rPr>
        <w:t>Years Ended December 31, 2005, 2004 and 2003</w:t>
      </w:r>
    </w:p>
    <w:tbl>
      <w:tblPr>
        <w:tblW w:w="5000" w:type="pct"/>
        <w:jc w:val="center"/>
        <w:tblInd w:w="0" w:type="dxa"/>
        <w:tblCellMar>
          <w:top w:w="0" w:type="dxa"/>
          <w:left w:w="0" w:type="dxa"/>
          <w:bottom w:w="0" w:type="dxa"/>
          <w:right w:w="0" w:type="dxa"/>
        </w:tblCellMar>
      </w:tblPr>
      <w:tblGrid>
        <w:gridCol w:w="4797"/>
        <w:gridCol w:w="350"/>
        <w:gridCol w:w="307"/>
        <w:gridCol w:w="878"/>
        <w:gridCol w:w="265"/>
        <w:gridCol w:w="350"/>
        <w:gridCol w:w="307"/>
        <w:gridCol w:w="878"/>
        <w:gridCol w:w="265"/>
        <w:gridCol w:w="350"/>
        <w:gridCol w:w="307"/>
        <w:gridCol w:w="878"/>
        <w:gridCol w:w="273"/>
      </w:tblGrid>
      <w:tr>
        <w:trPr/>
        <w:tc>
          <w:tcPr>
            <w:tcW w:w="4797"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r>
      <w:tr>
        <w:trPr/>
        <w:tc>
          <w:tcPr>
            <w:tcW w:w="4797" w:type="dxa"/>
            <w:tcBorders>
              <w:bottom w:val="single" w:sz="2" w:space="0" w:color="000000"/>
            </w:tcBorders>
            <w:shd w:fill="auto" w:val="clear"/>
            <w:tcMar>
              <w:bottom w:w="28" w:type="dxa"/>
            </w:tcMar>
            <w:vAlign w:val="bottom"/>
          </w:tcPr>
          <w:p>
            <w:pPr>
              <w:pStyle w:val="TableContents"/>
              <w:spacing w:before="0" w:after="283"/>
              <w:rPr/>
            </w:pPr>
            <w:r>
              <w:rPr/>
              <w:t> </w:t>
            </w:r>
          </w:p>
        </w:tc>
        <w:tc>
          <w:tcPr>
            <w:tcW w:w="350" w:type="dxa"/>
            <w:tcBorders>
              <w:bottom w:val="single" w:sz="2" w:space="0" w:color="000000"/>
            </w:tcBorders>
            <w:shd w:fill="auto" w:val="clear"/>
            <w:tcMar>
              <w:bottom w:w="28" w:type="dxa"/>
            </w:tcMar>
            <w:vAlign w:val="bottom"/>
          </w:tcPr>
          <w:p>
            <w:pPr>
              <w:pStyle w:val="TableContents"/>
              <w:spacing w:before="0" w:after="283"/>
              <w:rPr/>
            </w:pPr>
            <w:r>
              <w:rPr/>
              <w:t> </w:t>
            </w:r>
          </w:p>
        </w:tc>
        <w:tc>
          <w:tcPr>
            <w:tcW w:w="145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350" w:type="dxa"/>
            <w:tcBorders>
              <w:bottom w:val="single" w:sz="2" w:space="0" w:color="000000"/>
            </w:tcBorders>
            <w:shd w:fill="auto" w:val="clear"/>
            <w:tcMar>
              <w:bottom w:w="28" w:type="dxa"/>
            </w:tcMar>
            <w:vAlign w:val="bottom"/>
          </w:tcPr>
          <w:p>
            <w:pPr>
              <w:pStyle w:val="TableContents"/>
              <w:spacing w:before="0" w:after="283"/>
              <w:rPr/>
            </w:pPr>
            <w:r>
              <w:rPr/>
              <w:t> </w:t>
            </w:r>
          </w:p>
        </w:tc>
        <w:tc>
          <w:tcPr>
            <w:tcW w:w="1450" w:type="dxa"/>
            <w:gridSpan w:val="3"/>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350" w:type="dxa"/>
            <w:tcBorders>
              <w:bottom w:val="single" w:sz="2" w:space="0" w:color="000000"/>
            </w:tcBorders>
            <w:shd w:fill="auto" w:val="clear"/>
            <w:tcMar>
              <w:bottom w:w="28" w:type="dxa"/>
            </w:tcMar>
            <w:vAlign w:val="bottom"/>
          </w:tcPr>
          <w:p>
            <w:pPr>
              <w:pStyle w:val="TableContents"/>
              <w:spacing w:before="0" w:after="283"/>
              <w:rPr/>
            </w:pPr>
            <w:r>
              <w:rPr/>
              <w:t> </w:t>
            </w:r>
          </w:p>
        </w:tc>
        <w:tc>
          <w:tcPr>
            <w:tcW w:w="1458" w:type="dxa"/>
            <w:gridSpan w:val="3"/>
            <w:tcBorders>
              <w:bottom w:val="single" w:sz="2" w:space="0" w:color="000000"/>
            </w:tcBorders>
            <w:shd w:fill="auto" w:val="clear"/>
            <w:tcMar>
              <w:bottom w:w="28" w:type="dxa"/>
            </w:tcMar>
            <w:vAlign w:val="bottom"/>
          </w:tcPr>
          <w:p>
            <w:pPr>
              <w:pStyle w:val="TableContents"/>
              <w:spacing w:before="0" w:after="283"/>
              <w:jc w:val="center"/>
              <w:rPr/>
            </w:pPr>
            <w:r>
              <w:rPr/>
              <w:t>2003</w:t>
            </w:r>
          </w:p>
        </w:tc>
      </w:tr>
      <w:tr>
        <w:trPr/>
        <w:tc>
          <w:tcPr>
            <w:tcW w:w="4797"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5058" w:type="dxa"/>
            <w:gridSpan w:val="11"/>
            <w:tcBorders/>
            <w:shd w:fill="auto" w:val="clear"/>
            <w:vAlign w:val="bottom"/>
          </w:tcPr>
          <w:p>
            <w:pPr>
              <w:pStyle w:val="TableContents"/>
              <w:spacing w:before="0" w:after="283"/>
              <w:jc w:val="center"/>
              <w:rPr/>
            </w:pPr>
            <w:r>
              <w:rPr/>
              <w:t>(Dollars in thousands)</w:t>
            </w:r>
          </w:p>
        </w:tc>
      </w:tr>
      <w:tr>
        <w:trPr/>
        <w:tc>
          <w:tcPr>
            <w:tcW w:w="4797" w:type="dxa"/>
            <w:tcBorders/>
            <w:shd w:fill="CCEEFF" w:val="clear"/>
            <w:vAlign w:val="bottom"/>
          </w:tcPr>
          <w:p>
            <w:pPr>
              <w:pStyle w:val="TableContents"/>
              <w:spacing w:before="0" w:after="0"/>
              <w:ind w:left="225" w:right="0" w:hanging="225"/>
              <w:rPr/>
            </w:pPr>
            <w:r>
              <w:rPr/>
              <w:t xml:space="preserve">Cash Flows from Operating Activities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0"/>
              <w:ind w:left="450" w:right="0" w:hanging="225"/>
              <w:rPr/>
            </w:pPr>
            <w:r>
              <w:rPr/>
              <w:t>Net income</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b/>
              </w:rPr>
            </w:pPr>
            <w:r>
              <w:rPr>
                <w:b/>
              </w:rPr>
              <w:t>$</w:t>
            </w:r>
          </w:p>
        </w:tc>
        <w:tc>
          <w:tcPr>
            <w:tcW w:w="878" w:type="dxa"/>
            <w:tcBorders/>
            <w:shd w:fill="auto" w:val="clear"/>
            <w:vAlign w:val="bottom"/>
          </w:tcPr>
          <w:p>
            <w:pPr>
              <w:pStyle w:val="TableContents"/>
              <w:spacing w:before="0" w:after="283"/>
              <w:jc w:val="right"/>
              <w:rPr>
                <w:b/>
              </w:rPr>
            </w:pPr>
            <w:r>
              <w:rPr>
                <w:b/>
              </w:rPr>
              <w:t>26,934</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w:t>
            </w:r>
          </w:p>
        </w:tc>
        <w:tc>
          <w:tcPr>
            <w:tcW w:w="878" w:type="dxa"/>
            <w:tcBorders/>
            <w:shd w:fill="auto" w:val="clear"/>
            <w:vAlign w:val="bottom"/>
          </w:tcPr>
          <w:p>
            <w:pPr>
              <w:pStyle w:val="TableContents"/>
              <w:spacing w:before="0" w:after="283"/>
              <w:jc w:val="right"/>
              <w:rPr/>
            </w:pPr>
            <w:r>
              <w:rPr/>
              <w:t>22,454</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w:t>
            </w:r>
          </w:p>
        </w:tc>
        <w:tc>
          <w:tcPr>
            <w:tcW w:w="878" w:type="dxa"/>
            <w:tcBorders/>
            <w:shd w:fill="auto" w:val="clear"/>
            <w:vAlign w:val="bottom"/>
          </w:tcPr>
          <w:p>
            <w:pPr>
              <w:pStyle w:val="TableContents"/>
              <w:spacing w:before="0" w:after="283"/>
              <w:jc w:val="right"/>
              <w:rPr/>
            </w:pPr>
            <w:r>
              <w:rPr/>
              <w:t>19,864</w:t>
            </w:r>
          </w:p>
        </w:tc>
        <w:tc>
          <w:tcPr>
            <w:tcW w:w="273" w:type="dxa"/>
            <w:tcBorders/>
            <w:shd w:fill="auto" w:val="clear"/>
            <w:vAlign w:val="bottom"/>
          </w:tcPr>
          <w:p>
            <w:pPr>
              <w:pStyle w:val="TableContents"/>
              <w:spacing w:before="0" w:after="283"/>
              <w:rPr/>
            </w:pPr>
            <w:r>
              <w:rPr/>
              <w:t> </w:t>
            </w:r>
          </w:p>
        </w:tc>
      </w:tr>
      <w:tr>
        <w:trPr/>
        <w:tc>
          <w:tcPr>
            <w:tcW w:w="4797"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0"/>
              <w:ind w:left="675" w:right="0" w:hanging="225"/>
              <w:rPr/>
            </w:pPr>
            <w:r>
              <w:rPr/>
              <w:t>Stock-based compensation</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b/>
              </w:rPr>
            </w:pPr>
            <w:r>
              <w:rPr>
                <w:b/>
              </w:rPr>
              <w:t>11</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26</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55</w:t>
            </w:r>
          </w:p>
        </w:tc>
        <w:tc>
          <w:tcPr>
            <w:tcW w:w="273" w:type="dxa"/>
            <w:tcBorders/>
            <w:shd w:fill="auto" w:val="clear"/>
            <w:vAlign w:val="bottom"/>
          </w:tcPr>
          <w:p>
            <w:pPr>
              <w:pStyle w:val="TableContents"/>
              <w:spacing w:before="0" w:after="283"/>
              <w:rPr/>
            </w:pPr>
            <w:r>
              <w:rPr/>
              <w:t> </w:t>
            </w:r>
          </w:p>
        </w:tc>
      </w:tr>
      <w:tr>
        <w:trPr/>
        <w:tc>
          <w:tcPr>
            <w:tcW w:w="4797" w:type="dxa"/>
            <w:tcBorders/>
            <w:shd w:fill="CCEEFF" w:val="clear"/>
            <w:vAlign w:val="bottom"/>
          </w:tcPr>
          <w:p>
            <w:pPr>
              <w:pStyle w:val="TableContents"/>
              <w:spacing w:before="0" w:after="0"/>
              <w:ind w:left="675" w:right="0" w:hanging="225"/>
              <w:rPr/>
            </w:pPr>
            <w:r>
              <w:rPr/>
              <w:t>Depreciation and amortization</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b/>
              </w:rPr>
            </w:pPr>
            <w:r>
              <w:rPr>
                <w:b/>
              </w:rPr>
              <w:t>4,720</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3,525</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3,534</w:t>
            </w:r>
          </w:p>
        </w:tc>
        <w:tc>
          <w:tcPr>
            <w:tcW w:w="273" w:type="dxa"/>
            <w:tcBorders/>
            <w:shd w:fill="CCEEFF"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0"/>
              <w:ind w:left="675" w:right="0" w:hanging="225"/>
              <w:rPr/>
            </w:pPr>
            <w:r>
              <w:rPr/>
              <w:t>Provision for loan losses</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b/>
              </w:rPr>
            </w:pPr>
            <w:r>
              <w:rPr>
                <w:b/>
              </w:rPr>
              <w:t>3,490</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2,905</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3,058</w:t>
            </w:r>
          </w:p>
        </w:tc>
        <w:tc>
          <w:tcPr>
            <w:tcW w:w="273" w:type="dxa"/>
            <w:tcBorders/>
            <w:shd w:fill="auto" w:val="clear"/>
            <w:vAlign w:val="bottom"/>
          </w:tcPr>
          <w:p>
            <w:pPr>
              <w:pStyle w:val="TableContents"/>
              <w:spacing w:before="0" w:after="283"/>
              <w:rPr/>
            </w:pPr>
            <w:r>
              <w:rPr/>
              <w:t> </w:t>
            </w:r>
          </w:p>
        </w:tc>
      </w:tr>
      <w:tr>
        <w:trPr/>
        <w:tc>
          <w:tcPr>
            <w:tcW w:w="4797" w:type="dxa"/>
            <w:tcBorders/>
            <w:shd w:fill="CCEEFF" w:val="clear"/>
            <w:vAlign w:val="bottom"/>
          </w:tcPr>
          <w:p>
            <w:pPr>
              <w:pStyle w:val="TableContents"/>
              <w:spacing w:before="0" w:after="0"/>
              <w:ind w:left="675" w:right="0" w:hanging="225"/>
              <w:rPr/>
            </w:pPr>
            <w:r>
              <w:rPr/>
              <w:t>Fair value adjustment on employee stock ownership plan shares allocated</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b/>
              </w:rPr>
            </w:pPr>
            <w:r>
              <w:rPr>
                <w:b/>
              </w:rPr>
              <w:t>125</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102</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59</w:t>
            </w:r>
          </w:p>
        </w:tc>
        <w:tc>
          <w:tcPr>
            <w:tcW w:w="273" w:type="dxa"/>
            <w:tcBorders/>
            <w:shd w:fill="CCEEFF"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0"/>
              <w:ind w:left="675" w:right="0" w:hanging="225"/>
              <w:rPr/>
            </w:pPr>
            <w:r>
              <w:rPr/>
              <w:t>Provision for deferred income taxes</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b/>
              </w:rPr>
            </w:pPr>
            <w:r>
              <w:rPr>
                <w:b/>
              </w:rPr>
              <w:t>(698</w:t>
            </w:r>
          </w:p>
        </w:tc>
        <w:tc>
          <w:tcPr>
            <w:tcW w:w="265" w:type="dxa"/>
            <w:tcBorders/>
            <w:shd w:fill="auto" w:val="clear"/>
            <w:vAlign w:val="bottom"/>
          </w:tcPr>
          <w:p>
            <w:pPr>
              <w:pStyle w:val="TableContents"/>
              <w:spacing w:before="0" w:after="283"/>
              <w:rPr>
                <w:b/>
              </w:rPr>
            </w:pPr>
            <w:r>
              <w:rPr>
                <w:b/>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(1,071</w:t>
            </w:r>
          </w:p>
        </w:tc>
        <w:tc>
          <w:tcPr>
            <w:tcW w:w="265"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344</w:t>
            </w:r>
          </w:p>
        </w:tc>
        <w:tc>
          <w:tcPr>
            <w:tcW w:w="273" w:type="dxa"/>
            <w:tcBorders/>
            <w:shd w:fill="auto" w:val="clear"/>
            <w:vAlign w:val="bottom"/>
          </w:tcPr>
          <w:p>
            <w:pPr>
              <w:pStyle w:val="TableContents"/>
              <w:spacing w:before="0" w:after="283"/>
              <w:rPr/>
            </w:pPr>
            <w:r>
              <w:rPr/>
              <w:t> </w:t>
            </w:r>
          </w:p>
        </w:tc>
      </w:tr>
      <w:tr>
        <w:trPr/>
        <w:tc>
          <w:tcPr>
            <w:tcW w:w="4797" w:type="dxa"/>
            <w:tcBorders/>
            <w:shd w:fill="CCEEFF" w:val="clear"/>
            <w:vAlign w:val="bottom"/>
          </w:tcPr>
          <w:p>
            <w:pPr>
              <w:pStyle w:val="TableContents"/>
              <w:spacing w:before="0" w:after="0"/>
              <w:ind w:left="675" w:right="0" w:hanging="225"/>
              <w:rPr/>
            </w:pPr>
            <w:r>
              <w:rPr/>
              <w:t>Stock dividends received</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b/>
              </w:rPr>
            </w:pPr>
            <w:r>
              <w:rPr>
                <w:b/>
              </w:rPr>
              <w:t>(286</w:t>
            </w:r>
          </w:p>
        </w:tc>
        <w:tc>
          <w:tcPr>
            <w:tcW w:w="265" w:type="dxa"/>
            <w:tcBorders/>
            <w:shd w:fill="CCEEFF" w:val="clear"/>
            <w:vAlign w:val="bottom"/>
          </w:tcPr>
          <w:p>
            <w:pPr>
              <w:pStyle w:val="TableContents"/>
              <w:spacing w:before="0" w:after="283"/>
              <w:rPr>
                <w:b/>
              </w:rPr>
            </w:pPr>
            <w:r>
              <w:rPr>
                <w:b/>
              </w:rPr>
              <w: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(457</w:t>
            </w:r>
          </w:p>
        </w:tc>
        <w:tc>
          <w:tcPr>
            <w:tcW w:w="265"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(495</w:t>
            </w:r>
          </w:p>
        </w:tc>
        <w:tc>
          <w:tcPr>
            <w:tcW w:w="273" w:type="dxa"/>
            <w:tcBorders/>
            <w:shd w:fill="CCEEFF" w:val="clear"/>
            <w:vAlign w:val="bottom"/>
          </w:tcPr>
          <w:p>
            <w:pPr>
              <w:pStyle w:val="TableContents"/>
              <w:spacing w:before="0" w:after="283"/>
              <w:rPr/>
            </w:pPr>
            <w:r>
              <w:rPr/>
              <w:t>)</w:t>
            </w:r>
          </w:p>
        </w:tc>
      </w:tr>
      <w:tr>
        <w:trPr/>
        <w:tc>
          <w:tcPr>
            <w:tcW w:w="4797" w:type="dxa"/>
            <w:tcBorders/>
            <w:shd w:fill="auto" w:val="clear"/>
            <w:vAlign w:val="bottom"/>
          </w:tcPr>
          <w:p>
            <w:pPr>
              <w:pStyle w:val="TableContents"/>
              <w:spacing w:before="0" w:after="0"/>
              <w:ind w:left="675" w:right="0" w:hanging="225"/>
              <w:rPr/>
            </w:pPr>
            <w:r>
              <w:rPr/>
              <w:t>Accretion of security discounts, net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b/>
              </w:rPr>
            </w:pPr>
            <w:r>
              <w:rPr>
                <w:b/>
              </w:rPr>
              <w:t>(1,027</w:t>
            </w:r>
          </w:p>
        </w:tc>
        <w:tc>
          <w:tcPr>
            <w:tcW w:w="265" w:type="dxa"/>
            <w:tcBorders/>
            <w:shd w:fill="auto" w:val="clear"/>
            <w:vAlign w:val="bottom"/>
          </w:tcPr>
          <w:p>
            <w:pPr>
              <w:pStyle w:val="TableContents"/>
              <w:spacing w:before="0" w:after="283"/>
              <w:rPr>
                <w:b/>
              </w:rPr>
            </w:pPr>
            <w:r>
              <w:rPr>
                <w:b/>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(563</w:t>
            </w:r>
          </w:p>
        </w:tc>
        <w:tc>
          <w:tcPr>
            <w:tcW w:w="265"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(293</w:t>
            </w:r>
          </w:p>
        </w:tc>
        <w:tc>
          <w:tcPr>
            <w:tcW w:w="273" w:type="dxa"/>
            <w:tcBorders/>
            <w:shd w:fill="auto" w:val="clear"/>
            <w:vAlign w:val="bottom"/>
          </w:tcPr>
          <w:p>
            <w:pPr>
              <w:pStyle w:val="TableContents"/>
              <w:spacing w:before="0" w:after="283"/>
              <w:rPr/>
            </w:pPr>
            <w:r>
              <w:rPr/>
              <w:t>)</w:t>
            </w:r>
          </w:p>
        </w:tc>
      </w:tr>
      <w:tr>
        <w:trPr/>
        <w:tc>
          <w:tcPr>
            <w:tcW w:w="4797" w:type="dxa"/>
            <w:tcBorders/>
            <w:shd w:fill="CCEEFF" w:val="clear"/>
            <w:vAlign w:val="bottom"/>
          </w:tcPr>
          <w:p>
            <w:pPr>
              <w:pStyle w:val="TableContents"/>
              <w:spacing w:before="0" w:after="0"/>
              <w:ind w:left="675" w:right="0" w:hanging="225"/>
              <w:rPr/>
            </w:pPr>
            <w:r>
              <w:rPr/>
              <w:t>Security losses (gains), net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b/>
              </w:rPr>
            </w:pPr>
            <w:r>
              <w:rPr>
                <w:b/>
              </w:rPr>
              <w:t>54</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(1,373</w:t>
            </w:r>
          </w:p>
        </w:tc>
        <w:tc>
          <w:tcPr>
            <w:tcW w:w="265"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(975</w:t>
            </w:r>
          </w:p>
        </w:tc>
        <w:tc>
          <w:tcPr>
            <w:tcW w:w="273" w:type="dxa"/>
            <w:tcBorders/>
            <w:shd w:fill="CCEEFF" w:val="clear"/>
            <w:vAlign w:val="bottom"/>
          </w:tcPr>
          <w:p>
            <w:pPr>
              <w:pStyle w:val="TableContents"/>
              <w:spacing w:before="0" w:after="283"/>
              <w:rPr/>
            </w:pPr>
            <w:r>
              <w:rPr/>
              <w:t>)</w:t>
            </w:r>
          </w:p>
        </w:tc>
      </w:tr>
      <w:tr>
        <w:trPr/>
        <w:tc>
          <w:tcPr>
            <w:tcW w:w="4797" w:type="dxa"/>
            <w:tcBorders/>
            <w:shd w:fill="auto" w:val="clear"/>
            <w:vAlign w:val="bottom"/>
          </w:tcPr>
          <w:p>
            <w:pPr>
              <w:pStyle w:val="TableContents"/>
              <w:spacing w:before="0" w:after="0"/>
              <w:ind w:left="675" w:right="0" w:hanging="225"/>
              <w:rPr/>
            </w:pPr>
            <w:r>
              <w:rPr/>
              <w:t>Gain on sales of loans, net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b/>
              </w:rPr>
            </w:pPr>
            <w:r>
              <w:rPr>
                <w:b/>
              </w:rPr>
              <w:t>(2,571</w:t>
            </w:r>
          </w:p>
        </w:tc>
        <w:tc>
          <w:tcPr>
            <w:tcW w:w="265" w:type="dxa"/>
            <w:tcBorders/>
            <w:shd w:fill="auto" w:val="clear"/>
            <w:vAlign w:val="bottom"/>
          </w:tcPr>
          <w:p>
            <w:pPr>
              <w:pStyle w:val="TableContents"/>
              <w:spacing w:before="0" w:after="283"/>
              <w:rPr>
                <w:b/>
              </w:rPr>
            </w:pPr>
            <w:r>
              <w:rPr>
                <w:b/>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(2,689</w:t>
            </w:r>
          </w:p>
        </w:tc>
        <w:tc>
          <w:tcPr>
            <w:tcW w:w="265"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(6,183</w:t>
            </w:r>
          </w:p>
        </w:tc>
        <w:tc>
          <w:tcPr>
            <w:tcW w:w="273" w:type="dxa"/>
            <w:tcBorders/>
            <w:shd w:fill="auto" w:val="clear"/>
            <w:vAlign w:val="bottom"/>
          </w:tcPr>
          <w:p>
            <w:pPr>
              <w:pStyle w:val="TableContents"/>
              <w:spacing w:before="0" w:after="283"/>
              <w:rPr/>
            </w:pPr>
            <w:r>
              <w:rPr/>
              <w:t>)</w:t>
            </w:r>
          </w:p>
        </w:tc>
      </w:tr>
      <w:tr>
        <w:trPr/>
        <w:tc>
          <w:tcPr>
            <w:tcW w:w="4797" w:type="dxa"/>
            <w:tcBorders/>
            <w:shd w:fill="CCEEFF" w:val="clear"/>
            <w:vAlign w:val="bottom"/>
          </w:tcPr>
          <w:p>
            <w:pPr>
              <w:pStyle w:val="TableContents"/>
              <w:spacing w:before="0" w:after="0"/>
              <w:ind w:left="675" w:right="0" w:hanging="225"/>
              <w:rPr/>
            </w:pPr>
            <w:r>
              <w:rPr/>
              <w:t>Loss (gain) on sales and dispositions of premises and equipment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b/>
              </w:rPr>
            </w:pPr>
            <w:r>
              <w:rPr>
                <w:b/>
              </w:rPr>
              <w:t>4</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42</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(423</w:t>
            </w:r>
          </w:p>
        </w:tc>
        <w:tc>
          <w:tcPr>
            <w:tcW w:w="273" w:type="dxa"/>
            <w:tcBorders/>
            <w:shd w:fill="CCEEFF" w:val="clear"/>
            <w:vAlign w:val="bottom"/>
          </w:tcPr>
          <w:p>
            <w:pPr>
              <w:pStyle w:val="TableContents"/>
              <w:spacing w:before="0" w:after="283"/>
              <w:rPr/>
            </w:pPr>
            <w:r>
              <w:rPr/>
              <w:t>)</w:t>
            </w:r>
          </w:p>
        </w:tc>
      </w:tr>
      <w:tr>
        <w:trPr/>
        <w:tc>
          <w:tcPr>
            <w:tcW w:w="4797" w:type="dxa"/>
            <w:tcBorders/>
            <w:shd w:fill="auto" w:val="clear"/>
            <w:vAlign w:val="bottom"/>
          </w:tcPr>
          <w:p>
            <w:pPr>
              <w:pStyle w:val="TableContents"/>
              <w:spacing w:before="0" w:after="0"/>
              <w:ind w:left="675" w:right="0" w:hanging="225"/>
              <w:rPr/>
            </w:pPr>
            <w:r>
              <w:rPr/>
              <w:t>Increase in cash surrender value of bank owned life insurance</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b/>
              </w:rPr>
            </w:pPr>
            <w:r>
              <w:rPr>
                <w:b/>
              </w:rPr>
              <w:t>(796</w:t>
            </w:r>
          </w:p>
        </w:tc>
        <w:tc>
          <w:tcPr>
            <w:tcW w:w="265" w:type="dxa"/>
            <w:tcBorders/>
            <w:shd w:fill="auto" w:val="clear"/>
            <w:vAlign w:val="bottom"/>
          </w:tcPr>
          <w:p>
            <w:pPr>
              <w:pStyle w:val="TableContents"/>
              <w:spacing w:before="0" w:after="283"/>
              <w:rPr>
                <w:b/>
              </w:rPr>
            </w:pPr>
            <w:r>
              <w:rPr>
                <w:b/>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(798</w:t>
            </w:r>
          </w:p>
        </w:tc>
        <w:tc>
          <w:tcPr>
            <w:tcW w:w="265"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(727</w:t>
            </w:r>
          </w:p>
        </w:tc>
        <w:tc>
          <w:tcPr>
            <w:tcW w:w="273" w:type="dxa"/>
            <w:tcBorders/>
            <w:shd w:fill="auto" w:val="clear"/>
            <w:vAlign w:val="bottom"/>
          </w:tcPr>
          <w:p>
            <w:pPr>
              <w:pStyle w:val="TableContents"/>
              <w:spacing w:before="0" w:after="283"/>
              <w:rPr/>
            </w:pPr>
            <w:r>
              <w:rPr/>
              <w:t>)</w:t>
            </w:r>
          </w:p>
        </w:tc>
      </w:tr>
      <w:tr>
        <w:trPr/>
        <w:tc>
          <w:tcPr>
            <w:tcW w:w="4797" w:type="dxa"/>
            <w:tcBorders/>
            <w:shd w:fill="CCEEFF" w:val="clear"/>
            <w:vAlign w:val="bottom"/>
          </w:tcPr>
          <w:p>
            <w:pPr>
              <w:pStyle w:val="TableContents"/>
              <w:spacing w:before="0" w:after="0"/>
              <w:ind w:left="675" w:right="0" w:hanging="225"/>
              <w:rPr/>
            </w:pPr>
            <w:r>
              <w:rPr/>
              <w:t>Market valuation adjustment on ORE properties</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b/>
              </w:rPr>
            </w:pPr>
            <w:r>
              <w:rPr>
                <w:b/>
              </w:rPr>
              <w:t></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760</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989</w:t>
            </w:r>
          </w:p>
        </w:tc>
        <w:tc>
          <w:tcPr>
            <w:tcW w:w="273" w:type="dxa"/>
            <w:tcBorders/>
            <w:shd w:fill="CCEEFF"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0"/>
              <w:ind w:left="675" w:right="0" w:hanging="225"/>
              <w:rPr/>
            </w:pPr>
            <w:r>
              <w:rPr/>
              <w:t>Net gains on sale of ORE properties</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b/>
              </w:rPr>
            </w:pPr>
            <w:r>
              <w:rPr>
                <w:b/>
              </w:rPr>
              <w:t>(179</w:t>
            </w:r>
          </w:p>
        </w:tc>
        <w:tc>
          <w:tcPr>
            <w:tcW w:w="265" w:type="dxa"/>
            <w:tcBorders/>
            <w:shd w:fill="auto" w:val="clear"/>
            <w:vAlign w:val="bottom"/>
          </w:tcPr>
          <w:p>
            <w:pPr>
              <w:pStyle w:val="TableContents"/>
              <w:spacing w:before="0" w:after="283"/>
              <w:rPr>
                <w:b/>
              </w:rPr>
            </w:pPr>
            <w:r>
              <w:rPr>
                <w:b/>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(19</w:t>
            </w:r>
          </w:p>
        </w:tc>
        <w:tc>
          <w:tcPr>
            <w:tcW w:w="265"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(24</w:t>
            </w:r>
          </w:p>
        </w:tc>
        <w:tc>
          <w:tcPr>
            <w:tcW w:w="273" w:type="dxa"/>
            <w:tcBorders/>
            <w:shd w:fill="auto" w:val="clear"/>
            <w:vAlign w:val="bottom"/>
          </w:tcPr>
          <w:p>
            <w:pPr>
              <w:pStyle w:val="TableContents"/>
              <w:spacing w:before="0" w:after="283"/>
              <w:rPr/>
            </w:pPr>
            <w:r>
              <w:rPr/>
              <w:t>)</w:t>
            </w:r>
          </w:p>
        </w:tc>
      </w:tr>
      <w:tr>
        <w:trPr/>
        <w:tc>
          <w:tcPr>
            <w:tcW w:w="4797" w:type="dxa"/>
            <w:tcBorders/>
            <w:shd w:fill="CCEEFF" w:val="clear"/>
            <w:vAlign w:val="bottom"/>
          </w:tcPr>
          <w:p>
            <w:pPr>
              <w:pStyle w:val="TableContents"/>
              <w:spacing w:before="0" w:after="0"/>
              <w:ind w:left="675" w:right="0" w:hanging="225"/>
              <w:rPr/>
            </w:pPr>
            <w:r>
              <w:rPr/>
              <w:t>Increase in deferred compensation</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b/>
              </w:rPr>
            </w:pPr>
            <w:r>
              <w:rPr>
                <w:b/>
              </w:rPr>
              <w:t>142</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577</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415</w:t>
            </w:r>
          </w:p>
        </w:tc>
        <w:tc>
          <w:tcPr>
            <w:tcW w:w="273" w:type="dxa"/>
            <w:tcBorders/>
            <w:shd w:fill="CCEEFF"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0"/>
              <w:ind w:left="675" w:right="0" w:hanging="225"/>
              <w:rPr/>
            </w:pPr>
            <w:r>
              <w:rPr/>
              <w:t>Change in assets and liabilities:</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r>
      <w:tr>
        <w:trPr/>
        <w:tc>
          <w:tcPr>
            <w:tcW w:w="4797" w:type="dxa"/>
            <w:tcBorders/>
            <w:shd w:fill="CCEEFF" w:val="clear"/>
            <w:vAlign w:val="bottom"/>
          </w:tcPr>
          <w:p>
            <w:pPr>
              <w:pStyle w:val="TableContents"/>
              <w:spacing w:before="0" w:after="0"/>
              <w:ind w:left="900" w:right="0" w:hanging="225"/>
              <w:rPr/>
            </w:pPr>
            <w:r>
              <w:rPr/>
              <w:t>Increase in other assets</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b/>
              </w:rPr>
            </w:pPr>
            <w:r>
              <w:rPr>
                <w:b/>
              </w:rPr>
              <w:t>(4,460</w:t>
            </w:r>
          </w:p>
        </w:tc>
        <w:tc>
          <w:tcPr>
            <w:tcW w:w="265" w:type="dxa"/>
            <w:tcBorders/>
            <w:shd w:fill="CCEEFF" w:val="clear"/>
            <w:vAlign w:val="bottom"/>
          </w:tcPr>
          <w:p>
            <w:pPr>
              <w:pStyle w:val="TableContents"/>
              <w:spacing w:before="0" w:after="283"/>
              <w:rPr>
                <w:b/>
              </w:rPr>
            </w:pPr>
            <w:r>
              <w:rPr>
                <w:b/>
              </w:rPr>
              <w: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(875</w:t>
            </w:r>
          </w:p>
        </w:tc>
        <w:tc>
          <w:tcPr>
            <w:tcW w:w="265"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(1,642</w:t>
            </w:r>
          </w:p>
        </w:tc>
        <w:tc>
          <w:tcPr>
            <w:tcW w:w="273" w:type="dxa"/>
            <w:tcBorders/>
            <w:shd w:fill="CCEEFF" w:val="clear"/>
            <w:vAlign w:val="bottom"/>
          </w:tcPr>
          <w:p>
            <w:pPr>
              <w:pStyle w:val="TableContents"/>
              <w:spacing w:before="0" w:after="283"/>
              <w:rPr/>
            </w:pPr>
            <w:r>
              <w:rPr/>
              <w:t>)</w:t>
            </w:r>
          </w:p>
        </w:tc>
      </w:tr>
      <w:tr>
        <w:trPr/>
        <w:tc>
          <w:tcPr>
            <w:tcW w:w="4797" w:type="dxa"/>
            <w:tcBorders/>
            <w:shd w:fill="auto" w:val="clear"/>
            <w:vAlign w:val="bottom"/>
          </w:tcPr>
          <w:p>
            <w:pPr>
              <w:pStyle w:val="TableContents"/>
              <w:spacing w:before="0" w:after="0"/>
              <w:ind w:left="900" w:right="0" w:hanging="225"/>
              <w:rPr/>
            </w:pPr>
            <w:r>
              <w:rPr/>
              <w:t>Increase (decrease) in other liabilities</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b/>
              </w:rPr>
            </w:pPr>
            <w:r>
              <w:rPr>
                <w:b/>
              </w:rPr>
              <w:t>4.438</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560</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(1,244</w:t>
            </w:r>
          </w:p>
        </w:tc>
        <w:tc>
          <w:tcPr>
            <w:tcW w:w="273" w:type="dxa"/>
            <w:tcBorders/>
            <w:shd w:fill="auto" w:val="clear"/>
            <w:vAlign w:val="bottom"/>
          </w:tcPr>
          <w:p>
            <w:pPr>
              <w:pStyle w:val="TableContents"/>
              <w:spacing w:before="0" w:after="283"/>
              <w:rPr/>
            </w:pPr>
            <w:r>
              <w:rPr/>
              <w:t>)</w:t>
            </w:r>
          </w:p>
        </w:tc>
      </w:tr>
      <w:tr>
        <w:trPr/>
        <w:tc>
          <w:tcPr>
            <w:tcW w:w="4797"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058"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797" w:type="dxa"/>
            <w:tcBorders/>
            <w:shd w:fill="CCEEFF" w:val="clear"/>
            <w:vAlign w:val="bottom"/>
          </w:tcPr>
          <w:p>
            <w:pPr>
              <w:pStyle w:val="TableContents"/>
              <w:spacing w:before="0" w:after="0"/>
              <w:ind w:left="1350" w:right="0" w:hanging="225"/>
              <w:rPr>
                <w:b/>
              </w:rPr>
            </w:pPr>
            <w:r>
              <w:rPr>
                <w:b/>
              </w:rPr>
              <w:t>Net cash provided by operating activities before loan originations and sales</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b/>
              </w:rPr>
            </w:pPr>
            <w:r>
              <w:rPr>
                <w:b/>
              </w:rPr>
              <w:t>29,901</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23,106</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16,312</w:t>
            </w:r>
          </w:p>
        </w:tc>
        <w:tc>
          <w:tcPr>
            <w:tcW w:w="273" w:type="dxa"/>
            <w:tcBorders/>
            <w:shd w:fill="CCEEFF" w:val="clear"/>
            <w:vAlign w:val="bottom"/>
          </w:tcPr>
          <w:p>
            <w:pPr>
              <w:pStyle w:val="TableContents"/>
              <w:spacing w:before="0" w:after="283"/>
              <w:rPr/>
            </w:pPr>
            <w:r>
              <w:rPr/>
              <w:t> </w:t>
            </w:r>
          </w:p>
        </w:tc>
      </w:tr>
      <w:tr>
        <w:trPr/>
        <w:tc>
          <w:tcPr>
            <w:tcW w:w="4797"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058"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797" w:type="dxa"/>
            <w:tcBorders/>
            <w:shd w:fill="auto" w:val="clear"/>
            <w:vAlign w:val="bottom"/>
          </w:tcPr>
          <w:p>
            <w:pPr>
              <w:pStyle w:val="TableContents"/>
              <w:spacing w:before="0" w:after="0"/>
              <w:ind w:left="225" w:right="0" w:hanging="225"/>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0"/>
              <w:ind w:left="675" w:right="0" w:hanging="225"/>
              <w:rPr/>
            </w:pPr>
            <w:r>
              <w:rPr/>
              <w:t>Loans originated for sale</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b/>
              </w:rPr>
            </w:pPr>
            <w:r>
              <w:rPr>
                <w:b/>
              </w:rPr>
              <w:t>(178,404</w:t>
            </w:r>
          </w:p>
        </w:tc>
        <w:tc>
          <w:tcPr>
            <w:tcW w:w="265" w:type="dxa"/>
            <w:tcBorders/>
            <w:shd w:fill="auto" w:val="clear"/>
            <w:vAlign w:val="bottom"/>
          </w:tcPr>
          <w:p>
            <w:pPr>
              <w:pStyle w:val="TableContents"/>
              <w:spacing w:before="0" w:after="283"/>
              <w:rPr>
                <w:b/>
              </w:rPr>
            </w:pPr>
            <w:r>
              <w:rPr>
                <w:b/>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(159,560</w:t>
            </w:r>
          </w:p>
        </w:tc>
        <w:tc>
          <w:tcPr>
            <w:tcW w:w="265"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(400,967</w:t>
            </w:r>
          </w:p>
        </w:tc>
        <w:tc>
          <w:tcPr>
            <w:tcW w:w="273" w:type="dxa"/>
            <w:tcBorders/>
            <w:shd w:fill="auto" w:val="clear"/>
            <w:vAlign w:val="bottom"/>
          </w:tcPr>
          <w:p>
            <w:pPr>
              <w:pStyle w:val="TableContents"/>
              <w:spacing w:before="0" w:after="283"/>
              <w:rPr/>
            </w:pPr>
            <w:r>
              <w:rPr/>
              <w:t>)</w:t>
            </w:r>
          </w:p>
        </w:tc>
      </w:tr>
      <w:tr>
        <w:trPr/>
        <w:tc>
          <w:tcPr>
            <w:tcW w:w="4797" w:type="dxa"/>
            <w:tcBorders/>
            <w:shd w:fill="CCEEFF" w:val="clear"/>
            <w:vAlign w:val="bottom"/>
          </w:tcPr>
          <w:p>
            <w:pPr>
              <w:pStyle w:val="TableContents"/>
              <w:spacing w:before="0" w:after="0"/>
              <w:ind w:left="675" w:right="0" w:hanging="225"/>
              <w:rPr/>
            </w:pPr>
            <w:r>
              <w:rPr/>
              <w:t>Proceeds from sales of loans</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b/>
              </w:rPr>
            </w:pPr>
            <w:r>
              <w:rPr>
                <w:b/>
              </w:rPr>
              <w:t>178,812</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185,057</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437,382</w:t>
            </w:r>
          </w:p>
        </w:tc>
        <w:tc>
          <w:tcPr>
            <w:tcW w:w="273" w:type="dxa"/>
            <w:tcBorders/>
            <w:shd w:fill="CCEEFF" w:val="clear"/>
            <w:vAlign w:val="bottom"/>
          </w:tcPr>
          <w:p>
            <w:pPr>
              <w:pStyle w:val="TableContents"/>
              <w:spacing w:before="0" w:after="283"/>
              <w:rPr/>
            </w:pPr>
            <w:r>
              <w:rPr/>
              <w:t> </w:t>
            </w:r>
          </w:p>
        </w:tc>
      </w:tr>
      <w:tr>
        <w:trPr/>
        <w:tc>
          <w:tcPr>
            <w:tcW w:w="4797"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058"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797" w:type="dxa"/>
            <w:tcBorders/>
            <w:shd w:fill="auto" w:val="clear"/>
            <w:vAlign w:val="bottom"/>
          </w:tcPr>
          <w:p>
            <w:pPr>
              <w:pStyle w:val="TableContents"/>
              <w:spacing w:before="0" w:after="0"/>
              <w:ind w:left="225" w:right="0" w:hanging="225"/>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0"/>
              <w:ind w:left="1350" w:right="0" w:hanging="225"/>
              <w:rPr>
                <w:b/>
              </w:rPr>
            </w:pPr>
            <w:r>
              <w:rPr>
                <w:b/>
              </w:rPr>
              <w:t>Net cash provided by operating activities</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b/>
              </w:rPr>
            </w:pPr>
            <w:r>
              <w:rPr>
                <w:b/>
              </w:rPr>
              <w:t>30,309</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48,603</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52,727</w:t>
            </w:r>
          </w:p>
        </w:tc>
        <w:tc>
          <w:tcPr>
            <w:tcW w:w="273" w:type="dxa"/>
            <w:tcBorders/>
            <w:shd w:fill="auto" w:val="clear"/>
            <w:vAlign w:val="bottom"/>
          </w:tcPr>
          <w:p>
            <w:pPr>
              <w:pStyle w:val="TableContents"/>
              <w:spacing w:before="0" w:after="283"/>
              <w:rPr/>
            </w:pPr>
            <w:r>
              <w:rPr/>
              <w:t> </w:t>
            </w:r>
          </w:p>
        </w:tc>
      </w:tr>
      <w:tr>
        <w:trPr/>
        <w:tc>
          <w:tcPr>
            <w:tcW w:w="4797"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058"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797" w:type="dxa"/>
            <w:tcBorders/>
            <w:shd w:fill="auto" w:val="clear"/>
            <w:vAlign w:val="bottom"/>
          </w:tcPr>
          <w:p>
            <w:pPr>
              <w:pStyle w:val="TableContents"/>
              <w:spacing w:before="0" w:after="0"/>
              <w:ind w:left="225" w:right="0" w:hanging="225"/>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r>
      <w:tr>
        <w:trPr/>
        <w:tc>
          <w:tcPr>
            <w:tcW w:w="4797" w:type="dxa"/>
            <w:tcBorders/>
            <w:shd w:fill="CCEEFF" w:val="clear"/>
            <w:vAlign w:val="bottom"/>
          </w:tcPr>
          <w:p>
            <w:pPr>
              <w:pStyle w:val="TableContents"/>
              <w:spacing w:before="0" w:after="0"/>
              <w:ind w:left="225" w:right="0" w:hanging="225"/>
              <w:rPr/>
            </w:pPr>
            <w:r>
              <w:rPr/>
              <w:t xml:space="preserve">Cash Flows from Investing Activities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0"/>
              <w:ind w:left="675" w:right="0" w:hanging="225"/>
              <w:rPr/>
            </w:pPr>
            <w:r>
              <w:rPr/>
              <w:t>Securities available for sale:</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r>
      <w:tr>
        <w:trPr/>
        <w:tc>
          <w:tcPr>
            <w:tcW w:w="4797" w:type="dxa"/>
            <w:tcBorders/>
            <w:shd w:fill="CCEEFF" w:val="clear"/>
            <w:vAlign w:val="bottom"/>
          </w:tcPr>
          <w:p>
            <w:pPr>
              <w:pStyle w:val="TableContents"/>
              <w:spacing w:before="0" w:after="0"/>
              <w:ind w:left="675" w:right="0" w:hanging="225"/>
              <w:rPr/>
            </w:pPr>
            <w:r>
              <w:rPr/>
              <w:t>Purchases</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b/>
              </w:rPr>
            </w:pPr>
            <w:r>
              <w:rPr>
                <w:b/>
              </w:rPr>
              <w:t>(178,151</w:t>
            </w:r>
          </w:p>
        </w:tc>
        <w:tc>
          <w:tcPr>
            <w:tcW w:w="265" w:type="dxa"/>
            <w:tcBorders/>
            <w:shd w:fill="CCEEFF" w:val="clear"/>
            <w:vAlign w:val="bottom"/>
          </w:tcPr>
          <w:p>
            <w:pPr>
              <w:pStyle w:val="TableContents"/>
              <w:spacing w:before="0" w:after="283"/>
              <w:rPr>
                <w:b/>
              </w:rPr>
            </w:pPr>
            <w:r>
              <w:rPr>
                <w:b/>
              </w:rPr>
              <w: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(271,763</w:t>
            </w:r>
          </w:p>
        </w:tc>
        <w:tc>
          <w:tcPr>
            <w:tcW w:w="265"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(212,444</w:t>
            </w:r>
          </w:p>
        </w:tc>
        <w:tc>
          <w:tcPr>
            <w:tcW w:w="273" w:type="dxa"/>
            <w:tcBorders/>
            <w:shd w:fill="CCEEFF" w:val="clear"/>
            <w:vAlign w:val="bottom"/>
          </w:tcPr>
          <w:p>
            <w:pPr>
              <w:pStyle w:val="TableContents"/>
              <w:spacing w:before="0" w:after="283"/>
              <w:rPr/>
            </w:pPr>
            <w:r>
              <w:rPr/>
              <w:t>)</w:t>
            </w:r>
          </w:p>
        </w:tc>
      </w:tr>
      <w:tr>
        <w:trPr/>
        <w:tc>
          <w:tcPr>
            <w:tcW w:w="4797" w:type="dxa"/>
            <w:tcBorders/>
            <w:shd w:fill="auto" w:val="clear"/>
            <w:vAlign w:val="bottom"/>
          </w:tcPr>
          <w:p>
            <w:pPr>
              <w:pStyle w:val="TableContents"/>
              <w:spacing w:before="0" w:after="0"/>
              <w:ind w:left="675" w:right="0" w:hanging="225"/>
              <w:rPr/>
            </w:pPr>
            <w:r>
              <w:rPr/>
              <w:t>Proceeds from sales</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b/>
              </w:rPr>
            </w:pPr>
            <w:r>
              <w:rPr>
                <w:b/>
              </w:rPr>
              <w:t>69,695</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55,641</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19,033</w:t>
            </w:r>
          </w:p>
        </w:tc>
        <w:tc>
          <w:tcPr>
            <w:tcW w:w="273" w:type="dxa"/>
            <w:tcBorders/>
            <w:shd w:fill="auto" w:val="clear"/>
            <w:vAlign w:val="bottom"/>
          </w:tcPr>
          <w:p>
            <w:pPr>
              <w:pStyle w:val="TableContents"/>
              <w:spacing w:before="0" w:after="283"/>
              <w:rPr/>
            </w:pPr>
            <w:r>
              <w:rPr/>
              <w:t> </w:t>
            </w:r>
          </w:p>
        </w:tc>
      </w:tr>
      <w:tr>
        <w:trPr/>
        <w:tc>
          <w:tcPr>
            <w:tcW w:w="4797" w:type="dxa"/>
            <w:tcBorders/>
            <w:shd w:fill="CCEEFF" w:val="clear"/>
            <w:vAlign w:val="bottom"/>
          </w:tcPr>
          <w:p>
            <w:pPr>
              <w:pStyle w:val="TableContents"/>
              <w:spacing w:before="0" w:after="0"/>
              <w:ind w:left="675" w:right="0" w:hanging="225"/>
              <w:rPr/>
            </w:pPr>
            <w:r>
              <w:rPr/>
              <w:t>Proceeds from maturities</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b/>
              </w:rPr>
            </w:pPr>
            <w:r>
              <w:rPr>
                <w:b/>
              </w:rPr>
              <w:t>148,609</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140,244</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202,493</w:t>
            </w:r>
          </w:p>
        </w:tc>
        <w:tc>
          <w:tcPr>
            <w:tcW w:w="273" w:type="dxa"/>
            <w:tcBorders/>
            <w:shd w:fill="CCEEFF"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0"/>
              <w:ind w:left="450" w:right="0" w:hanging="225"/>
              <w:rPr/>
            </w:pPr>
            <w:r>
              <w:rPr/>
              <w:t>Decrease (increase) in Federal funds sold</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b/>
              </w:rPr>
            </w:pPr>
            <w:r>
              <w:rPr>
                <w:b/>
              </w:rPr>
              <w:t>4,546</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(1,507</w:t>
            </w:r>
          </w:p>
        </w:tc>
        <w:tc>
          <w:tcPr>
            <w:tcW w:w="265"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w:t>
            </w:r>
          </w:p>
        </w:tc>
        <w:tc>
          <w:tcPr>
            <w:tcW w:w="273" w:type="dxa"/>
            <w:tcBorders/>
            <w:shd w:fill="auto" w:val="clear"/>
            <w:vAlign w:val="bottom"/>
          </w:tcPr>
          <w:p>
            <w:pPr>
              <w:pStyle w:val="TableContents"/>
              <w:spacing w:before="0" w:after="283"/>
              <w:rPr/>
            </w:pPr>
            <w:r>
              <w:rPr/>
              <w:t> </w:t>
            </w:r>
          </w:p>
        </w:tc>
      </w:tr>
      <w:tr>
        <w:trPr/>
        <w:tc>
          <w:tcPr>
            <w:tcW w:w="4797" w:type="dxa"/>
            <w:tcBorders/>
            <w:shd w:fill="CCEEFF" w:val="clear"/>
            <w:vAlign w:val="bottom"/>
          </w:tcPr>
          <w:p>
            <w:pPr>
              <w:pStyle w:val="TableContents"/>
              <w:spacing w:before="0" w:after="0"/>
              <w:ind w:left="450" w:right="0" w:hanging="225"/>
              <w:rPr/>
            </w:pPr>
            <w:r>
              <w:rPr/>
              <w:t>Increase in loans</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b/>
              </w:rPr>
            </w:pPr>
            <w:r>
              <w:rPr>
                <w:b/>
              </w:rPr>
              <w:t>(156,573</w:t>
            </w:r>
          </w:p>
        </w:tc>
        <w:tc>
          <w:tcPr>
            <w:tcW w:w="265" w:type="dxa"/>
            <w:tcBorders/>
            <w:shd w:fill="CCEEFF" w:val="clear"/>
            <w:vAlign w:val="bottom"/>
          </w:tcPr>
          <w:p>
            <w:pPr>
              <w:pStyle w:val="TableContents"/>
              <w:spacing w:before="0" w:after="283"/>
              <w:rPr>
                <w:b/>
              </w:rPr>
            </w:pPr>
            <w:r>
              <w:rPr>
                <w:b/>
              </w:rPr>
              <w: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(156,755</w:t>
            </w:r>
          </w:p>
        </w:tc>
        <w:tc>
          <w:tcPr>
            <w:tcW w:w="265"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(124,402</w:t>
            </w:r>
          </w:p>
        </w:tc>
        <w:tc>
          <w:tcPr>
            <w:tcW w:w="273" w:type="dxa"/>
            <w:tcBorders/>
            <w:shd w:fill="CCEEFF" w:val="clear"/>
            <w:vAlign w:val="bottom"/>
          </w:tcPr>
          <w:p>
            <w:pPr>
              <w:pStyle w:val="TableContents"/>
              <w:spacing w:before="0" w:after="283"/>
              <w:rPr/>
            </w:pPr>
            <w:r>
              <w:rPr/>
              <w:t>)</w:t>
            </w:r>
          </w:p>
        </w:tc>
      </w:tr>
      <w:tr>
        <w:trPr/>
        <w:tc>
          <w:tcPr>
            <w:tcW w:w="4797" w:type="dxa"/>
            <w:tcBorders/>
            <w:shd w:fill="auto" w:val="clear"/>
            <w:vAlign w:val="bottom"/>
          </w:tcPr>
          <w:p>
            <w:pPr>
              <w:pStyle w:val="TableContents"/>
              <w:spacing w:before="0" w:after="0"/>
              <w:ind w:left="450" w:right="0" w:hanging="225"/>
              <w:rPr/>
            </w:pPr>
            <w:r>
              <w:rPr/>
              <w:t>Purchases of premises and equipment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b/>
              </w:rPr>
            </w:pPr>
            <w:r>
              <w:rPr>
                <w:b/>
              </w:rPr>
              <w:t>(6,293</w:t>
            </w:r>
          </w:p>
        </w:tc>
        <w:tc>
          <w:tcPr>
            <w:tcW w:w="265" w:type="dxa"/>
            <w:tcBorders/>
            <w:shd w:fill="auto" w:val="clear"/>
            <w:vAlign w:val="bottom"/>
          </w:tcPr>
          <w:p>
            <w:pPr>
              <w:pStyle w:val="TableContents"/>
              <w:spacing w:before="0" w:after="283"/>
              <w:rPr>
                <w:b/>
              </w:rPr>
            </w:pPr>
            <w:r>
              <w:rPr>
                <w:b/>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(3,529</w:t>
            </w:r>
          </w:p>
        </w:tc>
        <w:tc>
          <w:tcPr>
            <w:tcW w:w="265"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(3,724</w:t>
            </w:r>
          </w:p>
        </w:tc>
        <w:tc>
          <w:tcPr>
            <w:tcW w:w="273" w:type="dxa"/>
            <w:tcBorders/>
            <w:shd w:fill="auto" w:val="clear"/>
            <w:vAlign w:val="bottom"/>
          </w:tcPr>
          <w:p>
            <w:pPr>
              <w:pStyle w:val="TableContents"/>
              <w:spacing w:before="0" w:after="283"/>
              <w:rPr/>
            </w:pPr>
            <w:r>
              <w:rPr/>
              <w:t>)</w:t>
            </w:r>
          </w:p>
        </w:tc>
      </w:tr>
      <w:tr>
        <w:trPr/>
        <w:tc>
          <w:tcPr>
            <w:tcW w:w="4797" w:type="dxa"/>
            <w:tcBorders/>
            <w:shd w:fill="CCEEFF" w:val="clear"/>
            <w:vAlign w:val="bottom"/>
          </w:tcPr>
          <w:p>
            <w:pPr>
              <w:pStyle w:val="TableContents"/>
              <w:spacing w:before="0" w:after="0"/>
              <w:ind w:left="450" w:right="0" w:hanging="225"/>
              <w:rPr/>
            </w:pPr>
            <w:r>
              <w:rPr/>
              <w:t>Proceeds from sales of premises and equipment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b/>
              </w:rPr>
            </w:pPr>
            <w:r>
              <w:rPr>
                <w:b/>
              </w:rPr>
              <w:t>70</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7</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6,216</w:t>
            </w:r>
          </w:p>
        </w:tc>
        <w:tc>
          <w:tcPr>
            <w:tcW w:w="273" w:type="dxa"/>
            <w:tcBorders/>
            <w:shd w:fill="CCEEFF"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0"/>
              <w:ind w:left="450" w:right="0" w:hanging="225"/>
              <w:rPr/>
            </w:pPr>
            <w:r>
              <w:rPr/>
              <w:t>Proceeds from sale of ORE properties</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b/>
              </w:rPr>
            </w:pPr>
            <w:r>
              <w:rPr>
                <w:b/>
              </w:rPr>
              <w:t>4,732</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66</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1,115</w:t>
            </w:r>
          </w:p>
        </w:tc>
        <w:tc>
          <w:tcPr>
            <w:tcW w:w="273" w:type="dxa"/>
            <w:tcBorders/>
            <w:shd w:fill="auto" w:val="clear"/>
            <w:vAlign w:val="bottom"/>
          </w:tcPr>
          <w:p>
            <w:pPr>
              <w:pStyle w:val="TableContents"/>
              <w:spacing w:before="0" w:after="283"/>
              <w:rPr/>
            </w:pPr>
            <w:r>
              <w:rPr/>
              <w:t> </w:t>
            </w:r>
          </w:p>
        </w:tc>
      </w:tr>
      <w:tr>
        <w:trPr/>
        <w:tc>
          <w:tcPr>
            <w:tcW w:w="4797" w:type="dxa"/>
            <w:tcBorders/>
            <w:shd w:fill="CCEEFF" w:val="clear"/>
            <w:vAlign w:val="bottom"/>
          </w:tcPr>
          <w:p>
            <w:pPr>
              <w:pStyle w:val="TableContents"/>
              <w:spacing w:before="0" w:after="0"/>
              <w:ind w:left="450" w:right="0" w:hanging="225"/>
              <w:rPr/>
            </w:pPr>
            <w:r>
              <w:rPr/>
              <w:t>Increase in investment in life insurance</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b/>
              </w:rPr>
            </w:pPr>
            <w:r>
              <w:rPr>
                <w:b/>
              </w:rPr>
              <w:t>(465</w:t>
            </w:r>
          </w:p>
        </w:tc>
        <w:tc>
          <w:tcPr>
            <w:tcW w:w="265" w:type="dxa"/>
            <w:tcBorders/>
            <w:shd w:fill="CCEEFF" w:val="clear"/>
            <w:vAlign w:val="bottom"/>
          </w:tcPr>
          <w:p>
            <w:pPr>
              <w:pStyle w:val="TableContents"/>
              <w:spacing w:before="0" w:after="283"/>
              <w:rPr>
                <w:b/>
              </w:rPr>
            </w:pPr>
            <w:r>
              <w:rPr>
                <w:b/>
              </w:rPr>
              <w: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w:t>
            </w:r>
          </w:p>
        </w:tc>
        <w:tc>
          <w:tcPr>
            <w:tcW w:w="265"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(5,000</w:t>
            </w:r>
          </w:p>
        </w:tc>
        <w:tc>
          <w:tcPr>
            <w:tcW w:w="273" w:type="dxa"/>
            <w:tcBorders/>
            <w:shd w:fill="CCEEFF" w:val="clear"/>
            <w:vAlign w:val="bottom"/>
          </w:tcPr>
          <w:p>
            <w:pPr>
              <w:pStyle w:val="TableContents"/>
              <w:spacing w:before="0" w:after="283"/>
              <w:rPr/>
            </w:pPr>
            <w:r>
              <w:rPr/>
              <w:t>)</w:t>
            </w:r>
          </w:p>
        </w:tc>
      </w:tr>
      <w:tr>
        <w:trPr/>
        <w:tc>
          <w:tcPr>
            <w:tcW w:w="4797" w:type="dxa"/>
            <w:tcBorders/>
            <w:shd w:fill="auto" w:val="clear"/>
            <w:vAlign w:val="bottom"/>
          </w:tcPr>
          <w:p>
            <w:pPr>
              <w:pStyle w:val="TableContents"/>
              <w:spacing w:before="0" w:after="0"/>
              <w:ind w:left="450" w:right="0" w:hanging="225"/>
              <w:rPr/>
            </w:pPr>
            <w:r>
              <w:rPr/>
              <w:t>Purchase of subsidiary, net of cash and due from banks acquired</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b/>
              </w:rPr>
            </w:pPr>
            <w:r>
              <w:rPr>
                <w:b/>
              </w:rPr>
              <w:t>(12,392</w:t>
            </w:r>
          </w:p>
        </w:tc>
        <w:tc>
          <w:tcPr>
            <w:tcW w:w="265" w:type="dxa"/>
            <w:tcBorders/>
            <w:shd w:fill="auto" w:val="clear"/>
            <w:vAlign w:val="bottom"/>
          </w:tcPr>
          <w:p>
            <w:pPr>
              <w:pStyle w:val="TableContents"/>
              <w:spacing w:before="0" w:after="283"/>
              <w:rPr>
                <w:b/>
              </w:rPr>
            </w:pPr>
            <w:r>
              <w:rPr>
                <w:b/>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878" w:type="dxa"/>
            <w:tcBorders/>
            <w:shd w:fill="auto" w:val="clear"/>
            <w:vAlign w:val="bottom"/>
          </w:tcPr>
          <w:p>
            <w:pPr>
              <w:pStyle w:val="TableContents"/>
              <w:spacing w:before="0" w:after="283"/>
              <w:jc w:val="right"/>
              <w:rPr/>
            </w:pPr>
            <w:r>
              <w:rPr/>
              <w:t>(35,990</w:t>
            </w:r>
          </w:p>
        </w:tc>
        <w:tc>
          <w:tcPr>
            <w:tcW w:w="265"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w:t>
            </w:r>
          </w:p>
        </w:tc>
        <w:tc>
          <w:tcPr>
            <w:tcW w:w="273" w:type="dxa"/>
            <w:tcBorders/>
            <w:shd w:fill="auto" w:val="clear"/>
            <w:vAlign w:val="bottom"/>
          </w:tcPr>
          <w:p>
            <w:pPr>
              <w:pStyle w:val="TableContents"/>
              <w:spacing w:before="0" w:after="283"/>
              <w:rPr/>
            </w:pPr>
            <w:r>
              <w:rPr/>
              <w:t> </w:t>
            </w:r>
          </w:p>
        </w:tc>
      </w:tr>
      <w:tr>
        <w:trPr/>
        <w:tc>
          <w:tcPr>
            <w:tcW w:w="4797"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058"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797" w:type="dxa"/>
            <w:tcBorders/>
            <w:shd w:fill="auto" w:val="clear"/>
            <w:vAlign w:val="bottom"/>
          </w:tcPr>
          <w:p>
            <w:pPr>
              <w:pStyle w:val="TableContents"/>
              <w:spacing w:before="0" w:after="0"/>
              <w:ind w:left="225" w:right="0" w:hanging="225"/>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r>
      <w:tr>
        <w:trPr/>
        <w:tc>
          <w:tcPr>
            <w:tcW w:w="4797" w:type="dxa"/>
            <w:tcBorders/>
            <w:shd w:fill="CCEEFF" w:val="clear"/>
            <w:vAlign w:val="bottom"/>
          </w:tcPr>
          <w:p>
            <w:pPr>
              <w:pStyle w:val="TableContents"/>
              <w:spacing w:before="0" w:after="0"/>
              <w:ind w:left="1125" w:right="0" w:hanging="225"/>
              <w:rPr>
                <w:b/>
              </w:rPr>
            </w:pPr>
            <w:r>
              <w:rPr>
                <w:b/>
              </w:rPr>
              <w:t>Net cash used in investing activities</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b/>
              </w:rPr>
            </w:pPr>
            <w:r>
              <w:rPr>
                <w:b/>
              </w:rPr>
              <w:t>(126,222</w:t>
            </w:r>
          </w:p>
        </w:tc>
        <w:tc>
          <w:tcPr>
            <w:tcW w:w="265" w:type="dxa"/>
            <w:tcBorders/>
            <w:shd w:fill="CCEEFF" w:val="clear"/>
            <w:vAlign w:val="bottom"/>
          </w:tcPr>
          <w:p>
            <w:pPr>
              <w:pStyle w:val="TableContents"/>
              <w:spacing w:before="0" w:after="283"/>
              <w:rPr>
                <w:b/>
              </w:rPr>
            </w:pPr>
            <w:r>
              <w:rPr>
                <w:b/>
              </w:rPr>
              <w: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(273,586</w:t>
            </w:r>
          </w:p>
        </w:tc>
        <w:tc>
          <w:tcPr>
            <w:tcW w:w="265"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878" w:type="dxa"/>
            <w:tcBorders/>
            <w:shd w:fill="CCEEFF" w:val="clear"/>
            <w:vAlign w:val="bottom"/>
          </w:tcPr>
          <w:p>
            <w:pPr>
              <w:pStyle w:val="TableContents"/>
              <w:spacing w:before="0" w:after="283"/>
              <w:jc w:val="right"/>
              <w:rPr/>
            </w:pPr>
            <w:r>
              <w:rPr/>
              <w:t>(116,713</w:t>
            </w:r>
          </w:p>
        </w:tc>
        <w:tc>
          <w:tcPr>
            <w:tcW w:w="273" w:type="dxa"/>
            <w:tcBorders/>
            <w:shd w:fill="CCEEFF" w:val="clear"/>
            <w:vAlign w:val="bottom"/>
          </w:tcPr>
          <w:p>
            <w:pPr>
              <w:pStyle w:val="TableContents"/>
              <w:spacing w:before="0" w:after="283"/>
              <w:rPr/>
            </w:pPr>
            <w:r>
              <w:rPr/>
              <w:t>)</w:t>
            </w:r>
          </w:p>
        </w:tc>
      </w:tr>
      <w:tr>
        <w:trPr/>
        <w:tc>
          <w:tcPr>
            <w:tcW w:w="4797"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058"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bl>
    <w:p>
      <w:pPr>
        <w:pStyle w:val="TextBody"/>
        <w:spacing w:before="240" w:after="283"/>
        <w:jc w:val="right"/>
        <w:rPr>
          <w:rFonts w:ascii="Arial;Helvetica;sans-serif" w:hAnsi="Arial;Helvetica;sans-serif"/>
          <w:sz w:val="17"/>
        </w:rPr>
      </w:pPr>
      <w:r>
        <w:rPr>
          <w:rFonts w:ascii="Arial;Helvetica;sans-serif" w:hAnsi="Arial;Helvetica;sans-serif"/>
          <w:sz w:val="17"/>
        </w:rPr>
        <w:t xml:space="preserve">(continued) </w:t>
      </w:r>
    </w:p>
    <w:p>
      <w:pPr>
        <w:pStyle w:val="TextBody"/>
        <w:jc w:val="center"/>
        <w:rPr>
          <w:rFonts w:ascii="Arial;Helvetica;sans-serif" w:hAnsi="Arial;Helvetica;sans-serif"/>
          <w:sz w:val="17"/>
        </w:rPr>
      </w:pPr>
      <w:r>
        <w:rPr>
          <w:rFonts w:ascii="Arial;Helvetica;sans-serif" w:hAnsi="Arial;Helvetica;sans-serif"/>
          <w:sz w:val="17"/>
        </w:rPr>
        <w:t xml:space="preserve">53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Arial;Helvetica;sans-serif" w:hAnsi="Arial;Helvetica;sans-serif"/>
          <w:sz w:val="17"/>
        </w:rPr>
      </w:pPr>
      <w:r>
        <w:rPr>
          <w:rFonts w:ascii="Arial;Helvetica;sans-serif" w:hAnsi="Arial;Helvetica;sans-serif"/>
          <w:b/>
          <w:sz w:val="17"/>
        </w:rPr>
        <w:t>FIRST BUSEY CORPORATION AND SUBSIDIARIES</w:t>
        <w:br/>
        <w:t>CONSOLIDATED STATEMENTS OF CASH FLOWS (Continued)</w:t>
        <w:br/>
        <w:t>Years Ended December 31, 2005, 2004 and 2003</w:t>
      </w:r>
      <w:r>
        <w:rPr>
          <w:rFonts w:ascii="Arial;Helvetica;sans-serif" w:hAnsi="Arial;Helvetica;sans-serif"/>
          <w:sz w:val="17"/>
        </w:rPr>
        <w:t xml:space="preserve"> </w:t>
      </w:r>
    </w:p>
    <w:tbl>
      <w:tblPr>
        <w:tblW w:w="5000" w:type="pct"/>
        <w:jc w:val="center"/>
        <w:tblInd w:w="0" w:type="dxa"/>
        <w:tblCellMar>
          <w:top w:w="0" w:type="dxa"/>
          <w:left w:w="0" w:type="dxa"/>
          <w:bottom w:w="0" w:type="dxa"/>
          <w:right w:w="0" w:type="dxa"/>
        </w:tblCellMar>
      </w:tblPr>
      <w:tblGrid>
        <w:gridCol w:w="5006"/>
        <w:gridCol w:w="358"/>
        <w:gridCol w:w="311"/>
        <w:gridCol w:w="806"/>
        <w:gridCol w:w="269"/>
        <w:gridCol w:w="358"/>
        <w:gridCol w:w="311"/>
        <w:gridCol w:w="806"/>
        <w:gridCol w:w="269"/>
        <w:gridCol w:w="358"/>
        <w:gridCol w:w="311"/>
        <w:gridCol w:w="764"/>
        <w:gridCol w:w="278"/>
      </w:tblGrid>
      <w:tr>
        <w:trPr/>
        <w:tc>
          <w:tcPr>
            <w:tcW w:w="5006"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r>
      <w:tr>
        <w:trPr/>
        <w:tc>
          <w:tcPr>
            <w:tcW w:w="5006" w:type="dxa"/>
            <w:tcBorders>
              <w:bottom w:val="single" w:sz="2" w:space="0" w:color="000000"/>
            </w:tcBorders>
            <w:shd w:fill="auto" w:val="clear"/>
            <w:tcMar>
              <w:bottom w:w="28" w:type="dxa"/>
            </w:tcMar>
            <w:vAlign w:val="bottom"/>
          </w:tcPr>
          <w:p>
            <w:pPr>
              <w:pStyle w:val="TableContents"/>
              <w:spacing w:before="0" w:after="283"/>
              <w:rPr/>
            </w:pPr>
            <w:r>
              <w:rPr/>
              <w:t> </w:t>
            </w:r>
          </w:p>
        </w:tc>
        <w:tc>
          <w:tcPr>
            <w:tcW w:w="358" w:type="dxa"/>
            <w:tcBorders>
              <w:bottom w:val="single" w:sz="2" w:space="0" w:color="000000"/>
            </w:tcBorders>
            <w:shd w:fill="auto" w:val="clear"/>
            <w:tcMar>
              <w:bottom w:w="28" w:type="dxa"/>
            </w:tcMar>
            <w:vAlign w:val="bottom"/>
          </w:tcPr>
          <w:p>
            <w:pPr>
              <w:pStyle w:val="TableContents"/>
              <w:spacing w:before="0" w:after="283"/>
              <w:rPr/>
            </w:pPr>
            <w:r>
              <w:rPr/>
              <w:t> </w:t>
            </w:r>
          </w:p>
        </w:tc>
        <w:tc>
          <w:tcPr>
            <w:tcW w:w="138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358" w:type="dxa"/>
            <w:tcBorders>
              <w:bottom w:val="single" w:sz="2" w:space="0" w:color="000000"/>
            </w:tcBorders>
            <w:shd w:fill="auto" w:val="clear"/>
            <w:tcMar>
              <w:bottom w:w="28" w:type="dxa"/>
            </w:tcMar>
            <w:vAlign w:val="bottom"/>
          </w:tcPr>
          <w:p>
            <w:pPr>
              <w:pStyle w:val="TableContents"/>
              <w:spacing w:before="0" w:after="283"/>
              <w:rPr/>
            </w:pPr>
            <w:r>
              <w:rPr/>
              <w:t> </w:t>
            </w:r>
          </w:p>
        </w:tc>
        <w:tc>
          <w:tcPr>
            <w:tcW w:w="1386" w:type="dxa"/>
            <w:gridSpan w:val="3"/>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358" w:type="dxa"/>
            <w:tcBorders>
              <w:bottom w:val="single" w:sz="2" w:space="0" w:color="000000"/>
            </w:tcBorders>
            <w:shd w:fill="auto" w:val="clear"/>
            <w:tcMar>
              <w:bottom w:w="28" w:type="dxa"/>
            </w:tcMar>
            <w:vAlign w:val="bottom"/>
          </w:tcPr>
          <w:p>
            <w:pPr>
              <w:pStyle w:val="TableContents"/>
              <w:spacing w:before="0" w:after="283"/>
              <w:rPr/>
            </w:pPr>
            <w:r>
              <w:rPr/>
              <w:t> </w:t>
            </w:r>
          </w:p>
        </w:tc>
        <w:tc>
          <w:tcPr>
            <w:tcW w:w="1353" w:type="dxa"/>
            <w:gridSpan w:val="3"/>
            <w:tcBorders>
              <w:bottom w:val="single" w:sz="2" w:space="0" w:color="000000"/>
            </w:tcBorders>
            <w:shd w:fill="auto" w:val="clear"/>
            <w:tcMar>
              <w:bottom w:w="28" w:type="dxa"/>
            </w:tcMar>
            <w:vAlign w:val="bottom"/>
          </w:tcPr>
          <w:p>
            <w:pPr>
              <w:pStyle w:val="TableContents"/>
              <w:spacing w:before="0" w:after="283"/>
              <w:jc w:val="center"/>
              <w:rPr/>
            </w:pPr>
            <w:r>
              <w:rPr/>
              <w:t>2003</w:t>
            </w:r>
          </w:p>
        </w:tc>
      </w:tr>
      <w:tr>
        <w:trPr/>
        <w:tc>
          <w:tcPr>
            <w:tcW w:w="5006"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4841" w:type="dxa"/>
            <w:gridSpan w:val="11"/>
            <w:tcBorders/>
            <w:shd w:fill="auto" w:val="clear"/>
            <w:vAlign w:val="bottom"/>
          </w:tcPr>
          <w:p>
            <w:pPr>
              <w:pStyle w:val="TableContents"/>
              <w:spacing w:before="0" w:after="283"/>
              <w:jc w:val="center"/>
              <w:rPr/>
            </w:pPr>
            <w:r>
              <w:rPr/>
              <w:t>(Dollars in thousands)</w:t>
            </w:r>
          </w:p>
        </w:tc>
      </w:tr>
      <w:tr>
        <w:trPr/>
        <w:tc>
          <w:tcPr>
            <w:tcW w:w="5006" w:type="dxa"/>
            <w:tcBorders/>
            <w:shd w:fill="CCEEFF" w:val="clear"/>
            <w:vAlign w:val="bottom"/>
          </w:tcPr>
          <w:p>
            <w:pPr>
              <w:pStyle w:val="TableContents"/>
              <w:spacing w:before="0" w:after="0"/>
              <w:ind w:left="225" w:right="0" w:hanging="225"/>
              <w:rPr/>
            </w:pPr>
            <w:r>
              <w:rPr/>
              <w:t xml:space="preserve">Cash Flows from Financing Activities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b/>
              </w:rPr>
            </w:pPr>
            <w:r>
              <w:rPr>
                <w:b/>
              </w:rPr>
              <w:t>$</w:t>
            </w:r>
          </w:p>
        </w:tc>
        <w:tc>
          <w:tcPr>
            <w:tcW w:w="806" w:type="dxa"/>
            <w:tcBorders/>
            <w:shd w:fill="CCEEFF" w:val="clear"/>
            <w:vAlign w:val="bottom"/>
          </w:tcPr>
          <w:p>
            <w:pPr>
              <w:pStyle w:val="TableContents"/>
              <w:spacing w:before="0" w:after="283"/>
              <w:jc w:val="right"/>
              <w:rPr>
                <w:b/>
              </w:rPr>
            </w:pPr>
            <w:r>
              <w:rPr>
                <w:b/>
              </w:rPr>
              <w:t>47,257</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pPr>
            <w:r>
              <w:rPr/>
              <w:t>$</w:t>
            </w:r>
          </w:p>
        </w:tc>
        <w:tc>
          <w:tcPr>
            <w:tcW w:w="806" w:type="dxa"/>
            <w:tcBorders/>
            <w:shd w:fill="CCEEFF" w:val="clear"/>
            <w:vAlign w:val="bottom"/>
          </w:tcPr>
          <w:p>
            <w:pPr>
              <w:pStyle w:val="TableContents"/>
              <w:spacing w:before="0" w:after="283"/>
              <w:jc w:val="right"/>
              <w:rPr/>
            </w:pPr>
            <w:r>
              <w:rPr/>
              <w:t>83,058</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pPr>
            <w:r>
              <w:rPr/>
              <w:t>$</w:t>
            </w:r>
          </w:p>
        </w:tc>
        <w:tc>
          <w:tcPr>
            <w:tcW w:w="764" w:type="dxa"/>
            <w:tcBorders/>
            <w:shd w:fill="CCEEFF" w:val="clear"/>
            <w:vAlign w:val="bottom"/>
          </w:tcPr>
          <w:p>
            <w:pPr>
              <w:pStyle w:val="TableContents"/>
              <w:spacing w:before="0" w:after="283"/>
              <w:jc w:val="right"/>
              <w:rPr/>
            </w:pPr>
            <w:r>
              <w:rPr/>
              <w:t>(27,254</w:t>
            </w:r>
          </w:p>
        </w:tc>
        <w:tc>
          <w:tcPr>
            <w:tcW w:w="278" w:type="dxa"/>
            <w:tcBorders/>
            <w:shd w:fill="CCEEFF" w:val="clear"/>
            <w:vAlign w:val="bottom"/>
          </w:tcPr>
          <w:p>
            <w:pPr>
              <w:pStyle w:val="TableContents"/>
              <w:spacing w:before="0" w:after="283"/>
              <w:rPr/>
            </w:pPr>
            <w:r>
              <w:rPr/>
              <w:t>)</w:t>
            </w:r>
          </w:p>
        </w:tc>
      </w:tr>
      <w:tr>
        <w:trPr/>
        <w:tc>
          <w:tcPr>
            <w:tcW w:w="5006" w:type="dxa"/>
            <w:tcBorders/>
            <w:shd w:fill="auto" w:val="clear"/>
            <w:vAlign w:val="bottom"/>
          </w:tcPr>
          <w:p>
            <w:pPr>
              <w:pStyle w:val="TableContents"/>
              <w:spacing w:before="0" w:after="0"/>
              <w:ind w:left="225" w:right="0" w:hanging="225"/>
              <w:rPr/>
            </w:pPr>
            <w:r>
              <w:rPr/>
              <w:t>Net increase (decrease) in certificates of deposit</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b/>
              </w:rPr>
            </w:pPr>
            <w:r>
              <w:rPr>
                <w:b/>
              </w:rPr>
              <w:t>$</w:t>
            </w:r>
          </w:p>
        </w:tc>
        <w:tc>
          <w:tcPr>
            <w:tcW w:w="806" w:type="dxa"/>
            <w:tcBorders/>
            <w:shd w:fill="auto" w:val="clear"/>
            <w:vAlign w:val="bottom"/>
          </w:tcPr>
          <w:p>
            <w:pPr>
              <w:pStyle w:val="TableContents"/>
              <w:spacing w:before="0" w:after="283"/>
              <w:jc w:val="right"/>
              <w:rPr>
                <w:b/>
              </w:rPr>
            </w:pPr>
            <w:r>
              <w:rPr>
                <w:b/>
              </w:rPr>
              <w:t>47,257</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w:t>
            </w:r>
          </w:p>
        </w:tc>
        <w:tc>
          <w:tcPr>
            <w:tcW w:w="806" w:type="dxa"/>
            <w:tcBorders/>
            <w:shd w:fill="auto" w:val="clear"/>
            <w:vAlign w:val="bottom"/>
          </w:tcPr>
          <w:p>
            <w:pPr>
              <w:pStyle w:val="TableContents"/>
              <w:spacing w:before="0" w:after="283"/>
              <w:jc w:val="right"/>
              <w:rPr/>
            </w:pPr>
            <w:r>
              <w:rPr/>
              <w:t>83,058</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w:t>
            </w:r>
          </w:p>
        </w:tc>
        <w:tc>
          <w:tcPr>
            <w:tcW w:w="764" w:type="dxa"/>
            <w:tcBorders/>
            <w:shd w:fill="auto" w:val="clear"/>
            <w:vAlign w:val="bottom"/>
          </w:tcPr>
          <w:p>
            <w:pPr>
              <w:pStyle w:val="TableContents"/>
              <w:spacing w:before="0" w:after="283"/>
              <w:jc w:val="right"/>
              <w:rPr/>
            </w:pPr>
            <w:r>
              <w:rPr/>
              <w:t>(27,254</w:t>
            </w:r>
          </w:p>
        </w:tc>
        <w:tc>
          <w:tcPr>
            <w:tcW w:w="278" w:type="dxa"/>
            <w:tcBorders/>
            <w:shd w:fill="auto" w:val="clear"/>
            <w:vAlign w:val="bottom"/>
          </w:tcPr>
          <w:p>
            <w:pPr>
              <w:pStyle w:val="TableContents"/>
              <w:spacing w:before="0" w:after="283"/>
              <w:rPr/>
            </w:pPr>
            <w:r>
              <w:rPr/>
              <w:t>)</w:t>
            </w:r>
          </w:p>
        </w:tc>
      </w:tr>
      <w:tr>
        <w:trPr/>
        <w:tc>
          <w:tcPr>
            <w:tcW w:w="5006" w:type="dxa"/>
            <w:tcBorders/>
            <w:shd w:fill="CCEEFF" w:val="clear"/>
            <w:vAlign w:val="bottom"/>
          </w:tcPr>
          <w:p>
            <w:pPr>
              <w:pStyle w:val="TableContents"/>
              <w:spacing w:before="0" w:after="0"/>
              <w:ind w:left="450" w:right="0" w:hanging="225"/>
              <w:rPr/>
            </w:pPr>
            <w:r>
              <w:rPr/>
              <w:t>Net increase in demand deposits, money market and savings accounts</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63,890</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72,085</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764" w:type="dxa"/>
            <w:tcBorders/>
            <w:shd w:fill="CCEEFF" w:val="clear"/>
            <w:vAlign w:val="bottom"/>
          </w:tcPr>
          <w:p>
            <w:pPr>
              <w:pStyle w:val="TableContents"/>
              <w:spacing w:before="0" w:after="283"/>
              <w:jc w:val="right"/>
              <w:rPr/>
            </w:pPr>
            <w:r>
              <w:rPr/>
              <w:t>70,244</w:t>
            </w:r>
          </w:p>
        </w:tc>
        <w:tc>
          <w:tcPr>
            <w:tcW w:w="278" w:type="dxa"/>
            <w:tcBorders/>
            <w:shd w:fill="CCEEFF" w:val="clear"/>
            <w:vAlign w:val="bottom"/>
          </w:tcPr>
          <w:p>
            <w:pPr>
              <w:pStyle w:val="TableContents"/>
              <w:spacing w:before="0" w:after="283"/>
              <w:rPr/>
            </w:pPr>
            <w:r>
              <w:rPr/>
              <w:t> </w:t>
            </w:r>
          </w:p>
        </w:tc>
      </w:tr>
      <w:tr>
        <w:trPr/>
        <w:tc>
          <w:tcPr>
            <w:tcW w:w="5006" w:type="dxa"/>
            <w:tcBorders/>
            <w:shd w:fill="auto" w:val="clear"/>
            <w:vAlign w:val="bottom"/>
          </w:tcPr>
          <w:p>
            <w:pPr>
              <w:pStyle w:val="TableContents"/>
              <w:spacing w:before="0" w:after="0"/>
              <w:ind w:left="450" w:right="0" w:hanging="225"/>
              <w:rPr/>
            </w:pPr>
            <w:r>
              <w:rPr/>
              <w:t>Net increase in federal funds purchased and securities sold under agreements to repurchase</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5,591</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101</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jc w:val="right"/>
              <w:rPr/>
            </w:pPr>
            <w:r>
              <w:rPr/>
              <w:t>13,533</w:t>
            </w:r>
          </w:p>
        </w:tc>
        <w:tc>
          <w:tcPr>
            <w:tcW w:w="278" w:type="dxa"/>
            <w:tcBorders/>
            <w:shd w:fill="auto" w:val="clear"/>
            <w:vAlign w:val="bottom"/>
          </w:tcPr>
          <w:p>
            <w:pPr>
              <w:pStyle w:val="TableContents"/>
              <w:spacing w:before="0" w:after="283"/>
              <w:rPr/>
            </w:pPr>
            <w:r>
              <w:rPr/>
              <w:t> </w:t>
            </w:r>
          </w:p>
        </w:tc>
      </w:tr>
      <w:tr>
        <w:trPr/>
        <w:tc>
          <w:tcPr>
            <w:tcW w:w="5006" w:type="dxa"/>
            <w:tcBorders/>
            <w:shd w:fill="CCEEFF" w:val="clear"/>
            <w:vAlign w:val="bottom"/>
          </w:tcPr>
          <w:p>
            <w:pPr>
              <w:pStyle w:val="TableContents"/>
              <w:spacing w:before="0" w:after="0"/>
              <w:ind w:left="450" w:right="0" w:hanging="225"/>
              <w:rPr/>
            </w:pPr>
            <w:r>
              <w:rPr/>
              <w:t>Proceeds from short-term borrowings</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4,000</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15,250</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764" w:type="dxa"/>
            <w:tcBorders/>
            <w:shd w:fill="CCEEFF" w:val="clear"/>
            <w:vAlign w:val="bottom"/>
          </w:tcPr>
          <w:p>
            <w:pPr>
              <w:pStyle w:val="TableContents"/>
              <w:spacing w:before="0" w:after="283"/>
              <w:jc w:val="right"/>
              <w:rPr/>
            </w:pPr>
            <w:r>
              <w:rPr/>
              <w:t></w:t>
            </w:r>
          </w:p>
        </w:tc>
        <w:tc>
          <w:tcPr>
            <w:tcW w:w="278" w:type="dxa"/>
            <w:tcBorders/>
            <w:shd w:fill="CCEEFF" w:val="clear"/>
            <w:vAlign w:val="bottom"/>
          </w:tcPr>
          <w:p>
            <w:pPr>
              <w:pStyle w:val="TableContents"/>
              <w:spacing w:before="0" w:after="283"/>
              <w:rPr/>
            </w:pPr>
            <w:r>
              <w:rPr/>
              <w:t> </w:t>
            </w:r>
          </w:p>
        </w:tc>
      </w:tr>
      <w:tr>
        <w:trPr/>
        <w:tc>
          <w:tcPr>
            <w:tcW w:w="5006" w:type="dxa"/>
            <w:tcBorders/>
            <w:shd w:fill="auto" w:val="clear"/>
            <w:vAlign w:val="bottom"/>
          </w:tcPr>
          <w:p>
            <w:pPr>
              <w:pStyle w:val="TableContents"/>
              <w:spacing w:before="0" w:after="0"/>
              <w:ind w:left="450" w:right="0" w:hanging="225"/>
              <w:rPr/>
            </w:pPr>
            <w:r>
              <w:rPr/>
              <w:t>Principal payments on short-term borrowings</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 </w:t>
            </w:r>
          </w:p>
        </w:tc>
        <w:tc>
          <w:tcPr>
            <w:tcW w:w="806" w:type="dxa"/>
            <w:tcBorders/>
            <w:shd w:fill="auto" w:val="clear"/>
            <w:vAlign w:val="bottom"/>
          </w:tcPr>
          <w:p>
            <w:pPr>
              <w:pStyle w:val="TableContents"/>
              <w:spacing w:before="0" w:after="283"/>
              <w:jc w:val="right"/>
              <w:rPr>
                <w:b/>
              </w:rPr>
            </w:pPr>
            <w:r>
              <w:rPr>
                <w:b/>
              </w:rPr>
              <w:t>(15,250</w:t>
            </w:r>
          </w:p>
        </w:tc>
        <w:tc>
          <w:tcPr>
            <w:tcW w:w="269" w:type="dxa"/>
            <w:tcBorders/>
            <w:shd w:fill="auto" w:val="clear"/>
            <w:vAlign w:val="bottom"/>
          </w:tcPr>
          <w:p>
            <w:pPr>
              <w:pStyle w:val="TableContents"/>
              <w:spacing w:before="0" w:after="283"/>
              <w:rPr>
                <w:b/>
              </w:rPr>
            </w:pPr>
            <w:r>
              <w:rPr>
                <w:b/>
              </w:rPr>
              <w:t>)</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 </w:t>
            </w:r>
          </w:p>
        </w:tc>
        <w:tc>
          <w:tcPr>
            <w:tcW w:w="806" w:type="dxa"/>
            <w:tcBorders/>
            <w:shd w:fill="auto" w:val="clear"/>
            <w:vAlign w:val="bottom"/>
          </w:tcPr>
          <w:p>
            <w:pPr>
              <w:pStyle w:val="TableContents"/>
              <w:spacing w:before="0" w:after="283"/>
              <w:jc w:val="right"/>
              <w:rPr/>
            </w:pPr>
            <w:r>
              <w:rPr/>
              <w:t>(5,250</w:t>
            </w:r>
          </w:p>
        </w:tc>
        <w:tc>
          <w:tcPr>
            <w:tcW w:w="269" w:type="dxa"/>
            <w:tcBorders/>
            <w:shd w:fill="auto" w:val="clear"/>
            <w:vAlign w:val="bottom"/>
          </w:tcPr>
          <w:p>
            <w:pPr>
              <w:pStyle w:val="TableContents"/>
              <w:spacing w:before="0" w:after="283"/>
              <w:rPr/>
            </w:pPr>
            <w:r>
              <w:rPr/>
              <w:t>)</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jc w:val="right"/>
              <w:rPr/>
            </w:pPr>
            <w:r>
              <w:rPr/>
              <w:t></w:t>
            </w:r>
          </w:p>
        </w:tc>
        <w:tc>
          <w:tcPr>
            <w:tcW w:w="278" w:type="dxa"/>
            <w:tcBorders/>
            <w:shd w:fill="auto" w:val="clear"/>
            <w:vAlign w:val="bottom"/>
          </w:tcPr>
          <w:p>
            <w:pPr>
              <w:pStyle w:val="TableContents"/>
              <w:spacing w:before="0" w:after="283"/>
              <w:rPr/>
            </w:pPr>
            <w:r>
              <w:rPr/>
              <w:t> </w:t>
            </w:r>
          </w:p>
        </w:tc>
      </w:tr>
      <w:tr>
        <w:trPr/>
        <w:tc>
          <w:tcPr>
            <w:tcW w:w="5006" w:type="dxa"/>
            <w:tcBorders/>
            <w:shd w:fill="CCEEFF" w:val="clear"/>
            <w:vAlign w:val="bottom"/>
          </w:tcPr>
          <w:p>
            <w:pPr>
              <w:pStyle w:val="TableContents"/>
              <w:spacing w:before="0" w:after="0"/>
              <w:ind w:left="450" w:right="0" w:hanging="225"/>
              <w:rPr/>
            </w:pPr>
            <w:r>
              <w:rPr/>
              <w:t>Proceeds from long-term debt</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52,500</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74,655</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764" w:type="dxa"/>
            <w:tcBorders/>
            <w:shd w:fill="CCEEFF" w:val="clear"/>
            <w:vAlign w:val="bottom"/>
          </w:tcPr>
          <w:p>
            <w:pPr>
              <w:pStyle w:val="TableContents"/>
              <w:spacing w:before="0" w:after="283"/>
              <w:jc w:val="right"/>
              <w:rPr/>
            </w:pPr>
            <w:r>
              <w:rPr/>
              <w:t>20,000</w:t>
            </w:r>
          </w:p>
        </w:tc>
        <w:tc>
          <w:tcPr>
            <w:tcW w:w="278" w:type="dxa"/>
            <w:tcBorders/>
            <w:shd w:fill="CCEEFF" w:val="clear"/>
            <w:vAlign w:val="bottom"/>
          </w:tcPr>
          <w:p>
            <w:pPr>
              <w:pStyle w:val="TableContents"/>
              <w:spacing w:before="0" w:after="283"/>
              <w:rPr/>
            </w:pPr>
            <w:r>
              <w:rPr/>
              <w:t> </w:t>
            </w:r>
          </w:p>
        </w:tc>
      </w:tr>
      <w:tr>
        <w:trPr/>
        <w:tc>
          <w:tcPr>
            <w:tcW w:w="5006" w:type="dxa"/>
            <w:tcBorders/>
            <w:shd w:fill="auto" w:val="clear"/>
            <w:vAlign w:val="bottom"/>
          </w:tcPr>
          <w:p>
            <w:pPr>
              <w:pStyle w:val="TableContents"/>
              <w:spacing w:before="0" w:after="0"/>
              <w:ind w:left="450" w:right="0" w:hanging="225"/>
              <w:rPr/>
            </w:pPr>
            <w:r>
              <w:rPr/>
              <w:t>Principal payments on long-term debt</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 </w:t>
            </w:r>
          </w:p>
        </w:tc>
        <w:tc>
          <w:tcPr>
            <w:tcW w:w="806" w:type="dxa"/>
            <w:tcBorders/>
            <w:shd w:fill="auto" w:val="clear"/>
            <w:vAlign w:val="bottom"/>
          </w:tcPr>
          <w:p>
            <w:pPr>
              <w:pStyle w:val="TableContents"/>
              <w:spacing w:before="0" w:after="283"/>
              <w:jc w:val="right"/>
              <w:rPr>
                <w:b/>
              </w:rPr>
            </w:pPr>
            <w:r>
              <w:rPr>
                <w:b/>
              </w:rPr>
              <w:t>(47,593</w:t>
            </w:r>
          </w:p>
        </w:tc>
        <w:tc>
          <w:tcPr>
            <w:tcW w:w="269" w:type="dxa"/>
            <w:tcBorders/>
            <w:shd w:fill="auto" w:val="clear"/>
            <w:vAlign w:val="bottom"/>
          </w:tcPr>
          <w:p>
            <w:pPr>
              <w:pStyle w:val="TableContents"/>
              <w:spacing w:before="0" w:after="283"/>
              <w:rPr>
                <w:b/>
              </w:rPr>
            </w:pPr>
            <w:r>
              <w:rPr>
                <w:b/>
              </w:rPr>
              <w:t>)</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 </w:t>
            </w:r>
          </w:p>
        </w:tc>
        <w:tc>
          <w:tcPr>
            <w:tcW w:w="806" w:type="dxa"/>
            <w:tcBorders/>
            <w:shd w:fill="auto" w:val="clear"/>
            <w:vAlign w:val="bottom"/>
          </w:tcPr>
          <w:p>
            <w:pPr>
              <w:pStyle w:val="TableContents"/>
              <w:spacing w:before="0" w:after="283"/>
              <w:jc w:val="right"/>
              <w:rPr/>
            </w:pPr>
            <w:r>
              <w:rPr/>
              <w:t>(25,059</w:t>
            </w:r>
          </w:p>
        </w:tc>
        <w:tc>
          <w:tcPr>
            <w:tcW w:w="269" w:type="dxa"/>
            <w:tcBorders/>
            <w:shd w:fill="auto" w:val="clear"/>
            <w:vAlign w:val="bottom"/>
          </w:tcPr>
          <w:p>
            <w:pPr>
              <w:pStyle w:val="TableContents"/>
              <w:spacing w:before="0" w:after="283"/>
              <w:rPr/>
            </w:pPr>
            <w:r>
              <w:rPr/>
              <w:t>)</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jc w:val="right"/>
              <w:rPr/>
            </w:pPr>
            <w:r>
              <w:rPr/>
              <w:t></w:t>
            </w:r>
          </w:p>
        </w:tc>
        <w:tc>
          <w:tcPr>
            <w:tcW w:w="278" w:type="dxa"/>
            <w:tcBorders/>
            <w:shd w:fill="auto" w:val="clear"/>
            <w:vAlign w:val="bottom"/>
          </w:tcPr>
          <w:p>
            <w:pPr>
              <w:pStyle w:val="TableContents"/>
              <w:spacing w:before="0" w:after="283"/>
              <w:rPr/>
            </w:pPr>
            <w:r>
              <w:rPr/>
              <w:t> </w:t>
            </w:r>
          </w:p>
        </w:tc>
      </w:tr>
      <w:tr>
        <w:trPr/>
        <w:tc>
          <w:tcPr>
            <w:tcW w:w="5006" w:type="dxa"/>
            <w:tcBorders/>
            <w:shd w:fill="CCEEFF" w:val="clear"/>
            <w:vAlign w:val="bottom"/>
          </w:tcPr>
          <w:p>
            <w:pPr>
              <w:pStyle w:val="TableContents"/>
              <w:spacing w:before="0" w:after="0"/>
              <w:ind w:left="450" w:right="0" w:hanging="225"/>
              <w:rPr/>
            </w:pPr>
            <w:r>
              <w:rPr/>
              <w:t>Proceeds from issuance of junior subordinated debt owed to unconsolidated trusts</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10,000</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15,000</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764" w:type="dxa"/>
            <w:tcBorders/>
            <w:shd w:fill="CCEEFF" w:val="clear"/>
            <w:vAlign w:val="bottom"/>
          </w:tcPr>
          <w:p>
            <w:pPr>
              <w:pStyle w:val="TableContents"/>
              <w:spacing w:before="0" w:after="283"/>
              <w:jc w:val="right"/>
              <w:rPr/>
            </w:pPr>
            <w:r>
              <w:rPr/>
              <w:t></w:t>
            </w:r>
          </w:p>
        </w:tc>
        <w:tc>
          <w:tcPr>
            <w:tcW w:w="278" w:type="dxa"/>
            <w:tcBorders/>
            <w:shd w:fill="CCEEFF" w:val="clear"/>
            <w:vAlign w:val="bottom"/>
          </w:tcPr>
          <w:p>
            <w:pPr>
              <w:pStyle w:val="TableContents"/>
              <w:spacing w:before="0" w:after="283"/>
              <w:rPr/>
            </w:pPr>
            <w:r>
              <w:rPr/>
              <w:t> </w:t>
            </w:r>
          </w:p>
        </w:tc>
      </w:tr>
      <w:tr>
        <w:trPr/>
        <w:tc>
          <w:tcPr>
            <w:tcW w:w="5006" w:type="dxa"/>
            <w:tcBorders/>
            <w:shd w:fill="auto" w:val="clear"/>
            <w:vAlign w:val="bottom"/>
          </w:tcPr>
          <w:p>
            <w:pPr>
              <w:pStyle w:val="TableContents"/>
              <w:spacing w:before="0" w:after="0"/>
              <w:ind w:left="450" w:right="0" w:hanging="225"/>
              <w:rPr/>
            </w:pPr>
            <w:r>
              <w:rPr/>
              <w:t>Cash dividends paid</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 </w:t>
            </w:r>
          </w:p>
        </w:tc>
        <w:tc>
          <w:tcPr>
            <w:tcW w:w="806" w:type="dxa"/>
            <w:tcBorders/>
            <w:shd w:fill="auto" w:val="clear"/>
            <w:vAlign w:val="bottom"/>
          </w:tcPr>
          <w:p>
            <w:pPr>
              <w:pStyle w:val="TableContents"/>
              <w:spacing w:before="0" w:after="283"/>
              <w:jc w:val="right"/>
              <w:rPr>
                <w:b/>
              </w:rPr>
            </w:pPr>
            <w:r>
              <w:rPr>
                <w:b/>
              </w:rPr>
              <w:t>(11,564</w:t>
            </w:r>
          </w:p>
        </w:tc>
        <w:tc>
          <w:tcPr>
            <w:tcW w:w="269" w:type="dxa"/>
            <w:tcBorders/>
            <w:shd w:fill="auto" w:val="clear"/>
            <w:vAlign w:val="bottom"/>
          </w:tcPr>
          <w:p>
            <w:pPr>
              <w:pStyle w:val="TableContents"/>
              <w:spacing w:before="0" w:after="283"/>
              <w:rPr>
                <w:b/>
              </w:rPr>
            </w:pPr>
            <w:r>
              <w:rPr>
                <w:b/>
              </w:rPr>
              <w:t>)</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 </w:t>
            </w:r>
          </w:p>
        </w:tc>
        <w:tc>
          <w:tcPr>
            <w:tcW w:w="806" w:type="dxa"/>
            <w:tcBorders/>
            <w:shd w:fill="auto" w:val="clear"/>
            <w:vAlign w:val="bottom"/>
          </w:tcPr>
          <w:p>
            <w:pPr>
              <w:pStyle w:val="TableContents"/>
              <w:spacing w:before="0" w:after="283"/>
              <w:jc w:val="right"/>
              <w:rPr/>
            </w:pPr>
            <w:r>
              <w:rPr/>
              <w:t>(10,383</w:t>
            </w:r>
          </w:p>
        </w:tc>
        <w:tc>
          <w:tcPr>
            <w:tcW w:w="269" w:type="dxa"/>
            <w:tcBorders/>
            <w:shd w:fill="auto" w:val="clear"/>
            <w:vAlign w:val="bottom"/>
          </w:tcPr>
          <w:p>
            <w:pPr>
              <w:pStyle w:val="TableContents"/>
              <w:spacing w:before="0" w:after="283"/>
              <w:rPr/>
            </w:pPr>
            <w:r>
              <w:rPr/>
              <w:t>)</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 </w:t>
            </w:r>
          </w:p>
        </w:tc>
        <w:tc>
          <w:tcPr>
            <w:tcW w:w="764" w:type="dxa"/>
            <w:tcBorders/>
            <w:shd w:fill="auto" w:val="clear"/>
            <w:vAlign w:val="bottom"/>
          </w:tcPr>
          <w:p>
            <w:pPr>
              <w:pStyle w:val="TableContents"/>
              <w:spacing w:before="0" w:after="283"/>
              <w:jc w:val="right"/>
              <w:rPr/>
            </w:pPr>
            <w:r>
              <w:rPr/>
              <w:t>(9,215</w:t>
            </w:r>
          </w:p>
        </w:tc>
        <w:tc>
          <w:tcPr>
            <w:tcW w:w="278" w:type="dxa"/>
            <w:tcBorders/>
            <w:shd w:fill="auto" w:val="clear"/>
            <w:vAlign w:val="bottom"/>
          </w:tcPr>
          <w:p>
            <w:pPr>
              <w:pStyle w:val="TableContents"/>
              <w:spacing w:before="0" w:after="283"/>
              <w:rPr/>
            </w:pPr>
            <w:r>
              <w:rPr/>
              <w:t>)</w:t>
            </w:r>
          </w:p>
        </w:tc>
      </w:tr>
      <w:tr>
        <w:trPr/>
        <w:tc>
          <w:tcPr>
            <w:tcW w:w="5006" w:type="dxa"/>
            <w:tcBorders/>
            <w:shd w:fill="CCEEFF" w:val="clear"/>
            <w:vAlign w:val="bottom"/>
          </w:tcPr>
          <w:p>
            <w:pPr>
              <w:pStyle w:val="TableContents"/>
              <w:spacing w:before="0" w:after="0"/>
              <w:ind w:left="450" w:right="0" w:hanging="225"/>
              <w:rPr/>
            </w:pPr>
            <w:r>
              <w:rPr/>
              <w:t>Purchase of treasury stock</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pPr>
            <w:r>
              <w:rPr/>
              <w:t> </w:t>
            </w:r>
          </w:p>
        </w:tc>
        <w:tc>
          <w:tcPr>
            <w:tcW w:w="806" w:type="dxa"/>
            <w:tcBorders/>
            <w:shd w:fill="CCEEFF" w:val="clear"/>
            <w:vAlign w:val="bottom"/>
          </w:tcPr>
          <w:p>
            <w:pPr>
              <w:pStyle w:val="TableContents"/>
              <w:spacing w:before="0" w:after="283"/>
              <w:jc w:val="right"/>
              <w:rPr>
                <w:b/>
              </w:rPr>
            </w:pPr>
            <w:r>
              <w:rPr>
                <w:b/>
              </w:rPr>
              <w:t>(3,235</w:t>
            </w:r>
          </w:p>
        </w:tc>
        <w:tc>
          <w:tcPr>
            <w:tcW w:w="269" w:type="dxa"/>
            <w:tcBorders/>
            <w:shd w:fill="CCEEFF" w:val="clear"/>
            <w:vAlign w:val="bottom"/>
          </w:tcPr>
          <w:p>
            <w:pPr>
              <w:pStyle w:val="TableContents"/>
              <w:spacing w:before="0" w:after="283"/>
              <w:rPr>
                <w:b/>
              </w:rPr>
            </w:pPr>
            <w:r>
              <w:rPr>
                <w:b/>
              </w:rPr>
              <w:t>)</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pPr>
            <w:r>
              <w:rPr/>
              <w:t> </w:t>
            </w:r>
          </w:p>
        </w:tc>
        <w:tc>
          <w:tcPr>
            <w:tcW w:w="806" w:type="dxa"/>
            <w:tcBorders/>
            <w:shd w:fill="CCEEFF" w:val="clear"/>
            <w:vAlign w:val="bottom"/>
          </w:tcPr>
          <w:p>
            <w:pPr>
              <w:pStyle w:val="TableContents"/>
              <w:spacing w:before="0" w:after="283"/>
              <w:jc w:val="right"/>
              <w:rPr/>
            </w:pPr>
            <w:r>
              <w:rPr/>
              <w:t>(2,264</w:t>
            </w:r>
          </w:p>
        </w:tc>
        <w:tc>
          <w:tcPr>
            <w:tcW w:w="269" w:type="dxa"/>
            <w:tcBorders/>
            <w:shd w:fill="CCEEFF" w:val="clear"/>
            <w:vAlign w:val="bottom"/>
          </w:tcPr>
          <w:p>
            <w:pPr>
              <w:pStyle w:val="TableContents"/>
              <w:spacing w:before="0" w:after="283"/>
              <w:rPr/>
            </w:pPr>
            <w:r>
              <w:rPr/>
              <w:t>)</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pPr>
            <w:r>
              <w:rPr/>
              <w:t> </w:t>
            </w:r>
          </w:p>
        </w:tc>
        <w:tc>
          <w:tcPr>
            <w:tcW w:w="764" w:type="dxa"/>
            <w:tcBorders/>
            <w:shd w:fill="CCEEFF" w:val="clear"/>
            <w:vAlign w:val="bottom"/>
          </w:tcPr>
          <w:p>
            <w:pPr>
              <w:pStyle w:val="TableContents"/>
              <w:spacing w:before="0" w:after="283"/>
              <w:jc w:val="right"/>
              <w:rPr/>
            </w:pPr>
            <w:r>
              <w:rPr/>
              <w:t>(4,079</w:t>
            </w:r>
          </w:p>
        </w:tc>
        <w:tc>
          <w:tcPr>
            <w:tcW w:w="278" w:type="dxa"/>
            <w:tcBorders/>
            <w:shd w:fill="CCEEFF" w:val="clear"/>
            <w:vAlign w:val="bottom"/>
          </w:tcPr>
          <w:p>
            <w:pPr>
              <w:pStyle w:val="TableContents"/>
              <w:spacing w:before="0" w:after="283"/>
              <w:rPr/>
            </w:pPr>
            <w:r>
              <w:rPr/>
              <w:t>)</w:t>
            </w:r>
          </w:p>
        </w:tc>
      </w:tr>
      <w:tr>
        <w:trPr/>
        <w:tc>
          <w:tcPr>
            <w:tcW w:w="5006" w:type="dxa"/>
            <w:tcBorders/>
            <w:shd w:fill="auto" w:val="clear"/>
            <w:vAlign w:val="bottom"/>
          </w:tcPr>
          <w:p>
            <w:pPr>
              <w:pStyle w:val="TableContents"/>
              <w:spacing w:before="0" w:after="0"/>
              <w:ind w:left="450" w:right="0" w:hanging="225"/>
              <w:rPr/>
            </w:pPr>
            <w:r>
              <w:rPr/>
              <w:t>Proceeds from sales of treasury stock</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3,283</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3,384</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jc w:val="right"/>
              <w:rPr/>
            </w:pPr>
            <w:r>
              <w:rPr/>
              <w:t>5,509</w:t>
            </w:r>
          </w:p>
        </w:tc>
        <w:tc>
          <w:tcPr>
            <w:tcW w:w="278" w:type="dxa"/>
            <w:tcBorders/>
            <w:shd w:fill="auto" w:val="clear"/>
            <w:vAlign w:val="bottom"/>
          </w:tcPr>
          <w:p>
            <w:pPr>
              <w:pStyle w:val="TableContents"/>
              <w:spacing w:before="0" w:after="283"/>
              <w:rPr/>
            </w:pPr>
            <w:r>
              <w:rPr/>
              <w:t> </w:t>
            </w:r>
          </w:p>
        </w:tc>
      </w:tr>
      <w:tr>
        <w:trPr/>
        <w:tc>
          <w:tcPr>
            <w:tcW w:w="5006"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4841"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006" w:type="dxa"/>
            <w:tcBorders/>
            <w:shd w:fill="auto" w:val="clear"/>
            <w:vAlign w:val="bottom"/>
          </w:tcPr>
          <w:p>
            <w:pPr>
              <w:pStyle w:val="TableContents"/>
              <w:spacing w:before="0" w:after="0"/>
              <w:ind w:left="225" w:right="0" w:hanging="225"/>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r>
      <w:tr>
        <w:trPr/>
        <w:tc>
          <w:tcPr>
            <w:tcW w:w="5006" w:type="dxa"/>
            <w:tcBorders/>
            <w:shd w:fill="CCEEFF" w:val="clear"/>
            <w:vAlign w:val="bottom"/>
          </w:tcPr>
          <w:p>
            <w:pPr>
              <w:pStyle w:val="TableContents"/>
              <w:spacing w:before="0" w:after="0"/>
              <w:ind w:left="675" w:right="0" w:hanging="225"/>
              <w:rPr>
                <w:b/>
              </w:rPr>
            </w:pPr>
            <w:r>
              <w:rPr>
                <w:b/>
              </w:rPr>
              <w:t>Net cash provided by financing activities</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108,879</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220,577</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764" w:type="dxa"/>
            <w:tcBorders/>
            <w:shd w:fill="CCEEFF" w:val="clear"/>
            <w:vAlign w:val="bottom"/>
          </w:tcPr>
          <w:p>
            <w:pPr>
              <w:pStyle w:val="TableContents"/>
              <w:spacing w:before="0" w:after="283"/>
              <w:jc w:val="right"/>
              <w:rPr/>
            </w:pPr>
            <w:r>
              <w:rPr/>
              <w:t>68,738</w:t>
            </w:r>
          </w:p>
        </w:tc>
        <w:tc>
          <w:tcPr>
            <w:tcW w:w="278" w:type="dxa"/>
            <w:tcBorders/>
            <w:shd w:fill="CCEEFF" w:val="clear"/>
            <w:vAlign w:val="bottom"/>
          </w:tcPr>
          <w:p>
            <w:pPr>
              <w:pStyle w:val="TableContents"/>
              <w:spacing w:before="0" w:after="283"/>
              <w:rPr/>
            </w:pPr>
            <w:r>
              <w:rPr/>
              <w:t> </w:t>
            </w:r>
          </w:p>
        </w:tc>
      </w:tr>
      <w:tr>
        <w:trPr/>
        <w:tc>
          <w:tcPr>
            <w:tcW w:w="5006"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4841"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006" w:type="dxa"/>
            <w:tcBorders/>
            <w:shd w:fill="auto" w:val="clear"/>
            <w:vAlign w:val="bottom"/>
          </w:tcPr>
          <w:p>
            <w:pPr>
              <w:pStyle w:val="TableContents"/>
              <w:spacing w:before="0" w:after="0"/>
              <w:ind w:left="225" w:right="0" w:hanging="225"/>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r>
      <w:tr>
        <w:trPr/>
        <w:tc>
          <w:tcPr>
            <w:tcW w:w="5006" w:type="dxa"/>
            <w:tcBorders/>
            <w:shd w:fill="auto" w:val="clear"/>
            <w:vAlign w:val="bottom"/>
          </w:tcPr>
          <w:p>
            <w:pPr>
              <w:pStyle w:val="TableContents"/>
              <w:spacing w:before="0" w:after="0"/>
              <w:ind w:left="225" w:right="0" w:hanging="225"/>
              <w:rPr/>
            </w:pPr>
            <w:r>
              <w:rPr/>
              <w:t>Net increase (decrease) in cash and due from banks</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12,966</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 </w:t>
            </w:r>
          </w:p>
        </w:tc>
        <w:tc>
          <w:tcPr>
            <w:tcW w:w="806" w:type="dxa"/>
            <w:tcBorders/>
            <w:shd w:fill="auto" w:val="clear"/>
            <w:vAlign w:val="bottom"/>
          </w:tcPr>
          <w:p>
            <w:pPr>
              <w:pStyle w:val="TableContents"/>
              <w:spacing w:before="0" w:after="283"/>
              <w:jc w:val="right"/>
              <w:rPr/>
            </w:pPr>
            <w:r>
              <w:rPr/>
              <w:t>(4,406</w:t>
            </w:r>
          </w:p>
        </w:tc>
        <w:tc>
          <w:tcPr>
            <w:tcW w:w="269" w:type="dxa"/>
            <w:tcBorders/>
            <w:shd w:fill="auto" w:val="clear"/>
            <w:vAlign w:val="bottom"/>
          </w:tcPr>
          <w:p>
            <w:pPr>
              <w:pStyle w:val="TableContents"/>
              <w:spacing w:before="0" w:after="283"/>
              <w:rPr/>
            </w:pPr>
            <w:r>
              <w:rPr/>
              <w:t>)</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jc w:val="right"/>
              <w:rPr/>
            </w:pPr>
            <w:r>
              <w:rPr/>
              <w:t>4,752</w:t>
            </w:r>
          </w:p>
        </w:tc>
        <w:tc>
          <w:tcPr>
            <w:tcW w:w="278" w:type="dxa"/>
            <w:tcBorders/>
            <w:shd w:fill="auto" w:val="clear"/>
            <w:vAlign w:val="bottom"/>
          </w:tcPr>
          <w:p>
            <w:pPr>
              <w:pStyle w:val="TableContents"/>
              <w:spacing w:before="0" w:after="283"/>
              <w:rPr/>
            </w:pPr>
            <w:r>
              <w:rPr/>
              <w:t> </w:t>
            </w:r>
          </w:p>
        </w:tc>
      </w:tr>
      <w:tr>
        <w:trPr/>
        <w:tc>
          <w:tcPr>
            <w:tcW w:w="5006" w:type="dxa"/>
            <w:tcBorders/>
            <w:shd w:fill="CCEEFF" w:val="clear"/>
            <w:vAlign w:val="bottom"/>
          </w:tcPr>
          <w:p>
            <w:pPr>
              <w:pStyle w:val="TableContents"/>
              <w:spacing w:before="0" w:after="0"/>
              <w:ind w:left="225" w:right="0" w:hanging="225"/>
              <w:rPr/>
            </w:pPr>
            <w:r>
              <w:rPr/>
              <w:t>Cash and due from banks, beginning</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47,991</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52,397</w:t>
            </w:r>
          </w:p>
        </w:tc>
        <w:tc>
          <w:tcPr>
            <w:tcW w:w="26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764" w:type="dxa"/>
            <w:tcBorders/>
            <w:shd w:fill="CCEEFF" w:val="clear"/>
            <w:vAlign w:val="bottom"/>
          </w:tcPr>
          <w:p>
            <w:pPr>
              <w:pStyle w:val="TableContents"/>
              <w:spacing w:before="0" w:after="283"/>
              <w:jc w:val="right"/>
              <w:rPr/>
            </w:pPr>
            <w:r>
              <w:rPr/>
              <w:t>47,645</w:t>
            </w:r>
          </w:p>
        </w:tc>
        <w:tc>
          <w:tcPr>
            <w:tcW w:w="278" w:type="dxa"/>
            <w:tcBorders/>
            <w:shd w:fill="CCEEFF" w:val="clear"/>
            <w:vAlign w:val="bottom"/>
          </w:tcPr>
          <w:p>
            <w:pPr>
              <w:pStyle w:val="TableContents"/>
              <w:spacing w:before="0" w:after="283"/>
              <w:rPr/>
            </w:pPr>
            <w:r>
              <w:rPr/>
              <w:t> </w:t>
            </w:r>
          </w:p>
        </w:tc>
      </w:tr>
      <w:tr>
        <w:trPr/>
        <w:tc>
          <w:tcPr>
            <w:tcW w:w="5006"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4841"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006" w:type="dxa"/>
            <w:tcBorders/>
            <w:shd w:fill="auto" w:val="clear"/>
            <w:vAlign w:val="bottom"/>
          </w:tcPr>
          <w:p>
            <w:pPr>
              <w:pStyle w:val="TableContents"/>
              <w:spacing w:before="0" w:after="0"/>
              <w:ind w:left="225" w:right="0" w:hanging="225"/>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r>
      <w:tr>
        <w:trPr/>
        <w:tc>
          <w:tcPr>
            <w:tcW w:w="5006" w:type="dxa"/>
            <w:tcBorders/>
            <w:shd w:fill="auto" w:val="clear"/>
            <w:vAlign w:val="bottom"/>
          </w:tcPr>
          <w:p>
            <w:pPr>
              <w:pStyle w:val="TableContents"/>
              <w:spacing w:before="0" w:after="0"/>
              <w:ind w:left="225" w:right="0" w:hanging="225"/>
              <w:rPr/>
            </w:pPr>
            <w:r>
              <w:rPr/>
              <w:t>Cash and due from banks, ending</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b/>
              </w:rPr>
            </w:pPr>
            <w:r>
              <w:rPr>
                <w:b/>
              </w:rPr>
              <w:t>$</w:t>
            </w:r>
          </w:p>
        </w:tc>
        <w:tc>
          <w:tcPr>
            <w:tcW w:w="806" w:type="dxa"/>
            <w:tcBorders/>
            <w:shd w:fill="auto" w:val="clear"/>
            <w:vAlign w:val="bottom"/>
          </w:tcPr>
          <w:p>
            <w:pPr>
              <w:pStyle w:val="TableContents"/>
              <w:spacing w:before="0" w:after="283"/>
              <w:jc w:val="right"/>
              <w:rPr>
                <w:b/>
              </w:rPr>
            </w:pPr>
            <w:r>
              <w:rPr>
                <w:b/>
              </w:rPr>
              <w:t>60,957</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w:t>
            </w:r>
          </w:p>
        </w:tc>
        <w:tc>
          <w:tcPr>
            <w:tcW w:w="806" w:type="dxa"/>
            <w:tcBorders/>
            <w:shd w:fill="auto" w:val="clear"/>
            <w:vAlign w:val="bottom"/>
          </w:tcPr>
          <w:p>
            <w:pPr>
              <w:pStyle w:val="TableContents"/>
              <w:spacing w:before="0" w:after="283"/>
              <w:jc w:val="right"/>
              <w:rPr/>
            </w:pPr>
            <w:r>
              <w:rPr/>
              <w:t>47,991</w:t>
            </w:r>
          </w:p>
        </w:tc>
        <w:tc>
          <w:tcPr>
            <w:tcW w:w="26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pPr>
            <w:r>
              <w:rPr/>
              <w:t>$</w:t>
            </w:r>
          </w:p>
        </w:tc>
        <w:tc>
          <w:tcPr>
            <w:tcW w:w="764" w:type="dxa"/>
            <w:tcBorders/>
            <w:shd w:fill="auto" w:val="clear"/>
            <w:vAlign w:val="bottom"/>
          </w:tcPr>
          <w:p>
            <w:pPr>
              <w:pStyle w:val="TableContents"/>
              <w:spacing w:before="0" w:after="283"/>
              <w:jc w:val="right"/>
              <w:rPr/>
            </w:pPr>
            <w:r>
              <w:rPr/>
              <w:t>52,397</w:t>
            </w:r>
          </w:p>
        </w:tc>
        <w:tc>
          <w:tcPr>
            <w:tcW w:w="278" w:type="dxa"/>
            <w:tcBorders/>
            <w:shd w:fill="auto" w:val="clear"/>
            <w:vAlign w:val="bottom"/>
          </w:tcPr>
          <w:p>
            <w:pPr>
              <w:pStyle w:val="TableContents"/>
              <w:spacing w:before="0" w:after="283"/>
              <w:rPr/>
            </w:pPr>
            <w:r>
              <w:rPr/>
              <w:t> </w:t>
            </w:r>
          </w:p>
        </w:tc>
      </w:tr>
      <w:tr>
        <w:trPr/>
        <w:tc>
          <w:tcPr>
            <w:tcW w:w="5006"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4841"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54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Arial;Helvetica;sans-serif" w:hAnsi="Arial;Helvetica;sans-serif"/>
          <w:sz w:val="17"/>
        </w:rPr>
      </w:pPr>
      <w:r>
        <w:rPr>
          <w:rFonts w:ascii="Arial;Helvetica;sans-serif" w:hAnsi="Arial;Helvetica;sans-serif"/>
          <w:b/>
          <w:sz w:val="17"/>
        </w:rPr>
        <w:t>FIRST BUSEY CORPORATION AND SUBSIDIARIES</w:t>
        <w:br/>
        <w:t>SUPPLEMENTAL DISCLOSURES OF CASH FLOW INFORMATION</w:t>
        <w:br/>
        <w:t>Years Ended December 31, 2005, 2004 and 2003</w:t>
      </w:r>
      <w:r>
        <w:rPr>
          <w:rFonts w:ascii="Arial;Helvetica;sans-serif" w:hAnsi="Arial;Helvetica;sans-serif"/>
          <w:sz w:val="17"/>
        </w:rPr>
        <w:t xml:space="preserve"> </w:t>
      </w:r>
    </w:p>
    <w:tbl>
      <w:tblPr>
        <w:tblW w:w="5000" w:type="pct"/>
        <w:jc w:val="center"/>
        <w:tblInd w:w="0" w:type="dxa"/>
        <w:tblCellMar>
          <w:top w:w="0" w:type="dxa"/>
          <w:left w:w="0" w:type="dxa"/>
          <w:bottom w:w="0" w:type="dxa"/>
          <w:right w:w="0" w:type="dxa"/>
        </w:tblCellMar>
      </w:tblPr>
      <w:tblGrid>
        <w:gridCol w:w="4858"/>
        <w:gridCol w:w="370"/>
        <w:gridCol w:w="320"/>
        <w:gridCol w:w="885"/>
        <w:gridCol w:w="277"/>
        <w:gridCol w:w="370"/>
        <w:gridCol w:w="320"/>
        <w:gridCol w:w="885"/>
        <w:gridCol w:w="277"/>
        <w:gridCol w:w="370"/>
        <w:gridCol w:w="320"/>
        <w:gridCol w:w="700"/>
        <w:gridCol w:w="253"/>
      </w:tblGrid>
      <w:tr>
        <w:trPr/>
        <w:tc>
          <w:tcPr>
            <w:tcW w:w="485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4858" w:type="dxa"/>
            <w:tcBorders>
              <w:bottom w:val="single" w:sz="2" w:space="0" w:color="000000"/>
            </w:tcBorders>
            <w:shd w:fill="auto" w:val="clear"/>
            <w:tcMar>
              <w:bottom w:w="28" w:type="dxa"/>
            </w:tcMar>
            <w:vAlign w:val="bottom"/>
          </w:tcPr>
          <w:p>
            <w:pPr>
              <w:pStyle w:val="TableContents"/>
              <w:spacing w:before="0" w:after="283"/>
              <w:rPr/>
            </w:pPr>
            <w:r>
              <w:rPr/>
              <w:t> </w:t>
            </w:r>
          </w:p>
        </w:tc>
        <w:tc>
          <w:tcPr>
            <w:tcW w:w="370" w:type="dxa"/>
            <w:tcBorders>
              <w:bottom w:val="single" w:sz="2" w:space="0" w:color="000000"/>
            </w:tcBorders>
            <w:shd w:fill="auto" w:val="clear"/>
            <w:tcMar>
              <w:bottom w:w="28" w:type="dxa"/>
            </w:tcMar>
            <w:vAlign w:val="bottom"/>
          </w:tcPr>
          <w:p>
            <w:pPr>
              <w:pStyle w:val="TableContents"/>
              <w:spacing w:before="0" w:after="283"/>
              <w:rPr/>
            </w:pPr>
            <w:r>
              <w:rPr/>
              <w:t> </w:t>
            </w:r>
          </w:p>
        </w:tc>
        <w:tc>
          <w:tcPr>
            <w:tcW w:w="1205" w:type="dxa"/>
            <w:gridSpan w:val="2"/>
            <w:tcBorders>
              <w:bottom w:val="single" w:sz="2" w:space="0" w:color="000000"/>
            </w:tcBorders>
            <w:shd w:fill="auto" w:val="clear"/>
            <w:tcMar>
              <w:bottom w:w="28" w:type="dxa"/>
            </w:tcMar>
            <w:vAlign w:val="bottom"/>
          </w:tcPr>
          <w:p>
            <w:pPr>
              <w:pStyle w:val="TableContents"/>
              <w:spacing w:before="0" w:after="283"/>
              <w:jc w:val="right"/>
              <w:rPr>
                <w:b/>
              </w:rPr>
            </w:pPr>
            <w:r>
              <w:rPr>
                <w:b/>
              </w:rPr>
              <w:t>2005</w:t>
            </w:r>
          </w:p>
        </w:tc>
        <w:tc>
          <w:tcPr>
            <w:tcW w:w="277" w:type="dxa"/>
            <w:tcBorders>
              <w:bottom w:val="single" w:sz="2" w:space="0" w:color="000000"/>
            </w:tcBorders>
            <w:shd w:fill="auto" w:val="clear"/>
            <w:tcMar>
              <w:bottom w:w="28" w:type="dxa"/>
            </w:tcMar>
            <w:vAlign w:val="bottom"/>
          </w:tcPr>
          <w:p>
            <w:pPr>
              <w:pStyle w:val="TableContents"/>
              <w:spacing w:before="0" w:after="283"/>
              <w:rPr/>
            </w:pPr>
            <w:r>
              <w:rPr/>
              <w:t> </w:t>
            </w:r>
          </w:p>
        </w:tc>
        <w:tc>
          <w:tcPr>
            <w:tcW w:w="370" w:type="dxa"/>
            <w:tcBorders>
              <w:bottom w:val="single" w:sz="2" w:space="0" w:color="000000"/>
            </w:tcBorders>
            <w:shd w:fill="auto" w:val="clear"/>
            <w:tcMar>
              <w:bottom w:w="28" w:type="dxa"/>
            </w:tcMar>
            <w:vAlign w:val="bottom"/>
          </w:tcPr>
          <w:p>
            <w:pPr>
              <w:pStyle w:val="TableContents"/>
              <w:spacing w:before="0" w:after="283"/>
              <w:rPr/>
            </w:pPr>
            <w:r>
              <w:rPr/>
              <w:t> </w:t>
            </w:r>
          </w:p>
        </w:tc>
        <w:tc>
          <w:tcPr>
            <w:tcW w:w="1205" w:type="dxa"/>
            <w:gridSpan w:val="2"/>
            <w:tcBorders>
              <w:bottom w:val="single" w:sz="2" w:space="0" w:color="000000"/>
            </w:tcBorders>
            <w:shd w:fill="auto" w:val="clear"/>
            <w:tcMar>
              <w:bottom w:w="28" w:type="dxa"/>
            </w:tcMar>
            <w:vAlign w:val="bottom"/>
          </w:tcPr>
          <w:p>
            <w:pPr>
              <w:pStyle w:val="TableContents"/>
              <w:spacing w:before="0" w:after="283"/>
              <w:jc w:val="right"/>
              <w:rPr/>
            </w:pPr>
            <w:r>
              <w:rPr/>
              <w:t>2004</w:t>
            </w:r>
          </w:p>
        </w:tc>
        <w:tc>
          <w:tcPr>
            <w:tcW w:w="277" w:type="dxa"/>
            <w:tcBorders>
              <w:bottom w:val="single" w:sz="2" w:space="0" w:color="000000"/>
            </w:tcBorders>
            <w:shd w:fill="auto" w:val="clear"/>
            <w:tcMar>
              <w:bottom w:w="28" w:type="dxa"/>
            </w:tcMar>
            <w:vAlign w:val="bottom"/>
          </w:tcPr>
          <w:p>
            <w:pPr>
              <w:pStyle w:val="TableContents"/>
              <w:spacing w:before="0" w:after="283"/>
              <w:rPr/>
            </w:pPr>
            <w:r>
              <w:rPr/>
              <w:t> </w:t>
            </w:r>
          </w:p>
        </w:tc>
        <w:tc>
          <w:tcPr>
            <w:tcW w:w="370" w:type="dxa"/>
            <w:tcBorders>
              <w:bottom w:val="single" w:sz="2" w:space="0" w:color="000000"/>
            </w:tcBorders>
            <w:shd w:fill="auto" w:val="clear"/>
            <w:tcMar>
              <w:bottom w:w="28" w:type="dxa"/>
            </w:tcMar>
            <w:vAlign w:val="bottom"/>
          </w:tcPr>
          <w:p>
            <w:pPr>
              <w:pStyle w:val="TableContents"/>
              <w:spacing w:before="0" w:after="283"/>
              <w:rPr/>
            </w:pPr>
            <w:r>
              <w:rPr/>
              <w:t> </w:t>
            </w:r>
          </w:p>
        </w:tc>
        <w:tc>
          <w:tcPr>
            <w:tcW w:w="1020" w:type="dxa"/>
            <w:gridSpan w:val="2"/>
            <w:tcBorders>
              <w:bottom w:val="single" w:sz="2" w:space="0" w:color="000000"/>
            </w:tcBorders>
            <w:shd w:fill="auto" w:val="clear"/>
            <w:tcMar>
              <w:bottom w:w="28" w:type="dxa"/>
            </w:tcMar>
            <w:vAlign w:val="bottom"/>
          </w:tcPr>
          <w:p>
            <w:pPr>
              <w:pStyle w:val="TableContents"/>
              <w:spacing w:before="0" w:after="283"/>
              <w:jc w:val="right"/>
              <w:rPr/>
            </w:pPr>
            <w:r>
              <w:rPr/>
              <w:t>2003</w:t>
            </w:r>
          </w:p>
        </w:tc>
        <w:tc>
          <w:tcPr>
            <w:tcW w:w="253"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4724" w:type="dxa"/>
            <w:gridSpan w:val="10"/>
            <w:tcBorders/>
            <w:shd w:fill="auto" w:val="clear"/>
            <w:vAlign w:val="bottom"/>
          </w:tcPr>
          <w:p>
            <w:pPr>
              <w:pStyle w:val="TableContents"/>
              <w:spacing w:before="0" w:after="283"/>
              <w:jc w:val="center"/>
              <w:rPr/>
            </w:pPr>
            <w:r>
              <w:rPr/>
              <w:t>(Dollars in thousands)</w:t>
            </w:r>
          </w:p>
        </w:tc>
        <w:tc>
          <w:tcPr>
            <w:tcW w:w="25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225" w:right="0" w:hanging="225"/>
              <w:rPr>
                <w:b/>
              </w:rPr>
            </w:pPr>
            <w:r>
              <w:rPr>
                <w:b/>
              </w:rPr>
              <w:t>Purchase of Subsidiary:</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450" w:right="0" w:hanging="225"/>
              <w:rPr/>
            </w:pPr>
            <w:r>
              <w:rPr/>
              <w:t>Cash payment</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b/>
              </w:rPr>
            </w:pPr>
            <w:r>
              <w:rPr>
                <w:b/>
              </w:rPr>
              <w:t>$</w:t>
            </w:r>
          </w:p>
        </w:tc>
        <w:tc>
          <w:tcPr>
            <w:tcW w:w="885" w:type="dxa"/>
            <w:tcBorders/>
            <w:shd w:fill="auto" w:val="clear"/>
            <w:vAlign w:val="bottom"/>
          </w:tcPr>
          <w:p>
            <w:pPr>
              <w:pStyle w:val="TableContents"/>
              <w:spacing w:before="0" w:after="283"/>
              <w:jc w:val="right"/>
              <w:rPr>
                <w:b/>
              </w:rPr>
            </w:pPr>
            <w:r>
              <w:rPr>
                <w:b/>
              </w:rPr>
              <w:t>19,131</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w:t>
            </w:r>
          </w:p>
        </w:tc>
        <w:tc>
          <w:tcPr>
            <w:tcW w:w="885" w:type="dxa"/>
            <w:tcBorders/>
            <w:shd w:fill="auto" w:val="clear"/>
            <w:vAlign w:val="bottom"/>
          </w:tcPr>
          <w:p>
            <w:pPr>
              <w:pStyle w:val="TableContents"/>
              <w:spacing w:before="0" w:after="283"/>
              <w:jc w:val="right"/>
              <w:rPr/>
            </w:pPr>
            <w:r>
              <w:rPr/>
              <w:t>42,072</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b/>
              </w:rPr>
            </w:pPr>
            <w:r>
              <w:rPr>
                <w:b/>
              </w:rPr>
              <w:t>$</w:t>
            </w:r>
          </w:p>
        </w:tc>
        <w:tc>
          <w:tcPr>
            <w:tcW w:w="700" w:type="dxa"/>
            <w:tcBorders/>
            <w:shd w:fill="auto" w:val="clear"/>
            <w:vAlign w:val="bottom"/>
          </w:tcPr>
          <w:p>
            <w:pPr>
              <w:pStyle w:val="TableContents"/>
              <w:spacing w:before="0" w:after="283"/>
              <w:jc w:val="right"/>
              <w:rPr/>
            </w:pPr>
            <w:r>
              <w:rPr/>
              <w:t></w:t>
            </w:r>
          </w:p>
        </w:tc>
        <w:tc>
          <w:tcPr>
            <w:tcW w:w="25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450" w:right="0" w:hanging="225"/>
              <w:rPr/>
            </w:pPr>
            <w:r>
              <w:rPr/>
              <w:t>Common stock issued</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b/>
              </w:rPr>
            </w:pPr>
            <w:r>
              <w:rPr>
                <w:b/>
              </w:rPr>
              <w:t>16,778</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4977"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58" w:type="dxa"/>
            <w:tcBorders/>
            <w:shd w:fill="auto" w:val="clear"/>
            <w:vAlign w:val="bottom"/>
          </w:tcPr>
          <w:p>
            <w:pPr>
              <w:pStyle w:val="TableContents"/>
              <w:spacing w:before="0" w:after="0"/>
              <w:ind w:left="225" w:right="0" w:hanging="225"/>
              <w:rPr/>
            </w:pPr>
            <w:r>
              <w:rPr/>
              <w:t>Total purchase price</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b/>
              </w:rPr>
            </w:pPr>
            <w:r>
              <w:rPr>
                <w:b/>
              </w:rPr>
              <w:t>$</w:t>
            </w:r>
          </w:p>
        </w:tc>
        <w:tc>
          <w:tcPr>
            <w:tcW w:w="885" w:type="dxa"/>
            <w:tcBorders/>
            <w:shd w:fill="auto" w:val="clear"/>
            <w:vAlign w:val="bottom"/>
          </w:tcPr>
          <w:p>
            <w:pPr>
              <w:pStyle w:val="TableContents"/>
              <w:spacing w:before="0" w:after="283"/>
              <w:jc w:val="right"/>
              <w:rPr>
                <w:b/>
              </w:rPr>
            </w:pPr>
            <w:r>
              <w:rPr>
                <w:b/>
              </w:rPr>
              <w:t>35,909</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w:t>
            </w:r>
          </w:p>
        </w:tc>
        <w:tc>
          <w:tcPr>
            <w:tcW w:w="885" w:type="dxa"/>
            <w:tcBorders/>
            <w:shd w:fill="auto" w:val="clear"/>
            <w:vAlign w:val="bottom"/>
          </w:tcPr>
          <w:p>
            <w:pPr>
              <w:pStyle w:val="TableContents"/>
              <w:spacing w:before="0" w:after="283"/>
              <w:jc w:val="right"/>
              <w:rPr/>
            </w:pPr>
            <w:r>
              <w:rPr/>
              <w:t>42,072</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w:t>
            </w:r>
          </w:p>
        </w:tc>
        <w:tc>
          <w:tcPr>
            <w:tcW w:w="253" w:type="dxa"/>
            <w:tcBorders/>
            <w:shd w:fill="auto" w:val="clear"/>
            <w:vAlign w:val="bottom"/>
          </w:tcPr>
          <w:p>
            <w:pPr>
              <w:pStyle w:val="TableContents"/>
              <w:spacing w:before="0" w:after="283"/>
              <w:rPr/>
            </w:pPr>
            <w:r>
              <w:rPr/>
              <w:t> </w:t>
            </w:r>
          </w:p>
        </w:tc>
      </w:tr>
      <w:tr>
        <w:trPr/>
        <w:tc>
          <w:tcPr>
            <w:tcW w:w="4858"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4977"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858"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225" w:right="0" w:hanging="225"/>
              <w:rPr/>
            </w:pPr>
            <w:r>
              <w:rPr/>
              <w:t>Assets acquired:</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450" w:right="0" w:hanging="225"/>
              <w:rPr/>
            </w:pPr>
            <w:r>
              <w:rPr/>
              <w:t>Cash and due from other banks</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b/>
              </w:rPr>
            </w:pPr>
            <w:r>
              <w:rPr>
                <w:b/>
              </w:rPr>
              <w:t>$</w:t>
            </w:r>
          </w:p>
        </w:tc>
        <w:tc>
          <w:tcPr>
            <w:tcW w:w="885" w:type="dxa"/>
            <w:tcBorders/>
            <w:shd w:fill="auto" w:val="clear"/>
            <w:vAlign w:val="bottom"/>
          </w:tcPr>
          <w:p>
            <w:pPr>
              <w:pStyle w:val="TableContents"/>
              <w:spacing w:before="0" w:after="283"/>
              <w:jc w:val="right"/>
              <w:rPr>
                <w:b/>
              </w:rPr>
            </w:pPr>
            <w:r>
              <w:rPr>
                <w:b/>
              </w:rPr>
              <w:t>6,739</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w:t>
            </w:r>
          </w:p>
        </w:tc>
        <w:tc>
          <w:tcPr>
            <w:tcW w:w="885" w:type="dxa"/>
            <w:tcBorders/>
            <w:shd w:fill="auto" w:val="clear"/>
            <w:vAlign w:val="bottom"/>
          </w:tcPr>
          <w:p>
            <w:pPr>
              <w:pStyle w:val="TableContents"/>
              <w:spacing w:before="0" w:after="283"/>
              <w:jc w:val="right"/>
              <w:rPr/>
            </w:pPr>
            <w:r>
              <w:rPr/>
              <w:t>6,082</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w:t>
            </w:r>
          </w:p>
        </w:tc>
        <w:tc>
          <w:tcPr>
            <w:tcW w:w="25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450" w:right="0" w:hanging="225"/>
              <w:rPr/>
            </w:pPr>
            <w:r>
              <w:rPr/>
              <w:t>Federal funds sold</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b/>
              </w:rPr>
            </w:pPr>
            <w:r>
              <w:rPr>
                <w:b/>
              </w:rPr>
              <w:t>3,746</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1,593</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450" w:right="0" w:hanging="225"/>
              <w:rPr/>
            </w:pPr>
            <w:r>
              <w:rPr/>
              <w:t>Securities available for sale</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b/>
              </w:rPr>
            </w:pPr>
            <w:r>
              <w:rPr>
                <w:b/>
              </w:rPr>
              <w:t>21,007</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49,285</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w:t>
            </w:r>
          </w:p>
        </w:tc>
        <w:tc>
          <w:tcPr>
            <w:tcW w:w="25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450" w:right="0" w:hanging="225"/>
              <w:rPr/>
            </w:pPr>
            <w:r>
              <w:rPr/>
              <w:t>Loans held for sale</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b/>
              </w:rPr>
            </w:pPr>
            <w:r>
              <w:rPr>
                <w:b/>
              </w:rPr>
              <w:t></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1,853</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450" w:right="0" w:hanging="225"/>
              <w:rPr/>
            </w:pPr>
            <w:r>
              <w:rPr/>
              <w:t>Loans (net of allowance for loan losses of $1,208 and $2,069)</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b/>
              </w:rPr>
            </w:pPr>
            <w:r>
              <w:rPr>
                <w:b/>
              </w:rPr>
              <w:t>114,744</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147,758</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w:t>
            </w:r>
          </w:p>
        </w:tc>
        <w:tc>
          <w:tcPr>
            <w:tcW w:w="25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450" w:right="0" w:hanging="225"/>
              <w:rPr/>
            </w:pPr>
            <w:r>
              <w:rPr/>
              <w:t>Premises and equipment</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b/>
              </w:rPr>
            </w:pPr>
            <w:r>
              <w:rPr>
                <w:b/>
              </w:rPr>
              <w:t>8,787</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3,483</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450" w:right="0" w:hanging="225"/>
              <w:rPr/>
            </w:pPr>
            <w:r>
              <w:rPr/>
              <w:t>Goodwill</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b/>
              </w:rPr>
            </w:pPr>
            <w:r>
              <w:rPr>
                <w:b/>
              </w:rPr>
              <w:t>22,317</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24,405</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w:t>
            </w:r>
          </w:p>
        </w:tc>
        <w:tc>
          <w:tcPr>
            <w:tcW w:w="25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450" w:right="0" w:hanging="225"/>
              <w:rPr/>
            </w:pPr>
            <w:r>
              <w:rPr/>
              <w:t>Other intangible assets</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b/>
              </w:rPr>
            </w:pPr>
            <w:r>
              <w:rPr>
                <w:b/>
              </w:rPr>
              <w:t>2,371</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2,383</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450" w:right="0" w:hanging="225"/>
              <w:rPr/>
            </w:pPr>
            <w:r>
              <w:rPr/>
              <w:t>Other assets</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b/>
              </w:rPr>
            </w:pPr>
            <w:r>
              <w:rPr>
                <w:b/>
              </w:rPr>
              <w:t>1,701</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4,392</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w:t>
            </w:r>
          </w:p>
        </w:tc>
        <w:tc>
          <w:tcPr>
            <w:tcW w:w="25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225" w:right="0" w:hanging="225"/>
              <w:rPr/>
            </w:pPr>
            <w:r>
              <w:rPr/>
              <w:t>Liabilities assumed:</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450" w:right="0" w:hanging="225"/>
              <w:rPr/>
            </w:pPr>
            <w:r>
              <w:rPr/>
              <w:t>Deposits</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 </w:t>
            </w:r>
          </w:p>
        </w:tc>
        <w:tc>
          <w:tcPr>
            <w:tcW w:w="885" w:type="dxa"/>
            <w:tcBorders/>
            <w:shd w:fill="auto" w:val="clear"/>
            <w:vAlign w:val="bottom"/>
          </w:tcPr>
          <w:p>
            <w:pPr>
              <w:pStyle w:val="TableContents"/>
              <w:spacing w:before="0" w:after="283"/>
              <w:jc w:val="right"/>
              <w:rPr>
                <w:b/>
              </w:rPr>
            </w:pPr>
            <w:r>
              <w:rPr>
                <w:b/>
              </w:rPr>
              <w:t>(139,430</w:t>
            </w:r>
          </w:p>
        </w:tc>
        <w:tc>
          <w:tcPr>
            <w:tcW w:w="277" w:type="dxa"/>
            <w:tcBorders/>
            <w:shd w:fill="auto" w:val="clear"/>
            <w:vAlign w:val="bottom"/>
          </w:tcPr>
          <w:p>
            <w:pPr>
              <w:pStyle w:val="TableContents"/>
              <w:spacing w:before="0" w:after="283"/>
              <w:rPr>
                <w:b/>
              </w:rPr>
            </w:pPr>
            <w:r>
              <w:rPr>
                <w:b/>
              </w:rPr>
              <w:t>)</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 </w:t>
            </w:r>
          </w:p>
        </w:tc>
        <w:tc>
          <w:tcPr>
            <w:tcW w:w="885" w:type="dxa"/>
            <w:tcBorders/>
            <w:shd w:fill="auto" w:val="clear"/>
            <w:vAlign w:val="bottom"/>
          </w:tcPr>
          <w:p>
            <w:pPr>
              <w:pStyle w:val="TableContents"/>
              <w:spacing w:before="0" w:after="283"/>
              <w:jc w:val="right"/>
              <w:rPr/>
            </w:pPr>
            <w:r>
              <w:rPr/>
              <w:t>(147,084</w:t>
            </w:r>
          </w:p>
        </w:tc>
        <w:tc>
          <w:tcPr>
            <w:tcW w:w="277" w:type="dxa"/>
            <w:tcBorders/>
            <w:shd w:fill="auto" w:val="clear"/>
            <w:vAlign w:val="bottom"/>
          </w:tcPr>
          <w:p>
            <w:pPr>
              <w:pStyle w:val="TableContents"/>
              <w:spacing w:before="0" w:after="283"/>
              <w:rPr/>
            </w:pPr>
            <w:r>
              <w:rPr/>
              <w:t>)</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w:t>
            </w:r>
          </w:p>
        </w:tc>
        <w:tc>
          <w:tcPr>
            <w:tcW w:w="25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450" w:right="0" w:hanging="225"/>
              <w:rPr/>
            </w:pPr>
            <w:r>
              <w:rPr/>
              <w:t>Securities sold under agreements to repurchase</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 </w:t>
            </w:r>
          </w:p>
        </w:tc>
        <w:tc>
          <w:tcPr>
            <w:tcW w:w="885" w:type="dxa"/>
            <w:tcBorders/>
            <w:shd w:fill="CCEEFF" w:val="clear"/>
            <w:vAlign w:val="bottom"/>
          </w:tcPr>
          <w:p>
            <w:pPr>
              <w:pStyle w:val="TableContents"/>
              <w:spacing w:before="0" w:after="283"/>
              <w:jc w:val="right"/>
              <w:rPr>
                <w:b/>
              </w:rPr>
            </w:pPr>
            <w:r>
              <w:rPr>
                <w:b/>
              </w:rPr>
              <w:t>(2,964</w:t>
            </w:r>
          </w:p>
        </w:tc>
        <w:tc>
          <w:tcPr>
            <w:tcW w:w="277" w:type="dxa"/>
            <w:tcBorders/>
            <w:shd w:fill="CCEEFF" w:val="clear"/>
            <w:vAlign w:val="bottom"/>
          </w:tcPr>
          <w:p>
            <w:pPr>
              <w:pStyle w:val="TableContents"/>
              <w:spacing w:before="0" w:after="283"/>
              <w:rPr>
                <w:b/>
              </w:rPr>
            </w:pPr>
            <w:r>
              <w:rPr>
                <w:b/>
              </w:rPr>
              <w:t>)</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 </w:t>
            </w:r>
          </w:p>
        </w:tc>
        <w:tc>
          <w:tcPr>
            <w:tcW w:w="885" w:type="dxa"/>
            <w:tcBorders/>
            <w:shd w:fill="CCEEFF" w:val="clear"/>
            <w:vAlign w:val="bottom"/>
          </w:tcPr>
          <w:p>
            <w:pPr>
              <w:pStyle w:val="TableContents"/>
              <w:spacing w:before="0" w:after="283"/>
              <w:jc w:val="right"/>
              <w:rPr/>
            </w:pPr>
            <w:r>
              <w:rPr/>
              <w:t>(25,457</w:t>
            </w:r>
          </w:p>
        </w:tc>
        <w:tc>
          <w:tcPr>
            <w:tcW w:w="277" w:type="dxa"/>
            <w:tcBorders/>
            <w:shd w:fill="CCEEFF" w:val="clear"/>
            <w:vAlign w:val="bottom"/>
          </w:tcPr>
          <w:p>
            <w:pPr>
              <w:pStyle w:val="TableContents"/>
              <w:spacing w:before="0" w:after="283"/>
              <w:rPr/>
            </w:pPr>
            <w:r>
              <w:rPr/>
              <w:t>)</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450" w:right="0" w:hanging="225"/>
              <w:rPr/>
            </w:pPr>
            <w:r>
              <w:rPr/>
              <w:t>Short-term borrowings</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b/>
              </w:rPr>
            </w:pPr>
            <w:r>
              <w:rPr>
                <w:b/>
              </w:rPr>
              <w:t></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 </w:t>
            </w:r>
          </w:p>
        </w:tc>
        <w:tc>
          <w:tcPr>
            <w:tcW w:w="885" w:type="dxa"/>
            <w:tcBorders/>
            <w:shd w:fill="auto" w:val="clear"/>
            <w:vAlign w:val="bottom"/>
          </w:tcPr>
          <w:p>
            <w:pPr>
              <w:pStyle w:val="TableContents"/>
              <w:spacing w:before="0" w:after="283"/>
              <w:jc w:val="right"/>
              <w:rPr/>
            </w:pPr>
            <w:r>
              <w:rPr/>
              <w:t>(1,250</w:t>
            </w:r>
          </w:p>
        </w:tc>
        <w:tc>
          <w:tcPr>
            <w:tcW w:w="277" w:type="dxa"/>
            <w:tcBorders/>
            <w:shd w:fill="auto" w:val="clear"/>
            <w:vAlign w:val="bottom"/>
          </w:tcPr>
          <w:p>
            <w:pPr>
              <w:pStyle w:val="TableContents"/>
              <w:spacing w:before="0" w:after="283"/>
              <w:rPr/>
            </w:pPr>
            <w:r>
              <w:rPr/>
              <w:t>)</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w:t>
            </w:r>
          </w:p>
        </w:tc>
        <w:tc>
          <w:tcPr>
            <w:tcW w:w="25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450" w:right="0" w:hanging="225"/>
              <w:rPr/>
            </w:pPr>
            <w:r>
              <w:rPr/>
              <w:t>Long-term debt</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b/>
              </w:rPr>
            </w:pPr>
            <w:r>
              <w:rPr>
                <w:b/>
              </w:rPr>
              <w:t></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 </w:t>
            </w:r>
          </w:p>
        </w:tc>
        <w:tc>
          <w:tcPr>
            <w:tcW w:w="885" w:type="dxa"/>
            <w:tcBorders/>
            <w:shd w:fill="CCEEFF" w:val="clear"/>
            <w:vAlign w:val="bottom"/>
          </w:tcPr>
          <w:p>
            <w:pPr>
              <w:pStyle w:val="TableContents"/>
              <w:spacing w:before="0" w:after="283"/>
              <w:jc w:val="right"/>
              <w:rPr/>
            </w:pPr>
            <w:r>
              <w:rPr/>
              <w:t>(23,322</w:t>
            </w:r>
          </w:p>
        </w:tc>
        <w:tc>
          <w:tcPr>
            <w:tcW w:w="277" w:type="dxa"/>
            <w:tcBorders/>
            <w:shd w:fill="CCEEFF" w:val="clear"/>
            <w:vAlign w:val="bottom"/>
          </w:tcPr>
          <w:p>
            <w:pPr>
              <w:pStyle w:val="TableContents"/>
              <w:spacing w:before="0" w:after="283"/>
              <w:rPr/>
            </w:pPr>
            <w:r>
              <w:rPr/>
              <w:t>)</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450" w:right="0" w:hanging="225"/>
              <w:rPr/>
            </w:pPr>
            <w:r>
              <w:rPr/>
              <w:t>Other liabilities</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 </w:t>
            </w:r>
          </w:p>
        </w:tc>
        <w:tc>
          <w:tcPr>
            <w:tcW w:w="885" w:type="dxa"/>
            <w:tcBorders/>
            <w:shd w:fill="auto" w:val="clear"/>
            <w:vAlign w:val="bottom"/>
          </w:tcPr>
          <w:p>
            <w:pPr>
              <w:pStyle w:val="TableContents"/>
              <w:spacing w:before="0" w:after="283"/>
              <w:jc w:val="right"/>
              <w:rPr>
                <w:b/>
              </w:rPr>
            </w:pPr>
            <w:r>
              <w:rPr>
                <w:b/>
              </w:rPr>
              <w:t>(3,109</w:t>
            </w:r>
          </w:p>
        </w:tc>
        <w:tc>
          <w:tcPr>
            <w:tcW w:w="277" w:type="dxa"/>
            <w:tcBorders/>
            <w:shd w:fill="auto" w:val="clear"/>
            <w:vAlign w:val="bottom"/>
          </w:tcPr>
          <w:p>
            <w:pPr>
              <w:pStyle w:val="TableContents"/>
              <w:spacing w:before="0" w:after="283"/>
              <w:rPr>
                <w:b/>
              </w:rPr>
            </w:pPr>
            <w:r>
              <w:rPr>
                <w:b/>
              </w:rPr>
              <w:t>)</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 </w:t>
            </w:r>
          </w:p>
        </w:tc>
        <w:tc>
          <w:tcPr>
            <w:tcW w:w="885" w:type="dxa"/>
            <w:tcBorders/>
            <w:shd w:fill="auto" w:val="clear"/>
            <w:vAlign w:val="bottom"/>
          </w:tcPr>
          <w:p>
            <w:pPr>
              <w:pStyle w:val="TableContents"/>
              <w:spacing w:before="0" w:after="283"/>
              <w:jc w:val="right"/>
              <w:rPr/>
            </w:pPr>
            <w:r>
              <w:rPr/>
              <w:t>(2,049</w:t>
            </w:r>
          </w:p>
        </w:tc>
        <w:tc>
          <w:tcPr>
            <w:tcW w:w="277" w:type="dxa"/>
            <w:tcBorders/>
            <w:shd w:fill="auto" w:val="clear"/>
            <w:vAlign w:val="bottom"/>
          </w:tcPr>
          <w:p>
            <w:pPr>
              <w:pStyle w:val="TableContents"/>
              <w:spacing w:before="0" w:after="283"/>
              <w:rPr/>
            </w:pPr>
            <w:r>
              <w:rPr/>
              <w:t>)</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w:t>
            </w:r>
          </w:p>
        </w:tc>
        <w:tc>
          <w:tcPr>
            <w:tcW w:w="253" w:type="dxa"/>
            <w:tcBorders/>
            <w:shd w:fill="auto" w:val="clear"/>
            <w:vAlign w:val="bottom"/>
          </w:tcPr>
          <w:p>
            <w:pPr>
              <w:pStyle w:val="TableContents"/>
              <w:spacing w:before="0" w:after="283"/>
              <w:rPr/>
            </w:pPr>
            <w:r>
              <w:rPr/>
              <w:t> </w:t>
            </w:r>
          </w:p>
        </w:tc>
      </w:tr>
      <w:tr>
        <w:trPr/>
        <w:tc>
          <w:tcPr>
            <w:tcW w:w="4858"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4977"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58" w:type="dxa"/>
            <w:tcBorders/>
            <w:shd w:fill="CCEEFF" w:val="clear"/>
            <w:vAlign w:val="bottom"/>
          </w:tcPr>
          <w:p>
            <w:pPr>
              <w:pStyle w:val="TableContents"/>
              <w:spacing w:before="0" w:after="0"/>
              <w:ind w:left="225" w:right="0" w:hanging="225"/>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b/>
              </w:rPr>
            </w:pPr>
            <w:r>
              <w:rPr>
                <w:b/>
              </w:rPr>
              <w:t>$</w:t>
            </w:r>
          </w:p>
        </w:tc>
        <w:tc>
          <w:tcPr>
            <w:tcW w:w="885" w:type="dxa"/>
            <w:tcBorders/>
            <w:shd w:fill="CCEEFF" w:val="clear"/>
            <w:vAlign w:val="bottom"/>
          </w:tcPr>
          <w:p>
            <w:pPr>
              <w:pStyle w:val="TableContents"/>
              <w:spacing w:before="0" w:after="283"/>
              <w:jc w:val="right"/>
              <w:rPr>
                <w:b/>
              </w:rPr>
            </w:pPr>
            <w:r>
              <w:rPr>
                <w:b/>
              </w:rPr>
              <w:t>35,909</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w:t>
            </w:r>
          </w:p>
        </w:tc>
        <w:tc>
          <w:tcPr>
            <w:tcW w:w="885" w:type="dxa"/>
            <w:tcBorders/>
            <w:shd w:fill="CCEEFF" w:val="clear"/>
            <w:vAlign w:val="bottom"/>
          </w:tcPr>
          <w:p>
            <w:pPr>
              <w:pStyle w:val="TableContents"/>
              <w:spacing w:before="0" w:after="283"/>
              <w:jc w:val="right"/>
              <w:rPr/>
            </w:pPr>
            <w:r>
              <w:rPr/>
              <w:t>42,072</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4977"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858"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225" w:right="0" w:hanging="225"/>
              <w:rPr>
                <w:b/>
              </w:rPr>
            </w:pPr>
            <w:r>
              <w:rPr>
                <w:b/>
              </w:rPr>
              <w:t>Cash payments for:</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675" w:right="0" w:hanging="225"/>
              <w:rPr/>
            </w:pPr>
            <w:r>
              <w:rPr/>
              <w:t>Interest</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b/>
              </w:rPr>
            </w:pPr>
            <w:r>
              <w:rPr>
                <w:b/>
              </w:rPr>
              <w:t>$</w:t>
            </w:r>
          </w:p>
        </w:tc>
        <w:tc>
          <w:tcPr>
            <w:tcW w:w="885" w:type="dxa"/>
            <w:tcBorders/>
            <w:shd w:fill="CCEEFF" w:val="clear"/>
            <w:vAlign w:val="bottom"/>
          </w:tcPr>
          <w:p>
            <w:pPr>
              <w:pStyle w:val="TableContents"/>
              <w:spacing w:before="0" w:after="283"/>
              <w:jc w:val="right"/>
              <w:rPr>
                <w:b/>
              </w:rPr>
            </w:pPr>
            <w:r>
              <w:rPr>
                <w:b/>
              </w:rPr>
              <w:t>43,210</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w:t>
            </w:r>
          </w:p>
        </w:tc>
        <w:tc>
          <w:tcPr>
            <w:tcW w:w="885" w:type="dxa"/>
            <w:tcBorders/>
            <w:shd w:fill="CCEEFF" w:val="clear"/>
            <w:vAlign w:val="bottom"/>
          </w:tcPr>
          <w:p>
            <w:pPr>
              <w:pStyle w:val="TableContents"/>
              <w:spacing w:before="0" w:after="283"/>
              <w:jc w:val="right"/>
              <w:rPr/>
            </w:pPr>
            <w:r>
              <w:rPr/>
              <w:t xml:space="preserve">28,707 </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26,395</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675" w:right="0" w:hanging="225"/>
              <w:rPr/>
            </w:pPr>
            <w:r>
              <w:rPr/>
              <w:t>Income taxes</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b/>
              </w:rPr>
            </w:pPr>
            <w:r>
              <w:rPr>
                <w:b/>
              </w:rPr>
              <w:t>$</w:t>
            </w:r>
          </w:p>
        </w:tc>
        <w:tc>
          <w:tcPr>
            <w:tcW w:w="885" w:type="dxa"/>
            <w:tcBorders/>
            <w:shd w:fill="auto" w:val="clear"/>
            <w:vAlign w:val="bottom"/>
          </w:tcPr>
          <w:p>
            <w:pPr>
              <w:pStyle w:val="TableContents"/>
              <w:spacing w:before="0" w:after="283"/>
              <w:jc w:val="right"/>
              <w:rPr>
                <w:b/>
              </w:rPr>
            </w:pPr>
            <w:r>
              <w:rPr>
                <w:b/>
              </w:rPr>
              <w:t>13,991</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w:t>
            </w:r>
          </w:p>
        </w:tc>
        <w:tc>
          <w:tcPr>
            <w:tcW w:w="885" w:type="dxa"/>
            <w:tcBorders/>
            <w:shd w:fill="auto" w:val="clear"/>
            <w:vAlign w:val="bottom"/>
          </w:tcPr>
          <w:p>
            <w:pPr>
              <w:pStyle w:val="TableContents"/>
              <w:spacing w:before="0" w:after="283"/>
              <w:jc w:val="right"/>
              <w:rPr/>
            </w:pPr>
            <w:r>
              <w:rPr/>
              <w:t>10,555</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9,864</w:t>
            </w:r>
          </w:p>
        </w:tc>
        <w:tc>
          <w:tcPr>
            <w:tcW w:w="253" w:type="dxa"/>
            <w:tcBorders/>
            <w:shd w:fill="auto"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225" w:right="0" w:hanging="225"/>
              <w:rPr>
                <w:b/>
              </w:rPr>
            </w:pPr>
            <w:r>
              <w:rPr>
                <w:b/>
              </w:rPr>
              <w:t>Non-cash Investing and Financing Activities:</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450" w:right="0" w:hanging="225"/>
              <w:rPr/>
            </w:pPr>
            <w:r>
              <w:rPr/>
              <w:t>Other real estate acquired in settlement of loans</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b/>
              </w:rPr>
            </w:pPr>
            <w:r>
              <w:rPr>
                <w:b/>
              </w:rPr>
              <w:t>$</w:t>
            </w:r>
          </w:p>
        </w:tc>
        <w:tc>
          <w:tcPr>
            <w:tcW w:w="885" w:type="dxa"/>
            <w:tcBorders/>
            <w:shd w:fill="auto" w:val="clear"/>
            <w:vAlign w:val="bottom"/>
          </w:tcPr>
          <w:p>
            <w:pPr>
              <w:pStyle w:val="TableContents"/>
              <w:spacing w:before="0" w:after="283"/>
              <w:jc w:val="right"/>
              <w:rPr>
                <w:b/>
              </w:rPr>
            </w:pPr>
            <w:r>
              <w:rPr>
                <w:b/>
              </w:rPr>
              <w:t>701</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w:t>
            </w:r>
          </w:p>
        </w:tc>
        <w:tc>
          <w:tcPr>
            <w:tcW w:w="885" w:type="dxa"/>
            <w:tcBorders/>
            <w:shd w:fill="auto" w:val="clear"/>
            <w:vAlign w:val="bottom"/>
          </w:tcPr>
          <w:p>
            <w:pPr>
              <w:pStyle w:val="TableContents"/>
              <w:spacing w:before="0" w:after="283"/>
              <w:jc w:val="right"/>
              <w:rPr/>
            </w:pPr>
            <w:r>
              <w:rPr/>
              <w:t>138</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527</w:t>
            </w:r>
          </w:p>
        </w:tc>
        <w:tc>
          <w:tcPr>
            <w:tcW w:w="253" w:type="dxa"/>
            <w:tcBorders/>
            <w:shd w:fill="auto" w:val="clear"/>
            <w:vAlign w:val="bottom"/>
          </w:tcPr>
          <w:p>
            <w:pPr>
              <w:pStyle w:val="TableContents"/>
              <w:spacing w:before="0" w:after="283"/>
              <w:rPr/>
            </w:pPr>
            <w:r>
              <w:rPr/>
              <w:t> </w:t>
            </w:r>
          </w:p>
        </w:tc>
      </w:tr>
      <w:tr>
        <w:trPr/>
        <w:tc>
          <w:tcPr>
            <w:tcW w:w="4858" w:type="dxa"/>
            <w:tcBorders/>
            <w:shd w:fill="CCEEFF" w:val="clear"/>
            <w:vAlign w:val="bottom"/>
          </w:tcPr>
          <w:p>
            <w:pPr>
              <w:pStyle w:val="TableContents"/>
              <w:spacing w:before="0" w:after="0"/>
              <w:ind w:left="450" w:right="0" w:hanging="225"/>
              <w:rPr/>
            </w:pPr>
            <w:r>
              <w:rPr/>
              <w:t>Employee stock ownership plan shares allocated</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b/>
              </w:rPr>
            </w:pPr>
            <w:r>
              <w:rPr>
                <w:b/>
              </w:rPr>
              <w:t>$</w:t>
            </w:r>
          </w:p>
        </w:tc>
        <w:tc>
          <w:tcPr>
            <w:tcW w:w="885" w:type="dxa"/>
            <w:tcBorders/>
            <w:shd w:fill="CCEEFF" w:val="clear"/>
            <w:vAlign w:val="bottom"/>
          </w:tcPr>
          <w:p>
            <w:pPr>
              <w:pStyle w:val="TableContents"/>
              <w:spacing w:before="0" w:after="283"/>
              <w:jc w:val="right"/>
              <w:rPr>
                <w:b/>
              </w:rPr>
            </w:pPr>
            <w:r>
              <w:rPr>
                <w:b/>
              </w:rPr>
              <w:t>398</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w:t>
            </w:r>
          </w:p>
        </w:tc>
        <w:tc>
          <w:tcPr>
            <w:tcW w:w="885" w:type="dxa"/>
            <w:tcBorders/>
            <w:shd w:fill="CCEEFF" w:val="clear"/>
            <w:vAlign w:val="bottom"/>
          </w:tcPr>
          <w:p>
            <w:pPr>
              <w:pStyle w:val="TableContents"/>
              <w:spacing w:before="0" w:after="283"/>
              <w:jc w:val="right"/>
              <w:rPr/>
            </w:pPr>
            <w:r>
              <w:rPr/>
              <w:t>397</w:t>
            </w:r>
          </w:p>
        </w:tc>
        <w:tc>
          <w:tcPr>
            <w:tcW w:w="27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262</w:t>
            </w:r>
          </w:p>
        </w:tc>
        <w:tc>
          <w:tcPr>
            <w:tcW w:w="253" w:type="dxa"/>
            <w:tcBorders/>
            <w:shd w:fill="CCEEFF" w:val="clear"/>
            <w:vAlign w:val="bottom"/>
          </w:tcPr>
          <w:p>
            <w:pPr>
              <w:pStyle w:val="TableContents"/>
              <w:spacing w:before="0" w:after="283"/>
              <w:rPr/>
            </w:pPr>
            <w:r>
              <w:rPr/>
              <w:t> </w:t>
            </w:r>
          </w:p>
        </w:tc>
      </w:tr>
      <w:tr>
        <w:trPr/>
        <w:tc>
          <w:tcPr>
            <w:tcW w:w="4858" w:type="dxa"/>
            <w:tcBorders/>
            <w:shd w:fill="auto" w:val="clear"/>
            <w:vAlign w:val="bottom"/>
          </w:tcPr>
          <w:p>
            <w:pPr>
              <w:pStyle w:val="TableContents"/>
              <w:spacing w:before="0" w:after="0"/>
              <w:ind w:left="450" w:right="0" w:hanging="225"/>
              <w:rPr/>
            </w:pPr>
            <w:r>
              <w:rPr/>
              <w:t>Proceeds from employee stock ownership plan debt</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b/>
              </w:rPr>
            </w:pPr>
            <w:r>
              <w:rPr>
                <w:b/>
              </w:rPr>
              <w:t>$</w:t>
            </w:r>
          </w:p>
        </w:tc>
        <w:tc>
          <w:tcPr>
            <w:tcW w:w="885" w:type="dxa"/>
            <w:tcBorders/>
            <w:shd w:fill="auto" w:val="clear"/>
            <w:vAlign w:val="bottom"/>
          </w:tcPr>
          <w:p>
            <w:pPr>
              <w:pStyle w:val="TableContents"/>
              <w:spacing w:before="0" w:after="283"/>
              <w:jc w:val="right"/>
              <w:rPr>
                <w:b/>
              </w:rPr>
            </w:pPr>
            <w:r>
              <w:rPr>
                <w:b/>
              </w:rPr>
              <w:t></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w:t>
            </w:r>
          </w:p>
        </w:tc>
        <w:tc>
          <w:tcPr>
            <w:tcW w:w="885" w:type="dxa"/>
            <w:tcBorders/>
            <w:shd w:fill="auto" w:val="clear"/>
            <w:vAlign w:val="bottom"/>
          </w:tcPr>
          <w:p>
            <w:pPr>
              <w:pStyle w:val="TableContents"/>
              <w:spacing w:before="0" w:after="283"/>
              <w:jc w:val="right"/>
              <w:rPr/>
            </w:pPr>
            <w:r>
              <w:rPr/>
              <w:t></w:t>
            </w:r>
          </w:p>
        </w:tc>
        <w:tc>
          <w:tcPr>
            <w:tcW w:w="27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1,356</w:t>
            </w:r>
          </w:p>
        </w:tc>
        <w:tc>
          <w:tcPr>
            <w:tcW w:w="253" w:type="dxa"/>
            <w:tcBorders/>
            <w:shd w:fill="auto" w:val="clear"/>
            <w:vAlign w:val="bottom"/>
          </w:tcPr>
          <w:p>
            <w:pPr>
              <w:pStyle w:val="TableContents"/>
              <w:spacing w:before="0" w:after="283"/>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See accompanying notes to consolidated financial statements. </w:t>
      </w:r>
    </w:p>
    <w:p>
      <w:pPr>
        <w:pStyle w:val="TextBody"/>
        <w:jc w:val="center"/>
        <w:rPr>
          <w:rFonts w:ascii="Arial;Helvetica;sans-serif" w:hAnsi="Arial;Helvetica;sans-serif"/>
          <w:sz w:val="17"/>
        </w:rPr>
      </w:pPr>
      <w:r>
        <w:rPr>
          <w:rFonts w:ascii="Arial;Helvetica;sans-serif" w:hAnsi="Arial;Helvetica;sans-serif"/>
          <w:sz w:val="17"/>
        </w:rPr>
        <w:t xml:space="preserve">55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bookmarkStart w:id="35" w:name="306"/>
      <w:bookmarkEnd w:id="35"/>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240" w:after="283"/>
        <w:jc w:val="left"/>
        <w:rPr>
          <w:rFonts w:ascii="Arial;Helvetica;sans-serif" w:hAnsi="Arial;Helvetica;sans-serif"/>
          <w:sz w:val="17"/>
        </w:rPr>
      </w:pPr>
      <w:r>
        <w:rPr>
          <w:rFonts w:ascii="Arial;Helvetica;sans-serif" w:hAnsi="Arial;Helvetica;sans-serif"/>
          <w:b/>
          <w:sz w:val="17"/>
        </w:rPr>
        <w:t>Note 1. Significant Accounting Policies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u w:val="single"/>
        </w:rPr>
        <w:t>Description of business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First Busey Corporation (the Corporation) is a financial holding company whose subsidiaries provide a full range of banking services, including security broker/dealer services and investment management and fiduciary services, to individual and corporate customers through its locations in Central Illinois, Indianapolis, Indiana, Fort Myers, Florida, and Port Charlotte, Florida. The Corporation and subsidiaries are subject to competition from other financial institutions and non-financial institutions providing financial products and services. First Busey Corporation and its subsidiaries are also subject to the regulations of certain regulatory agencies and undergo periodic examinations by those regulatory agencies.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significant accounting and reporting policies for First Busey Corporation and its subsidiaries follow: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Basis of consolidation</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consolidated financial statements include the accounts of First Busey Corporation and its subsidiaries: Busey Bank and its subsidiary: BAT, Inc.; Busey Bank Florida; Tarpon Coast National Bank and its subsidiary Tarpon Coast Financial Services; First Busey Resources, Inc.; Busey Investment Group, Inc. and its subsidiaries: First Busey Trust &amp; Investment Company, Inc., First Busey Securities, Inc., Busey Insurance Services, Inc., and Busey Capital Management. The financial statements also include the following wholly owned entities on a deconsolidated basis: First Busey Capital Trust I, First Busey Statutory Trust II, and First Busey Statutory Trust, III. All significant intercompany balances and transactions have been eliminated in consolidation.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consolidated financial statements of First Busey Corporation have been prepared in conformity with accounting principles generally accepted in the United States of America and conform to predominant practice within the banking industry.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Use of estimates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 preparing the accompanying consolidated financial statements, the Corporations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which are particularly susceptible to significant change in the near term relate to the market value of investment securities, the determination of the allowance for loan losses, valuation of other real estate, or other properties acquired in connection with foreclosures or in satisfaction of amounts due from borrowers on loans, and consideration of impairment of goodwill and other intangible assets.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Trust assets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Assets held for customers in a fiduciary or agency capacity, other than trust cash on deposit at the Corporations bank subsidiaries, are not assets of the Corporation and, accordingly, are not included in the accompanying consolidated financial statements.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Cash flows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For purposes of the consolidated statement of cash flows, cash and due from banks include cash on hand and amounts due from banks. Cash flows from federal funds purchased and sold are reported net, since their original maturities are less than three months. Cash flows from loans and deposits are also treated as net increases or decreases.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Securities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Securities classified as available for sale are those debt securities that the Corporation intends to hold for an indefinite period of time, but not necessarily to maturity, and marketable equity securities. Any decision to sell a security classified as available for sale would be based on various factors, including significant movements in interest rates, changes in the </w:t>
      </w:r>
    </w:p>
    <w:p>
      <w:pPr>
        <w:pStyle w:val="TextBody"/>
        <w:jc w:val="center"/>
        <w:rPr>
          <w:rFonts w:ascii="Arial;Helvetica;sans-serif" w:hAnsi="Arial;Helvetica;sans-serif"/>
          <w:sz w:val="17"/>
        </w:rPr>
      </w:pPr>
      <w:r>
        <w:rPr>
          <w:rFonts w:ascii="Arial;Helvetica;sans-serif" w:hAnsi="Arial;Helvetica;sans-serif"/>
          <w:sz w:val="17"/>
        </w:rPr>
        <w:t xml:space="preserve">56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maturity mix of the Corporations assets and liabilities, liquidity needs, regulatory capital considerations and other similar factors. Securities available for sale are carried at fair value, with unrealized gains and losses excluded from earnings and reported in other comprehensive income.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Purchase premiums and discounts are recognized in interest income using the interest method over the terms of the securities. Declines in the fair value of available-for-sale securities below their cost that are deemed to be other than temporary are reflected in earnings as realized losses. In estimating other-than-temporary impairment losses, management considers the length of time and extent to which the fair value has been less than cost, the financial condition and near-term prospects of the issuer, and the intent and ability of the Corporation to retain its investment in the issuer for a period of time sufficient to allow for any anticipated recovery in fair value. Gains and losses on the sale of securities are recorded on the trade date and are determined using the specific identification method.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Loans held for sale</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Loans held for sale are those loans the Corporation has the intent to sell in the foreseeable future. They consist of fixed-rate mortgage loans conforming to established guidelines and held for sale to investors and the secondary mortgage market. Loans held for sale are carried at the lower of aggregate cost or estimated fair value, as determined by aggregate outstanding commitments from investors or current investor yield requirements. Net unrealized losses, if any, are recognized through a valuation allowance by charges to income. Gains and losses on sales of loans are recognized at settlement dates and are determined by the difference between the sales proceeds and the carrying amount of the loans after allocating cost to servicing rights retained.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Corporation enters into commitments to originate loans whereby the interest rate on the loan is determined prior to funding (rate lock commitments). Rate lock commitments on mortgage loans that are intended to be sold are considered to be derivatives. Accordingly, such commitments along with any related fees received from potential borrowers are recorded at fair value, with changes in fair value recorded in the net gain or loss on sale of mortgage loans. Fair value is based on the change in estimated fair value of the underlying mortgage loan. The fair value is subject to change primarily due to changes in interest rates and is considered immaterial to the consolidated financial statements.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Loan servicing</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Servicing assets are recognized as separate assets when rights are acquired through the sale of mortgage loans. The Corporation generally retains the right to service mortgage loans sold to others. For sales of mortgage loans, a portion of the cost of originating the loan is allocated to the servicing right based on relative fair value. Fair value is based on market prices for comparable mortgage servicing contracts, when available, or alternatively, is based on a valuation model that calculates the present value of estimated future net servicing income. Capitalized servicing rights are reported in other assets and are amortized into other income in proportion to, and over the period of, the estimated future net servicing income of the underlying financial assets.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Mortgage servicing rights are periodically evaluated for impairment based on the fair value of those rights as compared to amortized cost. Fair values are estimated using discounted cash flows based on current expected future prepayment rates. For purposes of measuring impairment, the rights must be stratified by one or more predominant risk characteristics of the underlying loans. The Corporation stratifies its capitalized mortgage servicing rights based on the origination date, interest rate, and type of the underlying loans. The amount of impairment recognized is the amount, if any, by which the amortized cost of the rights for each stratum exceeds its fair value. If the Corporation later determines that all or a portion of the impairment no longer exists for a particular group of loans, a reduction of the allowance may be recorded as an increase to income.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Servicing fee income is recorded for fees earned for servicing loans. The fees are based on a contractual percentage of the outstanding principal and are recorded as income when earned. The amortization of mortgage servicing rights is netted against loan servicing fee income. </w:t>
      </w:r>
    </w:p>
    <w:p>
      <w:pPr>
        <w:pStyle w:val="TextBody"/>
        <w:jc w:val="center"/>
        <w:rPr>
          <w:rFonts w:ascii="Arial;Helvetica;sans-serif" w:hAnsi="Arial;Helvetica;sans-serif"/>
          <w:sz w:val="17"/>
        </w:rPr>
      </w:pPr>
      <w:r>
        <w:rPr>
          <w:rFonts w:ascii="Arial;Helvetica;sans-serif" w:hAnsi="Arial;Helvetica;sans-serif"/>
          <w:sz w:val="17"/>
        </w:rPr>
        <w:t xml:space="preserve">57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Loans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Loans receivable that management has the intent and ability to hold for the foreseeable future or until maturity or pay-off are stated at the amount of outstanding unpaid principal, adjusted for chargeoffs, the allowance for loan losses, and any deferred fees or costs on originated loans.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Loan origination and commitment fees, net of certain direct loan origination costs, are deferred and the net amount amortized as an adjustment of the related loans yield. The Corporation is generally amortizing these amounts over the contractual life. However, for long-term fixed-rate mortgages the Corporation has anticipated prepayments and assumes an estimated economic life of 5 years or less. Commitment fees and costs are generally based upon a percentage of a customers unused line of credit and fees related to standby letters of credit and are recognized over the commitment period when the likelihood of exercise is remote. If the commitment is subsequently exercised during the commitment period, the remaining unamortized commitment fee at the time of exercise is recognized over the life of the loan as an adjustment of the yield.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Interest is accrued daily on the outstanding balances. The accrual of interest on mortgage and commercial loans is discontinued at the time the loan is 90 days past due unless the credit is well-secured and in process of collection. Personal loans are typically charged off no later than 180 days past due. Past due status is based on contractual terms of the loan. In all cases, loans are placed on non-accrual or charged off at an earlier date if collection of principal or interest is considered doubtful.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Interest accrued in the current year but not collected for loans that are placed on nonaccrual status or charged off is reversed against interest income. Interest accrued during the prior year but not collected for loans that are placed on nonaccrual status or charged off is charged against the allowance for loan losses.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Allowance for loan losses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allowance for loan losses is established as losses are estimated to have occurred through a provision for loan losses charged to earnings. Loan losses are charged against the allowance for loan losses when management believes the uncollectibility of the loan balance is confirmed. Subsequent recoveries, if any, are credited to the allowance.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allowance for loan losses is evaluated on a regular basis by management and is based upon managements periodic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 addition, regulatory agencies as an integral part of their examination process, periodically review the allowance for loan losses, and may require the Corporation to make additions to the allowance based on their judgment about information available to them at the time of their examinations.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allowance consists of specific, general and unallocated components. The specific component relates to loans that are classified as doubtful, substandard, or special mention. For such loans that are also classified as impaired, an allowance is established when the discounted cash flows (or collateral value or observable market price) of the impaired loan is lower than the carrying amount of that loan. The general component covers non-classified loans and is based on historical loss experience adjusted for qualitative factors. An unallocated component is maintained to cover uncertainties that could affect managements estimate of probable losses. The unallocated component of the allowance reflects the margin of imprecision inherent in the underlying assumptions used in the methodologies for estimating specific and general losses in the portfolio. </w:t>
      </w:r>
    </w:p>
    <w:p>
      <w:pPr>
        <w:pStyle w:val="TextBody"/>
        <w:jc w:val="center"/>
        <w:rPr>
          <w:rFonts w:ascii="Arial;Helvetica;sans-serif" w:hAnsi="Arial;Helvetica;sans-serif"/>
          <w:sz w:val="17"/>
        </w:rPr>
      </w:pPr>
      <w:r>
        <w:rPr>
          <w:rFonts w:ascii="Arial;Helvetica;sans-serif" w:hAnsi="Arial;Helvetica;sans-serif"/>
          <w:sz w:val="17"/>
        </w:rPr>
        <w:t xml:space="preserve">58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 loan is impaired when, based on current information and events, it is probable the Corporation will be unable to collect scheduled payments of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loans and the borrower, including the length of the delay, the reasons for the delay, the borrowers prior payment record, and the amount of the shortfall in relation to the principal and interest owed. Impairment is measured on a loan-by-loan basis for commercial and construction loans by either the present value of the expected future cash flows discounted at the loans effective interest rate, the loans obtainable market price, or the fair value of the collateral if the loan is collateral dependent.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Large groups of smaller balance homogenous loans are collectively evaluated for impairment. Accordingly, the Corporation does not separately identify individual consumer and residential loans for impairment disclosures unless such loans are the subject of a restructuring agreement .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Premises and equipment</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Land is stated at cost. Premises and equipment are stated at cost less accumulated depreciation. Depreciation is computed principally by the straight-line method over the estimated useful lives of the assets. The estimated useful lives for premises and equipment are: </w:t>
      </w:r>
    </w:p>
    <w:tbl>
      <w:tblPr>
        <w:tblW w:w="5000" w:type="pct"/>
        <w:jc w:val="center"/>
        <w:tblInd w:w="0" w:type="dxa"/>
        <w:tblCellMar>
          <w:top w:w="0" w:type="dxa"/>
          <w:left w:w="0" w:type="dxa"/>
          <w:bottom w:w="0" w:type="dxa"/>
          <w:right w:w="0" w:type="dxa"/>
        </w:tblCellMar>
      </w:tblPr>
      <w:tblGrid>
        <w:gridCol w:w="7348"/>
        <w:gridCol w:w="510"/>
        <w:gridCol w:w="2347"/>
      </w:tblGrid>
      <w:tr>
        <w:trPr/>
        <w:tc>
          <w:tcPr>
            <w:tcW w:w="7348"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2347" w:type="dxa"/>
            <w:tcBorders/>
            <w:shd w:fill="auto" w:val="clear"/>
            <w:vAlign w:val="bottom"/>
          </w:tcPr>
          <w:p>
            <w:pPr>
              <w:pStyle w:val="TableContents"/>
              <w:spacing w:before="0" w:after="283"/>
              <w:rPr/>
            </w:pPr>
            <w:r>
              <w:rPr/>
              <w:t> </w:t>
            </w:r>
          </w:p>
        </w:tc>
      </w:tr>
      <w:tr>
        <w:trPr/>
        <w:tc>
          <w:tcPr>
            <w:tcW w:w="7348" w:type="dxa"/>
            <w:tcBorders/>
            <w:shd w:fill="auto" w:val="clear"/>
            <w:vAlign w:val="bottom"/>
          </w:tcPr>
          <w:p>
            <w:pPr>
              <w:pStyle w:val="TableContents"/>
              <w:spacing w:before="0" w:after="283"/>
              <w:jc w:val="center"/>
              <w:rPr/>
            </w:pPr>
            <w:r>
              <w:rPr/>
              <w:t>Asset Description</w:t>
            </w:r>
          </w:p>
        </w:tc>
        <w:tc>
          <w:tcPr>
            <w:tcW w:w="510" w:type="dxa"/>
            <w:tcBorders/>
            <w:shd w:fill="auto" w:val="clear"/>
            <w:vAlign w:val="bottom"/>
          </w:tcPr>
          <w:p>
            <w:pPr>
              <w:pStyle w:val="TableContents"/>
              <w:spacing w:before="0" w:after="283"/>
              <w:rPr/>
            </w:pPr>
            <w:r>
              <w:rPr/>
              <w:t> </w:t>
            </w:r>
          </w:p>
        </w:tc>
        <w:tc>
          <w:tcPr>
            <w:tcW w:w="2347" w:type="dxa"/>
            <w:tcBorders/>
            <w:shd w:fill="auto" w:val="clear"/>
            <w:vAlign w:val="bottom"/>
          </w:tcPr>
          <w:p>
            <w:pPr>
              <w:pStyle w:val="TableContents"/>
              <w:spacing w:before="0" w:after="283"/>
              <w:jc w:val="center"/>
              <w:rPr/>
            </w:pPr>
            <w:r>
              <w:rPr/>
              <w:t>Estimated Useful Life</w:t>
            </w:r>
          </w:p>
        </w:tc>
      </w:tr>
      <w:tr>
        <w:trPr/>
        <w:tc>
          <w:tcPr>
            <w:tcW w:w="10205"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7348" w:type="dxa"/>
            <w:tcBorders/>
            <w:shd w:fill="CCEEFF" w:val="clear"/>
          </w:tcPr>
          <w:p>
            <w:pPr>
              <w:pStyle w:val="TableContents"/>
              <w:spacing w:before="0" w:after="0"/>
              <w:ind w:left="0" w:right="0" w:hanging="0"/>
              <w:rPr/>
            </w:pPr>
            <w:r>
              <w:rPr/>
              <w:t xml:space="preserve">Buildings </w:t>
            </w:r>
          </w:p>
        </w:tc>
        <w:tc>
          <w:tcPr>
            <w:tcW w:w="510" w:type="dxa"/>
            <w:tcBorders/>
            <w:shd w:fill="CCEEFF" w:val="clear"/>
            <w:vAlign w:val="bottom"/>
          </w:tcPr>
          <w:p>
            <w:pPr>
              <w:pStyle w:val="TableContents"/>
              <w:spacing w:before="0" w:after="283"/>
              <w:rPr/>
            </w:pPr>
            <w:r>
              <w:rPr/>
              <w:t> </w:t>
            </w:r>
          </w:p>
        </w:tc>
        <w:tc>
          <w:tcPr>
            <w:tcW w:w="2347" w:type="dxa"/>
            <w:tcBorders/>
            <w:shd w:fill="CCEEFF" w:val="clear"/>
          </w:tcPr>
          <w:p>
            <w:pPr>
              <w:pStyle w:val="TableContents"/>
              <w:spacing w:before="0" w:after="283"/>
              <w:jc w:val="center"/>
              <w:rPr/>
            </w:pPr>
            <w:r>
              <w:rPr/>
              <w:t>20  40 years</w:t>
            </w:r>
          </w:p>
        </w:tc>
      </w:tr>
      <w:tr>
        <w:trPr/>
        <w:tc>
          <w:tcPr>
            <w:tcW w:w="7348" w:type="dxa"/>
            <w:tcBorders/>
            <w:shd w:fill="auto" w:val="clear"/>
          </w:tcPr>
          <w:p>
            <w:pPr>
              <w:pStyle w:val="TableContents"/>
              <w:spacing w:before="0" w:after="0"/>
              <w:ind w:left="0" w:right="0" w:hanging="0"/>
              <w:rPr/>
            </w:pPr>
            <w:r>
              <w:rPr/>
              <w:t xml:space="preserve">Furniture and equipment </w:t>
            </w:r>
          </w:p>
        </w:tc>
        <w:tc>
          <w:tcPr>
            <w:tcW w:w="510"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3  10 years</w:t>
            </w:r>
          </w:p>
        </w:tc>
      </w:tr>
      <w:tr>
        <w:trPr/>
        <w:tc>
          <w:tcPr>
            <w:tcW w:w="7348" w:type="dxa"/>
            <w:tcBorders/>
            <w:shd w:fill="CCEEFF" w:val="clear"/>
          </w:tcPr>
          <w:p>
            <w:pPr>
              <w:pStyle w:val="TableContents"/>
              <w:spacing w:before="0" w:after="0"/>
              <w:ind w:left="0" w:right="0" w:hanging="0"/>
              <w:rPr/>
            </w:pPr>
            <w:r>
              <w:rPr/>
              <w:t xml:space="preserve">Data processing equipment </w:t>
            </w:r>
          </w:p>
        </w:tc>
        <w:tc>
          <w:tcPr>
            <w:tcW w:w="510" w:type="dxa"/>
            <w:tcBorders/>
            <w:shd w:fill="CCEEFF" w:val="clear"/>
            <w:vAlign w:val="bottom"/>
          </w:tcPr>
          <w:p>
            <w:pPr>
              <w:pStyle w:val="TableContents"/>
              <w:spacing w:before="0" w:after="283"/>
              <w:rPr/>
            </w:pPr>
            <w:r>
              <w:rPr/>
              <w:t> </w:t>
            </w:r>
          </w:p>
        </w:tc>
        <w:tc>
          <w:tcPr>
            <w:tcW w:w="2347" w:type="dxa"/>
            <w:tcBorders/>
            <w:shd w:fill="CCEEFF" w:val="clear"/>
          </w:tcPr>
          <w:p>
            <w:pPr>
              <w:pStyle w:val="TableContents"/>
              <w:spacing w:before="0" w:after="283"/>
              <w:jc w:val="center"/>
              <w:rPr/>
            </w:pPr>
            <w:r>
              <w:rPr/>
              <w:t>3  5 years</w:t>
            </w:r>
          </w:p>
        </w:tc>
      </w:tr>
      <w:tr>
        <w:trPr/>
        <w:tc>
          <w:tcPr>
            <w:tcW w:w="7348" w:type="dxa"/>
            <w:tcBorders/>
            <w:shd w:fill="auto" w:val="clear"/>
          </w:tcPr>
          <w:p>
            <w:pPr>
              <w:pStyle w:val="TableContents"/>
              <w:spacing w:before="0" w:after="0"/>
              <w:ind w:left="0" w:right="0" w:hanging="0"/>
              <w:rPr/>
            </w:pPr>
            <w:r>
              <w:rPr/>
              <w:t xml:space="preserve">Software </w:t>
            </w:r>
          </w:p>
        </w:tc>
        <w:tc>
          <w:tcPr>
            <w:tcW w:w="510"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2  3 years</w:t>
            </w:r>
          </w:p>
        </w:tc>
      </w:tr>
      <w:tr>
        <w:trPr/>
        <w:tc>
          <w:tcPr>
            <w:tcW w:w="7348" w:type="dxa"/>
            <w:tcBorders/>
            <w:shd w:fill="CCEEFF" w:val="clear"/>
          </w:tcPr>
          <w:p>
            <w:pPr>
              <w:pStyle w:val="TableContents"/>
              <w:spacing w:before="0" w:after="0"/>
              <w:ind w:left="0" w:right="0" w:hanging="0"/>
              <w:rPr/>
            </w:pPr>
            <w:r>
              <w:rPr/>
              <w:t xml:space="preserve">Leasehold improvements </w:t>
            </w:r>
          </w:p>
        </w:tc>
        <w:tc>
          <w:tcPr>
            <w:tcW w:w="510" w:type="dxa"/>
            <w:tcBorders/>
            <w:shd w:fill="CCEEFF" w:val="clear"/>
            <w:vAlign w:val="bottom"/>
          </w:tcPr>
          <w:p>
            <w:pPr>
              <w:pStyle w:val="TableContents"/>
              <w:spacing w:before="0" w:after="283"/>
              <w:rPr/>
            </w:pPr>
            <w:r>
              <w:rPr/>
              <w:t> </w:t>
            </w:r>
          </w:p>
        </w:tc>
        <w:tc>
          <w:tcPr>
            <w:tcW w:w="2347" w:type="dxa"/>
            <w:tcBorders/>
            <w:shd w:fill="CCEEFF" w:val="clear"/>
          </w:tcPr>
          <w:p>
            <w:pPr>
              <w:pStyle w:val="TableContents"/>
              <w:spacing w:before="0" w:after="283"/>
              <w:jc w:val="center"/>
              <w:rPr/>
            </w:pPr>
            <w:r>
              <w:rPr/>
              <w:t>3  10 years</w:t>
            </w:r>
          </w:p>
        </w:tc>
      </w:tr>
    </w:tbl>
    <w:p>
      <w:pPr>
        <w:pStyle w:val="TextBody"/>
        <w:spacing w:before="240" w:after="283"/>
        <w:jc w:val="left"/>
        <w:rPr>
          <w:rFonts w:ascii="Arial;Helvetica;sans-serif" w:hAnsi="Arial;Helvetica;sans-serif"/>
          <w:sz w:val="17"/>
        </w:rPr>
      </w:pPr>
      <w:r>
        <w:rPr>
          <w:rFonts w:ascii="Arial;Helvetica;sans-serif" w:hAnsi="Arial;Helvetica;sans-serif"/>
          <w:sz w:val="17"/>
          <w:u w:val="single"/>
        </w:rPr>
        <w:t>Long-lived assets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Management periodically reviews the carrying amount of its long-lived assets to determine if an impairment has occurred or whether changes in circumstances have occurred that would require a revision to the remaining useful lives of those assets. In making such determination, management evaluates the performance, on an undiscounted basis, of the underlying operations or assets which give rise to such amount.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Other real estate owned</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Other real estate owned (OREO) represents properties acquired through foreclosure or other proceedings in settlement of loans. OREO is held for sale and is recorded at the date of foreclosure at the fair value of the properties less estimated costs of disposal, which establishes a new cost. Any write-down to fair value at the time of transfer to OREO is charged to the allowance for loan losses. Property is evaluated regularly to ensure the recorded amount is supported by its current fair value, and valuation allowances to reduce the carrying amount to fair value less estimated costs to dispose are recorded as necessary. The Corporation recognized no loss provision during the year ended December 31, 2005, and $760,000 and $989,000 during the years ended December 31, 2004, and 2003 respectively in valuation allowances associated with the carrying amount of properties held in OREO. Revenue and expense from the operations of foreclosed assets and changes in the valuation allowance are included in operations. Other real estate owned included in other assets was approximately $236,000 and $4,212,000 as of December 31, 2005, and 2004, respectively.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Goodwill and other intangible assets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Costs in excess of the estimated fair value of identifiable net tangible assets acquired consist of goodwill and core deposit intangible assets. Goodwill is not amortized over its useful life, but is subject to at least annual impairment assessments. The Corporation performs assessments by comparing the fair value of outstanding assets less fair value of the entity to the book value of equity for each reportable segment. </w:t>
      </w:r>
    </w:p>
    <w:p>
      <w:pPr>
        <w:pStyle w:val="TextBody"/>
        <w:jc w:val="center"/>
        <w:rPr>
          <w:rFonts w:ascii="Arial;Helvetica;sans-serif" w:hAnsi="Arial;Helvetica;sans-serif"/>
          <w:sz w:val="17"/>
        </w:rPr>
      </w:pPr>
      <w:r>
        <w:rPr>
          <w:rFonts w:ascii="Arial;Helvetica;sans-serif" w:hAnsi="Arial;Helvetica;sans-serif"/>
          <w:sz w:val="17"/>
        </w:rPr>
        <w:t xml:space="preserve">59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Core deposit intangible assets are amortized on a straight-line basis over the estimated period benefited up to 10 years. Total amortization expense was approximately $1,101,000, $631,000, and $414,000 for the years ended December 31, 2005, 2004, and 2003, respectively.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Goodwill disclosures are as follows: </w:t>
      </w:r>
    </w:p>
    <w:tbl>
      <w:tblPr>
        <w:tblW w:w="5000" w:type="pct"/>
        <w:jc w:val="center"/>
        <w:tblInd w:w="0" w:type="dxa"/>
        <w:tblCellMar>
          <w:top w:w="0" w:type="dxa"/>
          <w:left w:w="0" w:type="dxa"/>
          <w:bottom w:w="0" w:type="dxa"/>
          <w:right w:w="0" w:type="dxa"/>
        </w:tblCellMar>
      </w:tblPr>
      <w:tblGrid>
        <w:gridCol w:w="3458"/>
        <w:gridCol w:w="309"/>
        <w:gridCol w:w="331"/>
        <w:gridCol w:w="926"/>
        <w:gridCol w:w="229"/>
        <w:gridCol w:w="309"/>
        <w:gridCol w:w="363"/>
        <w:gridCol w:w="1081"/>
        <w:gridCol w:w="243"/>
        <w:gridCol w:w="309"/>
        <w:gridCol w:w="284"/>
        <w:gridCol w:w="584"/>
        <w:gridCol w:w="208"/>
        <w:gridCol w:w="309"/>
        <w:gridCol w:w="283"/>
        <w:gridCol w:w="698"/>
        <w:gridCol w:w="208"/>
        <w:gridCol w:w="73"/>
      </w:tblGrid>
      <w:tr>
        <w:trPr/>
        <w:tc>
          <w:tcPr>
            <w:tcW w:w="345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73" w:type="dxa"/>
            <w:tcBorders/>
            <w:shd w:fill="auto" w:val="clear"/>
          </w:tcPr>
          <w:p>
            <w:pPr>
              <w:pStyle w:val="TableContents"/>
              <w:spacing w:before="0" w:after="283"/>
              <w:rPr>
                <w:sz w:val="4"/>
                <w:szCs w:val="4"/>
              </w:rPr>
            </w:pPr>
            <w:r>
              <w:rPr>
                <w:sz w:val="4"/>
                <w:szCs w:val="4"/>
              </w:rPr>
            </w:r>
          </w:p>
        </w:tc>
      </w:tr>
      <w:tr>
        <w:trPr/>
        <w:tc>
          <w:tcPr>
            <w:tcW w:w="345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87" w:type="dxa"/>
            <w:gridSpan w:val="3"/>
            <w:tcBorders/>
            <w:shd w:fill="auto" w:val="clear"/>
            <w:vAlign w:val="bottom"/>
          </w:tcPr>
          <w:p>
            <w:pPr>
              <w:pStyle w:val="TableContents"/>
              <w:spacing w:before="0" w:after="283"/>
              <w:jc w:val="center"/>
              <w:rPr/>
            </w:pPr>
            <w:r>
              <w:rPr/>
              <w:t>Tarpon Coast</w:t>
            </w:r>
          </w:p>
        </w:tc>
        <w:tc>
          <w:tcPr>
            <w:tcW w:w="309" w:type="dxa"/>
            <w:tcBorders/>
            <w:shd w:fill="auto" w:val="clear"/>
            <w:vAlign w:val="bottom"/>
          </w:tcPr>
          <w:p>
            <w:pPr>
              <w:pStyle w:val="TableContents"/>
              <w:spacing w:before="0" w:after="283"/>
              <w:rPr/>
            </w:pPr>
            <w:r>
              <w:rPr/>
              <w:t> </w:t>
            </w:r>
          </w:p>
        </w:tc>
        <w:tc>
          <w:tcPr>
            <w:tcW w:w="1076" w:type="dxa"/>
            <w:gridSpan w:val="3"/>
            <w:tcBorders/>
            <w:shd w:fill="auto" w:val="clear"/>
            <w:vAlign w:val="bottom"/>
          </w:tcPr>
          <w:p>
            <w:pPr>
              <w:pStyle w:val="TableContents"/>
              <w:spacing w:before="0" w:after="283"/>
              <w:jc w:val="center"/>
              <w:rPr/>
            </w:pPr>
            <w:r>
              <w:rPr/>
              <w:t> </w:t>
            </w:r>
          </w:p>
        </w:tc>
        <w:tc>
          <w:tcPr>
            <w:tcW w:w="309" w:type="dxa"/>
            <w:tcBorders/>
            <w:shd w:fill="auto" w:val="clear"/>
            <w:vAlign w:val="bottom"/>
          </w:tcPr>
          <w:p>
            <w:pPr>
              <w:pStyle w:val="TableContents"/>
              <w:spacing w:before="0" w:after="283"/>
              <w:rPr/>
            </w:pPr>
            <w:r>
              <w:rPr/>
              <w:t> </w:t>
            </w:r>
          </w:p>
        </w:tc>
        <w:tc>
          <w:tcPr>
            <w:tcW w:w="1189" w:type="dxa"/>
            <w:gridSpan w:val="3"/>
            <w:tcBorders/>
            <w:shd w:fill="auto" w:val="clear"/>
            <w:vAlign w:val="bottom"/>
          </w:tcPr>
          <w:p>
            <w:pPr>
              <w:pStyle w:val="TableContents"/>
              <w:spacing w:before="0" w:after="283"/>
              <w:jc w:val="center"/>
              <w:rPr/>
            </w:pPr>
            <w:r>
              <w:rPr/>
              <w:t> </w:t>
            </w:r>
          </w:p>
        </w:tc>
        <w:tc>
          <w:tcPr>
            <w:tcW w:w="73" w:type="dxa"/>
            <w:tcBorders/>
            <w:shd w:fill="auto" w:val="clear"/>
          </w:tcPr>
          <w:p>
            <w:pPr>
              <w:pStyle w:val="TableContents"/>
              <w:spacing w:before="0" w:after="283"/>
              <w:rPr>
                <w:sz w:val="4"/>
                <w:szCs w:val="4"/>
              </w:rPr>
            </w:pPr>
            <w:r>
              <w:rPr>
                <w:sz w:val="4"/>
                <w:szCs w:val="4"/>
              </w:rPr>
            </w:r>
          </w:p>
        </w:tc>
      </w:tr>
      <w:tr>
        <w:trPr/>
        <w:tc>
          <w:tcPr>
            <w:tcW w:w="345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86" w:type="dxa"/>
            <w:gridSpan w:val="3"/>
            <w:tcBorders>
              <w:bottom w:val="single" w:sz="2" w:space="0" w:color="000000"/>
            </w:tcBorders>
            <w:shd w:fill="auto" w:val="clear"/>
            <w:tcMar>
              <w:bottom w:w="28" w:type="dxa"/>
            </w:tcMar>
            <w:vAlign w:val="bottom"/>
          </w:tcPr>
          <w:p>
            <w:pPr>
              <w:pStyle w:val="TableContents"/>
              <w:spacing w:before="0" w:after="283"/>
              <w:jc w:val="center"/>
              <w:rPr/>
            </w:pPr>
            <w:r>
              <w:rPr/>
              <w:t>Busey Bank</w:t>
            </w:r>
          </w:p>
        </w:tc>
        <w:tc>
          <w:tcPr>
            <w:tcW w:w="309" w:type="dxa"/>
            <w:tcBorders>
              <w:bottom w:val="single" w:sz="2" w:space="0" w:color="000000"/>
            </w:tcBorders>
            <w:shd w:fill="auto" w:val="clear"/>
            <w:tcMar>
              <w:bottom w:w="28" w:type="dxa"/>
            </w:tcMar>
            <w:vAlign w:val="bottom"/>
          </w:tcPr>
          <w:p>
            <w:pPr>
              <w:pStyle w:val="TableContents"/>
              <w:spacing w:before="0" w:after="283"/>
              <w:rPr/>
            </w:pPr>
            <w:r>
              <w:rPr/>
              <w:t> </w:t>
            </w:r>
          </w:p>
        </w:tc>
        <w:tc>
          <w:tcPr>
            <w:tcW w:w="1687" w:type="dxa"/>
            <w:gridSpan w:val="3"/>
            <w:tcBorders>
              <w:bottom w:val="single" w:sz="2" w:space="0" w:color="000000"/>
            </w:tcBorders>
            <w:shd w:fill="auto" w:val="clear"/>
            <w:tcMar>
              <w:bottom w:w="28" w:type="dxa"/>
            </w:tcMar>
            <w:vAlign w:val="bottom"/>
          </w:tcPr>
          <w:p>
            <w:pPr>
              <w:pStyle w:val="TableContents"/>
              <w:spacing w:before="0" w:after="283"/>
              <w:jc w:val="center"/>
              <w:rPr/>
            </w:pPr>
            <w:r>
              <w:rPr/>
              <w:t>National Bank</w:t>
            </w:r>
          </w:p>
        </w:tc>
        <w:tc>
          <w:tcPr>
            <w:tcW w:w="309" w:type="dxa"/>
            <w:tcBorders>
              <w:bottom w:val="single" w:sz="2" w:space="0" w:color="000000"/>
            </w:tcBorders>
            <w:shd w:fill="auto" w:val="clear"/>
            <w:tcMar>
              <w:bottom w:w="28" w:type="dxa"/>
            </w:tcMar>
            <w:vAlign w:val="bottom"/>
          </w:tcPr>
          <w:p>
            <w:pPr>
              <w:pStyle w:val="TableContents"/>
              <w:spacing w:before="0" w:after="283"/>
              <w:rPr/>
            </w:pPr>
            <w:r>
              <w:rPr/>
              <w:t> </w:t>
            </w:r>
          </w:p>
        </w:tc>
        <w:tc>
          <w:tcPr>
            <w:tcW w:w="1076" w:type="dxa"/>
            <w:gridSpan w:val="3"/>
            <w:tcBorders>
              <w:bottom w:val="single" w:sz="2" w:space="0" w:color="000000"/>
            </w:tcBorders>
            <w:shd w:fill="auto" w:val="clear"/>
            <w:tcMar>
              <w:bottom w:w="28" w:type="dxa"/>
            </w:tcMar>
            <w:vAlign w:val="bottom"/>
          </w:tcPr>
          <w:p>
            <w:pPr>
              <w:pStyle w:val="TableContents"/>
              <w:spacing w:before="0" w:after="283"/>
              <w:jc w:val="center"/>
              <w:rPr/>
            </w:pPr>
            <w:r>
              <w:rPr/>
              <w:t>Other</w:t>
            </w:r>
          </w:p>
        </w:tc>
        <w:tc>
          <w:tcPr>
            <w:tcW w:w="309" w:type="dxa"/>
            <w:tcBorders>
              <w:bottom w:val="single" w:sz="2" w:space="0" w:color="000000"/>
            </w:tcBorders>
            <w:shd w:fill="auto" w:val="clear"/>
            <w:tcMar>
              <w:bottom w:w="28" w:type="dxa"/>
            </w:tcMar>
            <w:vAlign w:val="bottom"/>
          </w:tcPr>
          <w:p>
            <w:pPr>
              <w:pStyle w:val="TableContents"/>
              <w:spacing w:before="0" w:after="283"/>
              <w:rPr/>
            </w:pPr>
            <w:r>
              <w:rPr/>
              <w:t> </w:t>
            </w:r>
          </w:p>
        </w:tc>
        <w:tc>
          <w:tcPr>
            <w:tcW w:w="1189" w:type="dxa"/>
            <w:gridSpan w:val="3"/>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73" w:type="dxa"/>
            <w:tcBorders/>
            <w:shd w:fill="auto" w:val="clear"/>
          </w:tcPr>
          <w:p>
            <w:pPr>
              <w:pStyle w:val="TableContents"/>
              <w:spacing w:before="0" w:after="283"/>
              <w:rPr>
                <w:sz w:val="4"/>
                <w:szCs w:val="4"/>
              </w:rPr>
            </w:pPr>
            <w:r>
              <w:rPr>
                <w:sz w:val="4"/>
                <w:szCs w:val="4"/>
              </w:rPr>
            </w:r>
          </w:p>
        </w:tc>
      </w:tr>
      <w:tr>
        <w:trPr/>
        <w:tc>
          <w:tcPr>
            <w:tcW w:w="345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381" w:type="dxa"/>
            <w:gridSpan w:val="8"/>
            <w:tcBorders/>
            <w:shd w:fill="auto" w:val="clear"/>
            <w:vAlign w:val="bottom"/>
          </w:tcPr>
          <w:p>
            <w:pPr>
              <w:pStyle w:val="TableContents"/>
              <w:spacing w:before="0" w:after="283"/>
              <w:jc w:val="center"/>
              <w:rPr/>
            </w:pPr>
            <w:r>
              <w:rPr/>
              <w:t>(Dollars in thousands)</w:t>
            </w:r>
          </w:p>
        </w:tc>
        <w:tc>
          <w:tcPr>
            <w:tcW w:w="28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r>
      <w:tr>
        <w:trPr/>
        <w:tc>
          <w:tcPr>
            <w:tcW w:w="3458" w:type="dxa"/>
            <w:tcBorders/>
            <w:shd w:fill="CCEEFF" w:val="clear"/>
            <w:vAlign w:val="bottom"/>
          </w:tcPr>
          <w:p>
            <w:pPr>
              <w:pStyle w:val="TableContents"/>
              <w:spacing w:before="0" w:after="0"/>
              <w:ind w:left="225" w:right="0" w:hanging="225"/>
              <w:rPr/>
            </w:pPr>
            <w:r>
              <w:rPr/>
              <w:t>Balance, December 31, 2003</w:t>
            </w:r>
          </w:p>
        </w:tc>
        <w:tc>
          <w:tcPr>
            <w:tcW w:w="309"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pPr>
            <w:r>
              <w:rPr/>
              <w:t>$</w:t>
            </w:r>
          </w:p>
        </w:tc>
        <w:tc>
          <w:tcPr>
            <w:tcW w:w="926" w:type="dxa"/>
            <w:tcBorders/>
            <w:shd w:fill="CCEEFF" w:val="clear"/>
            <w:vAlign w:val="bottom"/>
          </w:tcPr>
          <w:p>
            <w:pPr>
              <w:pStyle w:val="TableContents"/>
              <w:spacing w:before="0" w:after="283"/>
              <w:jc w:val="right"/>
              <w:rPr/>
            </w:pPr>
            <w:r>
              <w:rPr/>
              <w:t>5,832</w:t>
            </w:r>
          </w:p>
        </w:tc>
        <w:tc>
          <w:tcPr>
            <w:tcW w:w="229"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w:t>
            </w:r>
          </w:p>
        </w:tc>
        <w:tc>
          <w:tcPr>
            <w:tcW w:w="243"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jc w:val="right"/>
              <w:rPr/>
            </w:pPr>
            <w:r>
              <w:rPr/>
              <w:t>$</w:t>
            </w:r>
          </w:p>
        </w:tc>
        <w:tc>
          <w:tcPr>
            <w:tcW w:w="584" w:type="dxa"/>
            <w:tcBorders/>
            <w:shd w:fill="CCEEFF" w:val="clear"/>
            <w:vAlign w:val="bottom"/>
          </w:tcPr>
          <w:p>
            <w:pPr>
              <w:pStyle w:val="TableContents"/>
              <w:spacing w:before="0" w:after="283"/>
              <w:jc w:val="right"/>
              <w:rPr/>
            </w:pPr>
            <w:r>
              <w:rPr/>
              <w:t>1,548</w:t>
            </w:r>
          </w:p>
        </w:tc>
        <w:tc>
          <w:tcPr>
            <w:tcW w:w="208"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w:t>
            </w:r>
          </w:p>
        </w:tc>
        <w:tc>
          <w:tcPr>
            <w:tcW w:w="698" w:type="dxa"/>
            <w:tcBorders/>
            <w:shd w:fill="CCEEFF" w:val="clear"/>
            <w:vAlign w:val="bottom"/>
          </w:tcPr>
          <w:p>
            <w:pPr>
              <w:pStyle w:val="TableContents"/>
              <w:spacing w:before="0" w:after="283"/>
              <w:jc w:val="right"/>
              <w:rPr/>
            </w:pPr>
            <w:r>
              <w:rPr/>
              <w:t>7,380</w:t>
            </w:r>
          </w:p>
        </w:tc>
        <w:tc>
          <w:tcPr>
            <w:tcW w:w="208" w:type="dxa"/>
            <w:tcBorders/>
            <w:shd w:fill="CCEEFF" w:val="clear"/>
            <w:vAlign w:val="bottom"/>
          </w:tcPr>
          <w:p>
            <w:pPr>
              <w:pStyle w:val="TableContents"/>
              <w:spacing w:before="0" w:after="283"/>
              <w:rPr/>
            </w:pPr>
            <w:r>
              <w:rPr/>
              <w:t> </w:t>
            </w:r>
          </w:p>
        </w:tc>
        <w:tc>
          <w:tcPr>
            <w:tcW w:w="73" w:type="dxa"/>
            <w:tcBorders/>
            <w:shd w:fill="CCEEFF" w:val="clear"/>
          </w:tcPr>
          <w:p>
            <w:pPr>
              <w:pStyle w:val="TableContents"/>
              <w:spacing w:before="0" w:after="283"/>
              <w:rPr>
                <w:sz w:val="4"/>
                <w:szCs w:val="4"/>
              </w:rPr>
            </w:pPr>
            <w:r>
              <w:rPr>
                <w:sz w:val="4"/>
                <w:szCs w:val="4"/>
              </w:rPr>
            </w:r>
          </w:p>
        </w:tc>
      </w:tr>
      <w:tr>
        <w:trPr/>
        <w:tc>
          <w:tcPr>
            <w:tcW w:w="3458" w:type="dxa"/>
            <w:tcBorders/>
            <w:shd w:fill="auto" w:val="clear"/>
            <w:vAlign w:val="bottom"/>
          </w:tcPr>
          <w:p>
            <w:pPr>
              <w:pStyle w:val="TableContents"/>
              <w:spacing w:before="0" w:after="0"/>
              <w:ind w:left="225" w:right="0" w:hanging="225"/>
              <w:rPr/>
            </w:pPr>
            <w:r>
              <w:rPr/>
              <w:t>Acquired during year</w:t>
            </w:r>
          </w:p>
        </w:tc>
        <w:tc>
          <w:tcPr>
            <w:tcW w:w="3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24,405</w:t>
            </w:r>
          </w:p>
        </w:tc>
        <w:tc>
          <w:tcPr>
            <w:tcW w:w="22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w:t>
            </w:r>
          </w:p>
        </w:tc>
        <w:tc>
          <w:tcPr>
            <w:tcW w:w="24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jc w:val="right"/>
              <w:rPr/>
            </w:pPr>
            <w:r>
              <w:rPr/>
              <w:t></w:t>
            </w:r>
          </w:p>
        </w:tc>
        <w:tc>
          <w:tcPr>
            <w:tcW w:w="20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pPr>
            <w:r>
              <w:rPr/>
              <w:t>24,405</w:t>
            </w:r>
          </w:p>
        </w:tc>
        <w:tc>
          <w:tcPr>
            <w:tcW w:w="208" w:type="dxa"/>
            <w:tcBorders/>
            <w:shd w:fill="auto" w:val="clear"/>
            <w:vAlign w:val="bottom"/>
          </w:tcPr>
          <w:p>
            <w:pPr>
              <w:pStyle w:val="TableContents"/>
              <w:spacing w:before="0" w:after="283"/>
              <w:rPr/>
            </w:pPr>
            <w:r>
              <w:rPr/>
              <w:t> </w:t>
            </w:r>
          </w:p>
        </w:tc>
        <w:tc>
          <w:tcPr>
            <w:tcW w:w="73" w:type="dxa"/>
            <w:tcBorders/>
            <w:shd w:fill="auto" w:val="clear"/>
          </w:tcPr>
          <w:p>
            <w:pPr>
              <w:pStyle w:val="TableContents"/>
              <w:spacing w:before="0" w:after="283"/>
              <w:rPr>
                <w:sz w:val="4"/>
                <w:szCs w:val="4"/>
              </w:rPr>
            </w:pPr>
            <w:r>
              <w:rPr>
                <w:sz w:val="4"/>
                <w:szCs w:val="4"/>
              </w:rPr>
            </w:r>
          </w:p>
        </w:tc>
      </w:tr>
      <w:tr>
        <w:trPr/>
        <w:tc>
          <w:tcPr>
            <w:tcW w:w="3458" w:type="dxa"/>
            <w:tcBorders/>
            <w:shd w:fill="CCEEFF" w:val="clear"/>
            <w:vAlign w:val="bottom"/>
          </w:tcPr>
          <w:p>
            <w:pPr>
              <w:pStyle w:val="TableContents"/>
              <w:spacing w:before="0" w:after="0"/>
              <w:ind w:left="225" w:right="0" w:hanging="225"/>
              <w:rPr/>
            </w:pPr>
            <w:r>
              <w:rPr/>
              <w:t>Impairment losses</w:t>
            </w:r>
          </w:p>
        </w:tc>
        <w:tc>
          <w:tcPr>
            <w:tcW w:w="309"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w:t>
            </w:r>
          </w:p>
        </w:tc>
        <w:tc>
          <w:tcPr>
            <w:tcW w:w="229"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w:t>
            </w:r>
          </w:p>
        </w:tc>
        <w:tc>
          <w:tcPr>
            <w:tcW w:w="243"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jc w:val="right"/>
              <w:rPr/>
            </w:pPr>
            <w:r>
              <w:rPr/>
              <w:t></w:t>
            </w:r>
          </w:p>
        </w:tc>
        <w:tc>
          <w:tcPr>
            <w:tcW w:w="208"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pPr>
            <w:r>
              <w:rPr/>
              <w:t></w:t>
            </w:r>
          </w:p>
        </w:tc>
        <w:tc>
          <w:tcPr>
            <w:tcW w:w="208" w:type="dxa"/>
            <w:tcBorders/>
            <w:shd w:fill="CCEEFF" w:val="clear"/>
            <w:vAlign w:val="bottom"/>
          </w:tcPr>
          <w:p>
            <w:pPr>
              <w:pStyle w:val="TableContents"/>
              <w:spacing w:before="0" w:after="283"/>
              <w:rPr/>
            </w:pPr>
            <w:r>
              <w:rPr/>
              <w:t> </w:t>
            </w:r>
          </w:p>
        </w:tc>
        <w:tc>
          <w:tcPr>
            <w:tcW w:w="73" w:type="dxa"/>
            <w:tcBorders/>
            <w:shd w:fill="CCEEFF" w:val="clear"/>
          </w:tcPr>
          <w:p>
            <w:pPr>
              <w:pStyle w:val="TableContents"/>
              <w:spacing w:before="0" w:after="283"/>
              <w:rPr>
                <w:sz w:val="4"/>
                <w:szCs w:val="4"/>
              </w:rPr>
            </w:pPr>
            <w:r>
              <w:rPr>
                <w:sz w:val="4"/>
                <w:szCs w:val="4"/>
              </w:rPr>
            </w:r>
          </w:p>
        </w:tc>
      </w:tr>
      <w:tr>
        <w:trPr/>
        <w:tc>
          <w:tcPr>
            <w:tcW w:w="3458" w:type="dxa"/>
            <w:tcBorders/>
            <w:shd w:fill="auto" w:val="clear"/>
            <w:vAlign w:val="center"/>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6365"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c>
          <w:tcPr>
            <w:tcW w:w="73" w:type="dxa"/>
            <w:tcBorders/>
            <w:shd w:fill="auto" w:val="clear"/>
          </w:tcPr>
          <w:p>
            <w:pPr>
              <w:pStyle w:val="TableContents"/>
              <w:spacing w:before="0" w:after="283"/>
              <w:rPr>
                <w:sz w:val="4"/>
                <w:szCs w:val="4"/>
              </w:rPr>
            </w:pPr>
            <w:r>
              <w:rPr>
                <w:sz w:val="4"/>
                <w:szCs w:val="4"/>
              </w:rPr>
            </w:r>
          </w:p>
        </w:tc>
      </w:tr>
      <w:tr>
        <w:trPr/>
        <w:tc>
          <w:tcPr>
            <w:tcW w:w="3458" w:type="dxa"/>
            <w:tcBorders/>
            <w:shd w:fill="auto" w:val="clear"/>
            <w:vAlign w:val="bottom"/>
          </w:tcPr>
          <w:p>
            <w:pPr>
              <w:pStyle w:val="TableContents"/>
              <w:spacing w:before="0" w:after="0"/>
              <w:ind w:left="225" w:right="0" w:hanging="225"/>
              <w:rPr/>
            </w:pPr>
            <w:r>
              <w:rPr/>
              <w:t> </w:t>
            </w:r>
          </w:p>
        </w:tc>
        <w:tc>
          <w:tcPr>
            <w:tcW w:w="3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73" w:type="dxa"/>
            <w:tcBorders/>
            <w:shd w:fill="auto" w:val="clear"/>
          </w:tcPr>
          <w:p>
            <w:pPr>
              <w:pStyle w:val="TableContents"/>
              <w:spacing w:before="0" w:after="283"/>
              <w:rPr>
                <w:sz w:val="4"/>
                <w:szCs w:val="4"/>
              </w:rPr>
            </w:pPr>
            <w:r>
              <w:rPr>
                <w:sz w:val="4"/>
                <w:szCs w:val="4"/>
              </w:rPr>
            </w:r>
          </w:p>
        </w:tc>
      </w:tr>
      <w:tr>
        <w:trPr/>
        <w:tc>
          <w:tcPr>
            <w:tcW w:w="3458" w:type="dxa"/>
            <w:tcBorders/>
            <w:shd w:fill="auto" w:val="clear"/>
            <w:vAlign w:val="bottom"/>
          </w:tcPr>
          <w:p>
            <w:pPr>
              <w:pStyle w:val="TableContents"/>
              <w:spacing w:before="0" w:after="0"/>
              <w:ind w:left="225" w:right="0" w:hanging="225"/>
              <w:rPr/>
            </w:pPr>
            <w:r>
              <w:rPr/>
              <w:t>Balance, December 31, 2004</w:t>
            </w:r>
          </w:p>
        </w:tc>
        <w:tc>
          <w:tcPr>
            <w:tcW w:w="3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w:t>
            </w:r>
          </w:p>
        </w:tc>
        <w:tc>
          <w:tcPr>
            <w:tcW w:w="926" w:type="dxa"/>
            <w:tcBorders/>
            <w:shd w:fill="auto" w:val="clear"/>
            <w:vAlign w:val="bottom"/>
          </w:tcPr>
          <w:p>
            <w:pPr>
              <w:pStyle w:val="TableContents"/>
              <w:spacing w:before="0" w:after="283"/>
              <w:jc w:val="right"/>
              <w:rPr/>
            </w:pPr>
            <w:r>
              <w:rPr/>
              <w:t>30,237</w:t>
            </w:r>
          </w:p>
        </w:tc>
        <w:tc>
          <w:tcPr>
            <w:tcW w:w="22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jc w:val="right"/>
              <w:rPr/>
            </w:pPr>
            <w:r>
              <w:rPr/>
              <w:t>$</w:t>
            </w:r>
          </w:p>
        </w:tc>
        <w:tc>
          <w:tcPr>
            <w:tcW w:w="1081" w:type="dxa"/>
            <w:tcBorders/>
            <w:shd w:fill="auto" w:val="clear"/>
            <w:vAlign w:val="bottom"/>
          </w:tcPr>
          <w:p>
            <w:pPr>
              <w:pStyle w:val="TableContents"/>
              <w:spacing w:before="0" w:after="283"/>
              <w:jc w:val="right"/>
              <w:rPr/>
            </w:pPr>
            <w:r>
              <w:rPr/>
              <w:t></w:t>
            </w:r>
          </w:p>
        </w:tc>
        <w:tc>
          <w:tcPr>
            <w:tcW w:w="24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jc w:val="right"/>
              <w:rPr/>
            </w:pPr>
            <w:r>
              <w:rPr/>
              <w:t>$</w:t>
            </w:r>
          </w:p>
        </w:tc>
        <w:tc>
          <w:tcPr>
            <w:tcW w:w="584" w:type="dxa"/>
            <w:tcBorders/>
            <w:shd w:fill="auto" w:val="clear"/>
            <w:vAlign w:val="bottom"/>
          </w:tcPr>
          <w:p>
            <w:pPr>
              <w:pStyle w:val="TableContents"/>
              <w:spacing w:before="0" w:after="283"/>
              <w:jc w:val="right"/>
              <w:rPr/>
            </w:pPr>
            <w:r>
              <w:rPr/>
              <w:t>1,548</w:t>
            </w:r>
          </w:p>
        </w:tc>
        <w:tc>
          <w:tcPr>
            <w:tcW w:w="20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jc w:val="right"/>
              <w:rPr/>
            </w:pPr>
            <w:r>
              <w:rPr/>
              <w:t>$</w:t>
            </w:r>
          </w:p>
        </w:tc>
        <w:tc>
          <w:tcPr>
            <w:tcW w:w="698" w:type="dxa"/>
            <w:tcBorders/>
            <w:shd w:fill="auto" w:val="clear"/>
            <w:vAlign w:val="bottom"/>
          </w:tcPr>
          <w:p>
            <w:pPr>
              <w:pStyle w:val="TableContents"/>
              <w:spacing w:before="0" w:after="283"/>
              <w:jc w:val="right"/>
              <w:rPr/>
            </w:pPr>
            <w:r>
              <w:rPr/>
              <w:t>31,785</w:t>
            </w:r>
          </w:p>
        </w:tc>
        <w:tc>
          <w:tcPr>
            <w:tcW w:w="208" w:type="dxa"/>
            <w:tcBorders/>
            <w:shd w:fill="auto" w:val="clear"/>
            <w:vAlign w:val="bottom"/>
          </w:tcPr>
          <w:p>
            <w:pPr>
              <w:pStyle w:val="TableContents"/>
              <w:spacing w:before="0" w:after="283"/>
              <w:rPr/>
            </w:pPr>
            <w:r>
              <w:rPr/>
              <w:t> </w:t>
            </w:r>
          </w:p>
        </w:tc>
        <w:tc>
          <w:tcPr>
            <w:tcW w:w="73" w:type="dxa"/>
            <w:tcBorders/>
            <w:shd w:fill="auto" w:val="clear"/>
          </w:tcPr>
          <w:p>
            <w:pPr>
              <w:pStyle w:val="TableContents"/>
              <w:spacing w:before="0" w:after="283"/>
              <w:rPr>
                <w:sz w:val="4"/>
                <w:szCs w:val="4"/>
              </w:rPr>
            </w:pPr>
            <w:r>
              <w:rPr>
                <w:sz w:val="4"/>
                <w:szCs w:val="4"/>
              </w:rPr>
            </w:r>
          </w:p>
        </w:tc>
      </w:tr>
      <w:tr>
        <w:trPr/>
        <w:tc>
          <w:tcPr>
            <w:tcW w:w="3458" w:type="dxa"/>
            <w:tcBorders/>
            <w:shd w:fill="CCEEFF" w:val="clear"/>
            <w:vAlign w:val="bottom"/>
          </w:tcPr>
          <w:p>
            <w:pPr>
              <w:pStyle w:val="TableContents"/>
              <w:spacing w:before="0" w:after="0"/>
              <w:ind w:left="225" w:right="0" w:hanging="225"/>
              <w:rPr/>
            </w:pPr>
            <w:r>
              <w:rPr/>
              <w:t>Acquired during year</w:t>
            </w:r>
          </w:p>
        </w:tc>
        <w:tc>
          <w:tcPr>
            <w:tcW w:w="309"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283"/>
              <w:jc w:val="right"/>
              <w:rPr/>
            </w:pPr>
            <w:r>
              <w:rPr/>
              <w:t></w:t>
            </w:r>
          </w:p>
        </w:tc>
        <w:tc>
          <w:tcPr>
            <w:tcW w:w="229"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22,317</w:t>
            </w:r>
          </w:p>
        </w:tc>
        <w:tc>
          <w:tcPr>
            <w:tcW w:w="243"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jc w:val="right"/>
              <w:rPr/>
            </w:pPr>
            <w:r>
              <w:rPr/>
              <w:t></w:t>
            </w:r>
          </w:p>
        </w:tc>
        <w:tc>
          <w:tcPr>
            <w:tcW w:w="208"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pPr>
            <w:r>
              <w:rPr/>
              <w:t>22,317</w:t>
            </w:r>
          </w:p>
        </w:tc>
        <w:tc>
          <w:tcPr>
            <w:tcW w:w="208" w:type="dxa"/>
            <w:tcBorders/>
            <w:shd w:fill="CCEEFF" w:val="clear"/>
            <w:vAlign w:val="bottom"/>
          </w:tcPr>
          <w:p>
            <w:pPr>
              <w:pStyle w:val="TableContents"/>
              <w:spacing w:before="0" w:after="283"/>
              <w:rPr/>
            </w:pPr>
            <w:r>
              <w:rPr/>
              <w:t> </w:t>
            </w:r>
          </w:p>
        </w:tc>
        <w:tc>
          <w:tcPr>
            <w:tcW w:w="73" w:type="dxa"/>
            <w:tcBorders/>
            <w:shd w:fill="CCEEFF" w:val="clear"/>
          </w:tcPr>
          <w:p>
            <w:pPr>
              <w:pStyle w:val="TableContents"/>
              <w:spacing w:before="0" w:after="283"/>
              <w:rPr>
                <w:sz w:val="4"/>
                <w:szCs w:val="4"/>
              </w:rPr>
            </w:pPr>
            <w:r>
              <w:rPr>
                <w:sz w:val="4"/>
                <w:szCs w:val="4"/>
              </w:rPr>
            </w:r>
          </w:p>
        </w:tc>
      </w:tr>
      <w:tr>
        <w:trPr/>
        <w:tc>
          <w:tcPr>
            <w:tcW w:w="3458" w:type="dxa"/>
            <w:tcBorders/>
            <w:shd w:fill="auto" w:val="clear"/>
            <w:vAlign w:val="bottom"/>
          </w:tcPr>
          <w:p>
            <w:pPr>
              <w:pStyle w:val="TableContents"/>
              <w:spacing w:before="0" w:after="0"/>
              <w:ind w:left="225" w:right="0" w:hanging="225"/>
              <w:rPr/>
            </w:pPr>
            <w:r>
              <w:rPr/>
              <w:t>Impairment losses</w:t>
            </w:r>
          </w:p>
        </w:tc>
        <w:tc>
          <w:tcPr>
            <w:tcW w:w="3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jc w:val="right"/>
              <w:rPr/>
            </w:pPr>
            <w:r>
              <w:rPr/>
              <w:t></w:t>
            </w:r>
          </w:p>
        </w:tc>
        <w:tc>
          <w:tcPr>
            <w:tcW w:w="22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w:t>
            </w:r>
          </w:p>
        </w:tc>
        <w:tc>
          <w:tcPr>
            <w:tcW w:w="24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jc w:val="right"/>
              <w:rPr/>
            </w:pPr>
            <w:r>
              <w:rPr/>
              <w:t></w:t>
            </w:r>
          </w:p>
        </w:tc>
        <w:tc>
          <w:tcPr>
            <w:tcW w:w="20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pPr>
            <w:r>
              <w:rPr/>
              <w:t></w:t>
            </w:r>
          </w:p>
        </w:tc>
        <w:tc>
          <w:tcPr>
            <w:tcW w:w="208" w:type="dxa"/>
            <w:tcBorders/>
            <w:shd w:fill="auto" w:val="clear"/>
            <w:vAlign w:val="bottom"/>
          </w:tcPr>
          <w:p>
            <w:pPr>
              <w:pStyle w:val="TableContents"/>
              <w:spacing w:before="0" w:after="283"/>
              <w:rPr/>
            </w:pPr>
            <w:r>
              <w:rPr/>
              <w:t> </w:t>
            </w:r>
          </w:p>
        </w:tc>
        <w:tc>
          <w:tcPr>
            <w:tcW w:w="73" w:type="dxa"/>
            <w:tcBorders/>
            <w:shd w:fill="auto" w:val="clear"/>
          </w:tcPr>
          <w:p>
            <w:pPr>
              <w:pStyle w:val="TableContents"/>
              <w:spacing w:before="0" w:after="283"/>
              <w:rPr>
                <w:sz w:val="4"/>
                <w:szCs w:val="4"/>
              </w:rPr>
            </w:pPr>
            <w:r>
              <w:rPr>
                <w:sz w:val="4"/>
                <w:szCs w:val="4"/>
              </w:rPr>
            </w:r>
          </w:p>
        </w:tc>
      </w:tr>
      <w:tr>
        <w:trPr/>
        <w:tc>
          <w:tcPr>
            <w:tcW w:w="3458" w:type="dxa"/>
            <w:tcBorders/>
            <w:shd w:fill="auto" w:val="clear"/>
            <w:vAlign w:val="center"/>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6365"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c>
          <w:tcPr>
            <w:tcW w:w="73" w:type="dxa"/>
            <w:tcBorders/>
            <w:shd w:fill="auto" w:val="clear"/>
          </w:tcPr>
          <w:p>
            <w:pPr>
              <w:pStyle w:val="TableContents"/>
              <w:spacing w:before="0" w:after="283"/>
              <w:rPr>
                <w:sz w:val="4"/>
                <w:szCs w:val="4"/>
              </w:rPr>
            </w:pPr>
            <w:r>
              <w:rPr>
                <w:sz w:val="4"/>
                <w:szCs w:val="4"/>
              </w:rPr>
            </w:r>
          </w:p>
        </w:tc>
      </w:tr>
      <w:tr>
        <w:trPr/>
        <w:tc>
          <w:tcPr>
            <w:tcW w:w="3458" w:type="dxa"/>
            <w:tcBorders/>
            <w:shd w:fill="CCEEFF" w:val="clear"/>
            <w:vAlign w:val="bottom"/>
          </w:tcPr>
          <w:p>
            <w:pPr>
              <w:pStyle w:val="TableContents"/>
              <w:spacing w:before="0" w:after="0"/>
              <w:ind w:left="225" w:right="0" w:hanging="225"/>
              <w:rPr/>
            </w:pPr>
            <w:r>
              <w:rPr/>
              <w:t>Balance, December 31, 2005</w:t>
            </w:r>
          </w:p>
        </w:tc>
        <w:tc>
          <w:tcPr>
            <w:tcW w:w="309"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right"/>
              <w:rPr/>
            </w:pPr>
            <w:r>
              <w:rPr/>
              <w:t>$</w:t>
            </w:r>
          </w:p>
        </w:tc>
        <w:tc>
          <w:tcPr>
            <w:tcW w:w="926" w:type="dxa"/>
            <w:tcBorders/>
            <w:shd w:fill="CCEEFF" w:val="clear"/>
            <w:vAlign w:val="bottom"/>
          </w:tcPr>
          <w:p>
            <w:pPr>
              <w:pStyle w:val="TableContents"/>
              <w:spacing w:before="0" w:after="283"/>
              <w:jc w:val="right"/>
              <w:rPr/>
            </w:pPr>
            <w:r>
              <w:rPr/>
              <w:t>30,237</w:t>
            </w:r>
          </w:p>
        </w:tc>
        <w:tc>
          <w:tcPr>
            <w:tcW w:w="229"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jc w:val="right"/>
              <w:rPr/>
            </w:pPr>
            <w:r>
              <w:rPr/>
              <w:t>$</w:t>
            </w:r>
          </w:p>
        </w:tc>
        <w:tc>
          <w:tcPr>
            <w:tcW w:w="1081" w:type="dxa"/>
            <w:tcBorders/>
            <w:shd w:fill="CCEEFF" w:val="clear"/>
            <w:vAlign w:val="bottom"/>
          </w:tcPr>
          <w:p>
            <w:pPr>
              <w:pStyle w:val="TableContents"/>
              <w:spacing w:before="0" w:after="283"/>
              <w:jc w:val="right"/>
              <w:rPr/>
            </w:pPr>
            <w:r>
              <w:rPr/>
              <w:t>22,317</w:t>
            </w:r>
          </w:p>
        </w:tc>
        <w:tc>
          <w:tcPr>
            <w:tcW w:w="243"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jc w:val="right"/>
              <w:rPr/>
            </w:pPr>
            <w:r>
              <w:rPr/>
              <w:t>$</w:t>
            </w:r>
          </w:p>
        </w:tc>
        <w:tc>
          <w:tcPr>
            <w:tcW w:w="584" w:type="dxa"/>
            <w:tcBorders/>
            <w:shd w:fill="CCEEFF" w:val="clear"/>
            <w:vAlign w:val="bottom"/>
          </w:tcPr>
          <w:p>
            <w:pPr>
              <w:pStyle w:val="TableContents"/>
              <w:spacing w:before="0" w:after="283"/>
              <w:jc w:val="right"/>
              <w:rPr/>
            </w:pPr>
            <w:r>
              <w:rPr/>
              <w:t>1,548</w:t>
            </w:r>
          </w:p>
        </w:tc>
        <w:tc>
          <w:tcPr>
            <w:tcW w:w="208"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w:t>
            </w:r>
          </w:p>
        </w:tc>
        <w:tc>
          <w:tcPr>
            <w:tcW w:w="698" w:type="dxa"/>
            <w:tcBorders/>
            <w:shd w:fill="CCEEFF" w:val="clear"/>
            <w:vAlign w:val="bottom"/>
          </w:tcPr>
          <w:p>
            <w:pPr>
              <w:pStyle w:val="TableContents"/>
              <w:spacing w:before="0" w:after="283"/>
              <w:jc w:val="right"/>
              <w:rPr/>
            </w:pPr>
            <w:r>
              <w:rPr/>
              <w:t>54,102</w:t>
            </w:r>
          </w:p>
        </w:tc>
        <w:tc>
          <w:tcPr>
            <w:tcW w:w="208" w:type="dxa"/>
            <w:tcBorders/>
            <w:shd w:fill="CCEEFF" w:val="clear"/>
            <w:vAlign w:val="bottom"/>
          </w:tcPr>
          <w:p>
            <w:pPr>
              <w:pStyle w:val="TableContents"/>
              <w:spacing w:before="0" w:after="283"/>
              <w:rPr/>
            </w:pPr>
            <w:r>
              <w:rPr/>
              <w:t> </w:t>
            </w:r>
          </w:p>
        </w:tc>
        <w:tc>
          <w:tcPr>
            <w:tcW w:w="73" w:type="dxa"/>
            <w:tcBorders/>
            <w:shd w:fill="CCEEFF" w:val="clear"/>
          </w:tcPr>
          <w:p>
            <w:pPr>
              <w:pStyle w:val="TableContents"/>
              <w:spacing w:before="0" w:after="283"/>
              <w:rPr>
                <w:sz w:val="4"/>
                <w:szCs w:val="4"/>
              </w:rPr>
            </w:pPr>
            <w:r>
              <w:rPr>
                <w:sz w:val="4"/>
                <w:szCs w:val="4"/>
              </w:rPr>
            </w:r>
          </w:p>
        </w:tc>
      </w:tr>
      <w:tr>
        <w:trPr/>
        <w:tc>
          <w:tcPr>
            <w:tcW w:w="3458" w:type="dxa"/>
            <w:tcBorders/>
            <w:shd w:fill="auto" w:val="clear"/>
            <w:vAlign w:val="center"/>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6365"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c>
          <w:tcPr>
            <w:tcW w:w="73" w:type="dxa"/>
            <w:tcBorders/>
            <w:shd w:fill="auto" w:val="clear"/>
          </w:tcPr>
          <w:p>
            <w:pPr>
              <w:pStyle w:val="TableContents"/>
              <w:spacing w:before="0" w:after="283"/>
              <w:rPr>
                <w:sz w:val="4"/>
                <w:szCs w:val="4"/>
              </w:rPr>
            </w:pPr>
            <w:r>
              <w:rPr>
                <w:sz w:val="4"/>
                <w:szCs w:val="4"/>
              </w:rPr>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Other intangible asset disclosures are as follows: </w:t>
      </w:r>
    </w:p>
    <w:tbl>
      <w:tblPr>
        <w:tblW w:w="5000" w:type="pct"/>
        <w:jc w:val="center"/>
        <w:tblInd w:w="0" w:type="dxa"/>
        <w:tblCellMar>
          <w:top w:w="0" w:type="dxa"/>
          <w:left w:w="0" w:type="dxa"/>
          <w:bottom w:w="0" w:type="dxa"/>
          <w:right w:w="0" w:type="dxa"/>
        </w:tblCellMar>
      </w:tblPr>
      <w:tblGrid>
        <w:gridCol w:w="5786"/>
        <w:gridCol w:w="369"/>
        <w:gridCol w:w="427"/>
        <w:gridCol w:w="1231"/>
        <w:gridCol w:w="273"/>
        <w:gridCol w:w="398"/>
        <w:gridCol w:w="430"/>
        <w:gridCol w:w="1042"/>
        <w:gridCol w:w="249"/>
      </w:tblGrid>
      <w:tr>
        <w:trPr/>
        <w:tc>
          <w:tcPr>
            <w:tcW w:w="578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r>
      <w:tr>
        <w:trPr/>
        <w:tc>
          <w:tcPr>
            <w:tcW w:w="578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3801"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December 31, 2005</w:t>
            </w:r>
          </w:p>
        </w:tc>
        <w:tc>
          <w:tcPr>
            <w:tcW w:w="249" w:type="dxa"/>
            <w:tcBorders/>
            <w:shd w:fill="auto" w:val="clear"/>
            <w:vAlign w:val="bottom"/>
          </w:tcPr>
          <w:p>
            <w:pPr>
              <w:pStyle w:val="TableContents"/>
              <w:spacing w:before="0" w:after="283"/>
              <w:rPr/>
            </w:pPr>
            <w:r>
              <w:rPr/>
              <w:t> </w:t>
            </w:r>
          </w:p>
        </w:tc>
      </w:tr>
      <w:tr>
        <w:trPr/>
        <w:tc>
          <w:tcPr>
            <w:tcW w:w="578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658" w:type="dxa"/>
            <w:gridSpan w:val="2"/>
            <w:tcBorders/>
            <w:shd w:fill="auto" w:val="clear"/>
            <w:vAlign w:val="bottom"/>
          </w:tcPr>
          <w:p>
            <w:pPr>
              <w:pStyle w:val="TableContents"/>
              <w:spacing w:before="0" w:after="283"/>
              <w:jc w:val="center"/>
              <w:rPr/>
            </w:pPr>
            <w:r>
              <w:rPr/>
              <w:t>Gross Carrying</w:t>
            </w:r>
          </w:p>
        </w:tc>
        <w:tc>
          <w:tcPr>
            <w:tcW w:w="27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472" w:type="dxa"/>
            <w:gridSpan w:val="2"/>
            <w:tcBorders/>
            <w:shd w:fill="auto" w:val="clear"/>
            <w:vAlign w:val="bottom"/>
          </w:tcPr>
          <w:p>
            <w:pPr>
              <w:pStyle w:val="TableContents"/>
              <w:spacing w:before="0" w:after="283"/>
              <w:jc w:val="center"/>
              <w:rPr/>
            </w:pPr>
            <w:r>
              <w:rPr/>
              <w:t>Accumulated</w:t>
            </w:r>
          </w:p>
        </w:tc>
        <w:tc>
          <w:tcPr>
            <w:tcW w:w="249" w:type="dxa"/>
            <w:tcBorders/>
            <w:shd w:fill="auto" w:val="clear"/>
            <w:vAlign w:val="bottom"/>
          </w:tcPr>
          <w:p>
            <w:pPr>
              <w:pStyle w:val="TableContents"/>
              <w:spacing w:before="0" w:after="283"/>
              <w:rPr/>
            </w:pPr>
            <w:r>
              <w:rPr/>
              <w:t> </w:t>
            </w:r>
          </w:p>
        </w:tc>
      </w:tr>
      <w:tr>
        <w:trPr/>
        <w:tc>
          <w:tcPr>
            <w:tcW w:w="578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658"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27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472"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249" w:type="dxa"/>
            <w:tcBorders/>
            <w:shd w:fill="auto" w:val="clear"/>
            <w:vAlign w:val="bottom"/>
          </w:tcPr>
          <w:p>
            <w:pPr>
              <w:pStyle w:val="TableContents"/>
              <w:spacing w:before="0" w:after="283"/>
              <w:rPr/>
            </w:pPr>
            <w:r>
              <w:rPr/>
              <w:t> </w:t>
            </w:r>
          </w:p>
        </w:tc>
      </w:tr>
      <w:tr>
        <w:trPr/>
        <w:tc>
          <w:tcPr>
            <w:tcW w:w="578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3801" w:type="dxa"/>
            <w:gridSpan w:val="6"/>
            <w:tcBorders/>
            <w:shd w:fill="auto" w:val="clear"/>
            <w:vAlign w:val="bottom"/>
          </w:tcPr>
          <w:p>
            <w:pPr>
              <w:pStyle w:val="TableContents"/>
              <w:spacing w:before="0" w:after="283"/>
              <w:jc w:val="center"/>
              <w:rPr/>
            </w:pPr>
            <w:r>
              <w:rPr/>
              <w:t>(Dollars in thousands)</w:t>
            </w:r>
          </w:p>
        </w:tc>
        <w:tc>
          <w:tcPr>
            <w:tcW w:w="249" w:type="dxa"/>
            <w:tcBorders/>
            <w:shd w:fill="auto" w:val="clear"/>
            <w:vAlign w:val="bottom"/>
          </w:tcPr>
          <w:p>
            <w:pPr>
              <w:pStyle w:val="TableContents"/>
              <w:spacing w:before="0" w:after="283"/>
              <w:rPr/>
            </w:pPr>
            <w:r>
              <w:rPr/>
              <w:t> </w:t>
            </w:r>
          </w:p>
        </w:tc>
      </w:tr>
      <w:tr>
        <w:trPr/>
        <w:tc>
          <w:tcPr>
            <w:tcW w:w="5786" w:type="dxa"/>
            <w:tcBorders/>
            <w:shd w:fill="CCEEFF" w:val="clear"/>
            <w:vAlign w:val="bottom"/>
          </w:tcPr>
          <w:p>
            <w:pPr>
              <w:pStyle w:val="TableContents"/>
              <w:spacing w:before="0" w:after="0"/>
              <w:ind w:left="225" w:right="0" w:hanging="225"/>
              <w:rPr>
                <w:b/>
              </w:rPr>
            </w:pPr>
            <w:r>
              <w:rPr>
                <w:b/>
              </w:rPr>
              <w:t>Amortized intangible assets:</w:t>
            </w:r>
          </w:p>
        </w:tc>
        <w:tc>
          <w:tcPr>
            <w:tcW w:w="36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r>
      <w:tr>
        <w:trPr/>
        <w:tc>
          <w:tcPr>
            <w:tcW w:w="5786" w:type="dxa"/>
            <w:tcBorders/>
            <w:shd w:fill="auto" w:val="clear"/>
            <w:vAlign w:val="bottom"/>
          </w:tcPr>
          <w:p>
            <w:pPr>
              <w:pStyle w:val="TableContents"/>
              <w:spacing w:before="0" w:after="0"/>
              <w:ind w:left="450" w:right="0" w:hanging="225"/>
              <w:rPr/>
            </w:pPr>
            <w:r>
              <w:rPr/>
              <w:t>Core deposit intangibles</w:t>
            </w:r>
          </w:p>
        </w:tc>
        <w:tc>
          <w:tcPr>
            <w:tcW w:w="36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left"/>
              <w:rPr/>
            </w:pPr>
            <w:r>
              <w:rPr/>
              <w:t>$</w:t>
            </w:r>
          </w:p>
        </w:tc>
        <w:tc>
          <w:tcPr>
            <w:tcW w:w="1231" w:type="dxa"/>
            <w:tcBorders/>
            <w:shd w:fill="auto" w:val="clear"/>
            <w:vAlign w:val="bottom"/>
          </w:tcPr>
          <w:p>
            <w:pPr>
              <w:pStyle w:val="TableContents"/>
              <w:spacing w:before="0" w:after="283"/>
              <w:jc w:val="right"/>
              <w:rPr/>
            </w:pPr>
            <w:r>
              <w:rPr/>
              <w:t>12,760</w:t>
            </w:r>
          </w:p>
        </w:tc>
        <w:tc>
          <w:tcPr>
            <w:tcW w:w="27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jc w:val="left"/>
              <w:rPr/>
            </w:pPr>
            <w:r>
              <w:rPr/>
              <w:t>$</w:t>
            </w:r>
          </w:p>
        </w:tc>
        <w:tc>
          <w:tcPr>
            <w:tcW w:w="1042" w:type="dxa"/>
            <w:tcBorders/>
            <w:shd w:fill="auto" w:val="clear"/>
            <w:vAlign w:val="bottom"/>
          </w:tcPr>
          <w:p>
            <w:pPr>
              <w:pStyle w:val="TableContents"/>
              <w:spacing w:before="0" w:after="283"/>
              <w:jc w:val="right"/>
              <w:rPr/>
            </w:pPr>
            <w:r>
              <w:rPr/>
              <w:t>7,638</w:t>
            </w:r>
          </w:p>
        </w:tc>
        <w:tc>
          <w:tcPr>
            <w:tcW w:w="249" w:type="dxa"/>
            <w:tcBorders/>
            <w:shd w:fill="auto" w:val="clear"/>
            <w:vAlign w:val="bottom"/>
          </w:tcPr>
          <w:p>
            <w:pPr>
              <w:pStyle w:val="TableContents"/>
              <w:spacing w:before="0" w:after="283"/>
              <w:rPr/>
            </w:pPr>
            <w:r>
              <w:rPr/>
              <w:t> </w:t>
            </w:r>
          </w:p>
        </w:tc>
      </w:tr>
      <w:tr>
        <w:trPr/>
        <w:tc>
          <w:tcPr>
            <w:tcW w:w="5786"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6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73"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14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9" w:type="dxa"/>
            <w:tcBorders/>
            <w:shd w:fill="auto" w:val="clear"/>
            <w:vAlign w:val="center"/>
          </w:tcPr>
          <w:p>
            <w:pPr>
              <w:pStyle w:val="TableContents"/>
              <w:spacing w:before="0" w:after="283"/>
              <w:rPr/>
            </w:pPr>
            <w:r>
              <w:rPr/>
              <w:t> </w:t>
            </w:r>
          </w:p>
        </w:tc>
      </w:tr>
      <w:tr>
        <w:trPr/>
        <w:tc>
          <w:tcPr>
            <w:tcW w:w="5786" w:type="dxa"/>
            <w:tcBorders/>
            <w:shd w:fill="auto" w:val="clear"/>
            <w:vAlign w:val="bottom"/>
          </w:tcPr>
          <w:p>
            <w:pPr>
              <w:pStyle w:val="TableContents"/>
              <w:spacing w:before="0" w:after="0"/>
              <w:ind w:left="225" w:right="0" w:hanging="225"/>
              <w:rPr/>
            </w:pPr>
            <w:r>
              <w:rPr/>
              <w:t> </w:t>
            </w:r>
          </w:p>
        </w:tc>
        <w:tc>
          <w:tcPr>
            <w:tcW w:w="36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r>
      <w:tr>
        <w:trPr/>
        <w:tc>
          <w:tcPr>
            <w:tcW w:w="5786" w:type="dxa"/>
            <w:tcBorders/>
            <w:shd w:fill="CCEEFF" w:val="clear"/>
            <w:vAlign w:val="bottom"/>
          </w:tcPr>
          <w:p>
            <w:pPr>
              <w:pStyle w:val="TableContents"/>
              <w:spacing w:before="0" w:after="0"/>
              <w:ind w:left="225" w:right="0" w:hanging="225"/>
              <w:rPr>
                <w:b/>
              </w:rPr>
            </w:pPr>
            <w:r>
              <w:rPr>
                <w:b/>
              </w:rPr>
              <w:t>Aggregate amortization expense:</w:t>
            </w:r>
          </w:p>
        </w:tc>
        <w:tc>
          <w:tcPr>
            <w:tcW w:w="36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r>
      <w:tr>
        <w:trPr/>
        <w:tc>
          <w:tcPr>
            <w:tcW w:w="5786" w:type="dxa"/>
            <w:tcBorders/>
            <w:shd w:fill="auto" w:val="clear"/>
            <w:vAlign w:val="bottom"/>
          </w:tcPr>
          <w:p>
            <w:pPr>
              <w:pStyle w:val="TableContents"/>
              <w:spacing w:before="0" w:after="0"/>
              <w:ind w:left="225" w:right="0" w:hanging="225"/>
              <w:rPr/>
            </w:pPr>
            <w:r>
              <w:rPr/>
              <w:t>2005</w:t>
            </w:r>
          </w:p>
        </w:tc>
        <w:tc>
          <w:tcPr>
            <w:tcW w:w="36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jc w:val="left"/>
              <w:rPr/>
            </w:pPr>
            <w:r>
              <w:rPr/>
              <w:t>$</w:t>
            </w:r>
          </w:p>
        </w:tc>
        <w:tc>
          <w:tcPr>
            <w:tcW w:w="1042" w:type="dxa"/>
            <w:tcBorders/>
            <w:shd w:fill="auto" w:val="clear"/>
            <w:vAlign w:val="bottom"/>
          </w:tcPr>
          <w:p>
            <w:pPr>
              <w:pStyle w:val="TableContents"/>
              <w:spacing w:before="0" w:after="283"/>
              <w:jc w:val="right"/>
              <w:rPr/>
            </w:pPr>
            <w:r>
              <w:rPr/>
              <w:t>1,101</w:t>
            </w:r>
          </w:p>
        </w:tc>
        <w:tc>
          <w:tcPr>
            <w:tcW w:w="249" w:type="dxa"/>
            <w:tcBorders/>
            <w:shd w:fill="auto" w:val="clear"/>
            <w:vAlign w:val="bottom"/>
          </w:tcPr>
          <w:p>
            <w:pPr>
              <w:pStyle w:val="TableContents"/>
              <w:spacing w:before="0" w:after="283"/>
              <w:rPr/>
            </w:pPr>
            <w:r>
              <w:rPr/>
              <w:t> </w:t>
            </w:r>
          </w:p>
        </w:tc>
      </w:tr>
      <w:tr>
        <w:trPr/>
        <w:tc>
          <w:tcPr>
            <w:tcW w:w="5786" w:type="dxa"/>
            <w:tcBorders/>
            <w:shd w:fill="CCEEFF" w:val="clear"/>
            <w:vAlign w:val="bottom"/>
          </w:tcPr>
          <w:p>
            <w:pPr>
              <w:pStyle w:val="TableContents"/>
              <w:spacing w:before="0" w:after="0"/>
              <w:ind w:left="225" w:right="0" w:hanging="225"/>
              <w:rPr/>
            </w:pPr>
            <w:r>
              <w:rPr/>
              <w:t>2004</w:t>
            </w:r>
          </w:p>
        </w:tc>
        <w:tc>
          <w:tcPr>
            <w:tcW w:w="36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631</w:t>
            </w:r>
          </w:p>
        </w:tc>
        <w:tc>
          <w:tcPr>
            <w:tcW w:w="249" w:type="dxa"/>
            <w:tcBorders/>
            <w:shd w:fill="CCEEFF" w:val="clear"/>
            <w:vAlign w:val="bottom"/>
          </w:tcPr>
          <w:p>
            <w:pPr>
              <w:pStyle w:val="TableContents"/>
              <w:spacing w:before="0" w:after="283"/>
              <w:rPr/>
            </w:pPr>
            <w:r>
              <w:rPr/>
              <w:t> </w:t>
            </w:r>
          </w:p>
        </w:tc>
      </w:tr>
      <w:tr>
        <w:trPr/>
        <w:tc>
          <w:tcPr>
            <w:tcW w:w="5786" w:type="dxa"/>
            <w:tcBorders/>
            <w:shd w:fill="auto" w:val="clear"/>
            <w:vAlign w:val="bottom"/>
          </w:tcPr>
          <w:p>
            <w:pPr>
              <w:pStyle w:val="TableContents"/>
              <w:spacing w:before="0" w:after="0"/>
              <w:ind w:left="225" w:right="0" w:hanging="225"/>
              <w:rPr/>
            </w:pPr>
            <w:r>
              <w:rPr/>
              <w:t>2003</w:t>
            </w:r>
          </w:p>
        </w:tc>
        <w:tc>
          <w:tcPr>
            <w:tcW w:w="36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pPr>
            <w:r>
              <w:rPr/>
              <w:t>414</w:t>
            </w:r>
          </w:p>
        </w:tc>
        <w:tc>
          <w:tcPr>
            <w:tcW w:w="249" w:type="dxa"/>
            <w:tcBorders/>
            <w:shd w:fill="auto" w:val="clear"/>
            <w:vAlign w:val="bottom"/>
          </w:tcPr>
          <w:p>
            <w:pPr>
              <w:pStyle w:val="TableContents"/>
              <w:spacing w:before="0" w:after="283"/>
              <w:rPr/>
            </w:pPr>
            <w:r>
              <w:rPr/>
              <w:t> </w:t>
            </w:r>
          </w:p>
        </w:tc>
      </w:tr>
      <w:tr>
        <w:trPr/>
        <w:tc>
          <w:tcPr>
            <w:tcW w:w="5786" w:type="dxa"/>
            <w:tcBorders/>
            <w:shd w:fill="auto" w:val="clear"/>
            <w:vAlign w:val="bottom"/>
          </w:tcPr>
          <w:p>
            <w:pPr>
              <w:pStyle w:val="TableContents"/>
              <w:spacing w:before="0" w:after="0"/>
              <w:ind w:left="225" w:right="0" w:hanging="225"/>
              <w:rPr/>
            </w:pPr>
            <w:r>
              <w:rPr/>
              <w:t> </w:t>
            </w:r>
          </w:p>
        </w:tc>
        <w:tc>
          <w:tcPr>
            <w:tcW w:w="36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r>
      <w:tr>
        <w:trPr/>
        <w:tc>
          <w:tcPr>
            <w:tcW w:w="5786" w:type="dxa"/>
            <w:tcBorders/>
            <w:shd w:fill="CCEEFF" w:val="clear"/>
            <w:vAlign w:val="bottom"/>
          </w:tcPr>
          <w:p>
            <w:pPr>
              <w:pStyle w:val="TableContents"/>
              <w:spacing w:before="0" w:after="0"/>
              <w:ind w:left="225" w:right="0" w:hanging="225"/>
              <w:rPr>
                <w:b/>
              </w:rPr>
            </w:pPr>
            <w:r>
              <w:rPr>
                <w:b/>
              </w:rPr>
              <w:t>Estimated amortization expense:</w:t>
            </w:r>
          </w:p>
        </w:tc>
        <w:tc>
          <w:tcPr>
            <w:tcW w:w="36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r>
      <w:tr>
        <w:trPr/>
        <w:tc>
          <w:tcPr>
            <w:tcW w:w="5786" w:type="dxa"/>
            <w:tcBorders/>
            <w:shd w:fill="auto" w:val="clear"/>
            <w:vAlign w:val="bottom"/>
          </w:tcPr>
          <w:p>
            <w:pPr>
              <w:pStyle w:val="TableContents"/>
              <w:spacing w:before="0" w:after="0"/>
              <w:ind w:left="225" w:right="0" w:hanging="225"/>
              <w:rPr/>
            </w:pPr>
            <w:r>
              <w:rPr/>
              <w:t>2006</w:t>
            </w:r>
          </w:p>
        </w:tc>
        <w:tc>
          <w:tcPr>
            <w:tcW w:w="36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jc w:val="left"/>
              <w:rPr/>
            </w:pPr>
            <w:r>
              <w:rPr/>
              <w:t>$</w:t>
            </w:r>
          </w:p>
        </w:tc>
        <w:tc>
          <w:tcPr>
            <w:tcW w:w="1042" w:type="dxa"/>
            <w:tcBorders/>
            <w:shd w:fill="auto" w:val="clear"/>
            <w:vAlign w:val="bottom"/>
          </w:tcPr>
          <w:p>
            <w:pPr>
              <w:pStyle w:val="TableContents"/>
              <w:spacing w:before="0" w:after="283"/>
              <w:jc w:val="right"/>
              <w:rPr/>
            </w:pPr>
            <w:r>
              <w:rPr/>
              <w:t>1,376</w:t>
            </w:r>
          </w:p>
        </w:tc>
        <w:tc>
          <w:tcPr>
            <w:tcW w:w="249" w:type="dxa"/>
            <w:tcBorders/>
            <w:shd w:fill="auto" w:val="clear"/>
            <w:vAlign w:val="bottom"/>
          </w:tcPr>
          <w:p>
            <w:pPr>
              <w:pStyle w:val="TableContents"/>
              <w:spacing w:before="0" w:after="283"/>
              <w:rPr/>
            </w:pPr>
            <w:r>
              <w:rPr/>
              <w:t> </w:t>
            </w:r>
          </w:p>
        </w:tc>
      </w:tr>
      <w:tr>
        <w:trPr/>
        <w:tc>
          <w:tcPr>
            <w:tcW w:w="5786" w:type="dxa"/>
            <w:tcBorders/>
            <w:shd w:fill="CCEEFF" w:val="clear"/>
            <w:vAlign w:val="bottom"/>
          </w:tcPr>
          <w:p>
            <w:pPr>
              <w:pStyle w:val="TableContents"/>
              <w:spacing w:before="0" w:after="0"/>
              <w:ind w:left="225" w:right="0" w:hanging="225"/>
              <w:rPr/>
            </w:pPr>
            <w:r>
              <w:rPr/>
              <w:t>2007</w:t>
            </w:r>
          </w:p>
        </w:tc>
        <w:tc>
          <w:tcPr>
            <w:tcW w:w="36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934</w:t>
            </w:r>
          </w:p>
        </w:tc>
        <w:tc>
          <w:tcPr>
            <w:tcW w:w="249" w:type="dxa"/>
            <w:tcBorders/>
            <w:shd w:fill="CCEEFF" w:val="clear"/>
            <w:vAlign w:val="bottom"/>
          </w:tcPr>
          <w:p>
            <w:pPr>
              <w:pStyle w:val="TableContents"/>
              <w:spacing w:before="0" w:after="283"/>
              <w:rPr/>
            </w:pPr>
            <w:r>
              <w:rPr/>
              <w:t> </w:t>
            </w:r>
          </w:p>
        </w:tc>
      </w:tr>
      <w:tr>
        <w:trPr/>
        <w:tc>
          <w:tcPr>
            <w:tcW w:w="5786" w:type="dxa"/>
            <w:tcBorders/>
            <w:shd w:fill="auto" w:val="clear"/>
            <w:vAlign w:val="bottom"/>
          </w:tcPr>
          <w:p>
            <w:pPr>
              <w:pStyle w:val="TableContents"/>
              <w:spacing w:before="0" w:after="0"/>
              <w:ind w:left="225" w:right="0" w:hanging="225"/>
              <w:rPr/>
            </w:pPr>
            <w:r>
              <w:rPr/>
              <w:t>2008</w:t>
            </w:r>
          </w:p>
        </w:tc>
        <w:tc>
          <w:tcPr>
            <w:tcW w:w="36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pPr>
            <w:r>
              <w:rPr/>
              <w:t>846</w:t>
            </w:r>
          </w:p>
        </w:tc>
        <w:tc>
          <w:tcPr>
            <w:tcW w:w="249" w:type="dxa"/>
            <w:tcBorders/>
            <w:shd w:fill="auto" w:val="clear"/>
            <w:vAlign w:val="bottom"/>
          </w:tcPr>
          <w:p>
            <w:pPr>
              <w:pStyle w:val="TableContents"/>
              <w:spacing w:before="0" w:after="283"/>
              <w:rPr/>
            </w:pPr>
            <w:r>
              <w:rPr/>
              <w:t> </w:t>
            </w:r>
          </w:p>
        </w:tc>
      </w:tr>
      <w:tr>
        <w:trPr/>
        <w:tc>
          <w:tcPr>
            <w:tcW w:w="5786" w:type="dxa"/>
            <w:tcBorders/>
            <w:shd w:fill="CCEEFF" w:val="clear"/>
            <w:vAlign w:val="bottom"/>
          </w:tcPr>
          <w:p>
            <w:pPr>
              <w:pStyle w:val="TableContents"/>
              <w:spacing w:before="0" w:after="0"/>
              <w:ind w:left="225" w:right="0" w:hanging="225"/>
              <w:rPr/>
            </w:pPr>
            <w:r>
              <w:rPr/>
              <w:t>2009</w:t>
            </w:r>
          </w:p>
        </w:tc>
        <w:tc>
          <w:tcPr>
            <w:tcW w:w="36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807</w:t>
            </w:r>
          </w:p>
        </w:tc>
        <w:tc>
          <w:tcPr>
            <w:tcW w:w="249" w:type="dxa"/>
            <w:tcBorders/>
            <w:shd w:fill="CCEEFF" w:val="clear"/>
            <w:vAlign w:val="bottom"/>
          </w:tcPr>
          <w:p>
            <w:pPr>
              <w:pStyle w:val="TableContents"/>
              <w:spacing w:before="0" w:after="283"/>
              <w:rPr/>
            </w:pPr>
            <w:r>
              <w:rPr/>
              <w:t> </w:t>
            </w:r>
          </w:p>
        </w:tc>
      </w:tr>
      <w:tr>
        <w:trPr/>
        <w:tc>
          <w:tcPr>
            <w:tcW w:w="5786" w:type="dxa"/>
            <w:tcBorders/>
            <w:shd w:fill="auto" w:val="clear"/>
            <w:vAlign w:val="bottom"/>
          </w:tcPr>
          <w:p>
            <w:pPr>
              <w:pStyle w:val="TableContents"/>
              <w:spacing w:before="0" w:after="0"/>
              <w:ind w:left="225" w:right="0" w:hanging="225"/>
              <w:rPr/>
            </w:pPr>
            <w:r>
              <w:rPr/>
              <w:t>2010</w:t>
            </w:r>
          </w:p>
        </w:tc>
        <w:tc>
          <w:tcPr>
            <w:tcW w:w="36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pPr>
            <w:r>
              <w:rPr/>
              <w:t>651</w:t>
            </w:r>
          </w:p>
        </w:tc>
        <w:tc>
          <w:tcPr>
            <w:tcW w:w="249" w:type="dxa"/>
            <w:tcBorders/>
            <w:shd w:fill="auto" w:val="clear"/>
            <w:vAlign w:val="bottom"/>
          </w:tcPr>
          <w:p>
            <w:pPr>
              <w:pStyle w:val="TableContents"/>
              <w:spacing w:before="0" w:after="283"/>
              <w:rPr/>
            </w:pPr>
            <w:r>
              <w:rPr/>
              <w:t> </w:t>
            </w:r>
          </w:p>
        </w:tc>
      </w:tr>
      <w:tr>
        <w:trPr/>
        <w:tc>
          <w:tcPr>
            <w:tcW w:w="5786" w:type="dxa"/>
            <w:tcBorders/>
            <w:shd w:fill="CCEEFF" w:val="clear"/>
            <w:vAlign w:val="bottom"/>
          </w:tcPr>
          <w:p>
            <w:pPr>
              <w:pStyle w:val="TableContents"/>
              <w:spacing w:before="0" w:after="0"/>
              <w:ind w:left="225" w:right="0" w:hanging="225"/>
              <w:rPr/>
            </w:pPr>
            <w:r>
              <w:rPr/>
              <w:t>Thereafter</w:t>
            </w:r>
          </w:p>
        </w:tc>
        <w:tc>
          <w:tcPr>
            <w:tcW w:w="36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508</w:t>
            </w:r>
          </w:p>
        </w:tc>
        <w:tc>
          <w:tcPr>
            <w:tcW w:w="249" w:type="dxa"/>
            <w:tcBorders/>
            <w:shd w:fill="CCEEFF" w:val="clear"/>
            <w:vAlign w:val="bottom"/>
          </w:tcPr>
          <w:p>
            <w:pPr>
              <w:pStyle w:val="TableContents"/>
              <w:spacing w:before="0" w:after="283"/>
              <w:rPr/>
            </w:pPr>
            <w:r>
              <w:rPr/>
              <w:t> </w:t>
            </w:r>
          </w:p>
        </w:tc>
      </w:tr>
      <w:tr>
        <w:trPr/>
        <w:tc>
          <w:tcPr>
            <w:tcW w:w="5786"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31"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14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9" w:type="dxa"/>
            <w:tcBorders/>
            <w:shd w:fill="auto" w:val="clear"/>
            <w:vAlign w:val="center"/>
          </w:tcPr>
          <w:p>
            <w:pPr>
              <w:pStyle w:val="TableContents"/>
              <w:spacing w:before="0" w:after="283"/>
              <w:rPr/>
            </w:pPr>
            <w:r>
              <w:rPr/>
              <w:t> </w:t>
            </w:r>
          </w:p>
        </w:tc>
      </w:tr>
      <w:tr>
        <w:trPr/>
        <w:tc>
          <w:tcPr>
            <w:tcW w:w="5786" w:type="dxa"/>
            <w:tcBorders/>
            <w:shd w:fill="auto" w:val="clear"/>
            <w:vAlign w:val="bottom"/>
          </w:tcPr>
          <w:p>
            <w:pPr>
              <w:pStyle w:val="TableContents"/>
              <w:spacing w:before="0" w:after="0"/>
              <w:ind w:left="225" w:right="0" w:hanging="225"/>
              <w:rPr/>
            </w:pPr>
            <w:r>
              <w:rPr/>
              <w:t> </w:t>
            </w:r>
          </w:p>
        </w:tc>
        <w:tc>
          <w:tcPr>
            <w:tcW w:w="36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pPr>
            <w:r>
              <w:rPr/>
              <w:t>5,122</w:t>
            </w:r>
          </w:p>
        </w:tc>
        <w:tc>
          <w:tcPr>
            <w:tcW w:w="249" w:type="dxa"/>
            <w:tcBorders/>
            <w:shd w:fill="auto" w:val="clear"/>
            <w:vAlign w:val="bottom"/>
          </w:tcPr>
          <w:p>
            <w:pPr>
              <w:pStyle w:val="TableContents"/>
              <w:spacing w:before="0" w:after="283"/>
              <w:rPr/>
            </w:pPr>
            <w:r>
              <w:rPr/>
              <w:t> </w:t>
            </w:r>
          </w:p>
        </w:tc>
      </w:tr>
      <w:tr>
        <w:trPr/>
        <w:tc>
          <w:tcPr>
            <w:tcW w:w="5786"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31"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14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9" w:type="dxa"/>
            <w:tcBorders/>
            <w:shd w:fill="auto" w:val="clear"/>
            <w:vAlign w:val="center"/>
          </w:tcPr>
          <w:p>
            <w:pPr>
              <w:pStyle w:val="TableContents"/>
              <w:spacing w:before="0" w:after="283"/>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Intangible assets are reviewed for possible impairment when events or changed circumstances may affect the underlying basis of the net assets. Such reviews include an analysis of current results and take into consideration the discounted value of projected operating cash flows.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Cash surrender value of bank-owned life insurance</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Corporation has purchased life insurance policies on certain executives and senior officers. Life insurance is recorded at its cash surrender value. </w:t>
      </w:r>
    </w:p>
    <w:p>
      <w:pPr>
        <w:pStyle w:val="TextBody"/>
        <w:jc w:val="center"/>
        <w:rPr>
          <w:rFonts w:ascii="Arial;Helvetica;sans-serif" w:hAnsi="Arial;Helvetica;sans-serif"/>
          <w:sz w:val="17"/>
        </w:rPr>
      </w:pPr>
      <w:r>
        <w:rPr>
          <w:rFonts w:ascii="Arial;Helvetica;sans-serif" w:hAnsi="Arial;Helvetica;sans-serif"/>
          <w:sz w:val="17"/>
        </w:rPr>
        <w:t xml:space="preserve">60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Income taxes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Corporation and its subsidiaries file consolidated Federal and State income tax returns with each subsidiary computing its taxes on a separate entity basis. The provision for income taxes is based on income as reported in the financial statements.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Deferred income tax assets and liabilities are computed annually for differences between the financial statement and tax bases of assets and liabilities that will result in taxable or deductible amounts in the future. The deferred tax assets and liabilities are computed based on enacted tax laws and rates applicable to the periods in which the differences are expected to affect taxable income. Valuation allowances are established when in the opinion of management it is more likely than not that a portion of deferred tax assets will not be realized. Income tax expense is the tax payable or refundable for the period plus or minus the change during the period in deferred tax assets and liabilities.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Reclassifications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Reclassifications have been made to certain account balances, with no effect on net income or stockholders equity, as of and for the years ended December 31, 2004 and 2003, to be consistent with the classifications adopted as of and for the year ended December 31, 2005.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On July 23, 2004, First Busey Corporations Board of Directors approved a three-for-two stock split. The stock split was effected in the form of a 50% dividend issued on August 3, 2004, for shareholders of record at the close of business on August 2, 2004. Fractional share amounts resulting from the split were paid to shareholders in cash. Share and per share data have been retroactively adjusted as if the stock split had occurred on January 1, 2003. </w:t>
      </w:r>
    </w:p>
    <w:p>
      <w:pPr>
        <w:pStyle w:val="TextBody"/>
        <w:jc w:val="center"/>
        <w:rPr>
          <w:rFonts w:ascii="Arial;Helvetica;sans-serif" w:hAnsi="Arial;Helvetica;sans-serif"/>
          <w:sz w:val="17"/>
        </w:rPr>
      </w:pPr>
      <w:r>
        <w:rPr>
          <w:rFonts w:ascii="Arial;Helvetica;sans-serif" w:hAnsi="Arial;Helvetica;sans-serif"/>
          <w:sz w:val="17"/>
        </w:rPr>
        <w:t xml:space="preserve">61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u w:val="single"/>
        </w:rPr>
        <w:t>Stock-based employee compensation</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Corporation has two stock-based employee compensation plans which have been in existence for all periods presented, and which are more fully described in Note 16. As permitted under accounting principles generally accepted in the United States of America, grants of options under the plans are accounted for under the recognition and measurement principles of APB No. 25, Accounting for Stock Issued to Employees, and related interpretations. Because options granted under the plans had an exercise price equal to market value of the underlying common stock on the date of grant, no stock-based employee compensation cost is included in determining net income. The following table illustrates the effect on net income and earnings per share if the Corporation had applied the fair value recognition provisions of Statement of Financial Accounting Standard No. 123, Accounting for Stock-Based Compensation, to stock-based employee compensation. </w:t>
      </w:r>
    </w:p>
    <w:tbl>
      <w:tblPr>
        <w:tblW w:w="5000" w:type="pct"/>
        <w:jc w:val="center"/>
        <w:tblInd w:w="0" w:type="dxa"/>
        <w:tblCellMar>
          <w:top w:w="0" w:type="dxa"/>
          <w:left w:w="0" w:type="dxa"/>
          <w:bottom w:w="0" w:type="dxa"/>
          <w:right w:w="0" w:type="dxa"/>
        </w:tblCellMar>
      </w:tblPr>
      <w:tblGrid>
        <w:gridCol w:w="5426"/>
        <w:gridCol w:w="408"/>
        <w:gridCol w:w="179"/>
        <w:gridCol w:w="882"/>
        <w:gridCol w:w="118"/>
        <w:gridCol w:w="418"/>
        <w:gridCol w:w="179"/>
        <w:gridCol w:w="882"/>
        <w:gridCol w:w="118"/>
        <w:gridCol w:w="418"/>
        <w:gridCol w:w="179"/>
        <w:gridCol w:w="884"/>
        <w:gridCol w:w="114"/>
      </w:tblGrid>
      <w:tr>
        <w:trPr/>
        <w:tc>
          <w:tcPr>
            <w:tcW w:w="5426"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5426"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06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18" w:type="dxa"/>
            <w:tcBorders>
              <w:bottom w:val="single" w:sz="2" w:space="0" w:color="000000"/>
            </w:tcBorders>
            <w:shd w:fill="auto" w:val="clear"/>
            <w:tcMar>
              <w:bottom w:w="28" w:type="dxa"/>
            </w:tcMar>
            <w:vAlign w:val="bottom"/>
          </w:tcPr>
          <w:p>
            <w:pPr>
              <w:pStyle w:val="TableContents"/>
              <w:spacing w:before="0" w:after="283"/>
              <w:rPr/>
            </w:pPr>
            <w:r>
              <w:rPr/>
              <w:t> </w:t>
            </w:r>
          </w:p>
        </w:tc>
        <w:tc>
          <w:tcPr>
            <w:tcW w:w="418" w:type="dxa"/>
            <w:tcBorders>
              <w:bottom w:val="single" w:sz="2" w:space="0" w:color="000000"/>
            </w:tcBorders>
            <w:shd w:fill="auto" w:val="clear"/>
            <w:tcMar>
              <w:bottom w:w="28" w:type="dxa"/>
            </w:tcMar>
            <w:vAlign w:val="bottom"/>
          </w:tcPr>
          <w:p>
            <w:pPr>
              <w:pStyle w:val="TableContents"/>
              <w:spacing w:before="0" w:after="283"/>
              <w:rPr/>
            </w:pPr>
            <w:r>
              <w:rPr/>
              <w:t> </w:t>
            </w:r>
          </w:p>
        </w:tc>
        <w:tc>
          <w:tcPr>
            <w:tcW w:w="106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18" w:type="dxa"/>
            <w:tcBorders>
              <w:bottom w:val="single" w:sz="2" w:space="0" w:color="000000"/>
            </w:tcBorders>
            <w:shd w:fill="auto" w:val="clear"/>
            <w:tcMar>
              <w:bottom w:w="28" w:type="dxa"/>
            </w:tcMar>
            <w:vAlign w:val="bottom"/>
          </w:tcPr>
          <w:p>
            <w:pPr>
              <w:pStyle w:val="TableContents"/>
              <w:spacing w:before="0" w:after="283"/>
              <w:rPr/>
            </w:pPr>
            <w:r>
              <w:rPr/>
              <w:t> </w:t>
            </w:r>
          </w:p>
        </w:tc>
        <w:tc>
          <w:tcPr>
            <w:tcW w:w="418" w:type="dxa"/>
            <w:tcBorders>
              <w:bottom w:val="single" w:sz="2" w:space="0" w:color="000000"/>
            </w:tcBorders>
            <w:shd w:fill="auto" w:val="clear"/>
            <w:tcMar>
              <w:bottom w:w="28" w:type="dxa"/>
            </w:tcMar>
            <w:vAlign w:val="bottom"/>
          </w:tcPr>
          <w:p>
            <w:pPr>
              <w:pStyle w:val="TableContents"/>
              <w:spacing w:before="0" w:after="283"/>
              <w:rPr/>
            </w:pPr>
            <w:r>
              <w:rPr/>
              <w:t> </w:t>
            </w:r>
          </w:p>
        </w:tc>
        <w:tc>
          <w:tcPr>
            <w:tcW w:w="106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114"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5426"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4257" w:type="dxa"/>
            <w:gridSpan w:val="10"/>
            <w:tcBorders/>
            <w:shd w:fill="auto" w:val="clear"/>
            <w:vAlign w:val="bottom"/>
          </w:tcPr>
          <w:p>
            <w:pPr>
              <w:pStyle w:val="TableContents"/>
              <w:spacing w:before="0" w:after="283"/>
              <w:jc w:val="center"/>
              <w:rPr/>
            </w:pPr>
            <w:r>
              <w:rPr/>
              <w:t>(in thousands, except per share data)</w:t>
            </w:r>
          </w:p>
        </w:tc>
        <w:tc>
          <w:tcPr>
            <w:tcW w:w="114" w:type="dxa"/>
            <w:tcBorders/>
            <w:shd w:fill="auto" w:val="clear"/>
            <w:vAlign w:val="bottom"/>
          </w:tcPr>
          <w:p>
            <w:pPr>
              <w:pStyle w:val="TableContents"/>
              <w:spacing w:before="0" w:after="283"/>
              <w:rPr/>
            </w:pPr>
            <w:r>
              <w:rPr/>
              <w:t> </w:t>
            </w:r>
          </w:p>
        </w:tc>
      </w:tr>
      <w:tr>
        <w:trPr/>
        <w:tc>
          <w:tcPr>
            <w:tcW w:w="5426" w:type="dxa"/>
            <w:tcBorders/>
            <w:shd w:fill="CCEEFF" w:val="clear"/>
            <w:vAlign w:val="bottom"/>
          </w:tcPr>
          <w:p>
            <w:pPr>
              <w:pStyle w:val="TableContents"/>
              <w:spacing w:before="0" w:after="0"/>
              <w:ind w:left="225" w:right="0" w:hanging="225"/>
              <w:rPr/>
            </w:pPr>
            <w:r>
              <w:rPr/>
              <w:t>Net income:</w:t>
            </w:r>
          </w:p>
        </w:tc>
        <w:tc>
          <w:tcPr>
            <w:tcW w:w="40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5426" w:type="dxa"/>
            <w:tcBorders/>
            <w:shd w:fill="auto" w:val="clear"/>
            <w:vAlign w:val="bottom"/>
          </w:tcPr>
          <w:p>
            <w:pPr>
              <w:pStyle w:val="TableContents"/>
              <w:spacing w:before="0" w:after="0"/>
              <w:ind w:left="450" w:right="0" w:hanging="225"/>
              <w:rPr/>
            </w:pPr>
            <w:r>
              <w:rPr/>
              <w:t>As reported</w:t>
            </w:r>
          </w:p>
        </w:tc>
        <w:tc>
          <w:tcPr>
            <w:tcW w:w="40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82" w:type="dxa"/>
            <w:tcBorders/>
            <w:shd w:fill="auto" w:val="clear"/>
            <w:vAlign w:val="bottom"/>
          </w:tcPr>
          <w:p>
            <w:pPr>
              <w:pStyle w:val="TableContents"/>
              <w:spacing w:before="0" w:after="283"/>
              <w:jc w:val="right"/>
              <w:rPr/>
            </w:pPr>
            <w:r>
              <w:rPr/>
              <w:t>26,934</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82" w:type="dxa"/>
            <w:tcBorders/>
            <w:shd w:fill="auto" w:val="clear"/>
            <w:vAlign w:val="bottom"/>
          </w:tcPr>
          <w:p>
            <w:pPr>
              <w:pStyle w:val="TableContents"/>
              <w:spacing w:before="0" w:after="283"/>
              <w:jc w:val="right"/>
              <w:rPr/>
            </w:pPr>
            <w:r>
              <w:rPr/>
              <w:t>22,454</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84" w:type="dxa"/>
            <w:tcBorders/>
            <w:shd w:fill="auto" w:val="clear"/>
            <w:vAlign w:val="bottom"/>
          </w:tcPr>
          <w:p>
            <w:pPr>
              <w:pStyle w:val="TableContents"/>
              <w:spacing w:before="0" w:after="283"/>
              <w:jc w:val="right"/>
              <w:rPr/>
            </w:pPr>
            <w:r>
              <w:rPr/>
              <w:t>19,864</w:t>
            </w:r>
          </w:p>
        </w:tc>
        <w:tc>
          <w:tcPr>
            <w:tcW w:w="114" w:type="dxa"/>
            <w:tcBorders/>
            <w:shd w:fill="auto" w:val="clear"/>
            <w:vAlign w:val="bottom"/>
          </w:tcPr>
          <w:p>
            <w:pPr>
              <w:pStyle w:val="TableContents"/>
              <w:spacing w:before="0" w:after="283"/>
              <w:rPr/>
            </w:pPr>
            <w:r>
              <w:rPr/>
              <w:t> </w:t>
            </w:r>
          </w:p>
        </w:tc>
      </w:tr>
      <w:tr>
        <w:trPr/>
        <w:tc>
          <w:tcPr>
            <w:tcW w:w="5426" w:type="dxa"/>
            <w:tcBorders/>
            <w:shd w:fill="CCEEFF" w:val="clear"/>
            <w:vAlign w:val="bottom"/>
          </w:tcPr>
          <w:p>
            <w:pPr>
              <w:pStyle w:val="TableContents"/>
              <w:spacing w:before="0" w:after="0"/>
              <w:ind w:left="450" w:right="0" w:hanging="225"/>
              <w:rPr/>
            </w:pPr>
            <w:r>
              <w:rPr/>
              <w:t>Deduct total stock-based compensation expense determined under the fair value method for all awards, net of related tax effects</w:t>
            </w:r>
          </w:p>
        </w:tc>
        <w:tc>
          <w:tcPr>
            <w:tcW w:w="40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289</w:t>
            </w:r>
          </w:p>
        </w:tc>
        <w:tc>
          <w:tcPr>
            <w:tcW w:w="118"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336</w:t>
            </w:r>
          </w:p>
        </w:tc>
        <w:tc>
          <w:tcPr>
            <w:tcW w:w="118"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t>257</w:t>
            </w:r>
          </w:p>
        </w:tc>
        <w:tc>
          <w:tcPr>
            <w:tcW w:w="114" w:type="dxa"/>
            <w:tcBorders/>
            <w:shd w:fill="CCEEFF" w:val="clear"/>
            <w:vAlign w:val="bottom"/>
          </w:tcPr>
          <w:p>
            <w:pPr>
              <w:pStyle w:val="TableContents"/>
              <w:spacing w:before="0" w:after="283"/>
              <w:rPr/>
            </w:pPr>
            <w:r>
              <w:rPr/>
              <w:t> </w:t>
            </w:r>
          </w:p>
        </w:tc>
      </w:tr>
      <w:tr>
        <w:trPr/>
        <w:tc>
          <w:tcPr>
            <w:tcW w:w="5426"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4371"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426" w:type="dxa"/>
            <w:tcBorders/>
            <w:shd w:fill="auto" w:val="clear"/>
            <w:vAlign w:val="bottom"/>
          </w:tcPr>
          <w:p>
            <w:pPr>
              <w:pStyle w:val="TableContents"/>
              <w:spacing w:before="0" w:after="0"/>
              <w:ind w:left="450" w:right="0" w:hanging="225"/>
              <w:rPr/>
            </w:pPr>
            <w:r>
              <w:rPr/>
              <w:t>Pro forma</w:t>
            </w:r>
          </w:p>
        </w:tc>
        <w:tc>
          <w:tcPr>
            <w:tcW w:w="40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82" w:type="dxa"/>
            <w:tcBorders/>
            <w:shd w:fill="auto" w:val="clear"/>
            <w:vAlign w:val="bottom"/>
          </w:tcPr>
          <w:p>
            <w:pPr>
              <w:pStyle w:val="TableContents"/>
              <w:spacing w:before="0" w:after="283"/>
              <w:jc w:val="right"/>
              <w:rPr/>
            </w:pPr>
            <w:r>
              <w:rPr/>
              <w:t>26,645</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82" w:type="dxa"/>
            <w:tcBorders/>
            <w:shd w:fill="auto" w:val="clear"/>
            <w:vAlign w:val="bottom"/>
          </w:tcPr>
          <w:p>
            <w:pPr>
              <w:pStyle w:val="TableContents"/>
              <w:spacing w:before="0" w:after="283"/>
              <w:jc w:val="right"/>
              <w:rPr/>
            </w:pPr>
            <w:r>
              <w:rPr/>
              <w:t>22,118</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84" w:type="dxa"/>
            <w:tcBorders/>
            <w:shd w:fill="auto" w:val="clear"/>
            <w:vAlign w:val="bottom"/>
          </w:tcPr>
          <w:p>
            <w:pPr>
              <w:pStyle w:val="TableContents"/>
              <w:spacing w:before="0" w:after="283"/>
              <w:jc w:val="right"/>
              <w:rPr/>
            </w:pPr>
            <w:r>
              <w:rPr/>
              <w:t>19,607</w:t>
            </w:r>
          </w:p>
        </w:tc>
        <w:tc>
          <w:tcPr>
            <w:tcW w:w="114" w:type="dxa"/>
            <w:tcBorders/>
            <w:shd w:fill="auto" w:val="clear"/>
            <w:vAlign w:val="bottom"/>
          </w:tcPr>
          <w:p>
            <w:pPr>
              <w:pStyle w:val="TableContents"/>
              <w:spacing w:before="0" w:after="283"/>
              <w:rPr/>
            </w:pPr>
            <w:r>
              <w:rPr/>
              <w:t> </w:t>
            </w:r>
          </w:p>
        </w:tc>
      </w:tr>
      <w:tr>
        <w:trPr/>
        <w:tc>
          <w:tcPr>
            <w:tcW w:w="5426"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4371"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5426"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5426" w:type="dxa"/>
            <w:tcBorders/>
            <w:shd w:fill="CCEEFF" w:val="clear"/>
            <w:vAlign w:val="bottom"/>
          </w:tcPr>
          <w:p>
            <w:pPr>
              <w:pStyle w:val="TableContents"/>
              <w:spacing w:before="0" w:after="0"/>
              <w:ind w:left="225" w:right="0" w:hanging="225"/>
              <w:rPr/>
            </w:pPr>
            <w:r>
              <w:rPr/>
              <w:t>Basic earnings per share:</w:t>
            </w:r>
          </w:p>
        </w:tc>
        <w:tc>
          <w:tcPr>
            <w:tcW w:w="40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5426" w:type="dxa"/>
            <w:tcBorders/>
            <w:shd w:fill="auto" w:val="clear"/>
            <w:vAlign w:val="bottom"/>
          </w:tcPr>
          <w:p>
            <w:pPr>
              <w:pStyle w:val="TableContents"/>
              <w:spacing w:before="0" w:after="0"/>
              <w:ind w:left="450" w:right="0" w:hanging="225"/>
              <w:rPr/>
            </w:pPr>
            <w:r>
              <w:rPr/>
              <w:t>As reported</w:t>
            </w:r>
          </w:p>
        </w:tc>
        <w:tc>
          <w:tcPr>
            <w:tcW w:w="40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82" w:type="dxa"/>
            <w:tcBorders/>
            <w:shd w:fill="auto" w:val="clear"/>
            <w:vAlign w:val="bottom"/>
          </w:tcPr>
          <w:p>
            <w:pPr>
              <w:pStyle w:val="TableContents"/>
              <w:spacing w:before="0" w:after="283"/>
              <w:jc w:val="right"/>
              <w:rPr/>
            </w:pPr>
            <w:r>
              <w:rPr/>
              <w:t>1.29</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82" w:type="dxa"/>
            <w:tcBorders/>
            <w:shd w:fill="auto" w:val="clear"/>
            <w:vAlign w:val="bottom"/>
          </w:tcPr>
          <w:p>
            <w:pPr>
              <w:pStyle w:val="TableContents"/>
              <w:spacing w:before="0" w:after="283"/>
              <w:jc w:val="right"/>
              <w:rPr/>
            </w:pPr>
            <w:r>
              <w:rPr/>
              <w:t>1.10</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84" w:type="dxa"/>
            <w:tcBorders/>
            <w:shd w:fill="auto" w:val="clear"/>
            <w:vAlign w:val="bottom"/>
          </w:tcPr>
          <w:p>
            <w:pPr>
              <w:pStyle w:val="TableContents"/>
              <w:spacing w:before="0" w:after="283"/>
              <w:jc w:val="right"/>
              <w:rPr/>
            </w:pPr>
            <w:r>
              <w:rPr/>
              <w:t>0.98</w:t>
            </w:r>
          </w:p>
        </w:tc>
        <w:tc>
          <w:tcPr>
            <w:tcW w:w="114" w:type="dxa"/>
            <w:tcBorders/>
            <w:shd w:fill="auto" w:val="clear"/>
            <w:vAlign w:val="bottom"/>
          </w:tcPr>
          <w:p>
            <w:pPr>
              <w:pStyle w:val="TableContents"/>
              <w:spacing w:before="0" w:after="283"/>
              <w:rPr/>
            </w:pPr>
            <w:r>
              <w:rPr/>
              <w:t> </w:t>
            </w:r>
          </w:p>
        </w:tc>
      </w:tr>
      <w:tr>
        <w:trPr/>
        <w:tc>
          <w:tcPr>
            <w:tcW w:w="5426" w:type="dxa"/>
            <w:tcBorders/>
            <w:shd w:fill="CCEEFF" w:val="clear"/>
            <w:vAlign w:val="bottom"/>
          </w:tcPr>
          <w:p>
            <w:pPr>
              <w:pStyle w:val="TableContents"/>
              <w:spacing w:before="0" w:after="0"/>
              <w:ind w:left="450" w:right="0" w:hanging="225"/>
              <w:rPr/>
            </w:pPr>
            <w:r>
              <w:rPr/>
              <w:t>Pro forma</w:t>
            </w:r>
          </w:p>
        </w:tc>
        <w:tc>
          <w:tcPr>
            <w:tcW w:w="40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882" w:type="dxa"/>
            <w:tcBorders/>
            <w:shd w:fill="CCEEFF" w:val="clear"/>
            <w:vAlign w:val="bottom"/>
          </w:tcPr>
          <w:p>
            <w:pPr>
              <w:pStyle w:val="TableContents"/>
              <w:spacing w:before="0" w:after="283"/>
              <w:jc w:val="right"/>
              <w:rPr/>
            </w:pPr>
            <w:r>
              <w:rPr/>
              <w:t>1.28</w:t>
            </w:r>
          </w:p>
        </w:tc>
        <w:tc>
          <w:tcPr>
            <w:tcW w:w="118"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882" w:type="dxa"/>
            <w:tcBorders/>
            <w:shd w:fill="CCEEFF" w:val="clear"/>
            <w:vAlign w:val="bottom"/>
          </w:tcPr>
          <w:p>
            <w:pPr>
              <w:pStyle w:val="TableContents"/>
              <w:spacing w:before="0" w:after="283"/>
              <w:jc w:val="right"/>
              <w:rPr/>
            </w:pPr>
            <w:r>
              <w:rPr/>
              <w:t>1.09</w:t>
            </w:r>
          </w:p>
        </w:tc>
        <w:tc>
          <w:tcPr>
            <w:tcW w:w="118"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884" w:type="dxa"/>
            <w:tcBorders/>
            <w:shd w:fill="CCEEFF" w:val="clear"/>
            <w:vAlign w:val="bottom"/>
          </w:tcPr>
          <w:p>
            <w:pPr>
              <w:pStyle w:val="TableContents"/>
              <w:spacing w:before="0" w:after="283"/>
              <w:jc w:val="right"/>
              <w:rPr/>
            </w:pPr>
            <w:r>
              <w:rPr/>
              <w:t>0.96</w:t>
            </w:r>
          </w:p>
        </w:tc>
        <w:tc>
          <w:tcPr>
            <w:tcW w:w="114" w:type="dxa"/>
            <w:tcBorders/>
            <w:shd w:fill="CCEEFF" w:val="clear"/>
            <w:vAlign w:val="bottom"/>
          </w:tcPr>
          <w:p>
            <w:pPr>
              <w:pStyle w:val="TableContents"/>
              <w:spacing w:before="0" w:after="283"/>
              <w:rPr/>
            </w:pPr>
            <w:r>
              <w:rPr/>
              <w:t> </w:t>
            </w:r>
          </w:p>
        </w:tc>
      </w:tr>
      <w:tr>
        <w:trPr/>
        <w:tc>
          <w:tcPr>
            <w:tcW w:w="5426"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5426" w:type="dxa"/>
            <w:tcBorders/>
            <w:shd w:fill="auto" w:val="clear"/>
            <w:vAlign w:val="bottom"/>
          </w:tcPr>
          <w:p>
            <w:pPr>
              <w:pStyle w:val="TableContents"/>
              <w:spacing w:before="0" w:after="0"/>
              <w:ind w:left="225" w:right="0" w:hanging="225"/>
              <w:rPr/>
            </w:pPr>
            <w:r>
              <w:rPr/>
              <w:t>Diluted earnings per share:</w:t>
            </w:r>
          </w:p>
        </w:tc>
        <w:tc>
          <w:tcPr>
            <w:tcW w:w="40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5426" w:type="dxa"/>
            <w:tcBorders/>
            <w:shd w:fill="CCEEFF" w:val="clear"/>
            <w:vAlign w:val="bottom"/>
          </w:tcPr>
          <w:p>
            <w:pPr>
              <w:pStyle w:val="TableContents"/>
              <w:spacing w:before="0" w:after="0"/>
              <w:ind w:left="450" w:right="0" w:hanging="225"/>
              <w:rPr/>
            </w:pPr>
            <w:r>
              <w:rPr/>
              <w:t>As reported</w:t>
            </w:r>
          </w:p>
        </w:tc>
        <w:tc>
          <w:tcPr>
            <w:tcW w:w="40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882" w:type="dxa"/>
            <w:tcBorders/>
            <w:shd w:fill="CCEEFF" w:val="clear"/>
            <w:vAlign w:val="bottom"/>
          </w:tcPr>
          <w:p>
            <w:pPr>
              <w:pStyle w:val="TableContents"/>
              <w:spacing w:before="0" w:after="283"/>
              <w:jc w:val="right"/>
              <w:rPr/>
            </w:pPr>
            <w:r>
              <w:rPr/>
              <w:t>1.29</w:t>
            </w:r>
          </w:p>
        </w:tc>
        <w:tc>
          <w:tcPr>
            <w:tcW w:w="118"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882" w:type="dxa"/>
            <w:tcBorders/>
            <w:shd w:fill="CCEEFF" w:val="clear"/>
            <w:vAlign w:val="bottom"/>
          </w:tcPr>
          <w:p>
            <w:pPr>
              <w:pStyle w:val="TableContents"/>
              <w:spacing w:before="0" w:after="283"/>
              <w:jc w:val="right"/>
              <w:rPr/>
            </w:pPr>
            <w:r>
              <w:rPr/>
              <w:t>1.09</w:t>
            </w:r>
          </w:p>
        </w:tc>
        <w:tc>
          <w:tcPr>
            <w:tcW w:w="118"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884" w:type="dxa"/>
            <w:tcBorders/>
            <w:shd w:fill="CCEEFF" w:val="clear"/>
            <w:vAlign w:val="bottom"/>
          </w:tcPr>
          <w:p>
            <w:pPr>
              <w:pStyle w:val="TableContents"/>
              <w:spacing w:before="0" w:after="283"/>
              <w:jc w:val="right"/>
              <w:rPr/>
            </w:pPr>
            <w:r>
              <w:rPr/>
              <w:t>0.97</w:t>
            </w:r>
          </w:p>
        </w:tc>
        <w:tc>
          <w:tcPr>
            <w:tcW w:w="114" w:type="dxa"/>
            <w:tcBorders/>
            <w:shd w:fill="CCEEFF" w:val="clear"/>
            <w:vAlign w:val="bottom"/>
          </w:tcPr>
          <w:p>
            <w:pPr>
              <w:pStyle w:val="TableContents"/>
              <w:spacing w:before="0" w:after="283"/>
              <w:rPr/>
            </w:pPr>
            <w:r>
              <w:rPr/>
              <w:t> </w:t>
            </w:r>
          </w:p>
        </w:tc>
      </w:tr>
      <w:tr>
        <w:trPr/>
        <w:tc>
          <w:tcPr>
            <w:tcW w:w="5426" w:type="dxa"/>
            <w:tcBorders/>
            <w:shd w:fill="auto" w:val="clear"/>
            <w:vAlign w:val="bottom"/>
          </w:tcPr>
          <w:p>
            <w:pPr>
              <w:pStyle w:val="TableContents"/>
              <w:spacing w:before="0" w:after="0"/>
              <w:ind w:left="450" w:right="0" w:hanging="225"/>
              <w:rPr/>
            </w:pPr>
            <w:r>
              <w:rPr/>
              <w:t>Pro forma</w:t>
            </w:r>
          </w:p>
        </w:tc>
        <w:tc>
          <w:tcPr>
            <w:tcW w:w="40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82" w:type="dxa"/>
            <w:tcBorders/>
            <w:shd w:fill="auto" w:val="clear"/>
            <w:vAlign w:val="bottom"/>
          </w:tcPr>
          <w:p>
            <w:pPr>
              <w:pStyle w:val="TableContents"/>
              <w:spacing w:before="0" w:after="283"/>
              <w:jc w:val="right"/>
              <w:rPr/>
            </w:pPr>
            <w:r>
              <w:rPr/>
              <w:t>1.27</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82" w:type="dxa"/>
            <w:tcBorders/>
            <w:shd w:fill="auto" w:val="clear"/>
            <w:vAlign w:val="bottom"/>
          </w:tcPr>
          <w:p>
            <w:pPr>
              <w:pStyle w:val="TableContents"/>
              <w:spacing w:before="0" w:after="283"/>
              <w:jc w:val="right"/>
              <w:rPr/>
            </w:pPr>
            <w:r>
              <w:rPr/>
              <w:t>1.08</w:t>
            </w:r>
          </w:p>
        </w:tc>
        <w:tc>
          <w:tcPr>
            <w:tcW w:w="11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84" w:type="dxa"/>
            <w:tcBorders/>
            <w:shd w:fill="auto" w:val="clear"/>
            <w:vAlign w:val="bottom"/>
          </w:tcPr>
          <w:p>
            <w:pPr>
              <w:pStyle w:val="TableContents"/>
              <w:spacing w:before="0" w:after="283"/>
              <w:jc w:val="right"/>
              <w:rPr/>
            </w:pPr>
            <w:r>
              <w:rPr/>
              <w:t>0.95</w:t>
            </w:r>
          </w:p>
        </w:tc>
        <w:tc>
          <w:tcPr>
            <w:tcW w:w="114" w:type="dxa"/>
            <w:tcBorders/>
            <w:shd w:fill="auto" w:val="clear"/>
            <w:vAlign w:val="bottom"/>
          </w:tcPr>
          <w:p>
            <w:pPr>
              <w:pStyle w:val="TableContents"/>
              <w:spacing w:before="0" w:after="283"/>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Black-Scholes option pricing model was developed for use in estimating the fair value of traded options which have no vesting restrictions. Such models require the use of subjective assumptions, including expected stock price volatility. In managements opinion, such valuation models may not necessarily provide the best single measure of option value. </w:t>
      </w:r>
    </w:p>
    <w:p>
      <w:pPr>
        <w:pStyle w:val="TextBody"/>
        <w:jc w:val="center"/>
        <w:rPr>
          <w:rFonts w:ascii="Arial;Helvetica;sans-serif" w:hAnsi="Arial;Helvetica;sans-serif"/>
          <w:sz w:val="17"/>
        </w:rPr>
      </w:pPr>
      <w:r>
        <w:rPr>
          <w:rFonts w:ascii="Arial;Helvetica;sans-serif" w:hAnsi="Arial;Helvetica;sans-serif"/>
          <w:sz w:val="17"/>
        </w:rPr>
        <w:t xml:space="preserve">62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fair value of the stock options granted has been estimated using the Black-Scholes option pricing model with the following weighted average assumptions. </w:t>
      </w:r>
    </w:p>
    <w:tbl>
      <w:tblPr>
        <w:tblW w:w="5000" w:type="pct"/>
        <w:jc w:val="center"/>
        <w:tblInd w:w="0" w:type="dxa"/>
        <w:tblCellMar>
          <w:top w:w="0" w:type="dxa"/>
          <w:left w:w="0" w:type="dxa"/>
          <w:bottom w:w="0" w:type="dxa"/>
          <w:right w:w="0" w:type="dxa"/>
        </w:tblCellMar>
      </w:tblPr>
      <w:tblGrid>
        <w:gridCol w:w="5275"/>
        <w:gridCol w:w="414"/>
        <w:gridCol w:w="166"/>
        <w:gridCol w:w="820"/>
        <w:gridCol w:w="215"/>
        <w:gridCol w:w="414"/>
        <w:gridCol w:w="166"/>
        <w:gridCol w:w="820"/>
        <w:gridCol w:w="215"/>
        <w:gridCol w:w="414"/>
        <w:gridCol w:w="166"/>
        <w:gridCol w:w="897"/>
        <w:gridCol w:w="223"/>
      </w:tblGrid>
      <w:tr>
        <w:trPr/>
        <w:tc>
          <w:tcPr>
            <w:tcW w:w="5275"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r>
      <w:tr>
        <w:trPr/>
        <w:tc>
          <w:tcPr>
            <w:tcW w:w="5275"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215" w:type="dxa"/>
            <w:tcBorders>
              <w:bottom w:val="single" w:sz="2" w:space="0" w:color="000000"/>
            </w:tcBorders>
            <w:shd w:fill="auto" w:val="clear"/>
            <w:tcMar>
              <w:bottom w:w="28" w:type="dxa"/>
            </w:tcMar>
            <w:vAlign w:val="bottom"/>
          </w:tcPr>
          <w:p>
            <w:pPr>
              <w:pStyle w:val="TableContents"/>
              <w:spacing w:before="0" w:after="283"/>
              <w:rPr/>
            </w:pPr>
            <w:r>
              <w:rPr/>
              <w:t> </w:t>
            </w:r>
          </w:p>
        </w:tc>
        <w:tc>
          <w:tcPr>
            <w:tcW w:w="414" w:type="dxa"/>
            <w:tcBorders>
              <w:bottom w:val="single" w:sz="2" w:space="0" w:color="000000"/>
            </w:tcBorders>
            <w:shd w:fill="auto" w:val="clear"/>
            <w:tcMar>
              <w:bottom w:w="28" w:type="dxa"/>
            </w:tcMar>
            <w:vAlign w:val="bottom"/>
          </w:tcPr>
          <w:p>
            <w:pPr>
              <w:pStyle w:val="TableContents"/>
              <w:spacing w:before="0" w:after="283"/>
              <w:rPr/>
            </w:pPr>
            <w:r>
              <w:rPr/>
              <w:t> </w:t>
            </w:r>
          </w:p>
        </w:tc>
        <w:tc>
          <w:tcPr>
            <w:tcW w:w="2678" w:type="dxa"/>
            <w:gridSpan w:val="6"/>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223"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5275"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986" w:type="dxa"/>
            <w:gridSpan w:val="2"/>
            <w:tcBorders/>
            <w:shd w:fill="auto" w:val="clear"/>
            <w:vAlign w:val="bottom"/>
          </w:tcPr>
          <w:p>
            <w:pPr>
              <w:pStyle w:val="TableContents"/>
              <w:spacing w:before="0" w:after="283"/>
              <w:jc w:val="center"/>
              <w:rPr/>
            </w:pPr>
            <w:r>
              <w:rPr/>
              <w:t>Block 1</w:t>
            </w:r>
          </w:p>
        </w:tc>
        <w:tc>
          <w:tcPr>
            <w:tcW w:w="215"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jc w:val="center"/>
              <w:rPr/>
            </w:pPr>
            <w:r>
              <w:rPr/>
              <w:t>Block 2</w:t>
            </w:r>
          </w:p>
        </w:tc>
        <w:tc>
          <w:tcPr>
            <w:tcW w:w="223" w:type="dxa"/>
            <w:tcBorders/>
            <w:shd w:fill="auto" w:val="clear"/>
            <w:vAlign w:val="bottom"/>
          </w:tcPr>
          <w:p>
            <w:pPr>
              <w:pStyle w:val="TableContents"/>
              <w:spacing w:before="0" w:after="283"/>
              <w:rPr/>
            </w:pPr>
            <w:r>
              <w:rPr/>
              <w:t> </w:t>
            </w:r>
          </w:p>
        </w:tc>
      </w:tr>
      <w:tr>
        <w:trPr/>
        <w:tc>
          <w:tcPr>
            <w:tcW w:w="5275"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4516"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275" w:type="dxa"/>
            <w:tcBorders/>
            <w:shd w:fill="auto" w:val="clear"/>
            <w:vAlign w:val="bottom"/>
          </w:tcPr>
          <w:p>
            <w:pPr>
              <w:pStyle w:val="TableContents"/>
              <w:spacing w:before="0" w:after="0"/>
              <w:ind w:left="225" w:right="0" w:hanging="225"/>
              <w:rPr/>
            </w:pPr>
            <w:r>
              <w:rPr/>
              <w:t> </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r>
      <w:tr>
        <w:trPr/>
        <w:tc>
          <w:tcPr>
            <w:tcW w:w="5275" w:type="dxa"/>
            <w:tcBorders/>
            <w:shd w:fill="CCEEFF" w:val="clear"/>
            <w:vAlign w:val="bottom"/>
          </w:tcPr>
          <w:p>
            <w:pPr>
              <w:pStyle w:val="TableContents"/>
              <w:spacing w:before="0" w:after="0"/>
              <w:ind w:left="225" w:right="0" w:hanging="225"/>
              <w:rPr/>
            </w:pPr>
            <w:r>
              <w:rPr/>
              <w:t>Number of options granted</w:t>
            </w:r>
          </w:p>
        </w:tc>
        <w:tc>
          <w:tcPr>
            <w:tcW w:w="41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54,000</w:t>
            </w:r>
          </w:p>
        </w:tc>
        <w:tc>
          <w:tcPr>
            <w:tcW w:w="215"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54,000</w:t>
            </w:r>
          </w:p>
        </w:tc>
        <w:tc>
          <w:tcPr>
            <w:tcW w:w="215"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283"/>
              <w:jc w:val="right"/>
              <w:rPr/>
            </w:pPr>
            <w:r>
              <w:rPr/>
              <w:t>300,000</w:t>
            </w:r>
          </w:p>
        </w:tc>
        <w:tc>
          <w:tcPr>
            <w:tcW w:w="223" w:type="dxa"/>
            <w:tcBorders/>
            <w:shd w:fill="CCEEFF" w:val="clear"/>
            <w:vAlign w:val="bottom"/>
          </w:tcPr>
          <w:p>
            <w:pPr>
              <w:pStyle w:val="TableContents"/>
              <w:spacing w:before="0" w:after="283"/>
              <w:rPr/>
            </w:pPr>
            <w:r>
              <w:rPr/>
              <w:t> </w:t>
            </w:r>
          </w:p>
        </w:tc>
      </w:tr>
      <w:tr>
        <w:trPr/>
        <w:tc>
          <w:tcPr>
            <w:tcW w:w="5275" w:type="dxa"/>
            <w:tcBorders/>
            <w:shd w:fill="auto" w:val="clear"/>
            <w:vAlign w:val="bottom"/>
          </w:tcPr>
          <w:p>
            <w:pPr>
              <w:pStyle w:val="TableContents"/>
              <w:spacing w:before="0" w:after="0"/>
              <w:ind w:left="225" w:right="0" w:hanging="225"/>
              <w:rPr/>
            </w:pPr>
            <w:r>
              <w:rPr/>
              <w:t>Risk-free interest rate</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 xml:space="preserve">3.28 </w:t>
            </w:r>
          </w:p>
        </w:tc>
        <w:tc>
          <w:tcPr>
            <w:tcW w:w="215" w:type="dxa"/>
            <w:tcBorders/>
            <w:shd w:fill="auto" w:val="clear"/>
            <w:vAlign w:val="bottom"/>
          </w:tcPr>
          <w:p>
            <w:pPr>
              <w:pStyle w:val="TableContents"/>
              <w:spacing w:before="0" w:after="283"/>
              <w:rPr/>
            </w:pPr>
            <w:r>
              <w:rPr/>
              <w:t>%</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 xml:space="preserve">1.40 </w:t>
            </w:r>
          </w:p>
        </w:tc>
        <w:tc>
          <w:tcPr>
            <w:tcW w:w="215" w:type="dxa"/>
            <w:tcBorders/>
            <w:shd w:fill="auto" w:val="clear"/>
            <w:vAlign w:val="bottom"/>
          </w:tcPr>
          <w:p>
            <w:pPr>
              <w:pStyle w:val="TableContents"/>
              <w:spacing w:before="0" w:after="283"/>
              <w:rPr/>
            </w:pPr>
            <w:r>
              <w:rPr/>
              <w:t>%</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97" w:type="dxa"/>
            <w:tcBorders/>
            <w:shd w:fill="auto" w:val="clear"/>
            <w:vAlign w:val="bottom"/>
          </w:tcPr>
          <w:p>
            <w:pPr>
              <w:pStyle w:val="TableContents"/>
              <w:spacing w:before="0" w:after="283"/>
              <w:jc w:val="right"/>
              <w:rPr/>
            </w:pPr>
            <w:r>
              <w:rPr/>
              <w:t xml:space="preserve">2.12 </w:t>
            </w:r>
          </w:p>
        </w:tc>
        <w:tc>
          <w:tcPr>
            <w:tcW w:w="223" w:type="dxa"/>
            <w:tcBorders/>
            <w:shd w:fill="auto" w:val="clear"/>
            <w:vAlign w:val="bottom"/>
          </w:tcPr>
          <w:p>
            <w:pPr>
              <w:pStyle w:val="TableContents"/>
              <w:spacing w:before="0" w:after="283"/>
              <w:rPr/>
            </w:pPr>
            <w:r>
              <w:rPr/>
              <w:t>%</w:t>
            </w:r>
          </w:p>
        </w:tc>
      </w:tr>
      <w:tr>
        <w:trPr/>
        <w:tc>
          <w:tcPr>
            <w:tcW w:w="5275" w:type="dxa"/>
            <w:tcBorders/>
            <w:shd w:fill="CCEEFF" w:val="clear"/>
            <w:vAlign w:val="bottom"/>
          </w:tcPr>
          <w:p>
            <w:pPr>
              <w:pStyle w:val="TableContents"/>
              <w:spacing w:before="0" w:after="0"/>
              <w:ind w:left="225" w:right="0" w:hanging="225"/>
              <w:rPr/>
            </w:pPr>
            <w:r>
              <w:rPr/>
              <w:t>Expected life, in years</w:t>
            </w:r>
          </w:p>
        </w:tc>
        <w:tc>
          <w:tcPr>
            <w:tcW w:w="41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4.64</w:t>
            </w:r>
          </w:p>
        </w:tc>
        <w:tc>
          <w:tcPr>
            <w:tcW w:w="215"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5</w:t>
            </w:r>
          </w:p>
        </w:tc>
        <w:tc>
          <w:tcPr>
            <w:tcW w:w="215"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283"/>
              <w:jc w:val="right"/>
              <w:rPr/>
            </w:pPr>
            <w:r>
              <w:rPr/>
              <w:t>5</w:t>
            </w:r>
          </w:p>
        </w:tc>
        <w:tc>
          <w:tcPr>
            <w:tcW w:w="223" w:type="dxa"/>
            <w:tcBorders/>
            <w:shd w:fill="CCEEFF" w:val="clear"/>
            <w:vAlign w:val="bottom"/>
          </w:tcPr>
          <w:p>
            <w:pPr>
              <w:pStyle w:val="TableContents"/>
              <w:spacing w:before="0" w:after="283"/>
              <w:rPr/>
            </w:pPr>
            <w:r>
              <w:rPr/>
              <w:t> </w:t>
            </w:r>
          </w:p>
        </w:tc>
      </w:tr>
      <w:tr>
        <w:trPr/>
        <w:tc>
          <w:tcPr>
            <w:tcW w:w="5275" w:type="dxa"/>
            <w:tcBorders/>
            <w:shd w:fill="auto" w:val="clear"/>
            <w:vAlign w:val="bottom"/>
          </w:tcPr>
          <w:p>
            <w:pPr>
              <w:pStyle w:val="TableContents"/>
              <w:spacing w:before="0" w:after="0"/>
              <w:ind w:left="225" w:right="0" w:hanging="225"/>
              <w:rPr/>
            </w:pPr>
            <w:r>
              <w:rPr/>
              <w:t>Expected volatility</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 xml:space="preserve">18.02 </w:t>
            </w:r>
          </w:p>
        </w:tc>
        <w:tc>
          <w:tcPr>
            <w:tcW w:w="215" w:type="dxa"/>
            <w:tcBorders/>
            <w:shd w:fill="auto" w:val="clear"/>
            <w:vAlign w:val="bottom"/>
          </w:tcPr>
          <w:p>
            <w:pPr>
              <w:pStyle w:val="TableContents"/>
              <w:spacing w:before="0" w:after="283"/>
              <w:rPr/>
            </w:pPr>
            <w:r>
              <w:rPr/>
              <w:t>%</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 xml:space="preserve">18.20 </w:t>
            </w:r>
          </w:p>
        </w:tc>
        <w:tc>
          <w:tcPr>
            <w:tcW w:w="215" w:type="dxa"/>
            <w:tcBorders/>
            <w:shd w:fill="auto" w:val="clear"/>
            <w:vAlign w:val="bottom"/>
          </w:tcPr>
          <w:p>
            <w:pPr>
              <w:pStyle w:val="TableContents"/>
              <w:spacing w:before="0" w:after="283"/>
              <w:rPr/>
            </w:pPr>
            <w:r>
              <w:rPr/>
              <w:t>%</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97" w:type="dxa"/>
            <w:tcBorders/>
            <w:shd w:fill="auto" w:val="clear"/>
            <w:vAlign w:val="bottom"/>
          </w:tcPr>
          <w:p>
            <w:pPr>
              <w:pStyle w:val="TableContents"/>
              <w:spacing w:before="0" w:after="283"/>
              <w:jc w:val="right"/>
              <w:rPr/>
            </w:pPr>
            <w:r>
              <w:rPr/>
              <w:t xml:space="preserve">18.02 </w:t>
            </w:r>
          </w:p>
        </w:tc>
        <w:tc>
          <w:tcPr>
            <w:tcW w:w="223" w:type="dxa"/>
            <w:tcBorders/>
            <w:shd w:fill="auto" w:val="clear"/>
            <w:vAlign w:val="bottom"/>
          </w:tcPr>
          <w:p>
            <w:pPr>
              <w:pStyle w:val="TableContents"/>
              <w:spacing w:before="0" w:after="283"/>
              <w:rPr/>
            </w:pPr>
            <w:r>
              <w:rPr/>
              <w:t>%</w:t>
            </w:r>
          </w:p>
        </w:tc>
      </w:tr>
      <w:tr>
        <w:trPr/>
        <w:tc>
          <w:tcPr>
            <w:tcW w:w="5275" w:type="dxa"/>
            <w:tcBorders/>
            <w:shd w:fill="CCEEFF" w:val="clear"/>
            <w:vAlign w:val="bottom"/>
          </w:tcPr>
          <w:p>
            <w:pPr>
              <w:pStyle w:val="TableContents"/>
              <w:spacing w:before="0" w:after="0"/>
              <w:ind w:left="225" w:right="0" w:hanging="225"/>
              <w:rPr/>
            </w:pPr>
            <w:r>
              <w:rPr/>
              <w:t>Expected dividend yield</w:t>
            </w:r>
          </w:p>
        </w:tc>
        <w:tc>
          <w:tcPr>
            <w:tcW w:w="41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 xml:space="preserve">2.82 </w:t>
            </w:r>
          </w:p>
        </w:tc>
        <w:tc>
          <w:tcPr>
            <w:tcW w:w="215" w:type="dxa"/>
            <w:tcBorders/>
            <w:shd w:fill="CCEEFF" w:val="clear"/>
            <w:vAlign w:val="bottom"/>
          </w:tcPr>
          <w:p>
            <w:pPr>
              <w:pStyle w:val="TableContents"/>
              <w:spacing w:before="0" w:after="283"/>
              <w:rPr/>
            </w:pPr>
            <w:r>
              <w:rPr/>
              <w:t>%</w:t>
            </w:r>
          </w:p>
        </w:tc>
        <w:tc>
          <w:tcPr>
            <w:tcW w:w="41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 xml:space="preserve">2.80 </w:t>
            </w:r>
          </w:p>
        </w:tc>
        <w:tc>
          <w:tcPr>
            <w:tcW w:w="215" w:type="dxa"/>
            <w:tcBorders/>
            <w:shd w:fill="CCEEFF" w:val="clear"/>
            <w:vAlign w:val="bottom"/>
          </w:tcPr>
          <w:p>
            <w:pPr>
              <w:pStyle w:val="TableContents"/>
              <w:spacing w:before="0" w:after="283"/>
              <w:rPr/>
            </w:pPr>
            <w:r>
              <w:rPr/>
              <w:t>%</w:t>
            </w:r>
          </w:p>
        </w:tc>
        <w:tc>
          <w:tcPr>
            <w:tcW w:w="41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97" w:type="dxa"/>
            <w:tcBorders/>
            <w:shd w:fill="CCEEFF" w:val="clear"/>
            <w:vAlign w:val="bottom"/>
          </w:tcPr>
          <w:p>
            <w:pPr>
              <w:pStyle w:val="TableContents"/>
              <w:spacing w:before="0" w:after="283"/>
              <w:jc w:val="right"/>
              <w:rPr/>
            </w:pPr>
            <w:r>
              <w:rPr/>
              <w:t xml:space="preserve">2.60 </w:t>
            </w:r>
          </w:p>
        </w:tc>
        <w:tc>
          <w:tcPr>
            <w:tcW w:w="223" w:type="dxa"/>
            <w:tcBorders/>
            <w:shd w:fill="CCEEFF" w:val="clear"/>
            <w:vAlign w:val="bottom"/>
          </w:tcPr>
          <w:p>
            <w:pPr>
              <w:pStyle w:val="TableContents"/>
              <w:spacing w:before="0" w:after="283"/>
              <w:rPr/>
            </w:pPr>
            <w:r>
              <w:rPr/>
              <w:t>%</w:t>
            </w:r>
          </w:p>
        </w:tc>
      </w:tr>
      <w:tr>
        <w:trPr/>
        <w:tc>
          <w:tcPr>
            <w:tcW w:w="5275" w:type="dxa"/>
            <w:tcBorders/>
            <w:shd w:fill="auto" w:val="clear"/>
            <w:vAlign w:val="bottom"/>
          </w:tcPr>
          <w:p>
            <w:pPr>
              <w:pStyle w:val="TableContents"/>
              <w:spacing w:before="0" w:after="0"/>
              <w:ind w:left="225" w:right="0" w:hanging="225"/>
              <w:rPr/>
            </w:pPr>
            <w:r>
              <w:rPr/>
              <w:t>Estimated fair value per option</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2.82</w:t>
            </w:r>
          </w:p>
        </w:tc>
        <w:tc>
          <w:tcPr>
            <w:tcW w:w="215"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2.04</w:t>
            </w:r>
          </w:p>
        </w:tc>
        <w:tc>
          <w:tcPr>
            <w:tcW w:w="215"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97" w:type="dxa"/>
            <w:tcBorders/>
            <w:shd w:fill="auto" w:val="clear"/>
            <w:vAlign w:val="bottom"/>
          </w:tcPr>
          <w:p>
            <w:pPr>
              <w:pStyle w:val="TableContents"/>
              <w:spacing w:before="0" w:after="283"/>
              <w:jc w:val="right"/>
              <w:rPr/>
            </w:pPr>
            <w:r>
              <w:rPr/>
              <w:t>2.55</w:t>
            </w:r>
          </w:p>
        </w:tc>
        <w:tc>
          <w:tcPr>
            <w:tcW w:w="223" w:type="dxa"/>
            <w:tcBorders/>
            <w:shd w:fill="auto" w:val="clear"/>
            <w:vAlign w:val="bottom"/>
          </w:tcPr>
          <w:p>
            <w:pPr>
              <w:pStyle w:val="TableContents"/>
              <w:spacing w:before="0" w:after="283"/>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Corporation awarded no stock options during 2003.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Earnings per share</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Basic earnings per share are computed by dividing net income for the year by the weighted average number of shares outstanding, including common stock to be issued.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Diluted earnings per share are determined by dividing net income for the year by the weighted average number of shares of common stock and common stock equivalents outstanding. Common stock equivalents assume exercise of stock options and use of proceeds to purchase treasury stock at the average market price for the period.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following reflects net income per share calculations for basic and diluted methods: </w:t>
      </w:r>
    </w:p>
    <w:tbl>
      <w:tblPr>
        <w:tblW w:w="5000" w:type="pct"/>
        <w:jc w:val="center"/>
        <w:tblInd w:w="0" w:type="dxa"/>
        <w:tblCellMar>
          <w:top w:w="0" w:type="dxa"/>
          <w:left w:w="0" w:type="dxa"/>
          <w:bottom w:w="0" w:type="dxa"/>
          <w:right w:w="0" w:type="dxa"/>
        </w:tblCellMar>
      </w:tblPr>
      <w:tblGrid>
        <w:gridCol w:w="4957"/>
        <w:gridCol w:w="375"/>
        <w:gridCol w:w="164"/>
        <w:gridCol w:w="1100"/>
        <w:gridCol w:w="108"/>
        <w:gridCol w:w="375"/>
        <w:gridCol w:w="164"/>
        <w:gridCol w:w="1100"/>
        <w:gridCol w:w="108"/>
        <w:gridCol w:w="375"/>
        <w:gridCol w:w="164"/>
        <w:gridCol w:w="1100"/>
        <w:gridCol w:w="115"/>
      </w:tblGrid>
      <w:tr>
        <w:trPr/>
        <w:tc>
          <w:tcPr>
            <w:tcW w:w="495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495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4758" w:type="dxa"/>
            <w:gridSpan w:val="10"/>
            <w:tcBorders>
              <w:bottom w:val="single" w:sz="2" w:space="0" w:color="000000"/>
            </w:tcBorders>
            <w:shd w:fill="auto" w:val="clear"/>
            <w:tcMar>
              <w:bottom w:w="28" w:type="dxa"/>
            </w:tcMar>
            <w:vAlign w:val="bottom"/>
          </w:tcPr>
          <w:p>
            <w:pPr>
              <w:pStyle w:val="TableContents"/>
              <w:spacing w:before="0" w:after="283"/>
              <w:jc w:val="center"/>
              <w:rPr/>
            </w:pPr>
            <w:r>
              <w:rPr/>
              <w:t>For the Years Ended December 31,</w:t>
            </w:r>
          </w:p>
        </w:tc>
        <w:tc>
          <w:tcPr>
            <w:tcW w:w="115" w:type="dxa"/>
            <w:tcBorders/>
            <w:shd w:fill="auto" w:val="clear"/>
            <w:vAlign w:val="bottom"/>
          </w:tcPr>
          <w:p>
            <w:pPr>
              <w:pStyle w:val="TableContents"/>
              <w:spacing w:before="0" w:after="283"/>
              <w:rPr/>
            </w:pPr>
            <w:r>
              <w:rPr/>
              <w:t> </w:t>
            </w:r>
          </w:p>
        </w:tc>
      </w:tr>
      <w:tr>
        <w:trPr/>
        <w:tc>
          <w:tcPr>
            <w:tcW w:w="495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264" w:type="dxa"/>
            <w:gridSpan w:val="2"/>
            <w:tcBorders/>
            <w:shd w:fill="auto" w:val="clear"/>
            <w:vAlign w:val="bottom"/>
          </w:tcPr>
          <w:p>
            <w:pPr>
              <w:pStyle w:val="TableContents"/>
              <w:spacing w:before="0" w:after="283"/>
              <w:jc w:val="center"/>
              <w:rPr/>
            </w:pPr>
            <w:r>
              <w:rPr/>
              <w:t>2005</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264" w:type="dxa"/>
            <w:gridSpan w:val="2"/>
            <w:tcBorders/>
            <w:shd w:fill="auto" w:val="clear"/>
            <w:vAlign w:val="bottom"/>
          </w:tcPr>
          <w:p>
            <w:pPr>
              <w:pStyle w:val="TableContents"/>
              <w:spacing w:before="0" w:after="283"/>
              <w:jc w:val="center"/>
              <w:rPr/>
            </w:pPr>
            <w:r>
              <w:rPr/>
              <w:t>2004</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264" w:type="dxa"/>
            <w:gridSpan w:val="2"/>
            <w:tcBorders/>
            <w:shd w:fill="auto" w:val="clear"/>
            <w:vAlign w:val="bottom"/>
          </w:tcPr>
          <w:p>
            <w:pPr>
              <w:pStyle w:val="TableContents"/>
              <w:spacing w:before="0" w:after="283"/>
              <w:jc w:val="center"/>
              <w:rPr/>
            </w:pPr>
            <w:r>
              <w:rPr/>
              <w:t>2003</w:t>
            </w:r>
          </w:p>
        </w:tc>
        <w:tc>
          <w:tcPr>
            <w:tcW w:w="115" w:type="dxa"/>
            <w:tcBorders/>
            <w:shd w:fill="auto" w:val="clear"/>
            <w:vAlign w:val="bottom"/>
          </w:tcPr>
          <w:p>
            <w:pPr>
              <w:pStyle w:val="TableContents"/>
              <w:spacing w:before="0" w:after="283"/>
              <w:rPr/>
            </w:pPr>
            <w:r>
              <w:rPr/>
              <w:t> </w:t>
            </w:r>
          </w:p>
        </w:tc>
      </w:tr>
      <w:tr>
        <w:trPr/>
        <w:tc>
          <w:tcPr>
            <w:tcW w:w="4957"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487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957" w:type="dxa"/>
            <w:tcBorders/>
            <w:shd w:fill="auto" w:val="clear"/>
            <w:vAlign w:val="bottom"/>
          </w:tcPr>
          <w:p>
            <w:pPr>
              <w:pStyle w:val="TableContents"/>
              <w:spacing w:before="0" w:after="0"/>
              <w:ind w:left="225" w:right="0" w:hanging="225"/>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4957" w:type="dxa"/>
            <w:tcBorders/>
            <w:shd w:fill="CCEEFF" w:val="clear"/>
            <w:vAlign w:val="bottom"/>
          </w:tcPr>
          <w:p>
            <w:pPr>
              <w:pStyle w:val="TableContents"/>
              <w:spacing w:before="0" w:after="0"/>
              <w:ind w:left="225" w:right="0" w:hanging="225"/>
              <w:rPr/>
            </w:pPr>
            <w:r>
              <w:rPr/>
              <w:t>Net income available to common shareholders</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1100" w:type="dxa"/>
            <w:tcBorders/>
            <w:shd w:fill="CCEEFF" w:val="clear"/>
            <w:vAlign w:val="bottom"/>
          </w:tcPr>
          <w:p>
            <w:pPr>
              <w:pStyle w:val="TableContents"/>
              <w:spacing w:before="0" w:after="283"/>
              <w:jc w:val="right"/>
              <w:rPr/>
            </w:pPr>
            <w:r>
              <w:rPr/>
              <w:t>26,934,000</w:t>
            </w:r>
          </w:p>
        </w:tc>
        <w:tc>
          <w:tcPr>
            <w:tcW w:w="108"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1100" w:type="dxa"/>
            <w:tcBorders/>
            <w:shd w:fill="CCEEFF" w:val="clear"/>
            <w:vAlign w:val="bottom"/>
          </w:tcPr>
          <w:p>
            <w:pPr>
              <w:pStyle w:val="TableContents"/>
              <w:spacing w:before="0" w:after="283"/>
              <w:jc w:val="right"/>
              <w:rPr/>
            </w:pPr>
            <w:r>
              <w:rPr/>
              <w:t>22,454,000</w:t>
            </w:r>
          </w:p>
        </w:tc>
        <w:tc>
          <w:tcPr>
            <w:tcW w:w="108"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1100" w:type="dxa"/>
            <w:tcBorders/>
            <w:shd w:fill="CCEEFF" w:val="clear"/>
            <w:vAlign w:val="bottom"/>
          </w:tcPr>
          <w:p>
            <w:pPr>
              <w:pStyle w:val="TableContents"/>
              <w:spacing w:before="0" w:after="283"/>
              <w:jc w:val="right"/>
              <w:rPr/>
            </w:pPr>
            <w:r>
              <w:rPr/>
              <w:t>19,864,000</w:t>
            </w:r>
          </w:p>
        </w:tc>
        <w:tc>
          <w:tcPr>
            <w:tcW w:w="115" w:type="dxa"/>
            <w:tcBorders/>
            <w:shd w:fill="CCEEFF" w:val="clear"/>
            <w:vAlign w:val="bottom"/>
          </w:tcPr>
          <w:p>
            <w:pPr>
              <w:pStyle w:val="TableContents"/>
              <w:spacing w:before="0" w:after="283"/>
              <w:rPr/>
            </w:pPr>
            <w:r>
              <w:rPr/>
              <w:t> </w:t>
            </w:r>
          </w:p>
        </w:tc>
      </w:tr>
      <w:tr>
        <w:trPr/>
        <w:tc>
          <w:tcPr>
            <w:tcW w:w="4957" w:type="dxa"/>
            <w:tcBorders/>
            <w:shd w:fill="auto" w:val="clear"/>
            <w:vAlign w:val="bottom"/>
          </w:tcPr>
          <w:p>
            <w:pPr>
              <w:pStyle w:val="TableContents"/>
              <w:spacing w:before="0" w:after="0"/>
              <w:ind w:left="225" w:right="0" w:hanging="225"/>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4957" w:type="dxa"/>
            <w:tcBorders/>
            <w:shd w:fill="auto" w:val="clear"/>
            <w:vAlign w:val="bottom"/>
          </w:tcPr>
          <w:p>
            <w:pPr>
              <w:pStyle w:val="TableContents"/>
              <w:spacing w:before="0" w:after="0"/>
              <w:ind w:left="225" w:right="0" w:hanging="225"/>
              <w:rPr/>
            </w:pPr>
            <w:r>
              <w:rPr/>
              <w:t>Basic average common shares outstanding</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20,804,804</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20,370,473</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20,343,180</w:t>
            </w:r>
          </w:p>
        </w:tc>
        <w:tc>
          <w:tcPr>
            <w:tcW w:w="115" w:type="dxa"/>
            <w:tcBorders/>
            <w:shd w:fill="auto" w:val="clear"/>
            <w:vAlign w:val="bottom"/>
          </w:tcPr>
          <w:p>
            <w:pPr>
              <w:pStyle w:val="TableContents"/>
              <w:spacing w:before="0" w:after="283"/>
              <w:rPr/>
            </w:pPr>
            <w:r>
              <w:rPr/>
              <w:t> </w:t>
            </w:r>
          </w:p>
        </w:tc>
      </w:tr>
      <w:tr>
        <w:trPr/>
        <w:tc>
          <w:tcPr>
            <w:tcW w:w="4957" w:type="dxa"/>
            <w:tcBorders/>
            <w:shd w:fill="CCEEFF" w:val="clear"/>
            <w:vAlign w:val="bottom"/>
          </w:tcPr>
          <w:p>
            <w:pPr>
              <w:pStyle w:val="TableContents"/>
              <w:spacing w:before="0" w:after="0"/>
              <w:ind w:left="225" w:right="0" w:hanging="225"/>
              <w:rPr/>
            </w:pPr>
            <w:r>
              <w:rPr/>
              <w:t>Dilutive potential due to stock options</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114,075</w:t>
            </w:r>
          </w:p>
        </w:tc>
        <w:tc>
          <w:tcPr>
            <w:tcW w:w="108"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140,950</w:t>
            </w:r>
          </w:p>
        </w:tc>
        <w:tc>
          <w:tcPr>
            <w:tcW w:w="108"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191,160</w:t>
            </w:r>
          </w:p>
        </w:tc>
        <w:tc>
          <w:tcPr>
            <w:tcW w:w="115" w:type="dxa"/>
            <w:tcBorders/>
            <w:shd w:fill="CCEEFF" w:val="clear"/>
            <w:vAlign w:val="bottom"/>
          </w:tcPr>
          <w:p>
            <w:pPr>
              <w:pStyle w:val="TableContents"/>
              <w:spacing w:before="0" w:after="283"/>
              <w:rPr/>
            </w:pPr>
            <w:r>
              <w:rPr/>
              <w:t> </w:t>
            </w:r>
          </w:p>
        </w:tc>
      </w:tr>
      <w:tr>
        <w:trPr/>
        <w:tc>
          <w:tcPr>
            <w:tcW w:w="4957"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487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957" w:type="dxa"/>
            <w:tcBorders/>
            <w:shd w:fill="auto" w:val="clear"/>
            <w:vAlign w:val="bottom"/>
          </w:tcPr>
          <w:p>
            <w:pPr>
              <w:pStyle w:val="TableContents"/>
              <w:spacing w:before="0" w:after="0"/>
              <w:ind w:left="225" w:right="0" w:hanging="225"/>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4957" w:type="dxa"/>
            <w:tcBorders/>
            <w:shd w:fill="auto" w:val="clear"/>
            <w:vAlign w:val="bottom"/>
          </w:tcPr>
          <w:p>
            <w:pPr>
              <w:pStyle w:val="TableContents"/>
              <w:spacing w:before="0" w:after="0"/>
              <w:ind w:left="225" w:right="0" w:hanging="225"/>
              <w:rPr/>
            </w:pPr>
            <w:r>
              <w:rPr/>
              <w:t>Average number of common shares and dilutive potential common shares outstanding</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20,918,879</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20,511,423</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20,534,340</w:t>
            </w:r>
          </w:p>
        </w:tc>
        <w:tc>
          <w:tcPr>
            <w:tcW w:w="115" w:type="dxa"/>
            <w:tcBorders/>
            <w:shd w:fill="auto" w:val="clear"/>
            <w:vAlign w:val="bottom"/>
          </w:tcPr>
          <w:p>
            <w:pPr>
              <w:pStyle w:val="TableContents"/>
              <w:spacing w:before="0" w:after="283"/>
              <w:rPr/>
            </w:pPr>
            <w:r>
              <w:rPr/>
              <w:t> </w:t>
            </w:r>
          </w:p>
        </w:tc>
      </w:tr>
      <w:tr>
        <w:trPr/>
        <w:tc>
          <w:tcPr>
            <w:tcW w:w="4957"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4873"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957" w:type="dxa"/>
            <w:tcBorders/>
            <w:shd w:fill="auto" w:val="clear"/>
            <w:vAlign w:val="bottom"/>
          </w:tcPr>
          <w:p>
            <w:pPr>
              <w:pStyle w:val="TableContents"/>
              <w:spacing w:before="0" w:after="0"/>
              <w:ind w:left="225" w:right="0" w:hanging="225"/>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4957" w:type="dxa"/>
            <w:tcBorders/>
            <w:shd w:fill="CCEEFF" w:val="clear"/>
            <w:vAlign w:val="bottom"/>
          </w:tcPr>
          <w:p>
            <w:pPr>
              <w:pStyle w:val="TableContents"/>
              <w:spacing w:before="0" w:after="0"/>
              <w:ind w:left="225" w:right="0" w:hanging="225"/>
              <w:rPr/>
            </w:pPr>
            <w:r>
              <w:rPr/>
              <w:t>Basic net income per share</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1100" w:type="dxa"/>
            <w:tcBorders/>
            <w:shd w:fill="CCEEFF" w:val="clear"/>
            <w:vAlign w:val="bottom"/>
          </w:tcPr>
          <w:p>
            <w:pPr>
              <w:pStyle w:val="TableContents"/>
              <w:spacing w:before="0" w:after="283"/>
              <w:jc w:val="right"/>
              <w:rPr/>
            </w:pPr>
            <w:r>
              <w:rPr/>
              <w:t>1.29</w:t>
            </w:r>
          </w:p>
        </w:tc>
        <w:tc>
          <w:tcPr>
            <w:tcW w:w="108"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1100" w:type="dxa"/>
            <w:tcBorders/>
            <w:shd w:fill="CCEEFF" w:val="clear"/>
            <w:vAlign w:val="bottom"/>
          </w:tcPr>
          <w:p>
            <w:pPr>
              <w:pStyle w:val="TableContents"/>
              <w:spacing w:before="0" w:after="283"/>
              <w:jc w:val="right"/>
              <w:rPr/>
            </w:pPr>
            <w:r>
              <w:rPr/>
              <w:t>1.10</w:t>
            </w:r>
          </w:p>
        </w:tc>
        <w:tc>
          <w:tcPr>
            <w:tcW w:w="108"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1100" w:type="dxa"/>
            <w:tcBorders/>
            <w:shd w:fill="CCEEFF" w:val="clear"/>
            <w:vAlign w:val="bottom"/>
          </w:tcPr>
          <w:p>
            <w:pPr>
              <w:pStyle w:val="TableContents"/>
              <w:spacing w:before="0" w:after="283"/>
              <w:jc w:val="right"/>
              <w:rPr/>
            </w:pPr>
            <w:r>
              <w:rPr/>
              <w:t>0.98</w:t>
            </w:r>
          </w:p>
        </w:tc>
        <w:tc>
          <w:tcPr>
            <w:tcW w:w="115" w:type="dxa"/>
            <w:tcBorders/>
            <w:shd w:fill="CCEEFF" w:val="clear"/>
            <w:vAlign w:val="bottom"/>
          </w:tcPr>
          <w:p>
            <w:pPr>
              <w:pStyle w:val="TableContents"/>
              <w:spacing w:before="0" w:after="283"/>
              <w:rPr/>
            </w:pPr>
            <w:r>
              <w:rPr/>
              <w:t> </w:t>
            </w:r>
          </w:p>
        </w:tc>
      </w:tr>
      <w:tr>
        <w:trPr/>
        <w:tc>
          <w:tcPr>
            <w:tcW w:w="4957"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4873"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957" w:type="dxa"/>
            <w:tcBorders/>
            <w:shd w:fill="auto" w:val="clear"/>
            <w:vAlign w:val="bottom"/>
          </w:tcPr>
          <w:p>
            <w:pPr>
              <w:pStyle w:val="TableContents"/>
              <w:spacing w:before="0" w:after="0"/>
              <w:ind w:left="225" w:right="0" w:hanging="225"/>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4957" w:type="dxa"/>
            <w:tcBorders/>
            <w:shd w:fill="auto" w:val="clear"/>
            <w:vAlign w:val="bottom"/>
          </w:tcPr>
          <w:p>
            <w:pPr>
              <w:pStyle w:val="TableContents"/>
              <w:spacing w:before="0" w:after="0"/>
              <w:ind w:left="225" w:right="0" w:hanging="225"/>
              <w:rPr/>
            </w:pPr>
            <w:r>
              <w:rPr/>
              <w:t>Diluted net income per share</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1100" w:type="dxa"/>
            <w:tcBorders/>
            <w:shd w:fill="auto" w:val="clear"/>
            <w:vAlign w:val="bottom"/>
          </w:tcPr>
          <w:p>
            <w:pPr>
              <w:pStyle w:val="TableContents"/>
              <w:spacing w:before="0" w:after="283"/>
              <w:jc w:val="right"/>
              <w:rPr/>
            </w:pPr>
            <w:r>
              <w:rPr/>
              <w:t>1.29</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1100" w:type="dxa"/>
            <w:tcBorders/>
            <w:shd w:fill="auto" w:val="clear"/>
            <w:vAlign w:val="bottom"/>
          </w:tcPr>
          <w:p>
            <w:pPr>
              <w:pStyle w:val="TableContents"/>
              <w:spacing w:before="0" w:after="283"/>
              <w:jc w:val="right"/>
              <w:rPr/>
            </w:pPr>
            <w:r>
              <w:rPr/>
              <w:t>1.09</w:t>
            </w:r>
          </w:p>
        </w:tc>
        <w:tc>
          <w:tcPr>
            <w:tcW w:w="10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1100" w:type="dxa"/>
            <w:tcBorders/>
            <w:shd w:fill="auto" w:val="clear"/>
            <w:vAlign w:val="bottom"/>
          </w:tcPr>
          <w:p>
            <w:pPr>
              <w:pStyle w:val="TableContents"/>
              <w:spacing w:before="0" w:after="283"/>
              <w:jc w:val="right"/>
              <w:rPr/>
            </w:pPr>
            <w:r>
              <w:rPr/>
              <w:t>0.97</w:t>
            </w:r>
          </w:p>
        </w:tc>
        <w:tc>
          <w:tcPr>
            <w:tcW w:w="115" w:type="dxa"/>
            <w:tcBorders/>
            <w:shd w:fill="auto" w:val="clear"/>
            <w:vAlign w:val="bottom"/>
          </w:tcPr>
          <w:p>
            <w:pPr>
              <w:pStyle w:val="TableContents"/>
              <w:spacing w:before="0" w:after="283"/>
              <w:rPr/>
            </w:pPr>
            <w:r>
              <w:rPr/>
              <w:t> </w:t>
            </w:r>
          </w:p>
        </w:tc>
      </w:tr>
      <w:tr>
        <w:trPr/>
        <w:tc>
          <w:tcPr>
            <w:tcW w:w="4957"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4873"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63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u w:val="single"/>
        </w:rPr>
        <w:t>Impact of new financial accounting standards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 December, 2004, the Financial Accounting Standards Board (FASB) issued Statement of Financial Accounting Standard No. 123R (SFAS No. 123R), </w:t>
      </w:r>
      <w:r>
        <w:rPr>
          <w:rFonts w:ascii="Arial;Helvetica;sans-serif" w:hAnsi="Arial;Helvetica;sans-serif"/>
          <w:i/>
          <w:sz w:val="17"/>
        </w:rPr>
        <w:t xml:space="preserve">Share Based Payment ¸ </w:t>
      </w:r>
      <w:r>
        <w:rPr>
          <w:rFonts w:ascii="Arial;Helvetica;sans-serif" w:hAnsi="Arial;Helvetica;sans-serif"/>
          <w:sz w:val="17"/>
        </w:rPr>
        <w:t xml:space="preserve">which is an amendment of FASB Statement Nos. 123 and 95. SFAS No. 123R changes, among other things, the manner in which share-based compensation, such as stock options, will be accounted for by both public and non-public companies. For public companies, the cost of employee services received in exchange for equity instruments including options and restricted stock awards generally will be measured at fair value at the grant date. The grant date fair value will be estimated using option-pricing models adjusted for the unique characteristics of those options and instruments, unless observable market prices for the same or similar options are available. The cost will be recognized over the requisite service period, often the vesting period. Tax benefits will be recognized related to the cost for share-based payments to the extent the equity instrument would ordinarily result in a future tax deduction under existing law. Tax expense will be recognized to write off excess deferred tax assets when the tax deduction upon settlement of a vested option is less than the expense recorded in the statement of operations (to the extent not offset by prior tax credits for settlements where the tax deduction was greater than the fair value cost).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changes in accounting will replace existing requirements under SFAS No. 123, Accounting for Stock-Based Compensation, and will eliminate the ability to account for share-based compensation transactions using APB Opinion No. 25, Accounting for Stock Issued to Employees, which does not require companies to expense options if the exercise price is equal to the trading price at the date of grant. The accounting for similar transactions involving parties other than employees or the accounting for employee stock ownership plans that are subject to AICPA Statement of Position 93-6, Employers Accounting for Employee Stock Ownership Plans, would remain unchanged.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Corporation is required to implement SFAS No. 123R beginning January 1, 2006. As of December 31, 2005, the Corporation plans to continue issuing stock options. We currently estimate the expense associated with 2006 equity-based compensation to be approximately $0.01 to $0.02 per share. This amount is subject to revisions as we finalize certain assumptions related to 2006, including the size and nature of awards and forfeiture rates. SFAS No. 123R also requires the benefits of tax deductions in excess of recognized compensation cost be reported as financing cash flow rather than as an operating cash flow as was previously required. We cannot estimate what the future tax benefits will be as the amounts depend on, among other factors, future employee stock option exercises.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On November 3, 2005, the FASB issued FASB Staff Position (FSP) No. FAS 115-1, The Meaning of Other-than-Temporary Impairment and Its Application to Certain Investments, which provides guidance for the determination as to when an investment is considered impaired, whether that impairment is other than temporary, and the measurement of an impaired loss. This FSP is applicable for debt and equity securities within the scope of SFAS No. 115, Accounting for Certain Investments in Debt and Equity Securities. This guidance requires the evaluation of investments that have a fair value less than its cost and the determination of whether the impairments are other than temporary. This guidance also requires the disclosure of quantitative information as well as additional information the Corporation used to reach its conclusion. FSP No. FAS 115-1 applies for reporting periods beginning after December 15, 2005. This FSP has been adopted and did not have a material effect on the Corporations financial statements. </w:t>
      </w:r>
    </w:p>
    <w:p>
      <w:pPr>
        <w:pStyle w:val="TextBody"/>
        <w:spacing w:before="120" w:after="283"/>
        <w:jc w:val="left"/>
        <w:rPr>
          <w:rFonts w:ascii="Arial;Helvetica;sans-serif" w:hAnsi="Arial;Helvetica;sans-serif"/>
          <w:sz w:val="17"/>
        </w:rPr>
      </w:pPr>
      <w:r>
        <w:rPr>
          <w:rFonts w:ascii="Arial;Helvetica;sans-serif" w:hAnsi="Arial;Helvetica;sans-serif"/>
          <w:sz w:val="17"/>
          <w:u w:val="single"/>
        </w:rPr>
        <w:t>Comprehensive income</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Accounting principles generally require that recognized revenue, expenses, gains and losses be included in net income. Although certain changes in assets and liabilities, such as unrealized gains and losses on available-for-sale securities, are reported as a separate component of the equity section of the balance sheet, such items, along with net income, are components of comprehensive income. </w:t>
      </w:r>
    </w:p>
    <w:p>
      <w:pPr>
        <w:pStyle w:val="TextBody"/>
        <w:jc w:val="center"/>
        <w:rPr>
          <w:rFonts w:ascii="Arial;Helvetica;sans-serif" w:hAnsi="Arial;Helvetica;sans-serif"/>
          <w:sz w:val="17"/>
        </w:rPr>
      </w:pPr>
      <w:r>
        <w:rPr>
          <w:rFonts w:ascii="Arial;Helvetica;sans-serif" w:hAnsi="Arial;Helvetica;sans-serif"/>
          <w:sz w:val="17"/>
        </w:rPr>
        <w:t xml:space="preserve">64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 2. Business Combinations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On July 29, 2005, First Busey Corporation acquired all the outstanding common stock of Tarpon Coast Bancorp, Inc. (Tarpon) and its subsidiary, Tarpon Coast National Bank, a $153 million bank headquartered in Port Charlotte, Florida. First Busey Corporation issued 849,965 shares of common stock and paid cash of $18,797,000 to Tarpon shareholders, which was funded through the issuance of long-term debt and $10 million in additional trust preferred securities. Of the 849,965 shares of common stock issued in the Tarpon acquisition, stock certificates representing 20,658 shares have not been issued to shareholders by First Busey pending the receipt of the appropriate instructions from Tarpon shareholders. The value of these shares has been included in Common stock to be issued on First Buseys consolidated balance sheet. These shares are also included in the Corporations earnings-per-share calculations. The transaction has been accounted for as a purchase and the results of operations since the acquisition date have been included in the consolidated financial statements. The purchase price of $35,909,000 was allocated based upon the fair value of the assets acquired and liabilities assumed. The excess of the total acquisition cost over the fair value of the net tangible assets acquired has been allocated to core deposit intangible and goodwill. The core deposit intangible of $2,371,000 is being amortized over periods ranging from three to five years.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On June 1, 2004, First Busey Corporation acquired all the outstanding common stock of First Capital Bankshares, Inc. and its subsidiary First Capital Bank, a $239 million bank headquartered in Peoria, Illinois. This acquisition expands the Corporations banking presence in central Illinois into Peoria and surrounding communities. The transaction has been accounted for as a purchase, and the results of operations of both entities since the acquisition date have been included in the consolidated financial statements. The purchase price of $42,072,000 was allocated based upon the fair value of assets acquired and liabilities assumed. The excess of total acquisition cost over the fair value of the net tangible assets acquired has been allocated to core deposit intangible assets and goodwill. The core deposit intangibles of $2,383,000 are being amortized over periods ranging from three to ten years.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On May 20, 2005, First Capital Bank merged into Busey Bank bringing all Illinois banking locations under one state bank charter. Following the merger, Busey Bank has 21 banking centers located in Illinois.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Pro forma unaudited operating results for the twelve months ended December 30, 2005 and 2004, giving effect to the Tarpon Coast acquisition as if it had occurred as of January 1, 2004 are as follows: </w:t>
      </w:r>
    </w:p>
    <w:tbl>
      <w:tblPr>
        <w:tblW w:w="5000" w:type="pct"/>
        <w:jc w:val="center"/>
        <w:tblInd w:w="0" w:type="dxa"/>
        <w:tblCellMar>
          <w:top w:w="0" w:type="dxa"/>
          <w:left w:w="0" w:type="dxa"/>
          <w:bottom w:w="0" w:type="dxa"/>
          <w:right w:w="0" w:type="dxa"/>
        </w:tblCellMar>
      </w:tblPr>
      <w:tblGrid>
        <w:gridCol w:w="5272"/>
        <w:gridCol w:w="348"/>
        <w:gridCol w:w="312"/>
        <w:gridCol w:w="1744"/>
        <w:gridCol w:w="167"/>
        <w:gridCol w:w="405"/>
        <w:gridCol w:w="312"/>
        <w:gridCol w:w="1530"/>
        <w:gridCol w:w="115"/>
      </w:tblGrid>
      <w:tr>
        <w:trPr/>
        <w:tc>
          <w:tcPr>
            <w:tcW w:w="527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74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53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5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67" w:type="dxa"/>
            <w:tcBorders>
              <w:bottom w:val="single" w:sz="2" w:space="0" w:color="000000"/>
            </w:tcBorders>
            <w:shd w:fill="auto" w:val="clear"/>
            <w:tcMar>
              <w:bottom w:w="28" w:type="dxa"/>
            </w:tcMar>
            <w:vAlign w:val="bottom"/>
          </w:tcPr>
          <w:p>
            <w:pPr>
              <w:pStyle w:val="TableContents"/>
              <w:spacing w:before="0" w:after="283"/>
              <w:rPr/>
            </w:pPr>
            <w:r>
              <w:rPr/>
              <w:t> </w:t>
            </w:r>
          </w:p>
        </w:tc>
        <w:tc>
          <w:tcPr>
            <w:tcW w:w="405" w:type="dxa"/>
            <w:tcBorders>
              <w:bottom w:val="single" w:sz="2" w:space="0" w:color="000000"/>
            </w:tcBorders>
            <w:shd w:fill="auto" w:val="clear"/>
            <w:tcMar>
              <w:bottom w:w="28" w:type="dxa"/>
            </w:tcMar>
            <w:vAlign w:val="bottom"/>
          </w:tcPr>
          <w:p>
            <w:pPr>
              <w:pStyle w:val="TableContents"/>
              <w:spacing w:before="0" w:after="283"/>
              <w:rPr/>
            </w:pPr>
            <w:r>
              <w:rPr/>
              <w:t> </w:t>
            </w:r>
          </w:p>
        </w:tc>
        <w:tc>
          <w:tcPr>
            <w:tcW w:w="184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15"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4470" w:type="dxa"/>
            <w:gridSpan w:val="6"/>
            <w:tcBorders/>
            <w:shd w:fill="auto" w:val="clear"/>
            <w:vAlign w:val="bottom"/>
          </w:tcPr>
          <w:p>
            <w:pPr>
              <w:pStyle w:val="TableContents"/>
              <w:spacing w:before="0" w:after="283"/>
              <w:jc w:val="center"/>
              <w:rPr/>
            </w:pPr>
            <w:r>
              <w:rPr/>
              <w:t>(Dollars in thousands except per share data</w:t>
            </w:r>
          </w:p>
        </w:tc>
        <w:tc>
          <w:tcPr>
            <w:tcW w:w="115" w:type="dxa"/>
            <w:tcBorders/>
            <w:shd w:fill="auto" w:val="clear"/>
            <w:vAlign w:val="bottom"/>
          </w:tcPr>
          <w:p>
            <w:pPr>
              <w:pStyle w:val="TableContents"/>
              <w:spacing w:before="0" w:after="283"/>
              <w:rPr/>
            </w:pPr>
            <w:r>
              <w:rPr/>
              <w:t> </w:t>
            </w:r>
          </w:p>
        </w:tc>
      </w:tr>
      <w:tr>
        <w:trPr/>
        <w:tc>
          <w:tcPr>
            <w:tcW w:w="5272" w:type="dxa"/>
            <w:tcBorders/>
            <w:shd w:fill="CCEEFF" w:val="clear"/>
            <w:vAlign w:val="bottom"/>
          </w:tcPr>
          <w:p>
            <w:pPr>
              <w:pStyle w:val="TableContents"/>
              <w:spacing w:before="0" w:after="0"/>
              <w:ind w:left="225" w:right="0" w:hanging="225"/>
              <w:rPr/>
            </w:pPr>
            <w:r>
              <w:rPr/>
              <w:t>Interest income</w:t>
            </w:r>
          </w:p>
        </w:tc>
        <w:tc>
          <w:tcPr>
            <w:tcW w:w="348"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w:t>
            </w:r>
          </w:p>
        </w:tc>
        <w:tc>
          <w:tcPr>
            <w:tcW w:w="1744" w:type="dxa"/>
            <w:tcBorders/>
            <w:shd w:fill="CCEEFF" w:val="clear"/>
            <w:vAlign w:val="bottom"/>
          </w:tcPr>
          <w:p>
            <w:pPr>
              <w:pStyle w:val="TableContents"/>
              <w:spacing w:before="0" w:after="283"/>
              <w:jc w:val="right"/>
              <w:rPr/>
            </w:pPr>
            <w:r>
              <w:rPr/>
              <w:t>120,954</w:t>
            </w:r>
          </w:p>
        </w:tc>
        <w:tc>
          <w:tcPr>
            <w:tcW w:w="167"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w:t>
            </w:r>
          </w:p>
        </w:tc>
        <w:tc>
          <w:tcPr>
            <w:tcW w:w="1530" w:type="dxa"/>
            <w:tcBorders/>
            <w:shd w:fill="CCEEFF" w:val="clear"/>
            <w:vAlign w:val="bottom"/>
          </w:tcPr>
          <w:p>
            <w:pPr>
              <w:pStyle w:val="TableContents"/>
              <w:spacing w:before="0" w:after="283"/>
              <w:jc w:val="right"/>
              <w:rPr/>
            </w:pPr>
            <w:r>
              <w:rPr/>
              <w:t>97,032</w:t>
            </w:r>
          </w:p>
        </w:tc>
        <w:tc>
          <w:tcPr>
            <w:tcW w:w="115" w:type="dxa"/>
            <w:tcBorders/>
            <w:shd w:fill="CCEEFF"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0"/>
              <w:ind w:left="225" w:right="0" w:hanging="225"/>
              <w:rPr/>
            </w:pPr>
            <w:r>
              <w:rPr/>
              <w:t>Interest expense</w:t>
            </w:r>
          </w:p>
        </w:tc>
        <w:tc>
          <w:tcPr>
            <w:tcW w:w="348"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744" w:type="dxa"/>
            <w:tcBorders/>
            <w:shd w:fill="auto" w:val="clear"/>
            <w:vAlign w:val="bottom"/>
          </w:tcPr>
          <w:p>
            <w:pPr>
              <w:pStyle w:val="TableContents"/>
              <w:spacing w:before="0" w:after="283"/>
              <w:jc w:val="right"/>
              <w:rPr/>
            </w:pPr>
            <w:r>
              <w:rPr/>
              <w:t>46,601</w:t>
            </w:r>
          </w:p>
        </w:tc>
        <w:tc>
          <w:tcPr>
            <w:tcW w:w="167"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530" w:type="dxa"/>
            <w:tcBorders/>
            <w:shd w:fill="auto" w:val="clear"/>
            <w:vAlign w:val="bottom"/>
          </w:tcPr>
          <w:p>
            <w:pPr>
              <w:pStyle w:val="TableContents"/>
              <w:spacing w:before="0" w:after="283"/>
              <w:jc w:val="right"/>
              <w:rPr/>
            </w:pPr>
            <w:r>
              <w:rPr/>
              <w:t>34,220</w:t>
            </w:r>
          </w:p>
        </w:tc>
        <w:tc>
          <w:tcPr>
            <w:tcW w:w="115" w:type="dxa"/>
            <w:tcBorders/>
            <w:shd w:fill="auto" w:val="clear"/>
            <w:vAlign w:val="bottom"/>
          </w:tcPr>
          <w:p>
            <w:pPr>
              <w:pStyle w:val="TableContents"/>
              <w:spacing w:before="0" w:after="283"/>
              <w:rPr/>
            </w:pPr>
            <w:r>
              <w:rPr/>
              <w:t> </w:t>
            </w:r>
          </w:p>
        </w:tc>
      </w:tr>
      <w:tr>
        <w:trPr/>
        <w:tc>
          <w:tcPr>
            <w:tcW w:w="5272" w:type="dxa"/>
            <w:tcBorders/>
            <w:shd w:fill="CCEEFF" w:val="clear"/>
            <w:vAlign w:val="bottom"/>
          </w:tcPr>
          <w:p>
            <w:pPr>
              <w:pStyle w:val="TableContents"/>
              <w:spacing w:before="0" w:after="0"/>
              <w:ind w:left="225" w:right="0" w:hanging="225"/>
              <w:rPr/>
            </w:pPr>
            <w:r>
              <w:rPr/>
              <w:t>Provision for loan losses</w:t>
            </w:r>
          </w:p>
        </w:tc>
        <w:tc>
          <w:tcPr>
            <w:tcW w:w="348"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744" w:type="dxa"/>
            <w:tcBorders/>
            <w:shd w:fill="CCEEFF" w:val="clear"/>
            <w:vAlign w:val="bottom"/>
          </w:tcPr>
          <w:p>
            <w:pPr>
              <w:pStyle w:val="TableContents"/>
              <w:spacing w:before="0" w:after="283"/>
              <w:jc w:val="right"/>
              <w:rPr/>
            </w:pPr>
            <w:r>
              <w:rPr/>
              <w:t>3,550</w:t>
            </w:r>
          </w:p>
        </w:tc>
        <w:tc>
          <w:tcPr>
            <w:tcW w:w="167"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530" w:type="dxa"/>
            <w:tcBorders/>
            <w:shd w:fill="CCEEFF" w:val="clear"/>
            <w:vAlign w:val="bottom"/>
          </w:tcPr>
          <w:p>
            <w:pPr>
              <w:pStyle w:val="TableContents"/>
              <w:spacing w:before="0" w:after="283"/>
              <w:jc w:val="right"/>
              <w:rPr/>
            </w:pPr>
            <w:r>
              <w:rPr/>
              <w:t>3,520</w:t>
            </w:r>
          </w:p>
        </w:tc>
        <w:tc>
          <w:tcPr>
            <w:tcW w:w="115" w:type="dxa"/>
            <w:tcBorders/>
            <w:shd w:fill="CCEEFF"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0"/>
              <w:ind w:left="225" w:right="0" w:hanging="225"/>
              <w:rPr/>
            </w:pPr>
            <w:r>
              <w:rPr/>
              <w:t>Noninterest income</w:t>
            </w:r>
          </w:p>
        </w:tc>
        <w:tc>
          <w:tcPr>
            <w:tcW w:w="348"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744" w:type="dxa"/>
            <w:tcBorders/>
            <w:shd w:fill="auto" w:val="clear"/>
            <w:vAlign w:val="bottom"/>
          </w:tcPr>
          <w:p>
            <w:pPr>
              <w:pStyle w:val="TableContents"/>
              <w:spacing w:before="0" w:after="283"/>
              <w:jc w:val="right"/>
              <w:rPr/>
            </w:pPr>
            <w:r>
              <w:rPr/>
              <w:t>24,206</w:t>
            </w:r>
          </w:p>
        </w:tc>
        <w:tc>
          <w:tcPr>
            <w:tcW w:w="167"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530" w:type="dxa"/>
            <w:tcBorders/>
            <w:shd w:fill="auto" w:val="clear"/>
            <w:vAlign w:val="bottom"/>
          </w:tcPr>
          <w:p>
            <w:pPr>
              <w:pStyle w:val="TableContents"/>
              <w:spacing w:before="0" w:after="283"/>
              <w:jc w:val="right"/>
              <w:rPr/>
            </w:pPr>
            <w:r>
              <w:rPr/>
              <w:t>25,959</w:t>
            </w:r>
          </w:p>
        </w:tc>
        <w:tc>
          <w:tcPr>
            <w:tcW w:w="115" w:type="dxa"/>
            <w:tcBorders/>
            <w:shd w:fill="auto" w:val="clear"/>
            <w:vAlign w:val="bottom"/>
          </w:tcPr>
          <w:p>
            <w:pPr>
              <w:pStyle w:val="TableContents"/>
              <w:spacing w:before="0" w:after="283"/>
              <w:rPr/>
            </w:pPr>
            <w:r>
              <w:rPr/>
              <w:t> </w:t>
            </w:r>
          </w:p>
        </w:tc>
      </w:tr>
      <w:tr>
        <w:trPr/>
        <w:tc>
          <w:tcPr>
            <w:tcW w:w="5272" w:type="dxa"/>
            <w:tcBorders/>
            <w:shd w:fill="CCEEFF" w:val="clear"/>
            <w:vAlign w:val="bottom"/>
          </w:tcPr>
          <w:p>
            <w:pPr>
              <w:pStyle w:val="TableContents"/>
              <w:spacing w:before="0" w:after="0"/>
              <w:ind w:left="225" w:right="0" w:hanging="225"/>
              <w:rPr/>
            </w:pPr>
            <w:r>
              <w:rPr/>
              <w:t>Noninterest expense</w:t>
            </w:r>
          </w:p>
        </w:tc>
        <w:tc>
          <w:tcPr>
            <w:tcW w:w="348"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744" w:type="dxa"/>
            <w:tcBorders/>
            <w:shd w:fill="CCEEFF" w:val="clear"/>
            <w:vAlign w:val="bottom"/>
          </w:tcPr>
          <w:p>
            <w:pPr>
              <w:pStyle w:val="TableContents"/>
              <w:spacing w:before="0" w:after="283"/>
              <w:jc w:val="right"/>
              <w:rPr/>
            </w:pPr>
            <w:r>
              <w:rPr/>
              <w:t>55,694</w:t>
            </w:r>
          </w:p>
        </w:tc>
        <w:tc>
          <w:tcPr>
            <w:tcW w:w="167"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530" w:type="dxa"/>
            <w:tcBorders/>
            <w:shd w:fill="CCEEFF" w:val="clear"/>
            <w:vAlign w:val="bottom"/>
          </w:tcPr>
          <w:p>
            <w:pPr>
              <w:pStyle w:val="TableContents"/>
              <w:spacing w:before="0" w:after="283"/>
              <w:jc w:val="right"/>
              <w:rPr/>
            </w:pPr>
            <w:r>
              <w:rPr/>
              <w:t>50,867</w:t>
            </w:r>
          </w:p>
        </w:tc>
        <w:tc>
          <w:tcPr>
            <w:tcW w:w="115" w:type="dxa"/>
            <w:tcBorders/>
            <w:shd w:fill="CCEEFF" w:val="clear"/>
            <w:vAlign w:val="bottom"/>
          </w:tcPr>
          <w:p>
            <w:pPr>
              <w:pStyle w:val="TableContents"/>
              <w:spacing w:before="0" w:after="283"/>
              <w:rPr/>
            </w:pPr>
            <w:r>
              <w:rPr/>
              <w:t> </w:t>
            </w:r>
          </w:p>
        </w:tc>
      </w:tr>
      <w:tr>
        <w:trPr/>
        <w:tc>
          <w:tcPr>
            <w:tcW w:w="5272"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20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18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272" w:type="dxa"/>
            <w:tcBorders/>
            <w:shd w:fill="auto" w:val="clear"/>
            <w:vAlign w:val="bottom"/>
          </w:tcPr>
          <w:p>
            <w:pPr>
              <w:pStyle w:val="TableContents"/>
              <w:spacing w:before="0" w:after="0"/>
              <w:ind w:left="225" w:right="0" w:hanging="225"/>
              <w:rPr/>
            </w:pPr>
            <w:r>
              <w:rPr/>
              <w:t>Income before income taxes</w:t>
            </w:r>
          </w:p>
        </w:tc>
        <w:tc>
          <w:tcPr>
            <w:tcW w:w="348"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left"/>
              <w:rPr/>
            </w:pPr>
            <w:r>
              <w:rPr/>
              <w:t>$</w:t>
            </w:r>
          </w:p>
        </w:tc>
        <w:tc>
          <w:tcPr>
            <w:tcW w:w="1744" w:type="dxa"/>
            <w:tcBorders/>
            <w:shd w:fill="auto" w:val="clear"/>
            <w:vAlign w:val="bottom"/>
          </w:tcPr>
          <w:p>
            <w:pPr>
              <w:pStyle w:val="TableContents"/>
              <w:spacing w:before="0" w:after="283"/>
              <w:jc w:val="right"/>
              <w:rPr/>
            </w:pPr>
            <w:r>
              <w:rPr/>
              <w:t>39,315</w:t>
            </w:r>
          </w:p>
        </w:tc>
        <w:tc>
          <w:tcPr>
            <w:tcW w:w="167"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left"/>
              <w:rPr/>
            </w:pPr>
            <w:r>
              <w:rPr/>
              <w:t>$</w:t>
            </w:r>
          </w:p>
        </w:tc>
        <w:tc>
          <w:tcPr>
            <w:tcW w:w="1530" w:type="dxa"/>
            <w:tcBorders/>
            <w:shd w:fill="auto" w:val="clear"/>
            <w:vAlign w:val="bottom"/>
          </w:tcPr>
          <w:p>
            <w:pPr>
              <w:pStyle w:val="TableContents"/>
              <w:spacing w:before="0" w:after="283"/>
              <w:jc w:val="right"/>
              <w:rPr/>
            </w:pPr>
            <w:r>
              <w:rPr/>
              <w:t>34,384</w:t>
            </w:r>
          </w:p>
        </w:tc>
        <w:tc>
          <w:tcPr>
            <w:tcW w:w="115" w:type="dxa"/>
            <w:tcBorders/>
            <w:shd w:fill="auto" w:val="clear"/>
            <w:vAlign w:val="bottom"/>
          </w:tcPr>
          <w:p>
            <w:pPr>
              <w:pStyle w:val="TableContents"/>
              <w:spacing w:before="0" w:after="283"/>
              <w:rPr/>
            </w:pPr>
            <w:r>
              <w:rPr/>
              <w:t> </w:t>
            </w:r>
          </w:p>
        </w:tc>
      </w:tr>
      <w:tr>
        <w:trPr/>
        <w:tc>
          <w:tcPr>
            <w:tcW w:w="5272" w:type="dxa"/>
            <w:tcBorders/>
            <w:shd w:fill="CCEEFF" w:val="clear"/>
            <w:vAlign w:val="bottom"/>
          </w:tcPr>
          <w:p>
            <w:pPr>
              <w:pStyle w:val="TableContents"/>
              <w:spacing w:before="0" w:after="0"/>
              <w:ind w:left="225" w:right="0" w:hanging="225"/>
              <w:rPr/>
            </w:pPr>
            <w:r>
              <w:rPr/>
              <w:t>Income taxes</w:t>
            </w:r>
          </w:p>
        </w:tc>
        <w:tc>
          <w:tcPr>
            <w:tcW w:w="348"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744" w:type="dxa"/>
            <w:tcBorders/>
            <w:shd w:fill="CCEEFF" w:val="clear"/>
            <w:vAlign w:val="bottom"/>
          </w:tcPr>
          <w:p>
            <w:pPr>
              <w:pStyle w:val="TableContents"/>
              <w:spacing w:before="0" w:after="283"/>
              <w:jc w:val="right"/>
              <w:rPr/>
            </w:pPr>
            <w:r>
              <w:rPr/>
              <w:t>12,912</w:t>
            </w:r>
          </w:p>
        </w:tc>
        <w:tc>
          <w:tcPr>
            <w:tcW w:w="167"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530" w:type="dxa"/>
            <w:tcBorders/>
            <w:shd w:fill="CCEEFF" w:val="clear"/>
            <w:vAlign w:val="bottom"/>
          </w:tcPr>
          <w:p>
            <w:pPr>
              <w:pStyle w:val="TableContents"/>
              <w:spacing w:before="0" w:after="283"/>
              <w:jc w:val="right"/>
              <w:rPr/>
            </w:pPr>
            <w:r>
              <w:rPr/>
              <w:t>11,489</w:t>
            </w:r>
          </w:p>
        </w:tc>
        <w:tc>
          <w:tcPr>
            <w:tcW w:w="115" w:type="dxa"/>
            <w:tcBorders/>
            <w:shd w:fill="CCEEFF" w:val="clear"/>
            <w:vAlign w:val="bottom"/>
          </w:tcPr>
          <w:p>
            <w:pPr>
              <w:pStyle w:val="TableContents"/>
              <w:spacing w:before="0" w:after="283"/>
              <w:rPr/>
            </w:pPr>
            <w:r>
              <w:rPr/>
              <w:t> </w:t>
            </w:r>
          </w:p>
        </w:tc>
      </w:tr>
      <w:tr>
        <w:trPr/>
        <w:tc>
          <w:tcPr>
            <w:tcW w:w="5272"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20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18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272" w:type="dxa"/>
            <w:tcBorders/>
            <w:shd w:fill="auto" w:val="clear"/>
            <w:vAlign w:val="bottom"/>
          </w:tcPr>
          <w:p>
            <w:pPr>
              <w:pStyle w:val="TableContents"/>
              <w:spacing w:before="0" w:after="0"/>
              <w:ind w:left="225" w:right="0" w:hanging="225"/>
              <w:rPr/>
            </w:pPr>
            <w:r>
              <w:rPr/>
              <w:t>Net income</w:t>
            </w:r>
          </w:p>
        </w:tc>
        <w:tc>
          <w:tcPr>
            <w:tcW w:w="348"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left"/>
              <w:rPr/>
            </w:pPr>
            <w:r>
              <w:rPr/>
              <w:t>$</w:t>
            </w:r>
          </w:p>
        </w:tc>
        <w:tc>
          <w:tcPr>
            <w:tcW w:w="1744" w:type="dxa"/>
            <w:tcBorders/>
            <w:shd w:fill="auto" w:val="clear"/>
            <w:vAlign w:val="bottom"/>
          </w:tcPr>
          <w:p>
            <w:pPr>
              <w:pStyle w:val="TableContents"/>
              <w:spacing w:before="0" w:after="283"/>
              <w:jc w:val="right"/>
              <w:rPr/>
            </w:pPr>
            <w:r>
              <w:rPr/>
              <w:t>26,403</w:t>
            </w:r>
          </w:p>
        </w:tc>
        <w:tc>
          <w:tcPr>
            <w:tcW w:w="167"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left"/>
              <w:rPr/>
            </w:pPr>
            <w:r>
              <w:rPr/>
              <w:t>$</w:t>
            </w:r>
          </w:p>
        </w:tc>
        <w:tc>
          <w:tcPr>
            <w:tcW w:w="1530" w:type="dxa"/>
            <w:tcBorders/>
            <w:shd w:fill="auto" w:val="clear"/>
            <w:vAlign w:val="bottom"/>
          </w:tcPr>
          <w:p>
            <w:pPr>
              <w:pStyle w:val="TableContents"/>
              <w:spacing w:before="0" w:after="283"/>
              <w:jc w:val="right"/>
              <w:rPr/>
            </w:pPr>
            <w:r>
              <w:rPr/>
              <w:t>22,895</w:t>
            </w:r>
          </w:p>
        </w:tc>
        <w:tc>
          <w:tcPr>
            <w:tcW w:w="115" w:type="dxa"/>
            <w:tcBorders/>
            <w:shd w:fill="auto" w:val="clear"/>
            <w:vAlign w:val="bottom"/>
          </w:tcPr>
          <w:p>
            <w:pPr>
              <w:pStyle w:val="TableContents"/>
              <w:spacing w:before="0" w:after="283"/>
              <w:rPr/>
            </w:pPr>
            <w:r>
              <w:rPr/>
              <w:t> </w:t>
            </w:r>
          </w:p>
        </w:tc>
      </w:tr>
      <w:tr>
        <w:trPr/>
        <w:tc>
          <w:tcPr>
            <w:tcW w:w="5272"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20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18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272"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74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53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272" w:type="dxa"/>
            <w:tcBorders/>
            <w:shd w:fill="CCEEFF" w:val="clear"/>
            <w:vAlign w:val="bottom"/>
          </w:tcPr>
          <w:p>
            <w:pPr>
              <w:pStyle w:val="TableContents"/>
              <w:spacing w:before="0" w:after="0"/>
              <w:ind w:left="225" w:right="0" w:hanging="225"/>
              <w:rPr/>
            </w:pPr>
            <w:r>
              <w:rPr/>
              <w:t>Earnings per share  basic</w:t>
            </w:r>
          </w:p>
        </w:tc>
        <w:tc>
          <w:tcPr>
            <w:tcW w:w="348"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w:t>
            </w:r>
          </w:p>
        </w:tc>
        <w:tc>
          <w:tcPr>
            <w:tcW w:w="1744" w:type="dxa"/>
            <w:tcBorders/>
            <w:shd w:fill="CCEEFF" w:val="clear"/>
            <w:vAlign w:val="bottom"/>
          </w:tcPr>
          <w:p>
            <w:pPr>
              <w:pStyle w:val="TableContents"/>
              <w:spacing w:before="0" w:after="283"/>
              <w:jc w:val="right"/>
              <w:rPr/>
            </w:pPr>
            <w:r>
              <w:rPr/>
              <w:t>1.24</w:t>
            </w:r>
          </w:p>
        </w:tc>
        <w:tc>
          <w:tcPr>
            <w:tcW w:w="167"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w:t>
            </w:r>
          </w:p>
        </w:tc>
        <w:tc>
          <w:tcPr>
            <w:tcW w:w="1530" w:type="dxa"/>
            <w:tcBorders/>
            <w:shd w:fill="CCEEFF" w:val="clear"/>
            <w:vAlign w:val="bottom"/>
          </w:tcPr>
          <w:p>
            <w:pPr>
              <w:pStyle w:val="TableContents"/>
              <w:spacing w:before="0" w:after="283"/>
              <w:jc w:val="right"/>
              <w:rPr/>
            </w:pPr>
            <w:r>
              <w:rPr/>
              <w:t>1.08</w:t>
            </w:r>
          </w:p>
        </w:tc>
        <w:tc>
          <w:tcPr>
            <w:tcW w:w="115" w:type="dxa"/>
            <w:tcBorders/>
            <w:shd w:fill="CCEEFF" w:val="clear"/>
            <w:vAlign w:val="bottom"/>
          </w:tcPr>
          <w:p>
            <w:pPr>
              <w:pStyle w:val="TableContents"/>
              <w:spacing w:before="0" w:after="283"/>
              <w:rPr/>
            </w:pPr>
            <w:r>
              <w:rPr/>
              <w:t> </w:t>
            </w:r>
          </w:p>
        </w:tc>
      </w:tr>
      <w:tr>
        <w:trPr/>
        <w:tc>
          <w:tcPr>
            <w:tcW w:w="5272"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20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18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272" w:type="dxa"/>
            <w:tcBorders/>
            <w:shd w:fill="auto" w:val="clear"/>
            <w:vAlign w:val="bottom"/>
          </w:tcPr>
          <w:p>
            <w:pPr>
              <w:pStyle w:val="TableContents"/>
              <w:spacing w:before="0" w:after="0"/>
              <w:ind w:left="225" w:right="0" w:hanging="225"/>
              <w:rPr/>
            </w:pPr>
            <w:r>
              <w:rPr/>
              <w:t>Earnings per share  diluted</w:t>
            </w:r>
          </w:p>
        </w:tc>
        <w:tc>
          <w:tcPr>
            <w:tcW w:w="348"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left"/>
              <w:rPr/>
            </w:pPr>
            <w:r>
              <w:rPr/>
              <w:t>$</w:t>
            </w:r>
          </w:p>
        </w:tc>
        <w:tc>
          <w:tcPr>
            <w:tcW w:w="1744" w:type="dxa"/>
            <w:tcBorders/>
            <w:shd w:fill="auto" w:val="clear"/>
            <w:vAlign w:val="bottom"/>
          </w:tcPr>
          <w:p>
            <w:pPr>
              <w:pStyle w:val="TableContents"/>
              <w:spacing w:before="0" w:after="283"/>
              <w:jc w:val="right"/>
              <w:rPr/>
            </w:pPr>
            <w:r>
              <w:rPr/>
              <w:t>1.23</w:t>
            </w:r>
          </w:p>
        </w:tc>
        <w:tc>
          <w:tcPr>
            <w:tcW w:w="167"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left"/>
              <w:rPr/>
            </w:pPr>
            <w:r>
              <w:rPr/>
              <w:t>$</w:t>
            </w:r>
          </w:p>
        </w:tc>
        <w:tc>
          <w:tcPr>
            <w:tcW w:w="1530" w:type="dxa"/>
            <w:tcBorders/>
            <w:shd w:fill="auto" w:val="clear"/>
            <w:vAlign w:val="bottom"/>
          </w:tcPr>
          <w:p>
            <w:pPr>
              <w:pStyle w:val="TableContents"/>
              <w:spacing w:before="0" w:after="283"/>
              <w:jc w:val="right"/>
              <w:rPr/>
            </w:pPr>
            <w:r>
              <w:rPr/>
              <w:t>1.07</w:t>
            </w:r>
          </w:p>
        </w:tc>
        <w:tc>
          <w:tcPr>
            <w:tcW w:w="115" w:type="dxa"/>
            <w:tcBorders/>
            <w:shd w:fill="auto" w:val="clear"/>
            <w:vAlign w:val="bottom"/>
          </w:tcPr>
          <w:p>
            <w:pPr>
              <w:pStyle w:val="TableContents"/>
              <w:spacing w:before="0" w:after="283"/>
              <w:rPr/>
            </w:pPr>
            <w:r>
              <w:rPr/>
              <w:t> </w:t>
            </w:r>
          </w:p>
        </w:tc>
      </w:tr>
      <w:tr>
        <w:trPr/>
        <w:tc>
          <w:tcPr>
            <w:tcW w:w="5272"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20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18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65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Pro forma unaudited operating results for the twelve months ended December 30, 2004 and 2003, giving effect to the First Capital acquisition as if it had occurred as of January 1, 2003 are as follows: </w:t>
      </w:r>
    </w:p>
    <w:tbl>
      <w:tblPr>
        <w:tblW w:w="5000" w:type="pct"/>
        <w:jc w:val="center"/>
        <w:tblInd w:w="0" w:type="dxa"/>
        <w:tblCellMar>
          <w:top w:w="0" w:type="dxa"/>
          <w:left w:w="0" w:type="dxa"/>
          <w:bottom w:w="0" w:type="dxa"/>
          <w:right w:w="0" w:type="dxa"/>
        </w:tblCellMar>
      </w:tblPr>
      <w:tblGrid>
        <w:gridCol w:w="5313"/>
        <w:gridCol w:w="350"/>
        <w:gridCol w:w="325"/>
        <w:gridCol w:w="1593"/>
        <w:gridCol w:w="173"/>
        <w:gridCol w:w="414"/>
        <w:gridCol w:w="325"/>
        <w:gridCol w:w="1596"/>
        <w:gridCol w:w="116"/>
      </w:tblGrid>
      <w:tr>
        <w:trPr/>
        <w:tc>
          <w:tcPr>
            <w:tcW w:w="5313"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9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5313"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91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73" w:type="dxa"/>
            <w:tcBorders>
              <w:bottom w:val="single" w:sz="2" w:space="0" w:color="000000"/>
            </w:tcBorders>
            <w:shd w:fill="auto" w:val="clear"/>
            <w:tcMar>
              <w:bottom w:w="28" w:type="dxa"/>
            </w:tcMar>
            <w:vAlign w:val="bottom"/>
          </w:tcPr>
          <w:p>
            <w:pPr>
              <w:pStyle w:val="TableContents"/>
              <w:spacing w:before="0" w:after="283"/>
              <w:rPr/>
            </w:pPr>
            <w:r>
              <w:rPr/>
              <w:t> </w:t>
            </w:r>
          </w:p>
        </w:tc>
        <w:tc>
          <w:tcPr>
            <w:tcW w:w="414" w:type="dxa"/>
            <w:tcBorders>
              <w:bottom w:val="single" w:sz="2" w:space="0" w:color="000000"/>
            </w:tcBorders>
            <w:shd w:fill="auto" w:val="clear"/>
            <w:tcMar>
              <w:bottom w:w="28" w:type="dxa"/>
            </w:tcMar>
            <w:vAlign w:val="bottom"/>
          </w:tcPr>
          <w:p>
            <w:pPr>
              <w:pStyle w:val="TableContents"/>
              <w:spacing w:before="0" w:after="283"/>
              <w:rPr/>
            </w:pPr>
            <w:r>
              <w:rPr/>
              <w:t> </w:t>
            </w:r>
          </w:p>
        </w:tc>
        <w:tc>
          <w:tcPr>
            <w:tcW w:w="192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116"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5313"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4426" w:type="dxa"/>
            <w:gridSpan w:val="6"/>
            <w:tcBorders/>
            <w:shd w:fill="auto" w:val="clear"/>
            <w:vAlign w:val="bottom"/>
          </w:tcPr>
          <w:p>
            <w:pPr>
              <w:pStyle w:val="TableContents"/>
              <w:spacing w:before="0" w:after="283"/>
              <w:jc w:val="center"/>
              <w:rPr/>
            </w:pPr>
            <w:r>
              <w:rPr/>
              <w:t>(Dollars in thousands except per share data</w:t>
            </w:r>
          </w:p>
        </w:tc>
        <w:tc>
          <w:tcPr>
            <w:tcW w:w="116" w:type="dxa"/>
            <w:tcBorders/>
            <w:shd w:fill="auto" w:val="clear"/>
            <w:vAlign w:val="bottom"/>
          </w:tcPr>
          <w:p>
            <w:pPr>
              <w:pStyle w:val="TableContents"/>
              <w:spacing w:before="0" w:after="283"/>
              <w:rPr/>
            </w:pPr>
            <w:r>
              <w:rPr/>
              <w:t> </w:t>
            </w:r>
          </w:p>
        </w:tc>
      </w:tr>
      <w:tr>
        <w:trPr/>
        <w:tc>
          <w:tcPr>
            <w:tcW w:w="5313" w:type="dxa"/>
            <w:tcBorders/>
            <w:shd w:fill="CCEEFF" w:val="clear"/>
            <w:vAlign w:val="bottom"/>
          </w:tcPr>
          <w:p>
            <w:pPr>
              <w:pStyle w:val="TableContents"/>
              <w:spacing w:before="0" w:after="0"/>
              <w:ind w:left="225" w:right="0" w:hanging="225"/>
              <w:rPr/>
            </w:pPr>
            <w:r>
              <w:rPr/>
              <w:t>Interest income</w:t>
            </w:r>
          </w:p>
        </w:tc>
        <w:tc>
          <w:tcPr>
            <w:tcW w:w="35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w:t>
            </w:r>
          </w:p>
        </w:tc>
        <w:tc>
          <w:tcPr>
            <w:tcW w:w="1593" w:type="dxa"/>
            <w:tcBorders/>
            <w:shd w:fill="CCEEFF" w:val="clear"/>
            <w:vAlign w:val="bottom"/>
          </w:tcPr>
          <w:p>
            <w:pPr>
              <w:pStyle w:val="TableContents"/>
              <w:spacing w:before="0" w:after="283"/>
              <w:jc w:val="right"/>
              <w:rPr/>
            </w:pPr>
            <w:r>
              <w:rPr/>
              <w:t>90,344</w:t>
            </w:r>
          </w:p>
        </w:tc>
        <w:tc>
          <w:tcPr>
            <w:tcW w:w="173"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w:t>
            </w:r>
          </w:p>
        </w:tc>
        <w:tc>
          <w:tcPr>
            <w:tcW w:w="1596" w:type="dxa"/>
            <w:tcBorders/>
            <w:shd w:fill="CCEEFF" w:val="clear"/>
            <w:vAlign w:val="bottom"/>
          </w:tcPr>
          <w:p>
            <w:pPr>
              <w:pStyle w:val="TableContents"/>
              <w:spacing w:before="0" w:after="283"/>
              <w:jc w:val="right"/>
              <w:rPr/>
            </w:pPr>
            <w:r>
              <w:rPr/>
              <w:t>84,556</w:t>
            </w:r>
          </w:p>
        </w:tc>
        <w:tc>
          <w:tcPr>
            <w:tcW w:w="116" w:type="dxa"/>
            <w:tcBorders/>
            <w:shd w:fill="CCEEFF" w:val="clear"/>
            <w:vAlign w:val="bottom"/>
          </w:tcPr>
          <w:p>
            <w:pPr>
              <w:pStyle w:val="TableContents"/>
              <w:spacing w:before="0" w:after="283"/>
              <w:rPr/>
            </w:pPr>
            <w:r>
              <w:rPr/>
              <w:t> </w:t>
            </w:r>
          </w:p>
        </w:tc>
      </w:tr>
      <w:tr>
        <w:trPr/>
        <w:tc>
          <w:tcPr>
            <w:tcW w:w="5313" w:type="dxa"/>
            <w:tcBorders/>
            <w:shd w:fill="auto" w:val="clear"/>
            <w:vAlign w:val="bottom"/>
          </w:tcPr>
          <w:p>
            <w:pPr>
              <w:pStyle w:val="TableContents"/>
              <w:spacing w:before="0" w:after="0"/>
              <w:ind w:left="225" w:right="0" w:hanging="225"/>
              <w:rPr/>
            </w:pPr>
            <w:r>
              <w:rPr/>
              <w:t>Interest expense</w:t>
            </w:r>
          </w:p>
        </w:tc>
        <w:tc>
          <w:tcPr>
            <w:tcW w:w="3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31,741</w:t>
            </w:r>
          </w:p>
        </w:tc>
        <w:tc>
          <w:tcPr>
            <w:tcW w:w="173"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96" w:type="dxa"/>
            <w:tcBorders/>
            <w:shd w:fill="auto" w:val="clear"/>
            <w:vAlign w:val="bottom"/>
          </w:tcPr>
          <w:p>
            <w:pPr>
              <w:pStyle w:val="TableContents"/>
              <w:spacing w:before="0" w:after="283"/>
              <w:jc w:val="right"/>
              <w:rPr/>
            </w:pPr>
            <w:r>
              <w:rPr/>
              <w:t>30,556</w:t>
            </w:r>
          </w:p>
        </w:tc>
        <w:tc>
          <w:tcPr>
            <w:tcW w:w="116" w:type="dxa"/>
            <w:tcBorders/>
            <w:shd w:fill="auto" w:val="clear"/>
            <w:vAlign w:val="bottom"/>
          </w:tcPr>
          <w:p>
            <w:pPr>
              <w:pStyle w:val="TableContents"/>
              <w:spacing w:before="0" w:after="283"/>
              <w:rPr/>
            </w:pPr>
            <w:r>
              <w:rPr/>
              <w:t> </w:t>
            </w:r>
          </w:p>
        </w:tc>
      </w:tr>
      <w:tr>
        <w:trPr/>
        <w:tc>
          <w:tcPr>
            <w:tcW w:w="5313" w:type="dxa"/>
            <w:tcBorders/>
            <w:shd w:fill="CCEEFF" w:val="clear"/>
            <w:vAlign w:val="bottom"/>
          </w:tcPr>
          <w:p>
            <w:pPr>
              <w:pStyle w:val="TableContents"/>
              <w:spacing w:before="0" w:after="0"/>
              <w:ind w:left="225" w:right="0" w:hanging="225"/>
              <w:rPr/>
            </w:pPr>
            <w:r>
              <w:rPr/>
              <w:t>Provision for loan losses</w:t>
            </w:r>
          </w:p>
        </w:tc>
        <w:tc>
          <w:tcPr>
            <w:tcW w:w="35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3,390</w:t>
            </w:r>
          </w:p>
        </w:tc>
        <w:tc>
          <w:tcPr>
            <w:tcW w:w="173"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96" w:type="dxa"/>
            <w:tcBorders/>
            <w:shd w:fill="CCEEFF" w:val="clear"/>
            <w:vAlign w:val="bottom"/>
          </w:tcPr>
          <w:p>
            <w:pPr>
              <w:pStyle w:val="TableContents"/>
              <w:spacing w:before="0" w:after="283"/>
              <w:jc w:val="right"/>
              <w:rPr/>
            </w:pPr>
            <w:r>
              <w:rPr/>
              <w:t>3,898</w:t>
            </w:r>
          </w:p>
        </w:tc>
        <w:tc>
          <w:tcPr>
            <w:tcW w:w="116" w:type="dxa"/>
            <w:tcBorders/>
            <w:shd w:fill="CCEEFF" w:val="clear"/>
            <w:vAlign w:val="bottom"/>
          </w:tcPr>
          <w:p>
            <w:pPr>
              <w:pStyle w:val="TableContents"/>
              <w:spacing w:before="0" w:after="283"/>
              <w:rPr/>
            </w:pPr>
            <w:r>
              <w:rPr/>
              <w:t> </w:t>
            </w:r>
          </w:p>
        </w:tc>
      </w:tr>
      <w:tr>
        <w:trPr/>
        <w:tc>
          <w:tcPr>
            <w:tcW w:w="5313" w:type="dxa"/>
            <w:tcBorders/>
            <w:shd w:fill="auto" w:val="clear"/>
            <w:vAlign w:val="bottom"/>
          </w:tcPr>
          <w:p>
            <w:pPr>
              <w:pStyle w:val="TableContents"/>
              <w:spacing w:before="0" w:after="0"/>
              <w:ind w:left="225" w:right="0" w:hanging="225"/>
              <w:rPr/>
            </w:pPr>
            <w:r>
              <w:rPr/>
              <w:t>Noninterest income</w:t>
            </w:r>
          </w:p>
        </w:tc>
        <w:tc>
          <w:tcPr>
            <w:tcW w:w="3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jc w:val="right"/>
              <w:rPr/>
            </w:pPr>
            <w:r>
              <w:rPr/>
              <w:t>24,645</w:t>
            </w:r>
          </w:p>
        </w:tc>
        <w:tc>
          <w:tcPr>
            <w:tcW w:w="173"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96" w:type="dxa"/>
            <w:tcBorders/>
            <w:shd w:fill="auto" w:val="clear"/>
            <w:vAlign w:val="bottom"/>
          </w:tcPr>
          <w:p>
            <w:pPr>
              <w:pStyle w:val="TableContents"/>
              <w:spacing w:before="0" w:after="283"/>
              <w:jc w:val="right"/>
              <w:rPr/>
            </w:pPr>
            <w:r>
              <w:rPr/>
              <w:t>26,513</w:t>
            </w:r>
          </w:p>
        </w:tc>
        <w:tc>
          <w:tcPr>
            <w:tcW w:w="116" w:type="dxa"/>
            <w:tcBorders/>
            <w:shd w:fill="auto" w:val="clear"/>
            <w:vAlign w:val="bottom"/>
          </w:tcPr>
          <w:p>
            <w:pPr>
              <w:pStyle w:val="TableContents"/>
              <w:spacing w:before="0" w:after="283"/>
              <w:rPr/>
            </w:pPr>
            <w:r>
              <w:rPr/>
              <w:t> </w:t>
            </w:r>
          </w:p>
        </w:tc>
      </w:tr>
      <w:tr>
        <w:trPr/>
        <w:tc>
          <w:tcPr>
            <w:tcW w:w="5313" w:type="dxa"/>
            <w:tcBorders/>
            <w:shd w:fill="CCEEFF" w:val="clear"/>
            <w:vAlign w:val="bottom"/>
          </w:tcPr>
          <w:p>
            <w:pPr>
              <w:pStyle w:val="TableContents"/>
              <w:spacing w:before="0" w:after="0"/>
              <w:ind w:left="225" w:right="0" w:hanging="225"/>
              <w:rPr/>
            </w:pPr>
            <w:r>
              <w:rPr/>
              <w:t>Noninterest expense</w:t>
            </w:r>
          </w:p>
        </w:tc>
        <w:tc>
          <w:tcPr>
            <w:tcW w:w="35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45,272</w:t>
            </w:r>
          </w:p>
        </w:tc>
        <w:tc>
          <w:tcPr>
            <w:tcW w:w="173"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96" w:type="dxa"/>
            <w:tcBorders/>
            <w:shd w:fill="CCEEFF" w:val="clear"/>
            <w:vAlign w:val="bottom"/>
          </w:tcPr>
          <w:p>
            <w:pPr>
              <w:pStyle w:val="TableContents"/>
              <w:spacing w:before="0" w:after="283"/>
              <w:jc w:val="right"/>
              <w:rPr/>
            </w:pPr>
            <w:r>
              <w:rPr/>
              <w:t>44,541</w:t>
            </w:r>
          </w:p>
        </w:tc>
        <w:tc>
          <w:tcPr>
            <w:tcW w:w="116" w:type="dxa"/>
            <w:tcBorders/>
            <w:shd w:fill="CCEEFF" w:val="clear"/>
            <w:vAlign w:val="bottom"/>
          </w:tcPr>
          <w:p>
            <w:pPr>
              <w:pStyle w:val="TableContents"/>
              <w:spacing w:before="0" w:after="283"/>
              <w:rPr/>
            </w:pPr>
            <w:r>
              <w:rPr/>
              <w:t> </w:t>
            </w:r>
          </w:p>
        </w:tc>
      </w:tr>
      <w:tr>
        <w:trPr/>
        <w:tc>
          <w:tcPr>
            <w:tcW w:w="5313" w:type="dxa"/>
            <w:tcBorders/>
            <w:shd w:fill="auto" w:val="clear"/>
            <w:vAlign w:val="center"/>
          </w:tcPr>
          <w:p>
            <w:pPr>
              <w:pStyle w:val="TableContents"/>
              <w:spacing w:before="0" w:after="0"/>
              <w:ind w:left="225" w:right="0" w:hanging="225"/>
              <w:rPr/>
            </w:pPr>
            <w:r>
              <w:rPr/>
              <w:t> </w:t>
            </w:r>
          </w:p>
        </w:tc>
        <w:tc>
          <w:tcPr>
            <w:tcW w:w="350" w:type="dxa"/>
            <w:tcBorders/>
            <w:shd w:fill="auto" w:val="clear"/>
            <w:vAlign w:val="center"/>
          </w:tcPr>
          <w:p>
            <w:pPr>
              <w:pStyle w:val="TableContents"/>
              <w:spacing w:before="0" w:after="283"/>
              <w:rPr/>
            </w:pPr>
            <w:r>
              <w:rPr/>
              <w:t> </w:t>
            </w:r>
          </w:p>
        </w:tc>
        <w:tc>
          <w:tcPr>
            <w:tcW w:w="19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19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5313" w:type="dxa"/>
            <w:tcBorders/>
            <w:shd w:fill="auto" w:val="clear"/>
            <w:vAlign w:val="bottom"/>
          </w:tcPr>
          <w:p>
            <w:pPr>
              <w:pStyle w:val="TableContents"/>
              <w:spacing w:before="0" w:after="0"/>
              <w:ind w:left="225" w:right="0" w:hanging="225"/>
              <w:rPr/>
            </w:pPr>
            <w:r>
              <w:rPr/>
              <w:t>Income before income taxes</w:t>
            </w:r>
          </w:p>
        </w:tc>
        <w:tc>
          <w:tcPr>
            <w:tcW w:w="3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1593" w:type="dxa"/>
            <w:tcBorders/>
            <w:shd w:fill="auto" w:val="clear"/>
            <w:vAlign w:val="bottom"/>
          </w:tcPr>
          <w:p>
            <w:pPr>
              <w:pStyle w:val="TableContents"/>
              <w:spacing w:before="0" w:after="283"/>
              <w:jc w:val="right"/>
              <w:rPr/>
            </w:pPr>
            <w:r>
              <w:rPr/>
              <w:t>34,586</w:t>
            </w:r>
          </w:p>
        </w:tc>
        <w:tc>
          <w:tcPr>
            <w:tcW w:w="173"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1596" w:type="dxa"/>
            <w:tcBorders/>
            <w:shd w:fill="auto" w:val="clear"/>
            <w:vAlign w:val="bottom"/>
          </w:tcPr>
          <w:p>
            <w:pPr>
              <w:pStyle w:val="TableContents"/>
              <w:spacing w:before="0" w:after="283"/>
              <w:jc w:val="right"/>
              <w:rPr/>
            </w:pPr>
            <w:r>
              <w:rPr/>
              <w:t>32,074</w:t>
            </w:r>
          </w:p>
        </w:tc>
        <w:tc>
          <w:tcPr>
            <w:tcW w:w="116" w:type="dxa"/>
            <w:tcBorders/>
            <w:shd w:fill="auto" w:val="clear"/>
            <w:vAlign w:val="bottom"/>
          </w:tcPr>
          <w:p>
            <w:pPr>
              <w:pStyle w:val="TableContents"/>
              <w:spacing w:before="0" w:after="283"/>
              <w:rPr/>
            </w:pPr>
            <w:r>
              <w:rPr/>
              <w:t> </w:t>
            </w:r>
          </w:p>
        </w:tc>
      </w:tr>
      <w:tr>
        <w:trPr/>
        <w:tc>
          <w:tcPr>
            <w:tcW w:w="5313" w:type="dxa"/>
            <w:tcBorders/>
            <w:shd w:fill="CCEEFF" w:val="clear"/>
            <w:vAlign w:val="bottom"/>
          </w:tcPr>
          <w:p>
            <w:pPr>
              <w:pStyle w:val="TableContents"/>
              <w:spacing w:before="0" w:after="0"/>
              <w:ind w:left="225" w:right="0" w:hanging="225"/>
              <w:rPr/>
            </w:pPr>
            <w:r>
              <w:rPr/>
              <w:t>Income taxes</w:t>
            </w:r>
          </w:p>
        </w:tc>
        <w:tc>
          <w:tcPr>
            <w:tcW w:w="35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93" w:type="dxa"/>
            <w:tcBorders/>
            <w:shd w:fill="CCEEFF" w:val="clear"/>
            <w:vAlign w:val="bottom"/>
          </w:tcPr>
          <w:p>
            <w:pPr>
              <w:pStyle w:val="TableContents"/>
              <w:spacing w:before="0" w:after="283"/>
              <w:jc w:val="right"/>
              <w:rPr/>
            </w:pPr>
            <w:r>
              <w:rPr/>
              <w:t>11,585</w:t>
            </w:r>
          </w:p>
        </w:tc>
        <w:tc>
          <w:tcPr>
            <w:tcW w:w="173"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96" w:type="dxa"/>
            <w:tcBorders/>
            <w:shd w:fill="CCEEFF" w:val="clear"/>
            <w:vAlign w:val="bottom"/>
          </w:tcPr>
          <w:p>
            <w:pPr>
              <w:pStyle w:val="TableContents"/>
              <w:spacing w:before="0" w:after="283"/>
              <w:jc w:val="right"/>
              <w:rPr/>
            </w:pPr>
            <w:r>
              <w:rPr/>
              <w:t>10,682</w:t>
            </w:r>
          </w:p>
        </w:tc>
        <w:tc>
          <w:tcPr>
            <w:tcW w:w="116" w:type="dxa"/>
            <w:tcBorders/>
            <w:shd w:fill="CCEEFF" w:val="clear"/>
            <w:vAlign w:val="bottom"/>
          </w:tcPr>
          <w:p>
            <w:pPr>
              <w:pStyle w:val="TableContents"/>
              <w:spacing w:before="0" w:after="283"/>
              <w:rPr/>
            </w:pPr>
            <w:r>
              <w:rPr/>
              <w:t> </w:t>
            </w:r>
          </w:p>
        </w:tc>
      </w:tr>
      <w:tr>
        <w:trPr/>
        <w:tc>
          <w:tcPr>
            <w:tcW w:w="5313" w:type="dxa"/>
            <w:tcBorders/>
            <w:shd w:fill="auto" w:val="clear"/>
            <w:vAlign w:val="center"/>
          </w:tcPr>
          <w:p>
            <w:pPr>
              <w:pStyle w:val="TableContents"/>
              <w:spacing w:before="0" w:after="0"/>
              <w:ind w:left="225" w:right="0" w:hanging="225"/>
              <w:rPr/>
            </w:pPr>
            <w:r>
              <w:rPr/>
              <w:t> </w:t>
            </w:r>
          </w:p>
        </w:tc>
        <w:tc>
          <w:tcPr>
            <w:tcW w:w="350" w:type="dxa"/>
            <w:tcBorders/>
            <w:shd w:fill="auto" w:val="clear"/>
            <w:vAlign w:val="center"/>
          </w:tcPr>
          <w:p>
            <w:pPr>
              <w:pStyle w:val="TableContents"/>
              <w:spacing w:before="0" w:after="283"/>
              <w:rPr/>
            </w:pPr>
            <w:r>
              <w:rPr/>
              <w:t> </w:t>
            </w:r>
          </w:p>
        </w:tc>
        <w:tc>
          <w:tcPr>
            <w:tcW w:w="19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19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5313" w:type="dxa"/>
            <w:tcBorders/>
            <w:shd w:fill="auto" w:val="clear"/>
            <w:vAlign w:val="bottom"/>
          </w:tcPr>
          <w:p>
            <w:pPr>
              <w:pStyle w:val="TableContents"/>
              <w:spacing w:before="0" w:after="0"/>
              <w:ind w:left="225" w:right="0" w:hanging="225"/>
              <w:rPr/>
            </w:pPr>
            <w:r>
              <w:rPr/>
              <w:t>Net income</w:t>
            </w:r>
          </w:p>
        </w:tc>
        <w:tc>
          <w:tcPr>
            <w:tcW w:w="3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1593" w:type="dxa"/>
            <w:tcBorders/>
            <w:shd w:fill="auto" w:val="clear"/>
            <w:vAlign w:val="bottom"/>
          </w:tcPr>
          <w:p>
            <w:pPr>
              <w:pStyle w:val="TableContents"/>
              <w:spacing w:before="0" w:after="283"/>
              <w:jc w:val="right"/>
              <w:rPr/>
            </w:pPr>
            <w:r>
              <w:rPr/>
              <w:t>23,001</w:t>
            </w:r>
          </w:p>
        </w:tc>
        <w:tc>
          <w:tcPr>
            <w:tcW w:w="173"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1596" w:type="dxa"/>
            <w:tcBorders/>
            <w:shd w:fill="auto" w:val="clear"/>
            <w:vAlign w:val="bottom"/>
          </w:tcPr>
          <w:p>
            <w:pPr>
              <w:pStyle w:val="TableContents"/>
              <w:spacing w:before="0" w:after="283"/>
              <w:jc w:val="right"/>
              <w:rPr/>
            </w:pPr>
            <w:r>
              <w:rPr/>
              <w:t>21,392</w:t>
            </w:r>
          </w:p>
        </w:tc>
        <w:tc>
          <w:tcPr>
            <w:tcW w:w="116" w:type="dxa"/>
            <w:tcBorders/>
            <w:shd w:fill="auto" w:val="clear"/>
            <w:vAlign w:val="bottom"/>
          </w:tcPr>
          <w:p>
            <w:pPr>
              <w:pStyle w:val="TableContents"/>
              <w:spacing w:before="0" w:after="283"/>
              <w:rPr/>
            </w:pPr>
            <w:r>
              <w:rPr/>
              <w:t> </w:t>
            </w:r>
          </w:p>
        </w:tc>
      </w:tr>
      <w:tr>
        <w:trPr/>
        <w:tc>
          <w:tcPr>
            <w:tcW w:w="5313" w:type="dxa"/>
            <w:tcBorders/>
            <w:shd w:fill="auto" w:val="clear"/>
            <w:vAlign w:val="center"/>
          </w:tcPr>
          <w:p>
            <w:pPr>
              <w:pStyle w:val="TableContents"/>
              <w:spacing w:before="0" w:after="0"/>
              <w:ind w:left="225" w:right="0" w:hanging="225"/>
              <w:rPr/>
            </w:pPr>
            <w:r>
              <w:rPr/>
              <w:t> </w:t>
            </w:r>
          </w:p>
        </w:tc>
        <w:tc>
          <w:tcPr>
            <w:tcW w:w="350" w:type="dxa"/>
            <w:tcBorders/>
            <w:shd w:fill="auto" w:val="clear"/>
            <w:vAlign w:val="center"/>
          </w:tcPr>
          <w:p>
            <w:pPr>
              <w:pStyle w:val="TableContents"/>
              <w:spacing w:before="0" w:after="283"/>
              <w:rPr/>
            </w:pPr>
            <w:r>
              <w:rPr/>
              <w:t> </w:t>
            </w:r>
          </w:p>
        </w:tc>
        <w:tc>
          <w:tcPr>
            <w:tcW w:w="19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19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5313" w:type="dxa"/>
            <w:tcBorders/>
            <w:shd w:fill="auto" w:val="clear"/>
            <w:vAlign w:val="bottom"/>
          </w:tcPr>
          <w:p>
            <w:pPr>
              <w:pStyle w:val="TableContents"/>
              <w:spacing w:before="0" w:after="0"/>
              <w:ind w:left="225" w:right="0" w:hanging="225"/>
              <w:rPr/>
            </w:pPr>
            <w:r>
              <w:rPr/>
              <w:t> </w:t>
            </w:r>
          </w:p>
        </w:tc>
        <w:tc>
          <w:tcPr>
            <w:tcW w:w="3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93"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9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5313" w:type="dxa"/>
            <w:tcBorders/>
            <w:shd w:fill="CCEEFF" w:val="clear"/>
            <w:vAlign w:val="bottom"/>
          </w:tcPr>
          <w:p>
            <w:pPr>
              <w:pStyle w:val="TableContents"/>
              <w:spacing w:before="0" w:after="0"/>
              <w:ind w:left="225" w:right="0" w:hanging="225"/>
              <w:rPr/>
            </w:pPr>
            <w:r>
              <w:rPr/>
              <w:t>Earnings per share  basic</w:t>
            </w:r>
          </w:p>
        </w:tc>
        <w:tc>
          <w:tcPr>
            <w:tcW w:w="35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w:t>
            </w:r>
          </w:p>
        </w:tc>
        <w:tc>
          <w:tcPr>
            <w:tcW w:w="1593" w:type="dxa"/>
            <w:tcBorders/>
            <w:shd w:fill="CCEEFF" w:val="clear"/>
            <w:vAlign w:val="bottom"/>
          </w:tcPr>
          <w:p>
            <w:pPr>
              <w:pStyle w:val="TableContents"/>
              <w:spacing w:before="0" w:after="283"/>
              <w:jc w:val="right"/>
              <w:rPr/>
            </w:pPr>
            <w:r>
              <w:rPr/>
              <w:t>1.13</w:t>
            </w:r>
          </w:p>
        </w:tc>
        <w:tc>
          <w:tcPr>
            <w:tcW w:w="173"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w:t>
            </w:r>
          </w:p>
        </w:tc>
        <w:tc>
          <w:tcPr>
            <w:tcW w:w="1596" w:type="dxa"/>
            <w:tcBorders/>
            <w:shd w:fill="CCEEFF" w:val="clear"/>
            <w:vAlign w:val="bottom"/>
          </w:tcPr>
          <w:p>
            <w:pPr>
              <w:pStyle w:val="TableContents"/>
              <w:spacing w:before="0" w:after="283"/>
              <w:jc w:val="right"/>
              <w:rPr/>
            </w:pPr>
            <w:r>
              <w:rPr/>
              <w:t>1.05</w:t>
            </w:r>
          </w:p>
        </w:tc>
        <w:tc>
          <w:tcPr>
            <w:tcW w:w="116" w:type="dxa"/>
            <w:tcBorders/>
            <w:shd w:fill="CCEEFF" w:val="clear"/>
            <w:vAlign w:val="bottom"/>
          </w:tcPr>
          <w:p>
            <w:pPr>
              <w:pStyle w:val="TableContents"/>
              <w:spacing w:before="0" w:after="283"/>
              <w:rPr/>
            </w:pPr>
            <w:r>
              <w:rPr/>
              <w:t> </w:t>
            </w:r>
          </w:p>
        </w:tc>
      </w:tr>
      <w:tr>
        <w:trPr/>
        <w:tc>
          <w:tcPr>
            <w:tcW w:w="5313" w:type="dxa"/>
            <w:tcBorders/>
            <w:shd w:fill="auto" w:val="clear"/>
            <w:vAlign w:val="center"/>
          </w:tcPr>
          <w:p>
            <w:pPr>
              <w:pStyle w:val="TableContents"/>
              <w:spacing w:before="0" w:after="0"/>
              <w:ind w:left="225" w:right="0" w:hanging="225"/>
              <w:rPr/>
            </w:pPr>
            <w:r>
              <w:rPr/>
              <w:t> </w:t>
            </w:r>
          </w:p>
        </w:tc>
        <w:tc>
          <w:tcPr>
            <w:tcW w:w="350" w:type="dxa"/>
            <w:tcBorders/>
            <w:shd w:fill="auto" w:val="clear"/>
            <w:vAlign w:val="center"/>
          </w:tcPr>
          <w:p>
            <w:pPr>
              <w:pStyle w:val="TableContents"/>
              <w:spacing w:before="0" w:after="283"/>
              <w:rPr/>
            </w:pPr>
            <w:r>
              <w:rPr/>
              <w:t> </w:t>
            </w:r>
          </w:p>
        </w:tc>
        <w:tc>
          <w:tcPr>
            <w:tcW w:w="19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19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5313" w:type="dxa"/>
            <w:tcBorders/>
            <w:shd w:fill="auto" w:val="clear"/>
            <w:vAlign w:val="bottom"/>
          </w:tcPr>
          <w:p>
            <w:pPr>
              <w:pStyle w:val="TableContents"/>
              <w:spacing w:before="0" w:after="0"/>
              <w:ind w:left="225" w:right="0" w:hanging="225"/>
              <w:rPr/>
            </w:pPr>
            <w:r>
              <w:rPr/>
              <w:t>Earnings per share  diluted</w:t>
            </w:r>
          </w:p>
        </w:tc>
        <w:tc>
          <w:tcPr>
            <w:tcW w:w="3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1593" w:type="dxa"/>
            <w:tcBorders/>
            <w:shd w:fill="auto" w:val="clear"/>
            <w:vAlign w:val="bottom"/>
          </w:tcPr>
          <w:p>
            <w:pPr>
              <w:pStyle w:val="TableContents"/>
              <w:spacing w:before="0" w:after="283"/>
              <w:jc w:val="right"/>
              <w:rPr/>
            </w:pPr>
            <w:r>
              <w:rPr/>
              <w:t>1.12</w:t>
            </w:r>
          </w:p>
        </w:tc>
        <w:tc>
          <w:tcPr>
            <w:tcW w:w="173"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1596" w:type="dxa"/>
            <w:tcBorders/>
            <w:shd w:fill="auto" w:val="clear"/>
            <w:vAlign w:val="bottom"/>
          </w:tcPr>
          <w:p>
            <w:pPr>
              <w:pStyle w:val="TableContents"/>
              <w:spacing w:before="0" w:after="283"/>
              <w:jc w:val="right"/>
              <w:rPr/>
            </w:pPr>
            <w:r>
              <w:rPr/>
              <w:t>1.04</w:t>
            </w:r>
          </w:p>
        </w:tc>
        <w:tc>
          <w:tcPr>
            <w:tcW w:w="116" w:type="dxa"/>
            <w:tcBorders/>
            <w:shd w:fill="auto" w:val="clear"/>
            <w:vAlign w:val="bottom"/>
          </w:tcPr>
          <w:p>
            <w:pPr>
              <w:pStyle w:val="TableContents"/>
              <w:spacing w:before="0" w:after="283"/>
              <w:rPr/>
            </w:pPr>
            <w:r>
              <w:rPr/>
              <w:t> </w:t>
            </w:r>
          </w:p>
        </w:tc>
      </w:tr>
      <w:tr>
        <w:trPr/>
        <w:tc>
          <w:tcPr>
            <w:tcW w:w="5313" w:type="dxa"/>
            <w:tcBorders/>
            <w:shd w:fill="auto" w:val="clear"/>
            <w:vAlign w:val="center"/>
          </w:tcPr>
          <w:p>
            <w:pPr>
              <w:pStyle w:val="TableContents"/>
              <w:spacing w:before="0" w:after="0"/>
              <w:ind w:left="225" w:right="0" w:hanging="225"/>
              <w:rPr/>
            </w:pPr>
            <w:r>
              <w:rPr/>
              <w:t> </w:t>
            </w:r>
          </w:p>
        </w:tc>
        <w:tc>
          <w:tcPr>
            <w:tcW w:w="350" w:type="dxa"/>
            <w:tcBorders/>
            <w:shd w:fill="auto" w:val="clear"/>
            <w:vAlign w:val="center"/>
          </w:tcPr>
          <w:p>
            <w:pPr>
              <w:pStyle w:val="TableContents"/>
              <w:spacing w:before="0" w:after="283"/>
              <w:rPr/>
            </w:pPr>
            <w:r>
              <w:rPr/>
              <w:t> </w:t>
            </w:r>
          </w:p>
        </w:tc>
        <w:tc>
          <w:tcPr>
            <w:tcW w:w="19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14" w:type="dxa"/>
            <w:tcBorders/>
            <w:shd w:fill="auto" w:val="clear"/>
            <w:vAlign w:val="center"/>
          </w:tcPr>
          <w:p>
            <w:pPr>
              <w:pStyle w:val="TableContents"/>
              <w:spacing w:before="0" w:after="283"/>
              <w:rPr/>
            </w:pPr>
            <w:r>
              <w:rPr/>
              <w:t> </w:t>
            </w:r>
          </w:p>
        </w:tc>
        <w:tc>
          <w:tcPr>
            <w:tcW w:w="19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bl>
    <w:p>
      <w:pPr>
        <w:pStyle w:val="TextBody"/>
        <w:spacing w:before="240" w:after="283"/>
        <w:jc w:val="left"/>
        <w:rPr>
          <w:rFonts w:ascii="Arial;Helvetica;sans-serif" w:hAnsi="Arial;Helvetica;sans-serif"/>
          <w:sz w:val="17"/>
        </w:rPr>
      </w:pPr>
      <w:r>
        <w:rPr>
          <w:rFonts w:ascii="Arial;Helvetica;sans-serif" w:hAnsi="Arial;Helvetica;sans-serif"/>
          <w:b/>
          <w:sz w:val="17"/>
        </w:rPr>
        <w:t>Note 3. Cash and Due from Banks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Corporations banking and thrift subsidiaries are required to maintain certain cash reserve balances with the Federal Reserve Banks of Chicago and Atlanta, which may be offset by cash on hand. The required reserve balances as of December 31, 2005 and 2004 were approximately $20,963,000 and $16,004,000, respectively.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Busey Bank and First Capital Bank have established clearing balance requirements with the Federal Reserve Bank of Chicago to use Federal Reserve Bank services. As of December 31, 2005, the clearing balance requirements totaled $2,750,000. As of December 31, 2004, the clearing balance requirement was $3,000,000.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These deposited funds generate earnings credits at market rates which offset service charges resulting from the use of Federal Reserve Bank services. The clearing balance requirement is included in the required reserve balance referred to above and may be increased, or otherwise adjusted, on approval of the Federal Reserve Bank based on estimated service charges; however, such adjustments will be made no more frequently than once per month.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Corporation maintains its cash in deposit accounts which, at times, may exceed federally insured limits. The Corporation has not experienced any losses in such accounts. Management believes the Corporation is not exposed to any significant credit risk on cash and cash equivalents. </w:t>
      </w:r>
    </w:p>
    <w:p>
      <w:pPr>
        <w:pStyle w:val="TextBody"/>
        <w:jc w:val="center"/>
        <w:rPr>
          <w:rFonts w:ascii="Arial;Helvetica;sans-serif" w:hAnsi="Arial;Helvetica;sans-serif"/>
          <w:sz w:val="17"/>
        </w:rPr>
      </w:pPr>
      <w:r>
        <w:rPr>
          <w:rFonts w:ascii="Arial;Helvetica;sans-serif" w:hAnsi="Arial;Helvetica;sans-serif"/>
          <w:sz w:val="17"/>
        </w:rPr>
        <w:t xml:space="preserve">66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 4. Securities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amortized cost and fair values of securities available for sale are summarized as follows: </w:t>
      </w:r>
    </w:p>
    <w:tbl>
      <w:tblPr>
        <w:tblW w:w="5000" w:type="pct"/>
        <w:jc w:val="center"/>
        <w:tblInd w:w="0" w:type="dxa"/>
        <w:tblCellMar>
          <w:top w:w="0" w:type="dxa"/>
          <w:left w:w="0" w:type="dxa"/>
          <w:bottom w:w="0" w:type="dxa"/>
          <w:right w:w="0" w:type="dxa"/>
        </w:tblCellMar>
      </w:tblPr>
      <w:tblGrid>
        <w:gridCol w:w="4090"/>
        <w:gridCol w:w="334"/>
        <w:gridCol w:w="168"/>
        <w:gridCol w:w="927"/>
        <w:gridCol w:w="101"/>
        <w:gridCol w:w="334"/>
        <w:gridCol w:w="189"/>
        <w:gridCol w:w="928"/>
        <w:gridCol w:w="101"/>
        <w:gridCol w:w="333"/>
        <w:gridCol w:w="211"/>
        <w:gridCol w:w="906"/>
        <w:gridCol w:w="101"/>
        <w:gridCol w:w="334"/>
        <w:gridCol w:w="160"/>
        <w:gridCol w:w="874"/>
        <w:gridCol w:w="114"/>
      </w:tblGrid>
      <w:tr>
        <w:trPr/>
        <w:tc>
          <w:tcPr>
            <w:tcW w:w="409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283"/>
              <w:jc w:val="center"/>
              <w:rPr/>
            </w:pPr>
            <w:r>
              <w:rPr/>
              <w:t>Gross</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283"/>
              <w:jc w:val="center"/>
              <w:rPr/>
            </w:pPr>
            <w:r>
              <w:rPr/>
              <w:t>Gross</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034" w:type="dxa"/>
            <w:gridSpan w:val="2"/>
            <w:tcBorders/>
            <w:shd w:fill="auto" w:val="clear"/>
            <w:vAlign w:val="bottom"/>
          </w:tcPr>
          <w:p>
            <w:pPr>
              <w:pStyle w:val="TableContents"/>
              <w:spacing w:before="0" w:after="283"/>
              <w:jc w:val="center"/>
              <w:rPr/>
            </w:pPr>
            <w:r>
              <w:rPr/>
              <w:t> </w:t>
            </w:r>
          </w:p>
        </w:tc>
        <w:tc>
          <w:tcPr>
            <w:tcW w:w="114" w:type="dxa"/>
            <w:tcBorders/>
            <w:shd w:fill="auto" w:val="cle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095" w:type="dxa"/>
            <w:gridSpan w:val="2"/>
            <w:tcBorders/>
            <w:shd w:fill="auto" w:val="clear"/>
            <w:vAlign w:val="bottom"/>
          </w:tcPr>
          <w:p>
            <w:pPr>
              <w:pStyle w:val="TableContents"/>
              <w:spacing w:before="0" w:after="283"/>
              <w:jc w:val="center"/>
              <w:rPr/>
            </w:pPr>
            <w:r>
              <w:rPr/>
              <w:t>Amortized</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283"/>
              <w:jc w:val="center"/>
              <w:rPr/>
            </w:pPr>
            <w:r>
              <w:rPr/>
              <w:t>Unrealized</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283"/>
              <w:jc w:val="center"/>
              <w:rPr/>
            </w:pPr>
            <w:r>
              <w:rPr/>
              <w:t>Unrealized</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034" w:type="dxa"/>
            <w:gridSpan w:val="2"/>
            <w:tcBorders/>
            <w:shd w:fill="auto" w:val="clear"/>
            <w:vAlign w:val="bottom"/>
          </w:tcPr>
          <w:p>
            <w:pPr>
              <w:pStyle w:val="TableContents"/>
              <w:spacing w:before="0" w:after="283"/>
              <w:jc w:val="center"/>
              <w:rPr/>
            </w:pPr>
            <w:r>
              <w:rPr/>
              <w:t>Fair</w:t>
            </w:r>
          </w:p>
        </w:tc>
        <w:tc>
          <w:tcPr>
            <w:tcW w:w="114" w:type="dxa"/>
            <w:tcBorders/>
            <w:shd w:fill="auto" w:val="clear"/>
            <w:vAlign w:val="bottom"/>
          </w:tcPr>
          <w:p>
            <w:pPr>
              <w:pStyle w:val="TableContents"/>
              <w:spacing w:before="0" w:after="283"/>
              <w:rPr/>
            </w:pPr>
            <w:r>
              <w:rPr/>
              <w:t> </w:t>
            </w:r>
          </w:p>
        </w:tc>
      </w:tr>
      <w:tr>
        <w:trPr/>
        <w:tc>
          <w:tcPr>
            <w:tcW w:w="4090" w:type="dxa"/>
            <w:tcBorders>
              <w:bottom w:val="single" w:sz="2" w:space="0" w:color="000000"/>
            </w:tcBorders>
            <w:shd w:fill="auto" w:val="clear"/>
            <w:tcMar>
              <w:bottom w:w="28" w:type="dxa"/>
            </w:tcMar>
            <w:vAlign w:val="bottom"/>
          </w:tcPr>
          <w:p>
            <w:pPr>
              <w:pStyle w:val="TableContents"/>
              <w:spacing w:before="0" w:after="0"/>
              <w:ind w:left="225" w:right="0" w:hanging="225"/>
              <w:rPr/>
            </w:pPr>
            <w:r>
              <w:rPr/>
              <w:t>December 31, 2005:</w:t>
            </w:r>
          </w:p>
        </w:tc>
        <w:tc>
          <w:tcPr>
            <w:tcW w:w="334" w:type="dxa"/>
            <w:tcBorders/>
            <w:shd w:fill="auto" w:val="clear"/>
            <w:vAlign w:val="bottom"/>
          </w:tcPr>
          <w:p>
            <w:pPr>
              <w:pStyle w:val="TableContents"/>
              <w:spacing w:before="0" w:after="283"/>
              <w:rPr/>
            </w:pPr>
            <w:r>
              <w:rPr/>
              <w:t> </w:t>
            </w:r>
          </w:p>
        </w:tc>
        <w:tc>
          <w:tcPr>
            <w:tcW w:w="1095" w:type="dxa"/>
            <w:gridSpan w:val="2"/>
            <w:tcBorders>
              <w:bottom w:val="single" w:sz="2" w:space="0" w:color="000000"/>
            </w:tcBorders>
            <w:shd w:fill="auto" w:val="clear"/>
            <w:tcMar>
              <w:bottom w:w="28" w:type="dxa"/>
            </w:tcMar>
            <w:vAlign w:val="bottom"/>
          </w:tcPr>
          <w:p>
            <w:pPr>
              <w:pStyle w:val="TableContents"/>
              <w:spacing w:before="0" w:after="283"/>
              <w:jc w:val="center"/>
              <w:rPr/>
            </w:pPr>
            <w:r>
              <w:rPr/>
              <w:t>Cost</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334" w:type="dxa"/>
            <w:tcBorders>
              <w:bottom w:val="single" w:sz="2" w:space="0" w:color="000000"/>
            </w:tcBorders>
            <w:shd w:fill="auto" w:val="clear"/>
            <w:tcMar>
              <w:bottom w:w="28" w:type="dxa"/>
            </w:tcMar>
            <w:vAlign w:val="bottom"/>
          </w:tcPr>
          <w:p>
            <w:pPr>
              <w:pStyle w:val="TableContents"/>
              <w:spacing w:before="0" w:after="283"/>
              <w:rPr/>
            </w:pPr>
            <w:r>
              <w:rPr/>
              <w:t> </w:t>
            </w:r>
          </w:p>
        </w:tc>
        <w:tc>
          <w:tcPr>
            <w:tcW w:w="1117" w:type="dxa"/>
            <w:gridSpan w:val="2"/>
            <w:tcBorders>
              <w:bottom w:val="single" w:sz="2" w:space="0" w:color="000000"/>
            </w:tcBorders>
            <w:shd w:fill="auto" w:val="clear"/>
            <w:tcMar>
              <w:bottom w:w="28" w:type="dxa"/>
            </w:tcMar>
            <w:vAlign w:val="bottom"/>
          </w:tcPr>
          <w:p>
            <w:pPr>
              <w:pStyle w:val="TableContents"/>
              <w:spacing w:before="0" w:after="283"/>
              <w:jc w:val="center"/>
              <w:rPr/>
            </w:pPr>
            <w:r>
              <w:rPr/>
              <w:t>Gains</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333" w:type="dxa"/>
            <w:tcBorders>
              <w:bottom w:val="single" w:sz="2" w:space="0" w:color="000000"/>
            </w:tcBorders>
            <w:shd w:fill="auto" w:val="clear"/>
            <w:tcMar>
              <w:bottom w:w="28" w:type="dxa"/>
            </w:tcMar>
            <w:vAlign w:val="bottom"/>
          </w:tcPr>
          <w:p>
            <w:pPr>
              <w:pStyle w:val="TableContents"/>
              <w:spacing w:before="0" w:after="283"/>
              <w:rPr/>
            </w:pPr>
            <w:r>
              <w:rPr/>
              <w:t> </w:t>
            </w:r>
          </w:p>
        </w:tc>
        <w:tc>
          <w:tcPr>
            <w:tcW w:w="1117" w:type="dxa"/>
            <w:gridSpan w:val="2"/>
            <w:tcBorders>
              <w:bottom w:val="single" w:sz="2" w:space="0" w:color="000000"/>
            </w:tcBorders>
            <w:shd w:fill="auto" w:val="clear"/>
            <w:tcMar>
              <w:bottom w:w="28" w:type="dxa"/>
            </w:tcMar>
            <w:vAlign w:val="bottom"/>
          </w:tcPr>
          <w:p>
            <w:pPr>
              <w:pStyle w:val="TableContents"/>
              <w:spacing w:before="0" w:after="283"/>
              <w:jc w:val="center"/>
              <w:rPr/>
            </w:pPr>
            <w:r>
              <w:rPr/>
              <w:t>Losses</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334" w:type="dxa"/>
            <w:tcBorders>
              <w:bottom w:val="single" w:sz="2" w:space="0" w:color="000000"/>
            </w:tcBorders>
            <w:shd w:fill="auto" w:val="clear"/>
            <w:tcMar>
              <w:bottom w:w="28" w:type="dxa"/>
            </w:tcMar>
            <w:vAlign w:val="bottom"/>
          </w:tcPr>
          <w:p>
            <w:pPr>
              <w:pStyle w:val="TableContents"/>
              <w:spacing w:before="0" w:after="283"/>
              <w:rPr/>
            </w:pPr>
            <w:r>
              <w:rPr/>
              <w:t> </w:t>
            </w:r>
          </w:p>
        </w:tc>
        <w:tc>
          <w:tcPr>
            <w:tcW w:w="1034"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114"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5667" w:type="dxa"/>
            <w:gridSpan w:val="14"/>
            <w:tcBorders/>
            <w:shd w:fill="auto" w:val="clear"/>
            <w:vAlign w:val="bottom"/>
          </w:tcPr>
          <w:p>
            <w:pPr>
              <w:pStyle w:val="TableContents"/>
              <w:spacing w:before="0" w:after="283"/>
              <w:jc w:val="center"/>
              <w:rPr/>
            </w:pPr>
            <w:r>
              <w:rPr/>
              <w:t>(Dollars in thousands)</w:t>
            </w:r>
          </w:p>
        </w:tc>
        <w:tc>
          <w:tcPr>
            <w:tcW w:w="114" w:type="dxa"/>
            <w:tcBorders/>
            <w:shd w:fill="auto" w:val="clear"/>
            <w:vAlign w:val="bottom"/>
          </w:tcPr>
          <w:p>
            <w:pPr>
              <w:pStyle w:val="TableContents"/>
              <w:spacing w:before="0" w:after="283"/>
              <w:rPr/>
            </w:pPr>
            <w:r>
              <w:rPr/>
              <w:t> </w:t>
            </w:r>
          </w:p>
        </w:tc>
      </w:tr>
      <w:tr>
        <w:trPr/>
        <w:tc>
          <w:tcPr>
            <w:tcW w:w="4090" w:type="dxa"/>
            <w:tcBorders/>
            <w:shd w:fill="CCEEFF" w:val="clear"/>
            <w:vAlign w:val="bottom"/>
          </w:tcPr>
          <w:p>
            <w:pPr>
              <w:pStyle w:val="TableContents"/>
              <w:spacing w:before="0" w:after="0"/>
              <w:ind w:left="225" w:right="0" w:hanging="225"/>
              <w:rPr/>
            </w:pPr>
            <w:r>
              <w:rPr/>
              <w:t>U.S. Treasury securities and obligations of U.S. government corporations and agencies</w:t>
            </w:r>
          </w:p>
        </w:tc>
        <w:tc>
          <w:tcPr>
            <w:tcW w:w="33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927" w:type="dxa"/>
            <w:tcBorders/>
            <w:shd w:fill="CCEEFF" w:val="clear"/>
            <w:vAlign w:val="bottom"/>
          </w:tcPr>
          <w:p>
            <w:pPr>
              <w:pStyle w:val="TableContents"/>
              <w:spacing w:before="0" w:after="283"/>
              <w:jc w:val="right"/>
              <w:rPr/>
            </w:pPr>
            <w:r>
              <w:rPr/>
              <w:t>204,538</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w:t>
            </w:r>
          </w:p>
        </w:tc>
        <w:tc>
          <w:tcPr>
            <w:tcW w:w="928" w:type="dxa"/>
            <w:tcBorders/>
            <w:shd w:fill="CCEEFF" w:val="clear"/>
            <w:vAlign w:val="bottom"/>
          </w:tcPr>
          <w:p>
            <w:pPr>
              <w:pStyle w:val="TableContents"/>
              <w:spacing w:before="0" w:after="283"/>
              <w:jc w:val="right"/>
              <w:rPr/>
            </w:pPr>
            <w:r>
              <w:rPr/>
              <w:t>88</w:t>
            </w:r>
          </w:p>
        </w:tc>
        <w:tc>
          <w:tcPr>
            <w:tcW w:w="101"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906" w:type="dxa"/>
            <w:tcBorders/>
            <w:shd w:fill="CCEEFF" w:val="clear"/>
            <w:vAlign w:val="bottom"/>
          </w:tcPr>
          <w:p>
            <w:pPr>
              <w:pStyle w:val="TableContents"/>
              <w:spacing w:before="0" w:after="283"/>
              <w:jc w:val="right"/>
              <w:rPr/>
            </w:pPr>
            <w:r>
              <w:rPr/>
              <w:t>1,702</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202,924</w:t>
            </w:r>
          </w:p>
        </w:tc>
        <w:tc>
          <w:tcPr>
            <w:tcW w:w="114" w:type="dxa"/>
            <w:tcBorders/>
            <w:shd w:fill="CCEEFF" w:val="cle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0"/>
              <w:ind w:left="225" w:right="0" w:hanging="225"/>
              <w:rPr/>
            </w:pPr>
            <w:r>
              <w:rPr/>
              <w:t>Obligations of states and political Subdivisions</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81,994</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826</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763</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82,057</w:t>
            </w:r>
          </w:p>
        </w:tc>
        <w:tc>
          <w:tcPr>
            <w:tcW w:w="114" w:type="dxa"/>
            <w:tcBorders/>
            <w:shd w:fill="auto" w:val="clear"/>
            <w:vAlign w:val="bottom"/>
          </w:tcPr>
          <w:p>
            <w:pPr>
              <w:pStyle w:val="TableContents"/>
              <w:spacing w:before="0" w:after="283"/>
              <w:rPr/>
            </w:pPr>
            <w:r>
              <w:rPr/>
              <w:t> </w:t>
            </w:r>
          </w:p>
        </w:tc>
      </w:tr>
      <w:tr>
        <w:trPr/>
        <w:tc>
          <w:tcPr>
            <w:tcW w:w="4090" w:type="dxa"/>
            <w:tcBorders/>
            <w:shd w:fill="CCEEFF" w:val="clear"/>
            <w:vAlign w:val="bottom"/>
          </w:tcPr>
          <w:p>
            <w:pPr>
              <w:pStyle w:val="TableContents"/>
              <w:spacing w:before="0" w:after="0"/>
              <w:ind w:left="225" w:right="0" w:hanging="225"/>
              <w:rPr/>
            </w:pPr>
            <w:r>
              <w:rPr/>
              <w:t>Mortgage-backed securities</w:t>
            </w:r>
          </w:p>
        </w:tc>
        <w:tc>
          <w:tcPr>
            <w:tcW w:w="33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16,803</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106</w:t>
            </w:r>
          </w:p>
        </w:tc>
        <w:tc>
          <w:tcPr>
            <w:tcW w:w="101"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72</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16,837</w:t>
            </w:r>
          </w:p>
        </w:tc>
        <w:tc>
          <w:tcPr>
            <w:tcW w:w="114" w:type="dxa"/>
            <w:tcBorders/>
            <w:shd w:fill="CCEEFF" w:val="cle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0"/>
              <w:ind w:left="225" w:right="0" w:hanging="225"/>
              <w:rPr/>
            </w:pPr>
            <w:r>
              <w:rPr/>
              <w:t>Corporate debt securities</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2,959</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7</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40</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2,926</w:t>
            </w:r>
          </w:p>
        </w:tc>
        <w:tc>
          <w:tcPr>
            <w:tcW w:w="114" w:type="dxa"/>
            <w:tcBorders/>
            <w:shd w:fill="auto" w:val="clear"/>
            <w:vAlign w:val="bottom"/>
          </w:tcPr>
          <w:p>
            <w:pPr>
              <w:pStyle w:val="TableContents"/>
              <w:spacing w:before="0" w:after="283"/>
              <w:rPr/>
            </w:pPr>
            <w:r>
              <w:rPr/>
              <w:t> </w:t>
            </w:r>
          </w:p>
        </w:tc>
      </w:tr>
      <w:tr>
        <w:trPr/>
        <w:tc>
          <w:tcPr>
            <w:tcW w:w="4090"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 </w:t>
            </w:r>
          </w:p>
        </w:tc>
        <w:tc>
          <w:tcPr>
            <w:tcW w:w="5781"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90" w:type="dxa"/>
            <w:tcBorders/>
            <w:shd w:fill="CCEEFF" w:val="clear"/>
            <w:vAlign w:val="bottom"/>
          </w:tcPr>
          <w:p>
            <w:pPr>
              <w:pStyle w:val="TableContents"/>
              <w:spacing w:before="0" w:after="0"/>
              <w:ind w:left="225" w:right="0" w:hanging="225"/>
              <w:rPr/>
            </w:pPr>
            <w:r>
              <w:rPr/>
              <w:t> </w:t>
            </w:r>
          </w:p>
        </w:tc>
        <w:tc>
          <w:tcPr>
            <w:tcW w:w="33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306,294</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1,027</w:t>
            </w:r>
          </w:p>
        </w:tc>
        <w:tc>
          <w:tcPr>
            <w:tcW w:w="101"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2,577</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304,744</w:t>
            </w:r>
          </w:p>
        </w:tc>
        <w:tc>
          <w:tcPr>
            <w:tcW w:w="114" w:type="dxa"/>
            <w:tcBorders/>
            <w:shd w:fill="CCEEFF" w:val="cle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0"/>
              <w:ind w:left="225" w:right="0" w:hanging="225"/>
              <w:rPr/>
            </w:pPr>
            <w:r>
              <w:rPr/>
              <w:t>Mutual funds and other equity securities</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2,087</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13,653</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17</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15,723</w:t>
            </w:r>
          </w:p>
        </w:tc>
        <w:tc>
          <w:tcPr>
            <w:tcW w:w="114" w:type="dxa"/>
            <w:tcBorders/>
            <w:shd w:fill="auto" w:val="clear"/>
            <w:vAlign w:val="bottom"/>
          </w:tcPr>
          <w:p>
            <w:pPr>
              <w:pStyle w:val="TableContents"/>
              <w:spacing w:before="0" w:after="283"/>
              <w:rPr/>
            </w:pPr>
            <w:r>
              <w:rPr/>
              <w:t> </w:t>
            </w:r>
          </w:p>
        </w:tc>
      </w:tr>
      <w:tr>
        <w:trPr/>
        <w:tc>
          <w:tcPr>
            <w:tcW w:w="4090" w:type="dxa"/>
            <w:tcBorders/>
            <w:shd w:fill="CCEEFF" w:val="clear"/>
            <w:vAlign w:val="bottom"/>
          </w:tcPr>
          <w:p>
            <w:pPr>
              <w:pStyle w:val="TableContents"/>
              <w:spacing w:before="0" w:after="0"/>
              <w:ind w:left="225" w:right="0" w:hanging="225"/>
              <w:rPr/>
            </w:pPr>
            <w:r>
              <w:rPr/>
              <w:t>Federal Home Loan Bank and Federal Reserve Bank stock</w:t>
            </w:r>
          </w:p>
        </w:tc>
        <w:tc>
          <w:tcPr>
            <w:tcW w:w="33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10,770</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10,770</w:t>
            </w:r>
          </w:p>
        </w:tc>
        <w:tc>
          <w:tcPr>
            <w:tcW w:w="114" w:type="dxa"/>
            <w:tcBorders/>
            <w:shd w:fill="CCEEFF" w:val="clear"/>
            <w:vAlign w:val="bottom"/>
          </w:tcPr>
          <w:p>
            <w:pPr>
              <w:pStyle w:val="TableContents"/>
              <w:spacing w:before="0" w:after="283"/>
              <w:rPr/>
            </w:pPr>
            <w:r>
              <w:rPr/>
              <w:t> </w:t>
            </w:r>
          </w:p>
        </w:tc>
      </w:tr>
      <w:tr>
        <w:trPr/>
        <w:tc>
          <w:tcPr>
            <w:tcW w:w="4090"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 </w:t>
            </w:r>
          </w:p>
        </w:tc>
        <w:tc>
          <w:tcPr>
            <w:tcW w:w="5781"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90" w:type="dxa"/>
            <w:tcBorders/>
            <w:shd w:fill="auto" w:val="clear"/>
            <w:vAlign w:val="bottom"/>
          </w:tcPr>
          <w:p>
            <w:pPr>
              <w:pStyle w:val="TableContents"/>
              <w:spacing w:before="0" w:after="0"/>
              <w:ind w:left="225" w:right="0" w:hanging="225"/>
              <w:rPr/>
            </w:pPr>
            <w:r>
              <w:rPr/>
              <w:t> </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0"/>
              <w:ind w:left="225" w:right="0" w:hanging="225"/>
              <w:rPr/>
            </w:pPr>
            <w:r>
              <w:rPr/>
              <w:t> </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927" w:type="dxa"/>
            <w:tcBorders/>
            <w:shd w:fill="auto" w:val="clear"/>
            <w:vAlign w:val="bottom"/>
          </w:tcPr>
          <w:p>
            <w:pPr>
              <w:pStyle w:val="TableContents"/>
              <w:spacing w:before="0" w:after="283"/>
              <w:jc w:val="right"/>
              <w:rPr/>
            </w:pPr>
            <w:r>
              <w:rPr/>
              <w:t>319,151</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w:t>
            </w:r>
          </w:p>
        </w:tc>
        <w:tc>
          <w:tcPr>
            <w:tcW w:w="928" w:type="dxa"/>
            <w:tcBorders/>
            <w:shd w:fill="auto" w:val="clear"/>
            <w:vAlign w:val="bottom"/>
          </w:tcPr>
          <w:p>
            <w:pPr>
              <w:pStyle w:val="TableContents"/>
              <w:spacing w:before="0" w:after="283"/>
              <w:jc w:val="right"/>
              <w:rPr/>
            </w:pPr>
            <w:r>
              <w:rPr/>
              <w:t>14,680</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906" w:type="dxa"/>
            <w:tcBorders/>
            <w:shd w:fill="auto" w:val="clear"/>
            <w:vAlign w:val="bottom"/>
          </w:tcPr>
          <w:p>
            <w:pPr>
              <w:pStyle w:val="TableContents"/>
              <w:spacing w:before="0" w:after="283"/>
              <w:jc w:val="right"/>
              <w:rPr/>
            </w:pPr>
            <w:r>
              <w:rPr/>
              <w:t>2,594</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331,237</w:t>
            </w:r>
          </w:p>
        </w:tc>
        <w:tc>
          <w:tcPr>
            <w:tcW w:w="114" w:type="dxa"/>
            <w:tcBorders/>
            <w:shd w:fill="auto" w:val="clear"/>
            <w:vAlign w:val="bottom"/>
          </w:tcPr>
          <w:p>
            <w:pPr>
              <w:pStyle w:val="TableContents"/>
              <w:spacing w:before="0" w:after="283"/>
              <w:rPr/>
            </w:pPr>
            <w:r>
              <w:rPr/>
              <w:t> </w:t>
            </w:r>
          </w:p>
        </w:tc>
      </w:tr>
      <w:tr>
        <w:trPr/>
        <w:tc>
          <w:tcPr>
            <w:tcW w:w="4090"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 </w:t>
            </w:r>
          </w:p>
        </w:tc>
        <w:tc>
          <w:tcPr>
            <w:tcW w:w="5781" w:type="dxa"/>
            <w:gridSpan w:val="15"/>
            <w:tcBorders>
              <w:top w:val="double" w:sz="6" w:space="0" w:color="000000"/>
            </w:tcBorders>
            <w:shd w:fill="auto" w:val="clear"/>
            <w:tcMar>
              <w:top w:w="28" w:type="dxa"/>
            </w:tcMar>
            <w:vAlign w:val="cente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4090"/>
        <w:gridCol w:w="334"/>
        <w:gridCol w:w="168"/>
        <w:gridCol w:w="927"/>
        <w:gridCol w:w="101"/>
        <w:gridCol w:w="334"/>
        <w:gridCol w:w="189"/>
        <w:gridCol w:w="928"/>
        <w:gridCol w:w="101"/>
        <w:gridCol w:w="333"/>
        <w:gridCol w:w="211"/>
        <w:gridCol w:w="906"/>
        <w:gridCol w:w="101"/>
        <w:gridCol w:w="334"/>
        <w:gridCol w:w="160"/>
        <w:gridCol w:w="874"/>
        <w:gridCol w:w="114"/>
      </w:tblGrid>
      <w:tr>
        <w:trPr/>
        <w:tc>
          <w:tcPr>
            <w:tcW w:w="409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283"/>
              <w:jc w:val="center"/>
              <w:rPr/>
            </w:pPr>
            <w:r>
              <w:rPr/>
              <w:t>Gross</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283"/>
              <w:jc w:val="center"/>
              <w:rPr/>
            </w:pPr>
            <w:r>
              <w:rPr/>
              <w:t>Gross</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034" w:type="dxa"/>
            <w:gridSpan w:val="2"/>
            <w:tcBorders/>
            <w:shd w:fill="auto" w:val="clear"/>
            <w:vAlign w:val="bottom"/>
          </w:tcPr>
          <w:p>
            <w:pPr>
              <w:pStyle w:val="TableContents"/>
              <w:spacing w:before="0" w:after="283"/>
              <w:jc w:val="center"/>
              <w:rPr/>
            </w:pPr>
            <w:r>
              <w:rPr/>
              <w:t> </w:t>
            </w:r>
          </w:p>
        </w:tc>
        <w:tc>
          <w:tcPr>
            <w:tcW w:w="114" w:type="dxa"/>
            <w:tcBorders/>
            <w:shd w:fill="auto" w:val="cle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095" w:type="dxa"/>
            <w:gridSpan w:val="2"/>
            <w:tcBorders/>
            <w:shd w:fill="auto" w:val="clear"/>
            <w:vAlign w:val="bottom"/>
          </w:tcPr>
          <w:p>
            <w:pPr>
              <w:pStyle w:val="TableContents"/>
              <w:spacing w:before="0" w:after="283"/>
              <w:jc w:val="center"/>
              <w:rPr/>
            </w:pPr>
            <w:r>
              <w:rPr/>
              <w:t>Amortized</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283"/>
              <w:jc w:val="center"/>
              <w:rPr/>
            </w:pPr>
            <w:r>
              <w:rPr/>
              <w:t>Unrealized</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283"/>
              <w:jc w:val="center"/>
              <w:rPr/>
            </w:pPr>
            <w:r>
              <w:rPr/>
              <w:t>Unrealized</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034" w:type="dxa"/>
            <w:gridSpan w:val="2"/>
            <w:tcBorders/>
            <w:shd w:fill="auto" w:val="clear"/>
            <w:vAlign w:val="bottom"/>
          </w:tcPr>
          <w:p>
            <w:pPr>
              <w:pStyle w:val="TableContents"/>
              <w:spacing w:before="0" w:after="283"/>
              <w:jc w:val="center"/>
              <w:rPr/>
            </w:pPr>
            <w:r>
              <w:rPr/>
              <w:t>Fair</w:t>
            </w:r>
          </w:p>
        </w:tc>
        <w:tc>
          <w:tcPr>
            <w:tcW w:w="114" w:type="dxa"/>
            <w:tcBorders/>
            <w:shd w:fill="auto" w:val="clear"/>
            <w:vAlign w:val="bottom"/>
          </w:tcPr>
          <w:p>
            <w:pPr>
              <w:pStyle w:val="TableContents"/>
              <w:spacing w:before="0" w:after="283"/>
              <w:rPr/>
            </w:pPr>
            <w:r>
              <w:rPr/>
              <w:t> </w:t>
            </w:r>
          </w:p>
        </w:tc>
      </w:tr>
      <w:tr>
        <w:trPr/>
        <w:tc>
          <w:tcPr>
            <w:tcW w:w="4090" w:type="dxa"/>
            <w:tcBorders>
              <w:bottom w:val="single" w:sz="2" w:space="0" w:color="000000"/>
            </w:tcBorders>
            <w:shd w:fill="auto" w:val="clear"/>
            <w:tcMar>
              <w:bottom w:w="28" w:type="dxa"/>
            </w:tcMar>
            <w:vAlign w:val="bottom"/>
          </w:tcPr>
          <w:p>
            <w:pPr>
              <w:pStyle w:val="TableContents"/>
              <w:spacing w:before="0" w:after="0"/>
              <w:ind w:left="225" w:right="0" w:hanging="225"/>
              <w:rPr/>
            </w:pPr>
            <w:r>
              <w:rPr/>
              <w:t>December 31, 2004:</w:t>
            </w:r>
          </w:p>
        </w:tc>
        <w:tc>
          <w:tcPr>
            <w:tcW w:w="334" w:type="dxa"/>
            <w:tcBorders/>
            <w:shd w:fill="auto" w:val="clear"/>
            <w:vAlign w:val="bottom"/>
          </w:tcPr>
          <w:p>
            <w:pPr>
              <w:pStyle w:val="TableContents"/>
              <w:spacing w:before="0" w:after="283"/>
              <w:rPr/>
            </w:pPr>
            <w:r>
              <w:rPr/>
              <w:t> </w:t>
            </w:r>
          </w:p>
        </w:tc>
        <w:tc>
          <w:tcPr>
            <w:tcW w:w="1095" w:type="dxa"/>
            <w:gridSpan w:val="2"/>
            <w:tcBorders>
              <w:bottom w:val="single" w:sz="2" w:space="0" w:color="000000"/>
            </w:tcBorders>
            <w:shd w:fill="auto" w:val="clear"/>
            <w:tcMar>
              <w:bottom w:w="28" w:type="dxa"/>
            </w:tcMar>
            <w:vAlign w:val="bottom"/>
          </w:tcPr>
          <w:p>
            <w:pPr>
              <w:pStyle w:val="TableContents"/>
              <w:spacing w:before="0" w:after="283"/>
              <w:jc w:val="center"/>
              <w:rPr/>
            </w:pPr>
            <w:r>
              <w:rPr/>
              <w:t>Cost</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334" w:type="dxa"/>
            <w:tcBorders>
              <w:bottom w:val="single" w:sz="2" w:space="0" w:color="000000"/>
            </w:tcBorders>
            <w:shd w:fill="auto" w:val="clear"/>
            <w:tcMar>
              <w:bottom w:w="28" w:type="dxa"/>
            </w:tcMar>
            <w:vAlign w:val="bottom"/>
          </w:tcPr>
          <w:p>
            <w:pPr>
              <w:pStyle w:val="TableContents"/>
              <w:spacing w:before="0" w:after="283"/>
              <w:rPr/>
            </w:pPr>
            <w:r>
              <w:rPr/>
              <w:t> </w:t>
            </w:r>
          </w:p>
        </w:tc>
        <w:tc>
          <w:tcPr>
            <w:tcW w:w="1117" w:type="dxa"/>
            <w:gridSpan w:val="2"/>
            <w:tcBorders>
              <w:bottom w:val="single" w:sz="2" w:space="0" w:color="000000"/>
            </w:tcBorders>
            <w:shd w:fill="auto" w:val="clear"/>
            <w:tcMar>
              <w:bottom w:w="28" w:type="dxa"/>
            </w:tcMar>
            <w:vAlign w:val="bottom"/>
          </w:tcPr>
          <w:p>
            <w:pPr>
              <w:pStyle w:val="TableContents"/>
              <w:spacing w:before="0" w:after="283"/>
              <w:jc w:val="center"/>
              <w:rPr/>
            </w:pPr>
            <w:r>
              <w:rPr/>
              <w:t>Gains</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333" w:type="dxa"/>
            <w:tcBorders>
              <w:bottom w:val="single" w:sz="2" w:space="0" w:color="000000"/>
            </w:tcBorders>
            <w:shd w:fill="auto" w:val="clear"/>
            <w:tcMar>
              <w:bottom w:w="28" w:type="dxa"/>
            </w:tcMar>
            <w:vAlign w:val="bottom"/>
          </w:tcPr>
          <w:p>
            <w:pPr>
              <w:pStyle w:val="TableContents"/>
              <w:spacing w:before="0" w:after="283"/>
              <w:rPr/>
            </w:pPr>
            <w:r>
              <w:rPr/>
              <w:t> </w:t>
            </w:r>
          </w:p>
        </w:tc>
        <w:tc>
          <w:tcPr>
            <w:tcW w:w="1117" w:type="dxa"/>
            <w:gridSpan w:val="2"/>
            <w:tcBorders>
              <w:bottom w:val="single" w:sz="2" w:space="0" w:color="000000"/>
            </w:tcBorders>
            <w:shd w:fill="auto" w:val="clear"/>
            <w:tcMar>
              <w:bottom w:w="28" w:type="dxa"/>
            </w:tcMar>
            <w:vAlign w:val="bottom"/>
          </w:tcPr>
          <w:p>
            <w:pPr>
              <w:pStyle w:val="TableContents"/>
              <w:spacing w:before="0" w:after="283"/>
              <w:jc w:val="center"/>
              <w:rPr/>
            </w:pPr>
            <w:r>
              <w:rPr/>
              <w:t>Losses</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334" w:type="dxa"/>
            <w:tcBorders>
              <w:bottom w:val="single" w:sz="2" w:space="0" w:color="000000"/>
            </w:tcBorders>
            <w:shd w:fill="auto" w:val="clear"/>
            <w:tcMar>
              <w:bottom w:w="28" w:type="dxa"/>
            </w:tcMar>
            <w:vAlign w:val="bottom"/>
          </w:tcPr>
          <w:p>
            <w:pPr>
              <w:pStyle w:val="TableContents"/>
              <w:spacing w:before="0" w:after="283"/>
              <w:rPr/>
            </w:pPr>
            <w:r>
              <w:rPr/>
              <w:t> </w:t>
            </w:r>
          </w:p>
        </w:tc>
        <w:tc>
          <w:tcPr>
            <w:tcW w:w="1034"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114"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5667" w:type="dxa"/>
            <w:gridSpan w:val="14"/>
            <w:tcBorders/>
            <w:shd w:fill="auto" w:val="clear"/>
            <w:vAlign w:val="bottom"/>
          </w:tcPr>
          <w:p>
            <w:pPr>
              <w:pStyle w:val="TableContents"/>
              <w:spacing w:before="0" w:after="283"/>
              <w:jc w:val="center"/>
              <w:rPr/>
            </w:pPr>
            <w:r>
              <w:rPr/>
              <w:t>(Dollars in thousands)</w:t>
            </w:r>
          </w:p>
        </w:tc>
        <w:tc>
          <w:tcPr>
            <w:tcW w:w="114" w:type="dxa"/>
            <w:tcBorders/>
            <w:shd w:fill="auto" w:val="clear"/>
            <w:vAlign w:val="bottom"/>
          </w:tcPr>
          <w:p>
            <w:pPr>
              <w:pStyle w:val="TableContents"/>
              <w:spacing w:before="0" w:after="283"/>
              <w:rPr/>
            </w:pPr>
            <w:r>
              <w:rPr/>
              <w:t> </w:t>
            </w:r>
          </w:p>
        </w:tc>
      </w:tr>
      <w:tr>
        <w:trPr/>
        <w:tc>
          <w:tcPr>
            <w:tcW w:w="4090" w:type="dxa"/>
            <w:tcBorders/>
            <w:shd w:fill="CCEEFF" w:val="clear"/>
            <w:vAlign w:val="bottom"/>
          </w:tcPr>
          <w:p>
            <w:pPr>
              <w:pStyle w:val="TableContents"/>
              <w:spacing w:before="0" w:after="0"/>
              <w:ind w:left="225" w:right="0" w:hanging="225"/>
              <w:rPr/>
            </w:pPr>
            <w:r>
              <w:rPr/>
              <w:t>U.S. Treasury securities and obligations of U.S. government corporations and agencies</w:t>
            </w:r>
          </w:p>
        </w:tc>
        <w:tc>
          <w:tcPr>
            <w:tcW w:w="33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927" w:type="dxa"/>
            <w:tcBorders/>
            <w:shd w:fill="CCEEFF" w:val="clear"/>
            <w:vAlign w:val="bottom"/>
          </w:tcPr>
          <w:p>
            <w:pPr>
              <w:pStyle w:val="TableContents"/>
              <w:spacing w:before="0" w:after="283"/>
              <w:jc w:val="right"/>
              <w:rPr/>
            </w:pPr>
            <w:r>
              <w:rPr/>
              <w:t>249,946</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w:t>
            </w:r>
          </w:p>
        </w:tc>
        <w:tc>
          <w:tcPr>
            <w:tcW w:w="928" w:type="dxa"/>
            <w:tcBorders/>
            <w:shd w:fill="CCEEFF" w:val="clear"/>
            <w:vAlign w:val="bottom"/>
          </w:tcPr>
          <w:p>
            <w:pPr>
              <w:pStyle w:val="TableContents"/>
              <w:spacing w:before="0" w:after="283"/>
              <w:jc w:val="right"/>
              <w:rPr/>
            </w:pPr>
            <w:r>
              <w:rPr/>
              <w:t>242</w:t>
            </w:r>
          </w:p>
        </w:tc>
        <w:tc>
          <w:tcPr>
            <w:tcW w:w="101"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906" w:type="dxa"/>
            <w:tcBorders/>
            <w:shd w:fill="CCEEFF" w:val="clear"/>
            <w:vAlign w:val="bottom"/>
          </w:tcPr>
          <w:p>
            <w:pPr>
              <w:pStyle w:val="TableContents"/>
              <w:spacing w:before="0" w:after="283"/>
              <w:jc w:val="right"/>
              <w:rPr/>
            </w:pPr>
            <w:r>
              <w:rPr/>
              <w:t>1,038</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249,150</w:t>
            </w:r>
          </w:p>
        </w:tc>
        <w:tc>
          <w:tcPr>
            <w:tcW w:w="114" w:type="dxa"/>
            <w:tcBorders/>
            <w:shd w:fill="CCEEFF" w:val="cle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0"/>
              <w:ind w:left="225" w:right="0" w:hanging="225"/>
              <w:rPr/>
            </w:pPr>
            <w:r>
              <w:rPr/>
              <w:t>Obligations of states and political subdivisions</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49,949</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1,839</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20</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51,768</w:t>
            </w:r>
          </w:p>
        </w:tc>
        <w:tc>
          <w:tcPr>
            <w:tcW w:w="114" w:type="dxa"/>
            <w:tcBorders/>
            <w:shd w:fill="auto" w:val="clear"/>
            <w:vAlign w:val="bottom"/>
          </w:tcPr>
          <w:p>
            <w:pPr>
              <w:pStyle w:val="TableContents"/>
              <w:spacing w:before="0" w:after="283"/>
              <w:rPr/>
            </w:pPr>
            <w:r>
              <w:rPr/>
              <w:t> </w:t>
            </w:r>
          </w:p>
        </w:tc>
      </w:tr>
      <w:tr>
        <w:trPr/>
        <w:tc>
          <w:tcPr>
            <w:tcW w:w="4090" w:type="dxa"/>
            <w:tcBorders/>
            <w:shd w:fill="CCEEFF" w:val="clear"/>
            <w:vAlign w:val="bottom"/>
          </w:tcPr>
          <w:p>
            <w:pPr>
              <w:pStyle w:val="TableContents"/>
              <w:spacing w:before="0" w:after="0"/>
              <w:ind w:left="225" w:right="0" w:hanging="225"/>
              <w:rPr/>
            </w:pPr>
            <w:r>
              <w:rPr/>
              <w:t>Mortgage-backed securities</w:t>
            </w:r>
          </w:p>
        </w:tc>
        <w:tc>
          <w:tcPr>
            <w:tcW w:w="33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22,736</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466</w:t>
            </w:r>
          </w:p>
        </w:tc>
        <w:tc>
          <w:tcPr>
            <w:tcW w:w="101"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32</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23,170</w:t>
            </w:r>
          </w:p>
        </w:tc>
        <w:tc>
          <w:tcPr>
            <w:tcW w:w="114" w:type="dxa"/>
            <w:tcBorders/>
            <w:shd w:fill="CCEEFF" w:val="cle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0"/>
              <w:ind w:left="225" w:right="0" w:hanging="225"/>
              <w:rPr/>
            </w:pPr>
            <w:r>
              <w:rPr/>
              <w:t>Corporate securities</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2,184</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43</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7</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2,220</w:t>
            </w:r>
          </w:p>
        </w:tc>
        <w:tc>
          <w:tcPr>
            <w:tcW w:w="114" w:type="dxa"/>
            <w:tcBorders/>
            <w:shd w:fill="auto" w:val="clear"/>
            <w:vAlign w:val="bottom"/>
          </w:tcPr>
          <w:p>
            <w:pPr>
              <w:pStyle w:val="TableContents"/>
              <w:spacing w:before="0" w:after="283"/>
              <w:rPr/>
            </w:pPr>
            <w:r>
              <w:rPr/>
              <w:t> </w:t>
            </w:r>
          </w:p>
        </w:tc>
      </w:tr>
      <w:tr>
        <w:trPr/>
        <w:tc>
          <w:tcPr>
            <w:tcW w:w="4090"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 </w:t>
            </w:r>
          </w:p>
        </w:tc>
        <w:tc>
          <w:tcPr>
            <w:tcW w:w="5781"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90" w:type="dxa"/>
            <w:tcBorders/>
            <w:shd w:fill="CCEEFF" w:val="clear"/>
            <w:vAlign w:val="bottom"/>
          </w:tcPr>
          <w:p>
            <w:pPr>
              <w:pStyle w:val="TableContents"/>
              <w:spacing w:before="0" w:after="0"/>
              <w:ind w:left="225" w:right="0" w:hanging="225"/>
              <w:rPr/>
            </w:pPr>
            <w:r>
              <w:rPr/>
              <w:t> </w:t>
            </w:r>
          </w:p>
        </w:tc>
        <w:tc>
          <w:tcPr>
            <w:tcW w:w="33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324,815</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2,590</w:t>
            </w:r>
          </w:p>
        </w:tc>
        <w:tc>
          <w:tcPr>
            <w:tcW w:w="101"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1,097</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326,308</w:t>
            </w:r>
          </w:p>
        </w:tc>
        <w:tc>
          <w:tcPr>
            <w:tcW w:w="114" w:type="dxa"/>
            <w:tcBorders/>
            <w:shd w:fill="CCEEFF" w:val="cle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0"/>
              <w:ind w:left="225" w:right="0" w:hanging="225"/>
              <w:rPr/>
            </w:pPr>
            <w:r>
              <w:rPr/>
              <w:t>Mutual funds and other equity securities</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3,220</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13,736</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10</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16,946</w:t>
            </w:r>
          </w:p>
        </w:tc>
        <w:tc>
          <w:tcPr>
            <w:tcW w:w="114" w:type="dxa"/>
            <w:tcBorders/>
            <w:shd w:fill="auto" w:val="clear"/>
            <w:vAlign w:val="bottom"/>
          </w:tcPr>
          <w:p>
            <w:pPr>
              <w:pStyle w:val="TableContents"/>
              <w:spacing w:before="0" w:after="283"/>
              <w:rPr/>
            </w:pPr>
            <w:r>
              <w:rPr/>
              <w:t> </w:t>
            </w:r>
          </w:p>
        </w:tc>
      </w:tr>
      <w:tr>
        <w:trPr/>
        <w:tc>
          <w:tcPr>
            <w:tcW w:w="4090" w:type="dxa"/>
            <w:tcBorders/>
            <w:shd w:fill="CCEEFF" w:val="clear"/>
            <w:vAlign w:val="bottom"/>
          </w:tcPr>
          <w:p>
            <w:pPr>
              <w:pStyle w:val="TableContents"/>
              <w:spacing w:before="0" w:after="0"/>
              <w:ind w:left="225" w:right="0" w:hanging="225"/>
              <w:rPr/>
            </w:pPr>
            <w:r>
              <w:rPr/>
              <w:t>Federal Home Loan Bank and Federal Reserve Bank stock</w:t>
            </w:r>
          </w:p>
        </w:tc>
        <w:tc>
          <w:tcPr>
            <w:tcW w:w="33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9,002</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9,002</w:t>
            </w:r>
          </w:p>
        </w:tc>
        <w:tc>
          <w:tcPr>
            <w:tcW w:w="114" w:type="dxa"/>
            <w:tcBorders/>
            <w:shd w:fill="CCEEFF" w:val="clear"/>
            <w:vAlign w:val="bottom"/>
          </w:tcPr>
          <w:p>
            <w:pPr>
              <w:pStyle w:val="TableContents"/>
              <w:spacing w:before="0" w:after="283"/>
              <w:rPr/>
            </w:pPr>
            <w:r>
              <w:rPr/>
              <w:t> </w:t>
            </w:r>
          </w:p>
        </w:tc>
      </w:tr>
      <w:tr>
        <w:trPr/>
        <w:tc>
          <w:tcPr>
            <w:tcW w:w="4090"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 </w:t>
            </w:r>
          </w:p>
        </w:tc>
        <w:tc>
          <w:tcPr>
            <w:tcW w:w="5781"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090" w:type="dxa"/>
            <w:tcBorders/>
            <w:shd w:fill="auto" w:val="clear"/>
            <w:vAlign w:val="bottom"/>
          </w:tcPr>
          <w:p>
            <w:pPr>
              <w:pStyle w:val="TableContents"/>
              <w:spacing w:before="0" w:after="0"/>
              <w:ind w:left="225" w:right="0" w:hanging="225"/>
              <w:rPr/>
            </w:pPr>
            <w:r>
              <w:rPr/>
              <w:t> </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090" w:type="dxa"/>
            <w:tcBorders/>
            <w:shd w:fill="auto" w:val="clear"/>
            <w:vAlign w:val="bottom"/>
          </w:tcPr>
          <w:p>
            <w:pPr>
              <w:pStyle w:val="TableContents"/>
              <w:spacing w:before="0" w:after="0"/>
              <w:ind w:left="225" w:right="0" w:hanging="225"/>
              <w:rPr/>
            </w:pPr>
            <w:r>
              <w:rPr/>
              <w:t> </w:t>
            </w:r>
          </w:p>
        </w:tc>
        <w:tc>
          <w:tcPr>
            <w:tcW w:w="33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927" w:type="dxa"/>
            <w:tcBorders/>
            <w:shd w:fill="auto" w:val="clear"/>
            <w:vAlign w:val="bottom"/>
          </w:tcPr>
          <w:p>
            <w:pPr>
              <w:pStyle w:val="TableContents"/>
              <w:spacing w:before="0" w:after="283"/>
              <w:jc w:val="right"/>
              <w:rPr/>
            </w:pPr>
            <w:r>
              <w:rPr/>
              <w:t>337,037</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w:t>
            </w:r>
          </w:p>
        </w:tc>
        <w:tc>
          <w:tcPr>
            <w:tcW w:w="928" w:type="dxa"/>
            <w:tcBorders/>
            <w:shd w:fill="auto" w:val="clear"/>
            <w:vAlign w:val="bottom"/>
          </w:tcPr>
          <w:p>
            <w:pPr>
              <w:pStyle w:val="TableContents"/>
              <w:spacing w:before="0" w:after="283"/>
              <w:jc w:val="right"/>
              <w:rPr/>
            </w:pPr>
            <w:r>
              <w:rPr/>
              <w:t>16,326</w:t>
            </w:r>
          </w:p>
        </w:tc>
        <w:tc>
          <w:tcPr>
            <w:tcW w:w="10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906" w:type="dxa"/>
            <w:tcBorders/>
            <w:shd w:fill="auto" w:val="clear"/>
            <w:vAlign w:val="bottom"/>
          </w:tcPr>
          <w:p>
            <w:pPr>
              <w:pStyle w:val="TableContents"/>
              <w:spacing w:before="0" w:after="283"/>
              <w:jc w:val="right"/>
              <w:rPr/>
            </w:pPr>
            <w:r>
              <w:rPr/>
              <w:t>1,107</w:t>
            </w:r>
          </w:p>
        </w:tc>
        <w:tc>
          <w:tcPr>
            <w:tcW w:w="10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352,256</w:t>
            </w:r>
          </w:p>
        </w:tc>
        <w:tc>
          <w:tcPr>
            <w:tcW w:w="114" w:type="dxa"/>
            <w:tcBorders/>
            <w:shd w:fill="auto" w:val="clear"/>
            <w:vAlign w:val="bottom"/>
          </w:tcPr>
          <w:p>
            <w:pPr>
              <w:pStyle w:val="TableContents"/>
              <w:spacing w:before="0" w:after="283"/>
              <w:rPr/>
            </w:pPr>
            <w:r>
              <w:rPr/>
              <w:t> </w:t>
            </w:r>
          </w:p>
        </w:tc>
      </w:tr>
      <w:tr>
        <w:trPr/>
        <w:tc>
          <w:tcPr>
            <w:tcW w:w="4090"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 </w:t>
            </w:r>
          </w:p>
        </w:tc>
        <w:tc>
          <w:tcPr>
            <w:tcW w:w="5781" w:type="dxa"/>
            <w:gridSpan w:val="15"/>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67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amortized cost and fair value of securities available for sale as of December 31, 2005, by contractual maturity, are shown below. Mutual funds and other equity securities do not have stated maturity dates and therefore are not included in the following maturity summary. </w:t>
      </w:r>
    </w:p>
    <w:tbl>
      <w:tblPr>
        <w:tblW w:w="5000" w:type="pct"/>
        <w:jc w:val="center"/>
        <w:tblInd w:w="0" w:type="dxa"/>
        <w:tblCellMar>
          <w:top w:w="0" w:type="dxa"/>
          <w:left w:w="0" w:type="dxa"/>
          <w:bottom w:w="0" w:type="dxa"/>
          <w:right w:w="0" w:type="dxa"/>
        </w:tblCellMar>
      </w:tblPr>
      <w:tblGrid>
        <w:gridCol w:w="6938"/>
        <w:gridCol w:w="469"/>
        <w:gridCol w:w="167"/>
        <w:gridCol w:w="898"/>
        <w:gridCol w:w="118"/>
        <w:gridCol w:w="469"/>
        <w:gridCol w:w="161"/>
        <w:gridCol w:w="861"/>
        <w:gridCol w:w="124"/>
      </w:tblGrid>
      <w:tr>
        <w:trPr/>
        <w:tc>
          <w:tcPr>
            <w:tcW w:w="6938"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065" w:type="dxa"/>
            <w:gridSpan w:val="2"/>
            <w:tcBorders/>
            <w:shd w:fill="auto" w:val="clear"/>
            <w:vAlign w:val="bottom"/>
          </w:tcPr>
          <w:p>
            <w:pPr>
              <w:pStyle w:val="TableContents"/>
              <w:spacing w:before="0" w:after="283"/>
              <w:jc w:val="center"/>
              <w:rPr/>
            </w:pPr>
            <w:r>
              <w:rPr/>
              <w:t>Amortized</w:t>
            </w:r>
          </w:p>
        </w:tc>
        <w:tc>
          <w:tcPr>
            <w:tcW w:w="118"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022" w:type="dxa"/>
            <w:gridSpan w:val="2"/>
            <w:tcBorders/>
            <w:shd w:fill="auto" w:val="clear"/>
            <w:vAlign w:val="bottom"/>
          </w:tcPr>
          <w:p>
            <w:pPr>
              <w:pStyle w:val="TableContents"/>
              <w:spacing w:before="0" w:after="283"/>
              <w:jc w:val="center"/>
              <w:rPr/>
            </w:pPr>
            <w:r>
              <w:rPr/>
              <w:t>Fair</w:t>
            </w:r>
          </w:p>
        </w:tc>
        <w:tc>
          <w:tcPr>
            <w:tcW w:w="124" w:type="dxa"/>
            <w:tcBorders/>
            <w:shd w:fill="auto"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065" w:type="dxa"/>
            <w:gridSpan w:val="2"/>
            <w:tcBorders>
              <w:bottom w:val="single" w:sz="2" w:space="0" w:color="000000"/>
            </w:tcBorders>
            <w:shd w:fill="auto" w:val="clear"/>
            <w:tcMar>
              <w:bottom w:w="28" w:type="dxa"/>
            </w:tcMar>
            <w:vAlign w:val="bottom"/>
          </w:tcPr>
          <w:p>
            <w:pPr>
              <w:pStyle w:val="TableContents"/>
              <w:spacing w:before="0" w:after="283"/>
              <w:jc w:val="center"/>
              <w:rPr/>
            </w:pPr>
            <w:r>
              <w:rPr/>
              <w:t>Cost</w:t>
            </w:r>
          </w:p>
        </w:tc>
        <w:tc>
          <w:tcPr>
            <w:tcW w:w="118" w:type="dxa"/>
            <w:tcBorders>
              <w:bottom w:val="single" w:sz="2" w:space="0" w:color="000000"/>
            </w:tcBorders>
            <w:shd w:fill="auto" w:val="clear"/>
            <w:tcMar>
              <w:bottom w:w="28" w:type="dxa"/>
            </w:tcMar>
            <w:vAlign w:val="bottom"/>
          </w:tcPr>
          <w:p>
            <w:pPr>
              <w:pStyle w:val="TableContents"/>
              <w:spacing w:before="0" w:after="283"/>
              <w:rPr/>
            </w:pPr>
            <w:r>
              <w:rPr/>
              <w:t> </w:t>
            </w:r>
          </w:p>
        </w:tc>
        <w:tc>
          <w:tcPr>
            <w:tcW w:w="469" w:type="dxa"/>
            <w:tcBorders>
              <w:bottom w:val="single" w:sz="2" w:space="0" w:color="000000"/>
            </w:tcBorders>
            <w:shd w:fill="auto" w:val="clear"/>
            <w:tcMar>
              <w:bottom w:w="28" w:type="dxa"/>
            </w:tcMar>
            <w:vAlign w:val="bottom"/>
          </w:tcPr>
          <w:p>
            <w:pPr>
              <w:pStyle w:val="TableContents"/>
              <w:spacing w:before="0" w:after="283"/>
              <w:rPr/>
            </w:pPr>
            <w:r>
              <w:rPr/>
              <w:t> </w:t>
            </w:r>
          </w:p>
        </w:tc>
        <w:tc>
          <w:tcPr>
            <w:tcW w:w="1022"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124"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2674" w:type="dxa"/>
            <w:gridSpan w:val="6"/>
            <w:tcBorders/>
            <w:shd w:fill="auto" w:val="clear"/>
            <w:vAlign w:val="bottom"/>
          </w:tcPr>
          <w:p>
            <w:pPr>
              <w:pStyle w:val="TableContents"/>
              <w:spacing w:before="0" w:after="283"/>
              <w:jc w:val="center"/>
              <w:rPr/>
            </w:pPr>
            <w:r>
              <w:rPr/>
              <w:t>(Dollars in thousands)</w:t>
            </w:r>
          </w:p>
        </w:tc>
        <w:tc>
          <w:tcPr>
            <w:tcW w:w="124"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225" w:right="0" w:hanging="225"/>
              <w:rPr/>
            </w:pPr>
            <w:r>
              <w:rPr/>
              <w:t>Due in one year or less</w:t>
            </w:r>
          </w:p>
        </w:tc>
        <w:tc>
          <w:tcPr>
            <w:tcW w:w="46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98" w:type="dxa"/>
            <w:tcBorders/>
            <w:shd w:fill="CCEEFF" w:val="clear"/>
            <w:vAlign w:val="bottom"/>
          </w:tcPr>
          <w:p>
            <w:pPr>
              <w:pStyle w:val="TableContents"/>
              <w:spacing w:before="0" w:after="283"/>
              <w:jc w:val="right"/>
              <w:rPr/>
            </w:pPr>
            <w:r>
              <w:rPr/>
              <w:t>112,832</w:t>
            </w:r>
          </w:p>
        </w:tc>
        <w:tc>
          <w:tcPr>
            <w:tcW w:w="118"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861" w:type="dxa"/>
            <w:tcBorders/>
            <w:shd w:fill="CCEEFF" w:val="clear"/>
            <w:vAlign w:val="bottom"/>
          </w:tcPr>
          <w:p>
            <w:pPr>
              <w:pStyle w:val="TableContents"/>
              <w:spacing w:before="0" w:after="283"/>
              <w:jc w:val="right"/>
              <w:rPr/>
            </w:pPr>
            <w:r>
              <w:rPr/>
              <w:t>112,054</w:t>
            </w:r>
          </w:p>
        </w:tc>
        <w:tc>
          <w:tcPr>
            <w:tcW w:w="124" w:type="dxa"/>
            <w:tcBorders/>
            <w:shd w:fill="CCEEFF"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0"/>
              <w:ind w:left="225" w:right="0" w:hanging="225"/>
              <w:rPr/>
            </w:pPr>
            <w:r>
              <w:rPr/>
              <w:t>Due after one year through five years</w:t>
            </w:r>
          </w:p>
        </w:tc>
        <w:tc>
          <w:tcPr>
            <w:tcW w:w="46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126,719</w:t>
            </w:r>
          </w:p>
        </w:tc>
        <w:tc>
          <w:tcPr>
            <w:tcW w:w="118"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126,180</w:t>
            </w:r>
          </w:p>
        </w:tc>
        <w:tc>
          <w:tcPr>
            <w:tcW w:w="124" w:type="dxa"/>
            <w:tcBorders/>
            <w:shd w:fill="auto" w:val="clear"/>
            <w:vAlign w:val="bottom"/>
          </w:tcPr>
          <w:p>
            <w:pPr>
              <w:pStyle w:val="TableContents"/>
              <w:spacing w:before="0" w:after="283"/>
              <w:rPr/>
            </w:pPr>
            <w:r>
              <w:rPr/>
              <w:t> </w:t>
            </w:r>
          </w:p>
        </w:tc>
      </w:tr>
      <w:tr>
        <w:trPr/>
        <w:tc>
          <w:tcPr>
            <w:tcW w:w="6938" w:type="dxa"/>
            <w:tcBorders/>
            <w:shd w:fill="CCEEFF" w:val="clear"/>
            <w:vAlign w:val="bottom"/>
          </w:tcPr>
          <w:p>
            <w:pPr>
              <w:pStyle w:val="TableContents"/>
              <w:spacing w:before="0" w:after="0"/>
              <w:ind w:left="225" w:right="0" w:hanging="225"/>
              <w:rPr/>
            </w:pPr>
            <w:r>
              <w:rPr/>
              <w:t>Due after five years through ten years</w:t>
            </w:r>
          </w:p>
        </w:tc>
        <w:tc>
          <w:tcPr>
            <w:tcW w:w="46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34,525</w:t>
            </w:r>
          </w:p>
        </w:tc>
        <w:tc>
          <w:tcPr>
            <w:tcW w:w="118"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34,530</w:t>
            </w:r>
          </w:p>
        </w:tc>
        <w:tc>
          <w:tcPr>
            <w:tcW w:w="124" w:type="dxa"/>
            <w:tcBorders/>
            <w:shd w:fill="CCEEFF" w:val="clear"/>
            <w:vAlign w:val="bottom"/>
          </w:tcPr>
          <w:p>
            <w:pPr>
              <w:pStyle w:val="TableContents"/>
              <w:spacing w:before="0" w:after="283"/>
              <w:rPr/>
            </w:pPr>
            <w:r>
              <w:rPr/>
              <w:t> </w:t>
            </w:r>
          </w:p>
        </w:tc>
      </w:tr>
      <w:tr>
        <w:trPr/>
        <w:tc>
          <w:tcPr>
            <w:tcW w:w="6938" w:type="dxa"/>
            <w:tcBorders/>
            <w:shd w:fill="auto" w:val="clear"/>
            <w:vAlign w:val="bottom"/>
          </w:tcPr>
          <w:p>
            <w:pPr>
              <w:pStyle w:val="TableContents"/>
              <w:spacing w:before="0" w:after="0"/>
              <w:ind w:left="225" w:right="0" w:hanging="225"/>
              <w:rPr/>
            </w:pPr>
            <w:r>
              <w:rPr/>
              <w:t>Due after ten years</w:t>
            </w:r>
          </w:p>
        </w:tc>
        <w:tc>
          <w:tcPr>
            <w:tcW w:w="46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32,218</w:t>
            </w:r>
          </w:p>
        </w:tc>
        <w:tc>
          <w:tcPr>
            <w:tcW w:w="118"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31,980</w:t>
            </w:r>
          </w:p>
        </w:tc>
        <w:tc>
          <w:tcPr>
            <w:tcW w:w="124" w:type="dxa"/>
            <w:tcBorders/>
            <w:shd w:fill="auto" w:val="clear"/>
            <w:vAlign w:val="bottom"/>
          </w:tcPr>
          <w:p>
            <w:pPr>
              <w:pStyle w:val="TableContents"/>
              <w:spacing w:before="0" w:after="283"/>
              <w:rPr/>
            </w:pPr>
            <w:r>
              <w:rPr/>
              <w:t> </w:t>
            </w:r>
          </w:p>
        </w:tc>
      </w:tr>
      <w:tr>
        <w:trPr/>
        <w:tc>
          <w:tcPr>
            <w:tcW w:w="6938"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283"/>
              <w:rPr/>
            </w:pPr>
            <w:r>
              <w:rPr/>
              <w:t> </w:t>
            </w:r>
          </w:p>
        </w:tc>
        <w:tc>
          <w:tcPr>
            <w:tcW w:w="2798"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938" w:type="dxa"/>
            <w:tcBorders/>
            <w:shd w:fill="CCEEFF" w:val="clear"/>
            <w:vAlign w:val="bottom"/>
          </w:tcPr>
          <w:p>
            <w:pPr>
              <w:pStyle w:val="TableContents"/>
              <w:spacing w:before="0" w:after="0"/>
              <w:ind w:left="225" w:right="0" w:hanging="225"/>
              <w:rPr/>
            </w:pPr>
            <w:r>
              <w:rPr/>
              <w:t> </w:t>
            </w:r>
          </w:p>
        </w:tc>
        <w:tc>
          <w:tcPr>
            <w:tcW w:w="46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98" w:type="dxa"/>
            <w:tcBorders/>
            <w:shd w:fill="CCEEFF" w:val="clear"/>
            <w:vAlign w:val="bottom"/>
          </w:tcPr>
          <w:p>
            <w:pPr>
              <w:pStyle w:val="TableContents"/>
              <w:spacing w:before="0" w:after="283"/>
              <w:jc w:val="right"/>
              <w:rPr/>
            </w:pPr>
            <w:r>
              <w:rPr/>
              <w:t>306,294</w:t>
            </w:r>
          </w:p>
        </w:tc>
        <w:tc>
          <w:tcPr>
            <w:tcW w:w="118"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861" w:type="dxa"/>
            <w:tcBorders/>
            <w:shd w:fill="CCEEFF" w:val="clear"/>
            <w:vAlign w:val="bottom"/>
          </w:tcPr>
          <w:p>
            <w:pPr>
              <w:pStyle w:val="TableContents"/>
              <w:spacing w:before="0" w:after="283"/>
              <w:jc w:val="right"/>
              <w:rPr/>
            </w:pPr>
            <w:r>
              <w:rPr/>
              <w:t>304,744</w:t>
            </w:r>
          </w:p>
        </w:tc>
        <w:tc>
          <w:tcPr>
            <w:tcW w:w="124" w:type="dxa"/>
            <w:tcBorders/>
            <w:shd w:fill="CCEEFF" w:val="clear"/>
            <w:vAlign w:val="bottom"/>
          </w:tcPr>
          <w:p>
            <w:pPr>
              <w:pStyle w:val="TableContents"/>
              <w:spacing w:before="0" w:after="283"/>
              <w:rPr/>
            </w:pPr>
            <w:r>
              <w:rPr/>
              <w:t> </w:t>
            </w:r>
          </w:p>
        </w:tc>
      </w:tr>
      <w:tr>
        <w:trPr/>
        <w:tc>
          <w:tcPr>
            <w:tcW w:w="6938"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283"/>
              <w:rPr/>
            </w:pPr>
            <w:r>
              <w:rPr/>
              <w:t> </w:t>
            </w:r>
          </w:p>
        </w:tc>
        <w:tc>
          <w:tcPr>
            <w:tcW w:w="2798"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pPr>
      <w:r>
        <w:rPr/>
        <w:t>     </w:t>
      </w:r>
      <w:r>
        <w:rPr>
          <w:rFonts w:ascii="Arial;Helvetica;sans-serif" w:hAnsi="Arial;Helvetica;sans-serif"/>
          <w:sz w:val="17"/>
        </w:rPr>
        <w:t xml:space="preserve">Gains and losses related to sales of securities are summarized as follows (in thousands): </w:t>
      </w:r>
    </w:p>
    <w:tbl>
      <w:tblPr>
        <w:tblW w:w="5000" w:type="pct"/>
        <w:jc w:val="center"/>
        <w:tblInd w:w="0" w:type="dxa"/>
        <w:tblCellMar>
          <w:top w:w="0" w:type="dxa"/>
          <w:left w:w="0" w:type="dxa"/>
          <w:bottom w:w="0" w:type="dxa"/>
          <w:right w:w="0" w:type="dxa"/>
        </w:tblCellMar>
      </w:tblPr>
      <w:tblGrid>
        <w:gridCol w:w="5296"/>
        <w:gridCol w:w="397"/>
        <w:gridCol w:w="206"/>
        <w:gridCol w:w="797"/>
        <w:gridCol w:w="163"/>
        <w:gridCol w:w="415"/>
        <w:gridCol w:w="206"/>
        <w:gridCol w:w="899"/>
        <w:gridCol w:w="163"/>
        <w:gridCol w:w="415"/>
        <w:gridCol w:w="206"/>
        <w:gridCol w:w="901"/>
        <w:gridCol w:w="141"/>
      </w:tblGrid>
      <w:tr>
        <w:trPr/>
        <w:tc>
          <w:tcPr>
            <w:tcW w:w="5296"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296"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4371" w:type="dxa"/>
            <w:gridSpan w:val="10"/>
            <w:tcBorders>
              <w:bottom w:val="single" w:sz="2" w:space="0" w:color="000000"/>
            </w:tcBorders>
            <w:shd w:fill="auto" w:val="clear"/>
            <w:tcMar>
              <w:bottom w:w="28" w:type="dxa"/>
            </w:tcMar>
            <w:vAlign w:val="bottom"/>
          </w:tcPr>
          <w:p>
            <w:pPr>
              <w:pStyle w:val="TableContents"/>
              <w:spacing w:before="0" w:after="283"/>
              <w:jc w:val="center"/>
              <w:rPr/>
            </w:pPr>
            <w:r>
              <w:rPr/>
              <w:t>For the Years Ended December 31,</w:t>
            </w:r>
          </w:p>
        </w:tc>
        <w:tc>
          <w:tcPr>
            <w:tcW w:w="141" w:type="dxa"/>
            <w:tcBorders/>
            <w:shd w:fill="auto" w:val="clear"/>
            <w:vAlign w:val="bottom"/>
          </w:tcPr>
          <w:p>
            <w:pPr>
              <w:pStyle w:val="TableContents"/>
              <w:spacing w:before="0" w:after="283"/>
              <w:rPr/>
            </w:pPr>
            <w:r>
              <w:rPr/>
              <w:t> </w:t>
            </w:r>
          </w:p>
        </w:tc>
      </w:tr>
      <w:tr>
        <w:trPr/>
        <w:tc>
          <w:tcPr>
            <w:tcW w:w="5296"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00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63" w:type="dxa"/>
            <w:tcBorders>
              <w:bottom w:val="single" w:sz="2" w:space="0" w:color="000000"/>
            </w:tcBorders>
            <w:shd w:fill="auto" w:val="clear"/>
            <w:tcMar>
              <w:bottom w:w="28" w:type="dxa"/>
            </w:tcMar>
            <w:vAlign w:val="bottom"/>
          </w:tcPr>
          <w:p>
            <w:pPr>
              <w:pStyle w:val="TableContents"/>
              <w:spacing w:before="0" w:after="283"/>
              <w:rPr/>
            </w:pPr>
            <w:r>
              <w:rPr/>
              <w:t> </w:t>
            </w:r>
          </w:p>
        </w:tc>
        <w:tc>
          <w:tcPr>
            <w:tcW w:w="415" w:type="dxa"/>
            <w:tcBorders>
              <w:bottom w:val="single" w:sz="2" w:space="0" w:color="000000"/>
            </w:tcBorders>
            <w:shd w:fill="auto" w:val="clear"/>
            <w:tcMar>
              <w:bottom w:w="28" w:type="dxa"/>
            </w:tcMar>
            <w:vAlign w:val="bottom"/>
          </w:tcPr>
          <w:p>
            <w:pPr>
              <w:pStyle w:val="TableContents"/>
              <w:spacing w:before="0" w:after="283"/>
              <w:rPr/>
            </w:pPr>
            <w:r>
              <w:rPr/>
              <w:t> </w:t>
            </w:r>
          </w:p>
        </w:tc>
        <w:tc>
          <w:tcPr>
            <w:tcW w:w="110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63" w:type="dxa"/>
            <w:tcBorders>
              <w:bottom w:val="single" w:sz="2" w:space="0" w:color="000000"/>
            </w:tcBorders>
            <w:shd w:fill="auto" w:val="clear"/>
            <w:tcMar>
              <w:bottom w:w="28" w:type="dxa"/>
            </w:tcMar>
            <w:vAlign w:val="bottom"/>
          </w:tcPr>
          <w:p>
            <w:pPr>
              <w:pStyle w:val="TableContents"/>
              <w:spacing w:before="0" w:after="283"/>
              <w:rPr/>
            </w:pPr>
            <w:r>
              <w:rPr/>
              <w:t> </w:t>
            </w:r>
          </w:p>
        </w:tc>
        <w:tc>
          <w:tcPr>
            <w:tcW w:w="415" w:type="dxa"/>
            <w:tcBorders>
              <w:bottom w:val="single" w:sz="2" w:space="0" w:color="000000"/>
            </w:tcBorders>
            <w:shd w:fill="auto" w:val="clear"/>
            <w:tcMar>
              <w:bottom w:w="28" w:type="dxa"/>
            </w:tcMar>
            <w:vAlign w:val="bottom"/>
          </w:tcPr>
          <w:p>
            <w:pPr>
              <w:pStyle w:val="TableContents"/>
              <w:spacing w:before="0" w:after="283"/>
              <w:rPr/>
            </w:pPr>
            <w:r>
              <w:rPr/>
              <w:t> </w:t>
            </w:r>
          </w:p>
        </w:tc>
        <w:tc>
          <w:tcPr>
            <w:tcW w:w="110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141"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5296" w:type="dxa"/>
            <w:tcBorders/>
            <w:shd w:fill="CCEEFF" w:val="clear"/>
            <w:vAlign w:val="bottom"/>
          </w:tcPr>
          <w:p>
            <w:pPr>
              <w:pStyle w:val="TableContents"/>
              <w:spacing w:before="0" w:after="0"/>
              <w:ind w:left="225" w:right="0" w:hanging="225"/>
              <w:rPr/>
            </w:pPr>
            <w:r>
              <w:rPr/>
              <w:t>Gross security gains</w:t>
            </w:r>
          </w:p>
        </w:tc>
        <w:tc>
          <w:tcPr>
            <w:tcW w:w="39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797" w:type="dxa"/>
            <w:tcBorders/>
            <w:shd w:fill="CCEEFF" w:val="clear"/>
            <w:vAlign w:val="bottom"/>
          </w:tcPr>
          <w:p>
            <w:pPr>
              <w:pStyle w:val="TableContents"/>
              <w:spacing w:before="0" w:after="283"/>
              <w:jc w:val="right"/>
              <w:rPr/>
            </w:pPr>
            <w:r>
              <w:rPr/>
              <w:t>584</w:t>
            </w:r>
          </w:p>
        </w:tc>
        <w:tc>
          <w:tcPr>
            <w:tcW w:w="163"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899" w:type="dxa"/>
            <w:tcBorders/>
            <w:shd w:fill="CCEEFF" w:val="clear"/>
            <w:vAlign w:val="bottom"/>
          </w:tcPr>
          <w:p>
            <w:pPr>
              <w:pStyle w:val="TableContents"/>
              <w:spacing w:before="0" w:after="283"/>
              <w:jc w:val="right"/>
              <w:rPr/>
            </w:pPr>
            <w:r>
              <w:rPr/>
              <w:t>1,544</w:t>
            </w:r>
          </w:p>
        </w:tc>
        <w:tc>
          <w:tcPr>
            <w:tcW w:w="163"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901" w:type="dxa"/>
            <w:tcBorders/>
            <w:shd w:fill="CCEEFF" w:val="clear"/>
            <w:vAlign w:val="bottom"/>
          </w:tcPr>
          <w:p>
            <w:pPr>
              <w:pStyle w:val="TableContents"/>
              <w:spacing w:before="0" w:after="283"/>
              <w:jc w:val="right"/>
              <w:rPr/>
            </w:pPr>
            <w:r>
              <w:rPr/>
              <w:t>1,133</w:t>
            </w:r>
          </w:p>
        </w:tc>
        <w:tc>
          <w:tcPr>
            <w:tcW w:w="141" w:type="dxa"/>
            <w:tcBorders/>
            <w:shd w:fill="CCEEFF" w:val="clear"/>
            <w:vAlign w:val="bottom"/>
          </w:tcPr>
          <w:p>
            <w:pPr>
              <w:pStyle w:val="TableContents"/>
              <w:spacing w:before="0" w:after="283"/>
              <w:rPr/>
            </w:pPr>
            <w:r>
              <w:rPr/>
              <w:t> </w:t>
            </w:r>
          </w:p>
        </w:tc>
      </w:tr>
      <w:tr>
        <w:trPr/>
        <w:tc>
          <w:tcPr>
            <w:tcW w:w="5296" w:type="dxa"/>
            <w:tcBorders/>
            <w:shd w:fill="auto" w:val="clear"/>
            <w:vAlign w:val="bottom"/>
          </w:tcPr>
          <w:p>
            <w:pPr>
              <w:pStyle w:val="TableContents"/>
              <w:spacing w:before="0" w:after="0"/>
              <w:ind w:left="225" w:right="0" w:hanging="225"/>
              <w:rPr/>
            </w:pPr>
            <w:r>
              <w:rPr/>
              <w:t>Gross security losses</w:t>
            </w:r>
          </w:p>
        </w:tc>
        <w:tc>
          <w:tcPr>
            <w:tcW w:w="39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797" w:type="dxa"/>
            <w:tcBorders/>
            <w:shd w:fill="auto" w:val="clear"/>
            <w:vAlign w:val="bottom"/>
          </w:tcPr>
          <w:p>
            <w:pPr>
              <w:pStyle w:val="TableContents"/>
              <w:spacing w:before="0" w:after="283"/>
              <w:jc w:val="right"/>
              <w:rPr/>
            </w:pPr>
            <w:r>
              <w:rPr/>
              <w:t>(638</w:t>
            </w:r>
          </w:p>
        </w:tc>
        <w:tc>
          <w:tcPr>
            <w:tcW w:w="163" w:type="dxa"/>
            <w:tcBorders/>
            <w:shd w:fill="auto" w:val="clear"/>
            <w:vAlign w:val="bottom"/>
          </w:tcPr>
          <w:p>
            <w:pPr>
              <w:pStyle w:val="TableContents"/>
              <w:spacing w:before="0" w:after="283"/>
              <w:rPr/>
            </w:pPr>
            <w:r>
              <w:rPr/>
              <w:t>)</w:t>
            </w:r>
          </w:p>
        </w:tc>
        <w:tc>
          <w:tcPr>
            <w:tcW w:w="41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899" w:type="dxa"/>
            <w:tcBorders/>
            <w:shd w:fill="auto" w:val="clear"/>
            <w:vAlign w:val="bottom"/>
          </w:tcPr>
          <w:p>
            <w:pPr>
              <w:pStyle w:val="TableContents"/>
              <w:spacing w:before="0" w:after="283"/>
              <w:jc w:val="right"/>
              <w:rPr/>
            </w:pPr>
            <w:r>
              <w:rPr/>
              <w:t>(171</w:t>
            </w:r>
          </w:p>
        </w:tc>
        <w:tc>
          <w:tcPr>
            <w:tcW w:w="163" w:type="dxa"/>
            <w:tcBorders/>
            <w:shd w:fill="auto" w:val="clear"/>
            <w:vAlign w:val="bottom"/>
          </w:tcPr>
          <w:p>
            <w:pPr>
              <w:pStyle w:val="TableContents"/>
              <w:spacing w:before="0" w:after="283"/>
              <w:rPr/>
            </w:pPr>
            <w:r>
              <w:rPr/>
              <w:t>)</w:t>
            </w:r>
          </w:p>
        </w:tc>
        <w:tc>
          <w:tcPr>
            <w:tcW w:w="41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901" w:type="dxa"/>
            <w:tcBorders/>
            <w:shd w:fill="auto" w:val="clear"/>
            <w:vAlign w:val="bottom"/>
          </w:tcPr>
          <w:p>
            <w:pPr>
              <w:pStyle w:val="TableContents"/>
              <w:spacing w:before="0" w:after="283"/>
              <w:jc w:val="right"/>
              <w:rPr/>
            </w:pPr>
            <w:r>
              <w:rPr/>
              <w:t>(158</w:t>
            </w:r>
          </w:p>
        </w:tc>
        <w:tc>
          <w:tcPr>
            <w:tcW w:w="141" w:type="dxa"/>
            <w:tcBorders/>
            <w:shd w:fill="auto" w:val="clear"/>
            <w:vAlign w:val="bottom"/>
          </w:tcPr>
          <w:p>
            <w:pPr>
              <w:pStyle w:val="TableContents"/>
              <w:spacing w:before="0" w:after="283"/>
              <w:rPr/>
            </w:pPr>
            <w:r>
              <w:rPr/>
              <w:t>)</w:t>
            </w:r>
          </w:p>
        </w:tc>
      </w:tr>
      <w:tr>
        <w:trPr/>
        <w:tc>
          <w:tcPr>
            <w:tcW w:w="5296"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4512"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296" w:type="dxa"/>
            <w:tcBorders/>
            <w:shd w:fill="auto" w:val="clear"/>
            <w:vAlign w:val="bottom"/>
          </w:tcPr>
          <w:p>
            <w:pPr>
              <w:pStyle w:val="TableContents"/>
              <w:spacing w:before="0" w:after="0"/>
              <w:ind w:left="225" w:right="0" w:hanging="225"/>
              <w:rPr/>
            </w:pPr>
            <w:r>
              <w:rPr/>
              <w:t> </w:t>
            </w:r>
          </w:p>
        </w:tc>
        <w:tc>
          <w:tcPr>
            <w:tcW w:w="39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296" w:type="dxa"/>
            <w:tcBorders/>
            <w:shd w:fill="CCEEFF" w:val="clear"/>
            <w:vAlign w:val="bottom"/>
          </w:tcPr>
          <w:p>
            <w:pPr>
              <w:pStyle w:val="TableContents"/>
              <w:spacing w:before="0" w:after="0"/>
              <w:ind w:left="450" w:right="0" w:hanging="225"/>
              <w:rPr>
                <w:b/>
              </w:rPr>
            </w:pPr>
            <w:r>
              <w:rPr>
                <w:b/>
              </w:rPr>
              <w:t>Net security (losses) gains</w:t>
            </w:r>
          </w:p>
        </w:tc>
        <w:tc>
          <w:tcPr>
            <w:tcW w:w="39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797" w:type="dxa"/>
            <w:tcBorders/>
            <w:shd w:fill="CCEEFF" w:val="clear"/>
            <w:vAlign w:val="bottom"/>
          </w:tcPr>
          <w:p>
            <w:pPr>
              <w:pStyle w:val="TableContents"/>
              <w:spacing w:before="0" w:after="283"/>
              <w:jc w:val="right"/>
              <w:rPr/>
            </w:pPr>
            <w:r>
              <w:rPr/>
              <w:t>(54</w:t>
            </w:r>
          </w:p>
        </w:tc>
        <w:tc>
          <w:tcPr>
            <w:tcW w:w="163" w:type="dxa"/>
            <w:tcBorders/>
            <w:shd w:fill="CCEEFF" w:val="clear"/>
            <w:vAlign w:val="bottom"/>
          </w:tcPr>
          <w:p>
            <w:pPr>
              <w:pStyle w:val="TableContents"/>
              <w:spacing w:before="0" w:after="283"/>
              <w:rPr/>
            </w:pPr>
            <w:r>
              <w:rPr/>
              <w:t>)</w:t>
            </w:r>
          </w:p>
        </w:tc>
        <w:tc>
          <w:tcPr>
            <w:tcW w:w="41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899" w:type="dxa"/>
            <w:tcBorders/>
            <w:shd w:fill="CCEEFF" w:val="clear"/>
            <w:vAlign w:val="bottom"/>
          </w:tcPr>
          <w:p>
            <w:pPr>
              <w:pStyle w:val="TableContents"/>
              <w:spacing w:before="0" w:after="283"/>
              <w:jc w:val="right"/>
              <w:rPr/>
            </w:pPr>
            <w:r>
              <w:rPr/>
              <w:t>1,373</w:t>
            </w:r>
          </w:p>
        </w:tc>
        <w:tc>
          <w:tcPr>
            <w:tcW w:w="163"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901" w:type="dxa"/>
            <w:tcBorders/>
            <w:shd w:fill="CCEEFF" w:val="clear"/>
            <w:vAlign w:val="bottom"/>
          </w:tcPr>
          <w:p>
            <w:pPr>
              <w:pStyle w:val="TableContents"/>
              <w:spacing w:before="0" w:after="283"/>
              <w:jc w:val="right"/>
              <w:rPr/>
            </w:pPr>
            <w:r>
              <w:rPr/>
              <w:t>975</w:t>
            </w:r>
          </w:p>
        </w:tc>
        <w:tc>
          <w:tcPr>
            <w:tcW w:w="141" w:type="dxa"/>
            <w:tcBorders/>
            <w:shd w:fill="CCEEFF" w:val="clear"/>
            <w:vAlign w:val="bottom"/>
          </w:tcPr>
          <w:p>
            <w:pPr>
              <w:pStyle w:val="TableContents"/>
              <w:spacing w:before="0" w:after="283"/>
              <w:rPr/>
            </w:pPr>
            <w:r>
              <w:rPr/>
              <w:t> </w:t>
            </w:r>
          </w:p>
        </w:tc>
      </w:tr>
      <w:tr>
        <w:trPr/>
        <w:tc>
          <w:tcPr>
            <w:tcW w:w="5296"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4512"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tax (benefit) provisions for these net realized gains and losses amounted to $(21,000), $546,000, and 387,000 for the years ended December 31, 2005, 2004 and 2003, respectively.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Investment securities with carrying amounts of $210,162,000 and $226,356,000 on December 31, 2005 and 2004, respectively, were pledged as collateral on public deposits, to secure securities sold under agreements to repurchase and for other purposes as required or permitted by law. </w:t>
      </w:r>
    </w:p>
    <w:p>
      <w:pPr>
        <w:pStyle w:val="TextBody"/>
        <w:jc w:val="center"/>
        <w:rPr>
          <w:rFonts w:ascii="Arial;Helvetica;sans-serif" w:hAnsi="Arial;Helvetica;sans-serif"/>
          <w:sz w:val="17"/>
        </w:rPr>
      </w:pPr>
      <w:r>
        <w:rPr>
          <w:rFonts w:ascii="Arial;Helvetica;sans-serif" w:hAnsi="Arial;Helvetica;sans-serif"/>
          <w:sz w:val="17"/>
        </w:rPr>
        <w:t xml:space="preserve">68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Information pertaining to securities with gross unrealized losses at December 31, 2005 and 2004 aggregated by investment category and length of time that individual securities have been in continuous loss position follows: </w:t>
      </w:r>
    </w:p>
    <w:tbl>
      <w:tblPr>
        <w:tblW w:w="5000" w:type="pct"/>
        <w:jc w:val="center"/>
        <w:tblInd w:w="0" w:type="dxa"/>
        <w:tblCellMar>
          <w:top w:w="0" w:type="dxa"/>
          <w:left w:w="0" w:type="dxa"/>
          <w:bottom w:w="0" w:type="dxa"/>
          <w:right w:w="0" w:type="dxa"/>
        </w:tblCellMar>
      </w:tblPr>
      <w:tblGrid>
        <w:gridCol w:w="2035"/>
        <w:gridCol w:w="79"/>
        <w:gridCol w:w="219"/>
        <w:gridCol w:w="1256"/>
        <w:gridCol w:w="96"/>
        <w:gridCol w:w="112"/>
        <w:gridCol w:w="219"/>
        <w:gridCol w:w="889"/>
        <w:gridCol w:w="63"/>
        <w:gridCol w:w="79"/>
        <w:gridCol w:w="219"/>
        <w:gridCol w:w="1256"/>
        <w:gridCol w:w="96"/>
        <w:gridCol w:w="111"/>
        <w:gridCol w:w="219"/>
        <w:gridCol w:w="889"/>
        <w:gridCol w:w="63"/>
        <w:gridCol w:w="79"/>
        <w:gridCol w:w="141"/>
        <w:gridCol w:w="807"/>
        <w:gridCol w:w="63"/>
        <w:gridCol w:w="79"/>
        <w:gridCol w:w="211"/>
        <w:gridCol w:w="850"/>
        <w:gridCol w:w="75"/>
      </w:tblGrid>
      <w:tr>
        <w:trPr/>
        <w:tc>
          <w:tcPr>
            <w:tcW w:w="203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203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791" w:type="dxa"/>
            <w:gridSpan w:val="6"/>
            <w:tcBorders/>
            <w:shd w:fill="auto" w:val="clear"/>
            <w:vAlign w:val="bottom"/>
          </w:tcPr>
          <w:p>
            <w:pPr>
              <w:pStyle w:val="TableContents"/>
              <w:spacing w:before="0" w:after="283"/>
              <w:jc w:val="center"/>
              <w:rPr/>
            </w:pPr>
            <w:r>
              <w:rPr/>
              <w:t>Continuous unrealized losses</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790" w:type="dxa"/>
            <w:gridSpan w:val="6"/>
            <w:tcBorders/>
            <w:shd w:fill="auto" w:val="clear"/>
            <w:vAlign w:val="bottom"/>
          </w:tcPr>
          <w:p>
            <w:pPr>
              <w:pStyle w:val="TableContents"/>
              <w:spacing w:before="0" w:after="283"/>
              <w:jc w:val="center"/>
              <w:rPr/>
            </w:pPr>
            <w:r>
              <w:rPr/>
              <w:t>Continuous unrealized losses</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51" w:type="dxa"/>
            <w:gridSpan w:val="6"/>
            <w:tcBorders/>
            <w:shd w:fill="auto" w:val="clear"/>
            <w:vAlign w:val="bottom"/>
          </w:tcPr>
          <w:p>
            <w:pPr>
              <w:pStyle w:val="TableContents"/>
              <w:spacing w:before="0" w:after="283"/>
              <w:jc w:val="center"/>
              <w:rPr/>
            </w:pPr>
            <w:r>
              <w:rPr/>
              <w:t> </w:t>
            </w:r>
          </w:p>
        </w:tc>
        <w:tc>
          <w:tcPr>
            <w:tcW w:w="75" w:type="dxa"/>
            <w:tcBorders/>
            <w:shd w:fill="auto" w:val="clear"/>
            <w:vAlign w:val="bottom"/>
          </w:tcPr>
          <w:p>
            <w:pPr>
              <w:pStyle w:val="TableContents"/>
              <w:spacing w:before="0" w:after="283"/>
              <w:rPr/>
            </w:pPr>
            <w:r>
              <w:rPr/>
              <w:t> </w:t>
            </w:r>
          </w:p>
        </w:tc>
      </w:tr>
      <w:tr>
        <w:trPr/>
        <w:tc>
          <w:tcPr>
            <w:tcW w:w="203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791" w:type="dxa"/>
            <w:gridSpan w:val="6"/>
            <w:tcBorders/>
            <w:shd w:fill="auto" w:val="clear"/>
            <w:vAlign w:val="bottom"/>
          </w:tcPr>
          <w:p>
            <w:pPr>
              <w:pStyle w:val="TableContents"/>
              <w:spacing w:before="0" w:after="283"/>
              <w:jc w:val="center"/>
              <w:rPr/>
            </w:pPr>
            <w:r>
              <w:rPr/>
              <w:t>existing for less than 12</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790" w:type="dxa"/>
            <w:gridSpan w:val="6"/>
            <w:tcBorders/>
            <w:shd w:fill="auto" w:val="clear"/>
            <w:vAlign w:val="bottom"/>
          </w:tcPr>
          <w:p>
            <w:pPr>
              <w:pStyle w:val="TableContents"/>
              <w:spacing w:before="0" w:after="283"/>
              <w:jc w:val="center"/>
              <w:rPr/>
            </w:pPr>
            <w:r>
              <w:rPr/>
              <w:t>existing greater than 12</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51" w:type="dxa"/>
            <w:gridSpan w:val="6"/>
            <w:tcBorders/>
            <w:shd w:fill="auto" w:val="clear"/>
            <w:vAlign w:val="bottom"/>
          </w:tcPr>
          <w:p>
            <w:pPr>
              <w:pStyle w:val="TableContents"/>
              <w:spacing w:before="0" w:after="283"/>
              <w:jc w:val="center"/>
              <w:rPr/>
            </w:pPr>
            <w:r>
              <w:rPr/>
              <w:t> </w:t>
            </w:r>
          </w:p>
        </w:tc>
        <w:tc>
          <w:tcPr>
            <w:tcW w:w="75" w:type="dxa"/>
            <w:tcBorders/>
            <w:shd w:fill="auto" w:val="clear"/>
            <w:vAlign w:val="bottom"/>
          </w:tcPr>
          <w:p>
            <w:pPr>
              <w:pStyle w:val="TableContents"/>
              <w:spacing w:before="0" w:after="283"/>
              <w:rPr/>
            </w:pPr>
            <w:r>
              <w:rPr/>
              <w:t> </w:t>
            </w:r>
          </w:p>
        </w:tc>
      </w:tr>
      <w:tr>
        <w:trPr/>
        <w:tc>
          <w:tcPr>
            <w:tcW w:w="203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791" w:type="dxa"/>
            <w:gridSpan w:val="6"/>
            <w:tcBorders>
              <w:bottom w:val="single" w:sz="2" w:space="0" w:color="000000"/>
            </w:tcBorders>
            <w:shd w:fill="auto" w:val="clear"/>
            <w:tcMar>
              <w:bottom w:w="28" w:type="dxa"/>
            </w:tcMar>
            <w:vAlign w:val="bottom"/>
          </w:tcPr>
          <w:p>
            <w:pPr>
              <w:pStyle w:val="TableContents"/>
              <w:spacing w:before="0" w:after="283"/>
              <w:jc w:val="center"/>
              <w:rPr/>
            </w:pPr>
            <w:r>
              <w:rPr/>
              <w:t>months, gross</w:t>
            </w:r>
          </w:p>
        </w:tc>
        <w:tc>
          <w:tcPr>
            <w:tcW w:w="63" w:type="dxa"/>
            <w:tcBorders>
              <w:bottom w:val="single" w:sz="2" w:space="0" w:color="000000"/>
            </w:tcBorders>
            <w:shd w:fill="auto" w:val="clear"/>
            <w:tcMar>
              <w:bottom w:w="28" w:type="dxa"/>
            </w:tcMar>
            <w:vAlign w:val="bottom"/>
          </w:tcPr>
          <w:p>
            <w:pPr>
              <w:pStyle w:val="TableContents"/>
              <w:spacing w:before="0" w:after="283"/>
              <w:rPr/>
            </w:pPr>
            <w:r>
              <w:rPr/>
              <w:t> </w:t>
            </w:r>
          </w:p>
        </w:tc>
        <w:tc>
          <w:tcPr>
            <w:tcW w:w="79" w:type="dxa"/>
            <w:tcBorders>
              <w:bottom w:val="single" w:sz="2" w:space="0" w:color="000000"/>
            </w:tcBorders>
            <w:shd w:fill="auto" w:val="clear"/>
            <w:tcMar>
              <w:bottom w:w="28" w:type="dxa"/>
            </w:tcMar>
            <w:vAlign w:val="bottom"/>
          </w:tcPr>
          <w:p>
            <w:pPr>
              <w:pStyle w:val="TableContents"/>
              <w:spacing w:before="0" w:after="283"/>
              <w:rPr/>
            </w:pPr>
            <w:r>
              <w:rPr/>
              <w:t> </w:t>
            </w:r>
          </w:p>
        </w:tc>
        <w:tc>
          <w:tcPr>
            <w:tcW w:w="2790" w:type="dxa"/>
            <w:gridSpan w:val="6"/>
            <w:tcBorders>
              <w:bottom w:val="single" w:sz="2" w:space="0" w:color="000000"/>
            </w:tcBorders>
            <w:shd w:fill="auto" w:val="clear"/>
            <w:tcMar>
              <w:bottom w:w="28" w:type="dxa"/>
            </w:tcMar>
            <w:vAlign w:val="bottom"/>
          </w:tcPr>
          <w:p>
            <w:pPr>
              <w:pStyle w:val="TableContents"/>
              <w:spacing w:before="0" w:after="283"/>
              <w:jc w:val="center"/>
              <w:rPr/>
            </w:pPr>
            <w:r>
              <w:rPr/>
              <w:t>months, gross</w:t>
            </w:r>
          </w:p>
        </w:tc>
        <w:tc>
          <w:tcPr>
            <w:tcW w:w="63" w:type="dxa"/>
            <w:tcBorders>
              <w:bottom w:val="single" w:sz="2" w:space="0" w:color="000000"/>
            </w:tcBorders>
            <w:shd w:fill="auto" w:val="clear"/>
            <w:tcMar>
              <w:bottom w:w="28" w:type="dxa"/>
            </w:tcMar>
            <w:vAlign w:val="bottom"/>
          </w:tcPr>
          <w:p>
            <w:pPr>
              <w:pStyle w:val="TableContents"/>
              <w:spacing w:before="0" w:after="283"/>
              <w:rPr/>
            </w:pPr>
            <w:r>
              <w:rPr/>
              <w:t> </w:t>
            </w:r>
          </w:p>
        </w:tc>
        <w:tc>
          <w:tcPr>
            <w:tcW w:w="79" w:type="dxa"/>
            <w:tcBorders>
              <w:bottom w:val="single" w:sz="2" w:space="0" w:color="000000"/>
            </w:tcBorders>
            <w:shd w:fill="auto" w:val="clear"/>
            <w:tcMar>
              <w:bottom w:w="28" w:type="dxa"/>
            </w:tcMar>
            <w:vAlign w:val="bottom"/>
          </w:tcPr>
          <w:p>
            <w:pPr>
              <w:pStyle w:val="TableContents"/>
              <w:spacing w:before="0" w:after="283"/>
              <w:rPr/>
            </w:pPr>
            <w:r>
              <w:rPr/>
              <w:t> </w:t>
            </w:r>
          </w:p>
        </w:tc>
        <w:tc>
          <w:tcPr>
            <w:tcW w:w="2151" w:type="dxa"/>
            <w:gridSpan w:val="6"/>
            <w:tcBorders>
              <w:bottom w:val="single" w:sz="2" w:space="0" w:color="000000"/>
            </w:tcBorders>
            <w:shd w:fill="auto" w:val="clear"/>
            <w:tcMar>
              <w:bottom w:w="28" w:type="dxa"/>
            </w:tcMar>
            <w:vAlign w:val="bottom"/>
          </w:tcPr>
          <w:p>
            <w:pPr>
              <w:pStyle w:val="TableContents"/>
              <w:spacing w:before="0" w:after="283"/>
              <w:jc w:val="center"/>
              <w:rPr/>
            </w:pPr>
            <w:r>
              <w:rPr/>
              <w:t>Total, gross</w:t>
            </w:r>
          </w:p>
        </w:tc>
        <w:tc>
          <w:tcPr>
            <w:tcW w:w="75"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203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475" w:type="dxa"/>
            <w:gridSpan w:val="2"/>
            <w:tcBorders/>
            <w:shd w:fill="auto" w:val="clear"/>
            <w:vAlign w:val="bottom"/>
          </w:tcPr>
          <w:p>
            <w:pPr>
              <w:pStyle w:val="TableContents"/>
              <w:spacing w:before="0" w:after="283"/>
              <w:jc w:val="center"/>
              <w:rPr/>
            </w:pPr>
            <w:r>
              <w:rPr/>
              <w:t>Fair</w:t>
            </w:r>
          </w:p>
        </w:tc>
        <w:tc>
          <w:tcPr>
            <w:tcW w:w="96"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108" w:type="dxa"/>
            <w:gridSpan w:val="2"/>
            <w:tcBorders/>
            <w:shd w:fill="auto" w:val="clear"/>
            <w:vAlign w:val="bottom"/>
          </w:tcPr>
          <w:p>
            <w:pPr>
              <w:pStyle w:val="TableContents"/>
              <w:spacing w:before="0" w:after="283"/>
              <w:jc w:val="center"/>
              <w:rPr/>
            </w:pPr>
            <w:r>
              <w:rPr/>
              <w:t>Unrealized</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475" w:type="dxa"/>
            <w:gridSpan w:val="2"/>
            <w:tcBorders/>
            <w:shd w:fill="auto" w:val="clear"/>
            <w:vAlign w:val="bottom"/>
          </w:tcPr>
          <w:p>
            <w:pPr>
              <w:pStyle w:val="TableContents"/>
              <w:spacing w:before="0" w:after="283"/>
              <w:jc w:val="center"/>
              <w:rPr/>
            </w:pPr>
            <w:r>
              <w:rPr/>
              <w:t>Fair</w:t>
            </w:r>
          </w:p>
        </w:tc>
        <w:tc>
          <w:tcPr>
            <w:tcW w:w="96"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08" w:type="dxa"/>
            <w:gridSpan w:val="2"/>
            <w:tcBorders/>
            <w:shd w:fill="auto" w:val="clear"/>
            <w:vAlign w:val="bottom"/>
          </w:tcPr>
          <w:p>
            <w:pPr>
              <w:pStyle w:val="TableContents"/>
              <w:spacing w:before="0" w:after="283"/>
              <w:jc w:val="center"/>
              <w:rPr/>
            </w:pPr>
            <w:r>
              <w:rPr/>
              <w:t>Unrealized</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948" w:type="dxa"/>
            <w:gridSpan w:val="2"/>
            <w:tcBorders/>
            <w:shd w:fill="auto" w:val="clear"/>
            <w:vAlign w:val="bottom"/>
          </w:tcPr>
          <w:p>
            <w:pPr>
              <w:pStyle w:val="TableContents"/>
              <w:spacing w:before="0" w:after="283"/>
              <w:jc w:val="center"/>
              <w:rPr/>
            </w:pPr>
            <w:r>
              <w:rPr/>
              <w:t>Fair</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061" w:type="dxa"/>
            <w:gridSpan w:val="2"/>
            <w:tcBorders/>
            <w:shd w:fill="auto" w:val="clear"/>
            <w:vAlign w:val="bottom"/>
          </w:tcPr>
          <w:p>
            <w:pPr>
              <w:pStyle w:val="TableContents"/>
              <w:spacing w:before="0" w:after="283"/>
              <w:jc w:val="center"/>
              <w:rPr/>
            </w:pPr>
            <w:r>
              <w:rPr/>
              <w:t>Unrealized</w:t>
            </w:r>
          </w:p>
        </w:tc>
        <w:tc>
          <w:tcPr>
            <w:tcW w:w="75" w:type="dxa"/>
            <w:tcBorders/>
            <w:shd w:fill="auto" w:val="clear"/>
            <w:vAlign w:val="bottom"/>
          </w:tcPr>
          <w:p>
            <w:pPr>
              <w:pStyle w:val="TableContents"/>
              <w:spacing w:before="0" w:after="283"/>
              <w:rPr/>
            </w:pPr>
            <w:r>
              <w:rPr/>
              <w:t> </w:t>
            </w:r>
          </w:p>
        </w:tc>
      </w:tr>
      <w:tr>
        <w:trPr/>
        <w:tc>
          <w:tcPr>
            <w:tcW w:w="203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475"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96" w:type="dxa"/>
            <w:tcBorders>
              <w:bottom w:val="single" w:sz="2" w:space="0" w:color="000000"/>
            </w:tcBorders>
            <w:shd w:fill="auto" w:val="clear"/>
            <w:tcMar>
              <w:bottom w:w="28" w:type="dxa"/>
            </w:tcMar>
            <w:vAlign w:val="bottom"/>
          </w:tcPr>
          <w:p>
            <w:pPr>
              <w:pStyle w:val="TableContents"/>
              <w:spacing w:before="0" w:after="283"/>
              <w:rPr/>
            </w:pPr>
            <w:r>
              <w:rPr/>
              <w:t> </w:t>
            </w:r>
          </w:p>
        </w:tc>
        <w:tc>
          <w:tcPr>
            <w:tcW w:w="112" w:type="dxa"/>
            <w:tcBorders>
              <w:bottom w:val="single" w:sz="2" w:space="0" w:color="000000"/>
            </w:tcBorders>
            <w:shd w:fill="auto" w:val="clear"/>
            <w:tcMar>
              <w:bottom w:w="28" w:type="dxa"/>
            </w:tcMar>
            <w:vAlign w:val="bottom"/>
          </w:tcPr>
          <w:p>
            <w:pPr>
              <w:pStyle w:val="TableContents"/>
              <w:spacing w:before="0" w:after="283"/>
              <w:rPr/>
            </w:pPr>
            <w:r>
              <w:rPr/>
              <w:t> </w:t>
            </w:r>
          </w:p>
        </w:tc>
        <w:tc>
          <w:tcPr>
            <w:tcW w:w="1108" w:type="dxa"/>
            <w:gridSpan w:val="2"/>
            <w:tcBorders>
              <w:bottom w:val="single" w:sz="2" w:space="0" w:color="000000"/>
            </w:tcBorders>
            <w:shd w:fill="auto" w:val="clear"/>
            <w:tcMar>
              <w:bottom w:w="28" w:type="dxa"/>
            </w:tcMar>
            <w:vAlign w:val="bottom"/>
          </w:tcPr>
          <w:p>
            <w:pPr>
              <w:pStyle w:val="TableContents"/>
              <w:spacing w:before="0" w:after="283"/>
              <w:jc w:val="center"/>
              <w:rPr/>
            </w:pPr>
            <w:r>
              <w:rPr/>
              <w:t>Losses</w:t>
            </w:r>
          </w:p>
        </w:tc>
        <w:tc>
          <w:tcPr>
            <w:tcW w:w="63" w:type="dxa"/>
            <w:tcBorders>
              <w:bottom w:val="single" w:sz="2" w:space="0" w:color="000000"/>
            </w:tcBorders>
            <w:shd w:fill="auto" w:val="clear"/>
            <w:tcMar>
              <w:bottom w:w="28" w:type="dxa"/>
            </w:tcMar>
            <w:vAlign w:val="bottom"/>
          </w:tcPr>
          <w:p>
            <w:pPr>
              <w:pStyle w:val="TableContents"/>
              <w:spacing w:before="0" w:after="283"/>
              <w:rPr/>
            </w:pPr>
            <w:r>
              <w:rPr/>
              <w:t> </w:t>
            </w:r>
          </w:p>
        </w:tc>
        <w:tc>
          <w:tcPr>
            <w:tcW w:w="79" w:type="dxa"/>
            <w:tcBorders>
              <w:bottom w:val="single" w:sz="2" w:space="0" w:color="000000"/>
            </w:tcBorders>
            <w:shd w:fill="auto" w:val="clear"/>
            <w:tcMar>
              <w:bottom w:w="28" w:type="dxa"/>
            </w:tcMar>
            <w:vAlign w:val="bottom"/>
          </w:tcPr>
          <w:p>
            <w:pPr>
              <w:pStyle w:val="TableContents"/>
              <w:spacing w:before="0" w:after="283"/>
              <w:rPr/>
            </w:pPr>
            <w:r>
              <w:rPr/>
              <w:t> </w:t>
            </w:r>
          </w:p>
        </w:tc>
        <w:tc>
          <w:tcPr>
            <w:tcW w:w="1475"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96" w:type="dxa"/>
            <w:tcBorders>
              <w:bottom w:val="single" w:sz="2" w:space="0" w:color="000000"/>
            </w:tcBorders>
            <w:shd w:fill="auto" w:val="clear"/>
            <w:tcMar>
              <w:bottom w:w="28" w:type="dxa"/>
            </w:tcMar>
            <w:vAlign w:val="bottom"/>
          </w:tcPr>
          <w:p>
            <w:pPr>
              <w:pStyle w:val="TableContents"/>
              <w:spacing w:before="0" w:after="283"/>
              <w:rPr/>
            </w:pPr>
            <w:r>
              <w:rPr/>
              <w:t> </w:t>
            </w:r>
          </w:p>
        </w:tc>
        <w:tc>
          <w:tcPr>
            <w:tcW w:w="111" w:type="dxa"/>
            <w:tcBorders>
              <w:bottom w:val="single" w:sz="2" w:space="0" w:color="000000"/>
            </w:tcBorders>
            <w:shd w:fill="auto" w:val="clear"/>
            <w:tcMar>
              <w:bottom w:w="28" w:type="dxa"/>
            </w:tcMar>
            <w:vAlign w:val="bottom"/>
          </w:tcPr>
          <w:p>
            <w:pPr>
              <w:pStyle w:val="TableContents"/>
              <w:spacing w:before="0" w:after="283"/>
              <w:rPr/>
            </w:pPr>
            <w:r>
              <w:rPr/>
              <w:t> </w:t>
            </w:r>
          </w:p>
        </w:tc>
        <w:tc>
          <w:tcPr>
            <w:tcW w:w="1108" w:type="dxa"/>
            <w:gridSpan w:val="2"/>
            <w:tcBorders>
              <w:bottom w:val="single" w:sz="2" w:space="0" w:color="000000"/>
            </w:tcBorders>
            <w:shd w:fill="auto" w:val="clear"/>
            <w:tcMar>
              <w:bottom w:w="28" w:type="dxa"/>
            </w:tcMar>
            <w:vAlign w:val="bottom"/>
          </w:tcPr>
          <w:p>
            <w:pPr>
              <w:pStyle w:val="TableContents"/>
              <w:spacing w:before="0" w:after="283"/>
              <w:jc w:val="center"/>
              <w:rPr/>
            </w:pPr>
            <w:r>
              <w:rPr/>
              <w:t>Losses</w:t>
            </w:r>
          </w:p>
        </w:tc>
        <w:tc>
          <w:tcPr>
            <w:tcW w:w="63" w:type="dxa"/>
            <w:tcBorders>
              <w:bottom w:val="single" w:sz="2" w:space="0" w:color="000000"/>
            </w:tcBorders>
            <w:shd w:fill="auto" w:val="clear"/>
            <w:tcMar>
              <w:bottom w:w="28" w:type="dxa"/>
            </w:tcMar>
            <w:vAlign w:val="bottom"/>
          </w:tcPr>
          <w:p>
            <w:pPr>
              <w:pStyle w:val="TableContents"/>
              <w:spacing w:before="0" w:after="283"/>
              <w:rPr/>
            </w:pPr>
            <w:r>
              <w:rPr/>
              <w:t> </w:t>
            </w:r>
          </w:p>
        </w:tc>
        <w:tc>
          <w:tcPr>
            <w:tcW w:w="79" w:type="dxa"/>
            <w:tcBorders>
              <w:bottom w:val="single" w:sz="2" w:space="0" w:color="000000"/>
            </w:tcBorders>
            <w:shd w:fill="auto" w:val="clear"/>
            <w:tcMar>
              <w:bottom w:w="28" w:type="dxa"/>
            </w:tcMar>
            <w:vAlign w:val="bottom"/>
          </w:tcPr>
          <w:p>
            <w:pPr>
              <w:pStyle w:val="TableContents"/>
              <w:spacing w:before="0" w:after="283"/>
              <w:rPr/>
            </w:pPr>
            <w:r>
              <w:rPr/>
              <w:t> </w:t>
            </w:r>
          </w:p>
        </w:tc>
        <w:tc>
          <w:tcPr>
            <w:tcW w:w="948"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63" w:type="dxa"/>
            <w:tcBorders>
              <w:bottom w:val="single" w:sz="2" w:space="0" w:color="000000"/>
            </w:tcBorders>
            <w:shd w:fill="auto" w:val="clear"/>
            <w:tcMar>
              <w:bottom w:w="28" w:type="dxa"/>
            </w:tcMar>
            <w:vAlign w:val="bottom"/>
          </w:tcPr>
          <w:p>
            <w:pPr>
              <w:pStyle w:val="TableContents"/>
              <w:spacing w:before="0" w:after="283"/>
              <w:rPr/>
            </w:pPr>
            <w:r>
              <w:rPr/>
              <w:t> </w:t>
            </w:r>
          </w:p>
        </w:tc>
        <w:tc>
          <w:tcPr>
            <w:tcW w:w="79" w:type="dxa"/>
            <w:tcBorders>
              <w:bottom w:val="single" w:sz="2" w:space="0" w:color="000000"/>
            </w:tcBorders>
            <w:shd w:fill="auto" w:val="clear"/>
            <w:tcMar>
              <w:bottom w:w="28" w:type="dxa"/>
            </w:tcMar>
            <w:vAlign w:val="bottom"/>
          </w:tcPr>
          <w:p>
            <w:pPr>
              <w:pStyle w:val="TableContents"/>
              <w:spacing w:before="0" w:after="283"/>
              <w:rPr/>
            </w:pPr>
            <w:r>
              <w:rPr/>
              <w:t> </w:t>
            </w:r>
          </w:p>
        </w:tc>
        <w:tc>
          <w:tcPr>
            <w:tcW w:w="1061" w:type="dxa"/>
            <w:gridSpan w:val="2"/>
            <w:tcBorders>
              <w:bottom w:val="single" w:sz="2" w:space="0" w:color="000000"/>
            </w:tcBorders>
            <w:shd w:fill="auto" w:val="clear"/>
            <w:tcMar>
              <w:bottom w:w="28" w:type="dxa"/>
            </w:tcMar>
            <w:vAlign w:val="bottom"/>
          </w:tcPr>
          <w:p>
            <w:pPr>
              <w:pStyle w:val="TableContents"/>
              <w:spacing w:before="0" w:after="283"/>
              <w:jc w:val="center"/>
              <w:rPr/>
            </w:pPr>
            <w:r>
              <w:rPr/>
              <w:t>Losses</w:t>
            </w:r>
          </w:p>
        </w:tc>
        <w:tc>
          <w:tcPr>
            <w:tcW w:w="75"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2035" w:type="dxa"/>
            <w:tcBorders/>
            <w:shd w:fill="auto" w:val="clear"/>
            <w:vAlign w:val="bottom"/>
          </w:tcPr>
          <w:p>
            <w:pPr>
              <w:pStyle w:val="TableContents"/>
              <w:spacing w:before="0" w:after="283"/>
              <w:jc w:val="left"/>
              <w:rPr/>
            </w:pPr>
            <w:r>
              <w:rPr/>
              <w:t>December 31, 2005:</w:t>
            </w:r>
          </w:p>
        </w:tc>
        <w:tc>
          <w:tcPr>
            <w:tcW w:w="79" w:type="dxa"/>
            <w:tcBorders/>
            <w:shd w:fill="auto" w:val="clear"/>
            <w:vAlign w:val="bottom"/>
          </w:tcPr>
          <w:p>
            <w:pPr>
              <w:pStyle w:val="TableContents"/>
              <w:spacing w:before="0" w:after="283"/>
              <w:rPr/>
            </w:pPr>
            <w:r>
              <w:rPr/>
              <w:t> </w:t>
            </w:r>
          </w:p>
        </w:tc>
        <w:tc>
          <w:tcPr>
            <w:tcW w:w="8016" w:type="dxa"/>
            <w:gridSpan w:val="22"/>
            <w:tcBorders/>
            <w:shd w:fill="auto" w:val="clear"/>
            <w:vAlign w:val="bottom"/>
          </w:tcPr>
          <w:p>
            <w:pPr>
              <w:pStyle w:val="TableContents"/>
              <w:spacing w:before="0" w:after="283"/>
              <w:jc w:val="center"/>
              <w:rPr/>
            </w:pPr>
            <w:r>
              <w:rPr/>
              <w:t>(Dollars in thousands)</w:t>
            </w:r>
          </w:p>
        </w:tc>
        <w:tc>
          <w:tcPr>
            <w:tcW w:w="75" w:type="dxa"/>
            <w:tcBorders/>
            <w:shd w:fill="auto" w:val="clear"/>
            <w:vAlign w:val="bottom"/>
          </w:tcPr>
          <w:p>
            <w:pPr>
              <w:pStyle w:val="TableContents"/>
              <w:spacing w:before="0" w:after="283"/>
              <w:rPr/>
            </w:pPr>
            <w:r>
              <w:rPr/>
              <w:t> </w:t>
            </w:r>
          </w:p>
        </w:tc>
      </w:tr>
      <w:tr>
        <w:trPr/>
        <w:tc>
          <w:tcPr>
            <w:tcW w:w="2035" w:type="dxa"/>
            <w:tcBorders/>
            <w:shd w:fill="CCEEFF" w:val="clear"/>
            <w:vAlign w:val="bottom"/>
          </w:tcPr>
          <w:p>
            <w:pPr>
              <w:pStyle w:val="TableContents"/>
              <w:spacing w:before="0" w:after="0"/>
              <w:ind w:left="225" w:right="0" w:hanging="225"/>
              <w:rPr/>
            </w:pPr>
            <w:r>
              <w:rPr/>
              <w:t>U.S. Treasury securities and obligations of U.S. government corporations and agencies</w:t>
            </w:r>
          </w:p>
        </w:tc>
        <w:tc>
          <w:tcPr>
            <w:tcW w:w="7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56" w:type="dxa"/>
            <w:tcBorders/>
            <w:shd w:fill="CCEEFF" w:val="clear"/>
            <w:vAlign w:val="bottom"/>
          </w:tcPr>
          <w:p>
            <w:pPr>
              <w:pStyle w:val="TableContents"/>
              <w:spacing w:before="0" w:after="283"/>
              <w:jc w:val="right"/>
              <w:rPr/>
            </w:pPr>
            <w:r>
              <w:rPr/>
              <w:t>103,344</w:t>
            </w:r>
          </w:p>
        </w:tc>
        <w:tc>
          <w:tcPr>
            <w:tcW w:w="96"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889" w:type="dxa"/>
            <w:tcBorders/>
            <w:shd w:fill="CCEEFF" w:val="clear"/>
            <w:vAlign w:val="bottom"/>
          </w:tcPr>
          <w:p>
            <w:pPr>
              <w:pStyle w:val="TableContents"/>
              <w:spacing w:before="0" w:after="283"/>
              <w:jc w:val="right"/>
              <w:rPr/>
            </w:pPr>
            <w:r>
              <w:rPr/>
              <w:t>510</w:t>
            </w:r>
          </w:p>
        </w:tc>
        <w:tc>
          <w:tcPr>
            <w:tcW w:w="63"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56" w:type="dxa"/>
            <w:tcBorders/>
            <w:shd w:fill="CCEEFF" w:val="clear"/>
            <w:vAlign w:val="bottom"/>
          </w:tcPr>
          <w:p>
            <w:pPr>
              <w:pStyle w:val="TableContents"/>
              <w:spacing w:before="0" w:after="283"/>
              <w:jc w:val="right"/>
              <w:rPr/>
            </w:pPr>
            <w:r>
              <w:rPr/>
              <w:t>88,711</w:t>
            </w:r>
          </w:p>
        </w:tc>
        <w:tc>
          <w:tcPr>
            <w:tcW w:w="96"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889" w:type="dxa"/>
            <w:tcBorders/>
            <w:shd w:fill="CCEEFF" w:val="clear"/>
            <w:vAlign w:val="bottom"/>
          </w:tcPr>
          <w:p>
            <w:pPr>
              <w:pStyle w:val="TableContents"/>
              <w:spacing w:before="0" w:after="283"/>
              <w:jc w:val="right"/>
              <w:rPr/>
            </w:pPr>
            <w:r>
              <w:rPr/>
              <w:t>1,210</w:t>
            </w:r>
          </w:p>
        </w:tc>
        <w:tc>
          <w:tcPr>
            <w:tcW w:w="63"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192,055</w:t>
            </w:r>
          </w:p>
        </w:tc>
        <w:tc>
          <w:tcPr>
            <w:tcW w:w="63"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50" w:type="dxa"/>
            <w:tcBorders/>
            <w:shd w:fill="CCEEFF" w:val="clear"/>
            <w:vAlign w:val="bottom"/>
          </w:tcPr>
          <w:p>
            <w:pPr>
              <w:pStyle w:val="TableContents"/>
              <w:spacing w:before="0" w:after="283"/>
              <w:jc w:val="right"/>
              <w:rPr/>
            </w:pPr>
            <w:r>
              <w:rPr/>
              <w:t>1,720</w:t>
            </w:r>
          </w:p>
        </w:tc>
        <w:tc>
          <w:tcPr>
            <w:tcW w:w="75" w:type="dxa"/>
            <w:tcBorders/>
            <w:shd w:fill="CCEEFF" w:val="clear"/>
            <w:vAlign w:val="bottom"/>
          </w:tcPr>
          <w:p>
            <w:pPr>
              <w:pStyle w:val="TableContents"/>
              <w:spacing w:before="0" w:after="283"/>
              <w:rPr/>
            </w:pPr>
            <w:r>
              <w:rPr/>
              <w:t> </w:t>
            </w:r>
          </w:p>
        </w:tc>
      </w:tr>
      <w:tr>
        <w:trPr/>
        <w:tc>
          <w:tcPr>
            <w:tcW w:w="2035" w:type="dxa"/>
            <w:tcBorders/>
            <w:shd w:fill="auto" w:val="clear"/>
            <w:vAlign w:val="bottom"/>
          </w:tcPr>
          <w:p>
            <w:pPr>
              <w:pStyle w:val="TableContents"/>
              <w:spacing w:before="0" w:after="0"/>
              <w:ind w:left="225" w:right="0" w:hanging="225"/>
              <w:rPr/>
            </w:pPr>
            <w:r>
              <w:rPr/>
              <w:t>Obligations of states and political subdivisions</w:t>
            </w:r>
          </w:p>
        </w:tc>
        <w:tc>
          <w:tcPr>
            <w:tcW w:w="7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46,800</w:t>
            </w:r>
          </w:p>
        </w:tc>
        <w:tc>
          <w:tcPr>
            <w:tcW w:w="96"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711</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2,134</w:t>
            </w:r>
          </w:p>
        </w:tc>
        <w:tc>
          <w:tcPr>
            <w:tcW w:w="96"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52</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48,934</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763</w:t>
            </w:r>
          </w:p>
        </w:tc>
        <w:tc>
          <w:tcPr>
            <w:tcW w:w="75" w:type="dxa"/>
            <w:tcBorders/>
            <w:shd w:fill="auto" w:val="clear"/>
            <w:vAlign w:val="bottom"/>
          </w:tcPr>
          <w:p>
            <w:pPr>
              <w:pStyle w:val="TableContents"/>
              <w:spacing w:before="0" w:after="283"/>
              <w:rPr/>
            </w:pPr>
            <w:r>
              <w:rPr/>
              <w:t> </w:t>
            </w:r>
          </w:p>
        </w:tc>
      </w:tr>
      <w:tr>
        <w:trPr/>
        <w:tc>
          <w:tcPr>
            <w:tcW w:w="2035" w:type="dxa"/>
            <w:tcBorders/>
            <w:shd w:fill="CCEEFF" w:val="clear"/>
            <w:vAlign w:val="bottom"/>
          </w:tcPr>
          <w:p>
            <w:pPr>
              <w:pStyle w:val="TableContents"/>
              <w:spacing w:before="0" w:after="0"/>
              <w:ind w:left="225" w:right="0" w:hanging="225"/>
              <w:rPr/>
            </w:pPr>
            <w:r>
              <w:rPr/>
              <w:t>Mortgage-backed securities</w:t>
            </w:r>
          </w:p>
        </w:tc>
        <w:tc>
          <w:tcPr>
            <w:tcW w:w="7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5,532</w:t>
            </w:r>
          </w:p>
        </w:tc>
        <w:tc>
          <w:tcPr>
            <w:tcW w:w="96"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52</w:t>
            </w:r>
          </w:p>
        </w:tc>
        <w:tc>
          <w:tcPr>
            <w:tcW w:w="63"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382</w:t>
            </w:r>
          </w:p>
        </w:tc>
        <w:tc>
          <w:tcPr>
            <w:tcW w:w="96"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2</w:t>
            </w:r>
          </w:p>
        </w:tc>
        <w:tc>
          <w:tcPr>
            <w:tcW w:w="63"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5,914</w:t>
            </w:r>
          </w:p>
        </w:tc>
        <w:tc>
          <w:tcPr>
            <w:tcW w:w="63"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54</w:t>
            </w:r>
          </w:p>
        </w:tc>
        <w:tc>
          <w:tcPr>
            <w:tcW w:w="75" w:type="dxa"/>
            <w:tcBorders/>
            <w:shd w:fill="CCEEFF" w:val="clear"/>
            <w:vAlign w:val="bottom"/>
          </w:tcPr>
          <w:p>
            <w:pPr>
              <w:pStyle w:val="TableContents"/>
              <w:spacing w:before="0" w:after="283"/>
              <w:rPr/>
            </w:pPr>
            <w:r>
              <w:rPr/>
              <w:t> </w:t>
            </w:r>
          </w:p>
        </w:tc>
      </w:tr>
      <w:tr>
        <w:trPr/>
        <w:tc>
          <w:tcPr>
            <w:tcW w:w="2035" w:type="dxa"/>
            <w:tcBorders/>
            <w:shd w:fill="auto" w:val="clear"/>
            <w:vAlign w:val="bottom"/>
          </w:tcPr>
          <w:p>
            <w:pPr>
              <w:pStyle w:val="TableContents"/>
              <w:spacing w:before="0" w:after="0"/>
              <w:ind w:left="225" w:right="0" w:hanging="225"/>
              <w:rPr/>
            </w:pPr>
            <w:r>
              <w:rPr/>
              <w:t>Corporate securities</w:t>
            </w:r>
          </w:p>
        </w:tc>
        <w:tc>
          <w:tcPr>
            <w:tcW w:w="7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1,285</w:t>
            </w:r>
          </w:p>
        </w:tc>
        <w:tc>
          <w:tcPr>
            <w:tcW w:w="96"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909</w:t>
            </w:r>
          </w:p>
        </w:tc>
        <w:tc>
          <w:tcPr>
            <w:tcW w:w="96"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2,194</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40</w:t>
            </w:r>
          </w:p>
        </w:tc>
        <w:tc>
          <w:tcPr>
            <w:tcW w:w="75" w:type="dxa"/>
            <w:tcBorders/>
            <w:shd w:fill="auto" w:val="clear"/>
            <w:vAlign w:val="bottom"/>
          </w:tcPr>
          <w:p>
            <w:pPr>
              <w:pStyle w:val="TableContents"/>
              <w:spacing w:before="0" w:after="283"/>
              <w:rPr/>
            </w:pPr>
            <w:r>
              <w:rPr/>
              <w:t> </w:t>
            </w:r>
          </w:p>
        </w:tc>
      </w:tr>
      <w:tr>
        <w:trPr/>
        <w:tc>
          <w:tcPr>
            <w:tcW w:w="2035"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8091"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035" w:type="dxa"/>
            <w:tcBorders/>
            <w:shd w:fill="CCEEFF" w:val="clear"/>
            <w:vAlign w:val="bottom"/>
          </w:tcPr>
          <w:p>
            <w:pPr>
              <w:pStyle w:val="TableContents"/>
              <w:spacing w:before="0" w:after="0"/>
              <w:ind w:left="450" w:right="0" w:hanging="225"/>
              <w:rPr/>
            </w:pPr>
            <w:r>
              <w:rPr/>
              <w:t>Subtotal, debt securities</w:t>
            </w:r>
          </w:p>
        </w:tc>
        <w:tc>
          <w:tcPr>
            <w:tcW w:w="7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56" w:type="dxa"/>
            <w:tcBorders/>
            <w:shd w:fill="CCEEFF" w:val="clear"/>
            <w:vAlign w:val="bottom"/>
          </w:tcPr>
          <w:p>
            <w:pPr>
              <w:pStyle w:val="TableContents"/>
              <w:spacing w:before="0" w:after="283"/>
              <w:jc w:val="right"/>
              <w:rPr/>
            </w:pPr>
            <w:r>
              <w:rPr/>
              <w:t>156,961</w:t>
            </w:r>
          </w:p>
        </w:tc>
        <w:tc>
          <w:tcPr>
            <w:tcW w:w="96"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889" w:type="dxa"/>
            <w:tcBorders/>
            <w:shd w:fill="CCEEFF" w:val="clear"/>
            <w:vAlign w:val="bottom"/>
          </w:tcPr>
          <w:p>
            <w:pPr>
              <w:pStyle w:val="TableContents"/>
              <w:spacing w:before="0" w:after="283"/>
              <w:jc w:val="right"/>
              <w:rPr/>
            </w:pPr>
            <w:r>
              <w:rPr/>
              <w:t>1,285</w:t>
            </w:r>
          </w:p>
        </w:tc>
        <w:tc>
          <w:tcPr>
            <w:tcW w:w="63"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56" w:type="dxa"/>
            <w:tcBorders/>
            <w:shd w:fill="CCEEFF" w:val="clear"/>
            <w:vAlign w:val="bottom"/>
          </w:tcPr>
          <w:p>
            <w:pPr>
              <w:pStyle w:val="TableContents"/>
              <w:spacing w:before="0" w:after="283"/>
              <w:jc w:val="right"/>
              <w:rPr/>
            </w:pPr>
            <w:r>
              <w:rPr/>
              <w:t>92,136</w:t>
            </w:r>
          </w:p>
        </w:tc>
        <w:tc>
          <w:tcPr>
            <w:tcW w:w="96"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889" w:type="dxa"/>
            <w:tcBorders/>
            <w:shd w:fill="CCEEFF" w:val="clear"/>
            <w:vAlign w:val="bottom"/>
          </w:tcPr>
          <w:p>
            <w:pPr>
              <w:pStyle w:val="TableContents"/>
              <w:spacing w:before="0" w:after="283"/>
              <w:jc w:val="right"/>
              <w:rPr/>
            </w:pPr>
            <w:r>
              <w:rPr/>
              <w:t>1,292</w:t>
            </w:r>
          </w:p>
        </w:tc>
        <w:tc>
          <w:tcPr>
            <w:tcW w:w="63"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249,097</w:t>
            </w:r>
          </w:p>
        </w:tc>
        <w:tc>
          <w:tcPr>
            <w:tcW w:w="63"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50" w:type="dxa"/>
            <w:tcBorders/>
            <w:shd w:fill="CCEEFF" w:val="clear"/>
            <w:vAlign w:val="bottom"/>
          </w:tcPr>
          <w:p>
            <w:pPr>
              <w:pStyle w:val="TableContents"/>
              <w:spacing w:before="0" w:after="283"/>
              <w:jc w:val="right"/>
              <w:rPr/>
            </w:pPr>
            <w:r>
              <w:rPr/>
              <w:t>2,577</w:t>
            </w:r>
          </w:p>
        </w:tc>
        <w:tc>
          <w:tcPr>
            <w:tcW w:w="75" w:type="dxa"/>
            <w:tcBorders/>
            <w:shd w:fill="CCEEFF" w:val="clear"/>
            <w:vAlign w:val="bottom"/>
          </w:tcPr>
          <w:p>
            <w:pPr>
              <w:pStyle w:val="TableContents"/>
              <w:spacing w:before="0" w:after="283"/>
              <w:rPr/>
            </w:pPr>
            <w:r>
              <w:rPr/>
              <w:t> </w:t>
            </w:r>
          </w:p>
        </w:tc>
      </w:tr>
      <w:tr>
        <w:trPr/>
        <w:tc>
          <w:tcPr>
            <w:tcW w:w="2035" w:type="dxa"/>
            <w:tcBorders/>
            <w:shd w:fill="auto" w:val="clear"/>
            <w:vAlign w:val="bottom"/>
          </w:tcPr>
          <w:p>
            <w:pPr>
              <w:pStyle w:val="TableContents"/>
              <w:spacing w:before="0" w:after="0"/>
              <w:ind w:left="225" w:right="0" w:hanging="225"/>
              <w:rPr/>
            </w:pPr>
            <w:r>
              <w:rPr/>
              <w:t> </w:t>
            </w:r>
          </w:p>
        </w:tc>
        <w:tc>
          <w:tcPr>
            <w:tcW w:w="7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2035" w:type="dxa"/>
            <w:tcBorders/>
            <w:shd w:fill="auto" w:val="clear"/>
            <w:vAlign w:val="bottom"/>
          </w:tcPr>
          <w:p>
            <w:pPr>
              <w:pStyle w:val="TableContents"/>
              <w:spacing w:before="0" w:after="0"/>
              <w:ind w:left="225" w:right="0" w:hanging="225"/>
              <w:rPr/>
            </w:pPr>
            <w:r>
              <w:rPr/>
              <w:t>Mutual funds and other equity securities</w:t>
            </w:r>
          </w:p>
        </w:tc>
        <w:tc>
          <w:tcPr>
            <w:tcW w:w="7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64</w:t>
            </w:r>
          </w:p>
        </w:tc>
        <w:tc>
          <w:tcPr>
            <w:tcW w:w="96"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64</w:t>
            </w:r>
          </w:p>
        </w:tc>
        <w:tc>
          <w:tcPr>
            <w:tcW w:w="6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17</w:t>
            </w:r>
          </w:p>
        </w:tc>
        <w:tc>
          <w:tcPr>
            <w:tcW w:w="75" w:type="dxa"/>
            <w:tcBorders/>
            <w:shd w:fill="auto" w:val="clear"/>
            <w:vAlign w:val="bottom"/>
          </w:tcPr>
          <w:p>
            <w:pPr>
              <w:pStyle w:val="TableContents"/>
              <w:spacing w:before="0" w:after="283"/>
              <w:rPr/>
            </w:pPr>
            <w:r>
              <w:rPr/>
              <w:t> </w:t>
            </w:r>
          </w:p>
        </w:tc>
      </w:tr>
      <w:tr>
        <w:trPr/>
        <w:tc>
          <w:tcPr>
            <w:tcW w:w="2035"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8091"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035" w:type="dxa"/>
            <w:tcBorders/>
            <w:shd w:fill="CCEEFF" w:val="clear"/>
            <w:vAlign w:val="bottom"/>
          </w:tcPr>
          <w:p>
            <w:pPr>
              <w:pStyle w:val="TableContents"/>
              <w:spacing w:before="0" w:after="0"/>
              <w:ind w:left="450" w:right="0" w:hanging="225"/>
              <w:rPr/>
            </w:pPr>
            <w:r>
              <w:rPr/>
              <w:t>Total temporarily impaired securities</w:t>
            </w:r>
          </w:p>
        </w:tc>
        <w:tc>
          <w:tcPr>
            <w:tcW w:w="7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56" w:type="dxa"/>
            <w:tcBorders/>
            <w:shd w:fill="CCEEFF" w:val="clear"/>
            <w:vAlign w:val="bottom"/>
          </w:tcPr>
          <w:p>
            <w:pPr>
              <w:pStyle w:val="TableContents"/>
              <w:spacing w:before="0" w:after="283"/>
              <w:jc w:val="right"/>
              <w:rPr/>
            </w:pPr>
            <w:r>
              <w:rPr/>
              <w:t>156,961</w:t>
            </w:r>
          </w:p>
        </w:tc>
        <w:tc>
          <w:tcPr>
            <w:tcW w:w="96"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889" w:type="dxa"/>
            <w:tcBorders/>
            <w:shd w:fill="CCEEFF" w:val="clear"/>
            <w:vAlign w:val="bottom"/>
          </w:tcPr>
          <w:p>
            <w:pPr>
              <w:pStyle w:val="TableContents"/>
              <w:spacing w:before="0" w:after="283"/>
              <w:jc w:val="right"/>
              <w:rPr/>
            </w:pPr>
            <w:r>
              <w:rPr/>
              <w:t>1,285</w:t>
            </w:r>
          </w:p>
        </w:tc>
        <w:tc>
          <w:tcPr>
            <w:tcW w:w="63"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56" w:type="dxa"/>
            <w:tcBorders/>
            <w:shd w:fill="CCEEFF" w:val="clear"/>
            <w:vAlign w:val="bottom"/>
          </w:tcPr>
          <w:p>
            <w:pPr>
              <w:pStyle w:val="TableContents"/>
              <w:spacing w:before="0" w:after="283"/>
              <w:jc w:val="right"/>
              <w:rPr/>
            </w:pPr>
            <w:r>
              <w:rPr/>
              <w:t>192,200</w:t>
            </w:r>
          </w:p>
        </w:tc>
        <w:tc>
          <w:tcPr>
            <w:tcW w:w="96"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889" w:type="dxa"/>
            <w:tcBorders/>
            <w:shd w:fill="CCEEFF" w:val="clear"/>
            <w:vAlign w:val="bottom"/>
          </w:tcPr>
          <w:p>
            <w:pPr>
              <w:pStyle w:val="TableContents"/>
              <w:spacing w:before="0" w:after="283"/>
              <w:jc w:val="right"/>
              <w:rPr/>
            </w:pPr>
            <w:r>
              <w:rPr/>
              <w:t>1,309</w:t>
            </w:r>
          </w:p>
        </w:tc>
        <w:tc>
          <w:tcPr>
            <w:tcW w:w="63"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249,161</w:t>
            </w:r>
          </w:p>
        </w:tc>
        <w:tc>
          <w:tcPr>
            <w:tcW w:w="63"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50" w:type="dxa"/>
            <w:tcBorders/>
            <w:shd w:fill="CCEEFF" w:val="clear"/>
            <w:vAlign w:val="bottom"/>
          </w:tcPr>
          <w:p>
            <w:pPr>
              <w:pStyle w:val="TableContents"/>
              <w:spacing w:before="0" w:after="283"/>
              <w:jc w:val="right"/>
              <w:rPr/>
            </w:pPr>
            <w:r>
              <w:rPr/>
              <w:t>2,594</w:t>
            </w:r>
          </w:p>
        </w:tc>
        <w:tc>
          <w:tcPr>
            <w:tcW w:w="75" w:type="dxa"/>
            <w:tcBorders/>
            <w:shd w:fill="CCEEFF" w:val="clear"/>
            <w:vAlign w:val="bottom"/>
          </w:tcPr>
          <w:p>
            <w:pPr>
              <w:pStyle w:val="TableContents"/>
              <w:spacing w:before="0" w:after="283"/>
              <w:rPr/>
            </w:pPr>
            <w:r>
              <w:rPr/>
              <w:t> </w:t>
            </w:r>
          </w:p>
        </w:tc>
      </w:tr>
      <w:tr>
        <w:trPr/>
        <w:tc>
          <w:tcPr>
            <w:tcW w:w="2035"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8091" w:type="dxa"/>
            <w:gridSpan w:val="23"/>
            <w:tcBorders>
              <w:top w:val="double" w:sz="6" w:space="0" w:color="000000"/>
            </w:tcBorders>
            <w:shd w:fill="auto" w:val="clear"/>
            <w:tcMar>
              <w:top w:w="28" w:type="dxa"/>
            </w:tcMar>
            <w:vAlign w:val="cente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1986"/>
        <w:gridCol w:w="67"/>
        <w:gridCol w:w="245"/>
        <w:gridCol w:w="1400"/>
        <w:gridCol w:w="105"/>
        <w:gridCol w:w="112"/>
        <w:gridCol w:w="284"/>
        <w:gridCol w:w="774"/>
        <w:gridCol w:w="61"/>
        <w:gridCol w:w="67"/>
        <w:gridCol w:w="288"/>
        <w:gridCol w:w="1156"/>
        <w:gridCol w:w="123"/>
        <w:gridCol w:w="129"/>
        <w:gridCol w:w="288"/>
        <w:gridCol w:w="791"/>
        <w:gridCol w:w="61"/>
        <w:gridCol w:w="67"/>
        <w:gridCol w:w="140"/>
        <w:gridCol w:w="803"/>
        <w:gridCol w:w="61"/>
        <w:gridCol w:w="67"/>
        <w:gridCol w:w="211"/>
        <w:gridCol w:w="847"/>
        <w:gridCol w:w="72"/>
      </w:tblGrid>
      <w:tr>
        <w:trPr/>
        <w:tc>
          <w:tcPr>
            <w:tcW w:w="19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r>
      <w:tr>
        <w:trPr/>
        <w:tc>
          <w:tcPr>
            <w:tcW w:w="19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920" w:type="dxa"/>
            <w:gridSpan w:val="6"/>
            <w:tcBorders/>
            <w:shd w:fill="auto" w:val="clear"/>
            <w:vAlign w:val="bottom"/>
          </w:tcPr>
          <w:p>
            <w:pPr>
              <w:pStyle w:val="TableContents"/>
              <w:spacing w:before="0" w:after="283"/>
              <w:jc w:val="center"/>
              <w:rPr/>
            </w:pPr>
            <w:r>
              <w:rPr/>
              <w:t>Continuous unrealized losses</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775" w:type="dxa"/>
            <w:gridSpan w:val="6"/>
            <w:tcBorders/>
            <w:shd w:fill="auto" w:val="clear"/>
            <w:vAlign w:val="bottom"/>
          </w:tcPr>
          <w:p>
            <w:pPr>
              <w:pStyle w:val="TableContents"/>
              <w:spacing w:before="0" w:after="283"/>
              <w:jc w:val="center"/>
              <w:rPr/>
            </w:pPr>
            <w:r>
              <w:rPr/>
              <w:t>Continuous unrealized losses</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129" w:type="dxa"/>
            <w:gridSpan w:val="6"/>
            <w:tcBorders/>
            <w:shd w:fill="auto" w:val="clear"/>
            <w:vAlign w:val="bottom"/>
          </w:tcPr>
          <w:p>
            <w:pPr>
              <w:pStyle w:val="TableContents"/>
              <w:spacing w:before="0" w:after="283"/>
              <w:jc w:val="center"/>
              <w:rPr/>
            </w:pPr>
            <w:r>
              <w:rPr/>
              <w:t> </w:t>
            </w:r>
          </w:p>
        </w:tc>
        <w:tc>
          <w:tcPr>
            <w:tcW w:w="72" w:type="dxa"/>
            <w:tcBorders/>
            <w:shd w:fill="auto" w:val="clear"/>
            <w:vAlign w:val="bottom"/>
          </w:tcPr>
          <w:p>
            <w:pPr>
              <w:pStyle w:val="TableContents"/>
              <w:spacing w:before="0" w:after="283"/>
              <w:rPr/>
            </w:pPr>
            <w:r>
              <w:rPr/>
              <w:t> </w:t>
            </w:r>
          </w:p>
        </w:tc>
      </w:tr>
      <w:tr>
        <w:trPr/>
        <w:tc>
          <w:tcPr>
            <w:tcW w:w="19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920" w:type="dxa"/>
            <w:gridSpan w:val="6"/>
            <w:tcBorders/>
            <w:shd w:fill="auto" w:val="clear"/>
            <w:vAlign w:val="bottom"/>
          </w:tcPr>
          <w:p>
            <w:pPr>
              <w:pStyle w:val="TableContents"/>
              <w:spacing w:before="0" w:after="283"/>
              <w:jc w:val="center"/>
              <w:rPr/>
            </w:pPr>
            <w:r>
              <w:rPr/>
              <w:t>existing for less than 12</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775" w:type="dxa"/>
            <w:gridSpan w:val="6"/>
            <w:tcBorders/>
            <w:shd w:fill="auto" w:val="clear"/>
            <w:vAlign w:val="bottom"/>
          </w:tcPr>
          <w:p>
            <w:pPr>
              <w:pStyle w:val="TableContents"/>
              <w:spacing w:before="0" w:after="283"/>
              <w:jc w:val="center"/>
              <w:rPr/>
            </w:pPr>
            <w:r>
              <w:rPr/>
              <w:t>existing greater than 12</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129" w:type="dxa"/>
            <w:gridSpan w:val="6"/>
            <w:tcBorders/>
            <w:shd w:fill="auto" w:val="clear"/>
            <w:vAlign w:val="bottom"/>
          </w:tcPr>
          <w:p>
            <w:pPr>
              <w:pStyle w:val="TableContents"/>
              <w:spacing w:before="0" w:after="283"/>
              <w:jc w:val="center"/>
              <w:rPr/>
            </w:pPr>
            <w:r>
              <w:rPr/>
              <w:t> </w:t>
            </w:r>
          </w:p>
        </w:tc>
        <w:tc>
          <w:tcPr>
            <w:tcW w:w="72" w:type="dxa"/>
            <w:tcBorders/>
            <w:shd w:fill="auto" w:val="clear"/>
            <w:vAlign w:val="bottom"/>
          </w:tcPr>
          <w:p>
            <w:pPr>
              <w:pStyle w:val="TableContents"/>
              <w:spacing w:before="0" w:after="283"/>
              <w:rPr/>
            </w:pPr>
            <w:r>
              <w:rPr/>
              <w:t> </w:t>
            </w:r>
          </w:p>
        </w:tc>
      </w:tr>
      <w:tr>
        <w:trPr/>
        <w:tc>
          <w:tcPr>
            <w:tcW w:w="19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920" w:type="dxa"/>
            <w:gridSpan w:val="6"/>
            <w:tcBorders>
              <w:bottom w:val="single" w:sz="2" w:space="0" w:color="000000"/>
            </w:tcBorders>
            <w:shd w:fill="auto" w:val="clear"/>
            <w:tcMar>
              <w:bottom w:w="28" w:type="dxa"/>
            </w:tcMar>
            <w:vAlign w:val="bottom"/>
          </w:tcPr>
          <w:p>
            <w:pPr>
              <w:pStyle w:val="TableContents"/>
              <w:spacing w:before="0" w:after="283"/>
              <w:jc w:val="center"/>
              <w:rPr/>
            </w:pPr>
            <w:r>
              <w:rPr/>
              <w:t>months, gross</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67" w:type="dxa"/>
            <w:tcBorders>
              <w:bottom w:val="single" w:sz="2" w:space="0" w:color="000000"/>
            </w:tcBorders>
            <w:shd w:fill="auto" w:val="clear"/>
            <w:tcMar>
              <w:bottom w:w="28" w:type="dxa"/>
            </w:tcMar>
            <w:vAlign w:val="bottom"/>
          </w:tcPr>
          <w:p>
            <w:pPr>
              <w:pStyle w:val="TableContents"/>
              <w:spacing w:before="0" w:after="283"/>
              <w:rPr/>
            </w:pPr>
            <w:r>
              <w:rPr/>
              <w:t> </w:t>
            </w:r>
          </w:p>
        </w:tc>
        <w:tc>
          <w:tcPr>
            <w:tcW w:w="2775" w:type="dxa"/>
            <w:gridSpan w:val="6"/>
            <w:tcBorders>
              <w:bottom w:val="single" w:sz="2" w:space="0" w:color="000000"/>
            </w:tcBorders>
            <w:shd w:fill="auto" w:val="clear"/>
            <w:tcMar>
              <w:bottom w:w="28" w:type="dxa"/>
            </w:tcMar>
            <w:vAlign w:val="bottom"/>
          </w:tcPr>
          <w:p>
            <w:pPr>
              <w:pStyle w:val="TableContents"/>
              <w:spacing w:before="0" w:after="283"/>
              <w:jc w:val="center"/>
              <w:rPr/>
            </w:pPr>
            <w:r>
              <w:rPr/>
              <w:t>months, gross</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67" w:type="dxa"/>
            <w:tcBorders>
              <w:bottom w:val="single" w:sz="2" w:space="0" w:color="000000"/>
            </w:tcBorders>
            <w:shd w:fill="auto" w:val="clear"/>
            <w:tcMar>
              <w:bottom w:w="28" w:type="dxa"/>
            </w:tcMar>
            <w:vAlign w:val="bottom"/>
          </w:tcPr>
          <w:p>
            <w:pPr>
              <w:pStyle w:val="TableContents"/>
              <w:spacing w:before="0" w:after="283"/>
              <w:rPr/>
            </w:pPr>
            <w:r>
              <w:rPr/>
              <w:t> </w:t>
            </w:r>
          </w:p>
        </w:tc>
        <w:tc>
          <w:tcPr>
            <w:tcW w:w="2129" w:type="dxa"/>
            <w:gridSpan w:val="6"/>
            <w:tcBorders>
              <w:bottom w:val="single" w:sz="2" w:space="0" w:color="000000"/>
            </w:tcBorders>
            <w:shd w:fill="auto" w:val="clear"/>
            <w:tcMar>
              <w:bottom w:w="28" w:type="dxa"/>
            </w:tcMar>
            <w:vAlign w:val="bottom"/>
          </w:tcPr>
          <w:p>
            <w:pPr>
              <w:pStyle w:val="TableContents"/>
              <w:spacing w:before="0" w:after="283"/>
              <w:jc w:val="center"/>
              <w:rPr/>
            </w:pPr>
            <w:r>
              <w:rPr/>
              <w:t>Total, gross</w:t>
            </w:r>
          </w:p>
        </w:tc>
        <w:tc>
          <w:tcPr>
            <w:tcW w:w="72"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19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45" w:type="dxa"/>
            <w:gridSpan w:val="2"/>
            <w:tcBorders/>
            <w:shd w:fill="auto" w:val="clear"/>
            <w:vAlign w:val="bottom"/>
          </w:tcPr>
          <w:p>
            <w:pPr>
              <w:pStyle w:val="TableContents"/>
              <w:spacing w:before="0" w:after="283"/>
              <w:jc w:val="center"/>
              <w:rPr/>
            </w:pPr>
            <w:r>
              <w:rPr/>
              <w:t>Fair</w:t>
            </w:r>
          </w:p>
        </w:tc>
        <w:tc>
          <w:tcPr>
            <w:tcW w:w="1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283"/>
              <w:jc w:val="center"/>
              <w:rPr/>
            </w:pPr>
            <w:r>
              <w:rPr/>
              <w:t>Unrealized</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44" w:type="dxa"/>
            <w:gridSpan w:val="2"/>
            <w:tcBorders/>
            <w:shd w:fill="auto" w:val="clear"/>
            <w:vAlign w:val="bottom"/>
          </w:tcPr>
          <w:p>
            <w:pPr>
              <w:pStyle w:val="TableContents"/>
              <w:spacing w:before="0" w:after="283"/>
              <w:jc w:val="center"/>
              <w:rPr/>
            </w:pPr>
            <w:r>
              <w:rPr/>
              <w:t>Fair</w:t>
            </w:r>
          </w:p>
        </w:tc>
        <w:tc>
          <w:tcPr>
            <w:tcW w:w="1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079" w:type="dxa"/>
            <w:gridSpan w:val="2"/>
            <w:tcBorders/>
            <w:shd w:fill="auto" w:val="clear"/>
            <w:vAlign w:val="bottom"/>
          </w:tcPr>
          <w:p>
            <w:pPr>
              <w:pStyle w:val="TableContents"/>
              <w:spacing w:before="0" w:after="283"/>
              <w:jc w:val="center"/>
              <w:rPr/>
            </w:pPr>
            <w:r>
              <w:rPr/>
              <w:t>Unrealized</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943" w:type="dxa"/>
            <w:gridSpan w:val="2"/>
            <w:tcBorders/>
            <w:shd w:fill="auto" w:val="clear"/>
            <w:vAlign w:val="bottom"/>
          </w:tcPr>
          <w:p>
            <w:pPr>
              <w:pStyle w:val="TableContents"/>
              <w:spacing w:before="0" w:after="283"/>
              <w:jc w:val="center"/>
              <w:rPr/>
            </w:pPr>
            <w:r>
              <w:rPr/>
              <w:t>Fair</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283"/>
              <w:jc w:val="center"/>
              <w:rPr/>
            </w:pPr>
            <w:r>
              <w:rPr/>
              <w:t>Unrealized</w:t>
            </w:r>
          </w:p>
        </w:tc>
        <w:tc>
          <w:tcPr>
            <w:tcW w:w="72" w:type="dxa"/>
            <w:tcBorders/>
            <w:shd w:fill="auto" w:val="clear"/>
            <w:vAlign w:val="bottom"/>
          </w:tcPr>
          <w:p>
            <w:pPr>
              <w:pStyle w:val="TableContents"/>
              <w:spacing w:before="0" w:after="283"/>
              <w:rPr/>
            </w:pPr>
            <w:r>
              <w:rPr/>
              <w:t> </w:t>
            </w:r>
          </w:p>
        </w:tc>
      </w:tr>
      <w:tr>
        <w:trPr/>
        <w:tc>
          <w:tcPr>
            <w:tcW w:w="19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645"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105" w:type="dxa"/>
            <w:tcBorders>
              <w:bottom w:val="single" w:sz="2" w:space="0" w:color="000000"/>
            </w:tcBorders>
            <w:shd w:fill="auto" w:val="clear"/>
            <w:tcMar>
              <w:bottom w:w="28" w:type="dxa"/>
            </w:tcMar>
            <w:vAlign w:val="bottom"/>
          </w:tcPr>
          <w:p>
            <w:pPr>
              <w:pStyle w:val="TableContents"/>
              <w:spacing w:before="0" w:after="283"/>
              <w:rPr/>
            </w:pPr>
            <w:r>
              <w:rPr/>
              <w:t> </w:t>
            </w:r>
          </w:p>
        </w:tc>
        <w:tc>
          <w:tcPr>
            <w:tcW w:w="112" w:type="dxa"/>
            <w:tcBorders>
              <w:bottom w:val="single" w:sz="2" w:space="0" w:color="000000"/>
            </w:tcBorders>
            <w:shd w:fill="auto" w:val="clear"/>
            <w:tcMar>
              <w:bottom w:w="28" w:type="dxa"/>
            </w:tcMar>
            <w:vAlign w:val="bottom"/>
          </w:tcPr>
          <w:p>
            <w:pPr>
              <w:pStyle w:val="TableContents"/>
              <w:spacing w:before="0" w:after="283"/>
              <w:rPr/>
            </w:pPr>
            <w:r>
              <w:rPr/>
              <w:t> </w:t>
            </w:r>
          </w:p>
        </w:tc>
        <w:tc>
          <w:tcPr>
            <w:tcW w:w="1058" w:type="dxa"/>
            <w:gridSpan w:val="2"/>
            <w:tcBorders>
              <w:bottom w:val="single" w:sz="2" w:space="0" w:color="000000"/>
            </w:tcBorders>
            <w:shd w:fill="auto" w:val="clear"/>
            <w:tcMar>
              <w:bottom w:w="28" w:type="dxa"/>
            </w:tcMar>
            <w:vAlign w:val="bottom"/>
          </w:tcPr>
          <w:p>
            <w:pPr>
              <w:pStyle w:val="TableContents"/>
              <w:spacing w:before="0" w:after="283"/>
              <w:jc w:val="center"/>
              <w:rPr/>
            </w:pPr>
            <w:r>
              <w:rPr/>
              <w:t>Losses</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67" w:type="dxa"/>
            <w:tcBorders>
              <w:bottom w:val="single" w:sz="2" w:space="0" w:color="000000"/>
            </w:tcBorders>
            <w:shd w:fill="auto" w:val="clear"/>
            <w:tcMar>
              <w:bottom w:w="28" w:type="dxa"/>
            </w:tcMar>
            <w:vAlign w:val="bottom"/>
          </w:tcPr>
          <w:p>
            <w:pPr>
              <w:pStyle w:val="TableContents"/>
              <w:spacing w:before="0" w:after="283"/>
              <w:rPr/>
            </w:pPr>
            <w:r>
              <w:rPr/>
              <w:t> </w:t>
            </w:r>
          </w:p>
        </w:tc>
        <w:tc>
          <w:tcPr>
            <w:tcW w:w="1444"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123" w:type="dxa"/>
            <w:tcBorders>
              <w:bottom w:val="single" w:sz="2" w:space="0" w:color="000000"/>
            </w:tcBorders>
            <w:shd w:fill="auto" w:val="clear"/>
            <w:tcMar>
              <w:bottom w:w="28" w:type="dxa"/>
            </w:tcMar>
            <w:vAlign w:val="bottom"/>
          </w:tcPr>
          <w:p>
            <w:pPr>
              <w:pStyle w:val="TableContents"/>
              <w:spacing w:before="0" w:after="283"/>
              <w:rPr/>
            </w:pPr>
            <w:r>
              <w:rPr/>
              <w:t> </w:t>
            </w:r>
          </w:p>
        </w:tc>
        <w:tc>
          <w:tcPr>
            <w:tcW w:w="129" w:type="dxa"/>
            <w:tcBorders>
              <w:bottom w:val="single" w:sz="2" w:space="0" w:color="000000"/>
            </w:tcBorders>
            <w:shd w:fill="auto" w:val="clear"/>
            <w:tcMar>
              <w:bottom w:w="28" w:type="dxa"/>
            </w:tcMar>
            <w:vAlign w:val="bottom"/>
          </w:tcPr>
          <w:p>
            <w:pPr>
              <w:pStyle w:val="TableContents"/>
              <w:spacing w:before="0" w:after="283"/>
              <w:rPr/>
            </w:pPr>
            <w:r>
              <w:rPr/>
              <w:t> </w:t>
            </w:r>
          </w:p>
        </w:tc>
        <w:tc>
          <w:tcPr>
            <w:tcW w:w="1079" w:type="dxa"/>
            <w:gridSpan w:val="2"/>
            <w:tcBorders>
              <w:bottom w:val="single" w:sz="2" w:space="0" w:color="000000"/>
            </w:tcBorders>
            <w:shd w:fill="auto" w:val="clear"/>
            <w:tcMar>
              <w:bottom w:w="28" w:type="dxa"/>
            </w:tcMar>
            <w:vAlign w:val="bottom"/>
          </w:tcPr>
          <w:p>
            <w:pPr>
              <w:pStyle w:val="TableContents"/>
              <w:spacing w:before="0" w:after="283"/>
              <w:jc w:val="center"/>
              <w:rPr/>
            </w:pPr>
            <w:r>
              <w:rPr/>
              <w:t>Losses</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67" w:type="dxa"/>
            <w:tcBorders>
              <w:bottom w:val="single" w:sz="2" w:space="0" w:color="000000"/>
            </w:tcBorders>
            <w:shd w:fill="auto" w:val="clear"/>
            <w:tcMar>
              <w:bottom w:w="28" w:type="dxa"/>
            </w:tcMar>
            <w:vAlign w:val="bottom"/>
          </w:tcPr>
          <w:p>
            <w:pPr>
              <w:pStyle w:val="TableContents"/>
              <w:spacing w:before="0" w:after="283"/>
              <w:rPr/>
            </w:pPr>
            <w:r>
              <w:rPr/>
              <w:t> </w:t>
            </w:r>
          </w:p>
        </w:tc>
        <w:tc>
          <w:tcPr>
            <w:tcW w:w="943"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67" w:type="dxa"/>
            <w:tcBorders>
              <w:bottom w:val="single" w:sz="2" w:space="0" w:color="000000"/>
            </w:tcBorders>
            <w:shd w:fill="auto" w:val="clear"/>
            <w:tcMar>
              <w:bottom w:w="28" w:type="dxa"/>
            </w:tcMar>
            <w:vAlign w:val="bottom"/>
          </w:tcPr>
          <w:p>
            <w:pPr>
              <w:pStyle w:val="TableContents"/>
              <w:spacing w:before="0" w:after="283"/>
              <w:rPr/>
            </w:pPr>
            <w:r>
              <w:rPr/>
              <w:t> </w:t>
            </w:r>
          </w:p>
        </w:tc>
        <w:tc>
          <w:tcPr>
            <w:tcW w:w="1058" w:type="dxa"/>
            <w:gridSpan w:val="2"/>
            <w:tcBorders>
              <w:bottom w:val="single" w:sz="2" w:space="0" w:color="000000"/>
            </w:tcBorders>
            <w:shd w:fill="auto" w:val="clear"/>
            <w:tcMar>
              <w:bottom w:w="28" w:type="dxa"/>
            </w:tcMar>
            <w:vAlign w:val="bottom"/>
          </w:tcPr>
          <w:p>
            <w:pPr>
              <w:pStyle w:val="TableContents"/>
              <w:spacing w:before="0" w:after="283"/>
              <w:jc w:val="center"/>
              <w:rPr/>
            </w:pPr>
            <w:r>
              <w:rPr/>
              <w:t>Losses</w:t>
            </w:r>
          </w:p>
        </w:tc>
        <w:tc>
          <w:tcPr>
            <w:tcW w:w="72"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1986" w:type="dxa"/>
            <w:tcBorders/>
            <w:shd w:fill="auto" w:val="clear"/>
            <w:vAlign w:val="bottom"/>
          </w:tcPr>
          <w:p>
            <w:pPr>
              <w:pStyle w:val="TableContents"/>
              <w:spacing w:before="0" w:after="283"/>
              <w:jc w:val="left"/>
              <w:rPr/>
            </w:pPr>
            <w:r>
              <w:rPr/>
              <w:t>December 31, 2004:</w:t>
            </w:r>
          </w:p>
        </w:tc>
        <w:tc>
          <w:tcPr>
            <w:tcW w:w="67" w:type="dxa"/>
            <w:tcBorders/>
            <w:shd w:fill="auto" w:val="clear"/>
            <w:vAlign w:val="bottom"/>
          </w:tcPr>
          <w:p>
            <w:pPr>
              <w:pStyle w:val="TableContents"/>
              <w:spacing w:before="0" w:after="283"/>
              <w:rPr/>
            </w:pPr>
            <w:r>
              <w:rPr/>
              <w:t> </w:t>
            </w:r>
          </w:p>
        </w:tc>
        <w:tc>
          <w:tcPr>
            <w:tcW w:w="8080" w:type="dxa"/>
            <w:gridSpan w:val="22"/>
            <w:tcBorders/>
            <w:shd w:fill="auto" w:val="clear"/>
            <w:vAlign w:val="bottom"/>
          </w:tcPr>
          <w:p>
            <w:pPr>
              <w:pStyle w:val="TableContents"/>
              <w:spacing w:before="0" w:after="283"/>
              <w:jc w:val="center"/>
              <w:rPr/>
            </w:pPr>
            <w:r>
              <w:rPr/>
              <w:t>(Dollars in thousands)</w:t>
            </w:r>
          </w:p>
        </w:tc>
        <w:tc>
          <w:tcPr>
            <w:tcW w:w="72" w:type="dxa"/>
            <w:tcBorders/>
            <w:shd w:fill="auto" w:val="clear"/>
            <w:vAlign w:val="bottom"/>
          </w:tcPr>
          <w:p>
            <w:pPr>
              <w:pStyle w:val="TableContents"/>
              <w:spacing w:before="0" w:after="283"/>
              <w:rPr/>
            </w:pPr>
            <w:r>
              <w:rPr/>
              <w:t> </w:t>
            </w:r>
          </w:p>
        </w:tc>
      </w:tr>
      <w:tr>
        <w:trPr/>
        <w:tc>
          <w:tcPr>
            <w:tcW w:w="1986" w:type="dxa"/>
            <w:tcBorders/>
            <w:shd w:fill="CCEEFF" w:val="clear"/>
            <w:vAlign w:val="bottom"/>
          </w:tcPr>
          <w:p>
            <w:pPr>
              <w:pStyle w:val="TableContents"/>
              <w:spacing w:before="0" w:after="0"/>
              <w:ind w:left="225" w:right="0" w:hanging="225"/>
              <w:rPr/>
            </w:pPr>
            <w:r>
              <w:rPr/>
              <w:t>U.S. Treasury securities and obligations of U.S. government corporations and agencies</w:t>
            </w:r>
          </w:p>
        </w:tc>
        <w:tc>
          <w:tcPr>
            <w:tcW w:w="67"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w:t>
            </w:r>
          </w:p>
        </w:tc>
        <w:tc>
          <w:tcPr>
            <w:tcW w:w="1400" w:type="dxa"/>
            <w:tcBorders/>
            <w:shd w:fill="CCEEFF" w:val="clear"/>
            <w:vAlign w:val="bottom"/>
          </w:tcPr>
          <w:p>
            <w:pPr>
              <w:pStyle w:val="TableContents"/>
              <w:spacing w:before="0" w:after="283"/>
              <w:jc w:val="right"/>
              <w:rPr/>
            </w:pPr>
            <w:r>
              <w:rPr/>
              <w:t>190,541</w:t>
            </w:r>
          </w:p>
        </w:tc>
        <w:tc>
          <w:tcPr>
            <w:tcW w:w="10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jc w:val="left"/>
              <w:rPr/>
            </w:pPr>
            <w:r>
              <w:rPr/>
              <w:t>$</w:t>
            </w:r>
          </w:p>
        </w:tc>
        <w:tc>
          <w:tcPr>
            <w:tcW w:w="774" w:type="dxa"/>
            <w:tcBorders/>
            <w:shd w:fill="CCEEFF" w:val="clear"/>
            <w:vAlign w:val="bottom"/>
          </w:tcPr>
          <w:p>
            <w:pPr>
              <w:pStyle w:val="TableContents"/>
              <w:spacing w:before="0" w:after="283"/>
              <w:jc w:val="right"/>
              <w:rPr/>
            </w:pPr>
            <w:r>
              <w:rPr/>
              <w:t>917</w:t>
            </w:r>
          </w:p>
        </w:tc>
        <w:tc>
          <w:tcPr>
            <w:tcW w:w="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w:t>
            </w:r>
          </w:p>
        </w:tc>
        <w:tc>
          <w:tcPr>
            <w:tcW w:w="1156" w:type="dxa"/>
            <w:tcBorders/>
            <w:shd w:fill="CCEEFF" w:val="clear"/>
            <w:vAlign w:val="bottom"/>
          </w:tcPr>
          <w:p>
            <w:pPr>
              <w:pStyle w:val="TableContents"/>
              <w:spacing w:before="0" w:after="283"/>
              <w:jc w:val="right"/>
              <w:rPr/>
            </w:pPr>
            <w:r>
              <w:rPr/>
              <w:t>7,380</w:t>
            </w:r>
          </w:p>
        </w:tc>
        <w:tc>
          <w:tcPr>
            <w:tcW w:w="12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w:t>
            </w:r>
          </w:p>
        </w:tc>
        <w:tc>
          <w:tcPr>
            <w:tcW w:w="791" w:type="dxa"/>
            <w:tcBorders/>
            <w:shd w:fill="CCEEFF" w:val="clear"/>
            <w:vAlign w:val="bottom"/>
          </w:tcPr>
          <w:p>
            <w:pPr>
              <w:pStyle w:val="TableContents"/>
              <w:spacing w:before="0" w:after="283"/>
              <w:jc w:val="right"/>
              <w:rPr/>
            </w:pPr>
            <w:r>
              <w:rPr/>
              <w:t>121</w:t>
            </w:r>
          </w:p>
        </w:tc>
        <w:tc>
          <w:tcPr>
            <w:tcW w:w="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803" w:type="dxa"/>
            <w:tcBorders/>
            <w:shd w:fill="CCEEFF" w:val="clear"/>
            <w:vAlign w:val="bottom"/>
          </w:tcPr>
          <w:p>
            <w:pPr>
              <w:pStyle w:val="TableContents"/>
              <w:spacing w:before="0" w:after="283"/>
              <w:jc w:val="right"/>
              <w:rPr/>
            </w:pPr>
            <w:r>
              <w:rPr/>
              <w:t>197,921</w:t>
            </w:r>
          </w:p>
        </w:tc>
        <w:tc>
          <w:tcPr>
            <w:tcW w:w="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47" w:type="dxa"/>
            <w:tcBorders/>
            <w:shd w:fill="CCEEFF" w:val="clear"/>
            <w:vAlign w:val="bottom"/>
          </w:tcPr>
          <w:p>
            <w:pPr>
              <w:pStyle w:val="TableContents"/>
              <w:spacing w:before="0" w:after="283"/>
              <w:jc w:val="right"/>
              <w:rPr/>
            </w:pPr>
            <w:r>
              <w:rPr/>
              <w:t>1,038</w:t>
            </w:r>
          </w:p>
        </w:tc>
        <w:tc>
          <w:tcPr>
            <w:tcW w:w="72" w:type="dxa"/>
            <w:tcBorders/>
            <w:shd w:fill="CCEEFF" w:val="clear"/>
            <w:vAlign w:val="bottom"/>
          </w:tcPr>
          <w:p>
            <w:pPr>
              <w:pStyle w:val="TableContents"/>
              <w:spacing w:before="0" w:after="283"/>
              <w:rPr/>
            </w:pPr>
            <w:r>
              <w:rPr/>
              <w:t> </w:t>
            </w:r>
          </w:p>
        </w:tc>
      </w:tr>
      <w:tr>
        <w:trPr/>
        <w:tc>
          <w:tcPr>
            <w:tcW w:w="1986" w:type="dxa"/>
            <w:tcBorders/>
            <w:shd w:fill="auto" w:val="clear"/>
            <w:vAlign w:val="bottom"/>
          </w:tcPr>
          <w:p>
            <w:pPr>
              <w:pStyle w:val="TableContents"/>
              <w:spacing w:before="0" w:after="0"/>
              <w:ind w:left="225" w:right="0" w:hanging="225"/>
              <w:rPr/>
            </w:pPr>
            <w:r>
              <w:rPr/>
              <w:t>Obligations of states and political subdivisions</w:t>
            </w:r>
          </w:p>
        </w:tc>
        <w:tc>
          <w:tcPr>
            <w:tcW w:w="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4,294</w:t>
            </w:r>
          </w:p>
        </w:tc>
        <w:tc>
          <w:tcPr>
            <w:tcW w:w="1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19</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pPr>
            <w:r>
              <w:rPr/>
              <w:t>419</w:t>
            </w:r>
          </w:p>
        </w:tc>
        <w:tc>
          <w:tcPr>
            <w:tcW w:w="1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4,713</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20</w:t>
            </w:r>
          </w:p>
        </w:tc>
        <w:tc>
          <w:tcPr>
            <w:tcW w:w="72" w:type="dxa"/>
            <w:tcBorders/>
            <w:shd w:fill="auto" w:val="clear"/>
            <w:vAlign w:val="bottom"/>
          </w:tcPr>
          <w:p>
            <w:pPr>
              <w:pStyle w:val="TableContents"/>
              <w:spacing w:before="0" w:after="283"/>
              <w:rPr/>
            </w:pPr>
            <w:r>
              <w:rPr/>
              <w:t> </w:t>
            </w:r>
          </w:p>
        </w:tc>
      </w:tr>
      <w:tr>
        <w:trPr/>
        <w:tc>
          <w:tcPr>
            <w:tcW w:w="1986" w:type="dxa"/>
            <w:tcBorders/>
            <w:shd w:fill="CCEEFF" w:val="clear"/>
            <w:vAlign w:val="bottom"/>
          </w:tcPr>
          <w:p>
            <w:pPr>
              <w:pStyle w:val="TableContents"/>
              <w:spacing w:before="0" w:after="0"/>
              <w:ind w:left="225" w:right="0" w:hanging="225"/>
              <w:rPr/>
            </w:pPr>
            <w:r>
              <w:rPr/>
              <w:t>Mortgage-backed securities</w:t>
            </w:r>
          </w:p>
        </w:tc>
        <w:tc>
          <w:tcPr>
            <w:tcW w:w="67"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3,201</w:t>
            </w:r>
          </w:p>
        </w:tc>
        <w:tc>
          <w:tcPr>
            <w:tcW w:w="10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32</w:t>
            </w:r>
          </w:p>
        </w:tc>
        <w:tc>
          <w:tcPr>
            <w:tcW w:w="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3,201</w:t>
            </w:r>
          </w:p>
        </w:tc>
        <w:tc>
          <w:tcPr>
            <w:tcW w:w="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32</w:t>
            </w:r>
          </w:p>
        </w:tc>
        <w:tc>
          <w:tcPr>
            <w:tcW w:w="72" w:type="dxa"/>
            <w:tcBorders/>
            <w:shd w:fill="CCEEFF" w:val="clear"/>
            <w:vAlign w:val="bottom"/>
          </w:tcPr>
          <w:p>
            <w:pPr>
              <w:pStyle w:val="TableContents"/>
              <w:spacing w:before="0" w:after="283"/>
              <w:rPr/>
            </w:pPr>
            <w:r>
              <w:rPr/>
              <w:t> </w:t>
            </w:r>
          </w:p>
        </w:tc>
      </w:tr>
      <w:tr>
        <w:trPr/>
        <w:tc>
          <w:tcPr>
            <w:tcW w:w="1986" w:type="dxa"/>
            <w:tcBorders/>
            <w:shd w:fill="auto" w:val="clear"/>
            <w:vAlign w:val="bottom"/>
          </w:tcPr>
          <w:p>
            <w:pPr>
              <w:pStyle w:val="TableContents"/>
              <w:spacing w:before="0" w:after="0"/>
              <w:ind w:left="225" w:right="0" w:hanging="225"/>
              <w:rPr/>
            </w:pPr>
            <w:r>
              <w:rPr/>
              <w:t>Corporate securities</w:t>
            </w:r>
          </w:p>
        </w:tc>
        <w:tc>
          <w:tcPr>
            <w:tcW w:w="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806</w:t>
            </w:r>
          </w:p>
        </w:tc>
        <w:tc>
          <w:tcPr>
            <w:tcW w:w="1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7</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806</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7</w:t>
            </w:r>
          </w:p>
        </w:tc>
        <w:tc>
          <w:tcPr>
            <w:tcW w:w="72" w:type="dxa"/>
            <w:tcBorders/>
            <w:shd w:fill="auto" w:val="clear"/>
            <w:vAlign w:val="bottom"/>
          </w:tcPr>
          <w:p>
            <w:pPr>
              <w:pStyle w:val="TableContents"/>
              <w:spacing w:before="0" w:after="283"/>
              <w:rPr/>
            </w:pPr>
            <w:r>
              <w:rPr/>
              <w:t> </w:t>
            </w:r>
          </w:p>
        </w:tc>
      </w:tr>
      <w:tr>
        <w:trPr/>
        <w:tc>
          <w:tcPr>
            <w:tcW w:w="198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152"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986" w:type="dxa"/>
            <w:tcBorders/>
            <w:shd w:fill="CCEEFF" w:val="clear"/>
            <w:vAlign w:val="bottom"/>
          </w:tcPr>
          <w:p>
            <w:pPr>
              <w:pStyle w:val="TableContents"/>
              <w:spacing w:before="0" w:after="0"/>
              <w:ind w:left="450" w:right="0" w:hanging="225"/>
              <w:rPr/>
            </w:pPr>
            <w:r>
              <w:rPr/>
              <w:t>Subtotal, debt securities</w:t>
            </w:r>
          </w:p>
        </w:tc>
        <w:tc>
          <w:tcPr>
            <w:tcW w:w="67"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w:t>
            </w:r>
          </w:p>
        </w:tc>
        <w:tc>
          <w:tcPr>
            <w:tcW w:w="1400" w:type="dxa"/>
            <w:tcBorders/>
            <w:shd w:fill="CCEEFF" w:val="clear"/>
            <w:vAlign w:val="bottom"/>
          </w:tcPr>
          <w:p>
            <w:pPr>
              <w:pStyle w:val="TableContents"/>
              <w:spacing w:before="0" w:after="283"/>
              <w:jc w:val="right"/>
              <w:rPr/>
            </w:pPr>
            <w:r>
              <w:rPr/>
              <w:t>198,842</w:t>
            </w:r>
          </w:p>
        </w:tc>
        <w:tc>
          <w:tcPr>
            <w:tcW w:w="10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jc w:val="left"/>
              <w:rPr/>
            </w:pPr>
            <w:r>
              <w:rPr/>
              <w:t>$</w:t>
            </w:r>
          </w:p>
        </w:tc>
        <w:tc>
          <w:tcPr>
            <w:tcW w:w="774" w:type="dxa"/>
            <w:tcBorders/>
            <w:shd w:fill="CCEEFF" w:val="clear"/>
            <w:vAlign w:val="bottom"/>
          </w:tcPr>
          <w:p>
            <w:pPr>
              <w:pStyle w:val="TableContents"/>
              <w:spacing w:before="0" w:after="283"/>
              <w:jc w:val="right"/>
              <w:rPr/>
            </w:pPr>
            <w:r>
              <w:rPr/>
              <w:t>975</w:t>
            </w:r>
          </w:p>
        </w:tc>
        <w:tc>
          <w:tcPr>
            <w:tcW w:w="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w:t>
            </w:r>
          </w:p>
        </w:tc>
        <w:tc>
          <w:tcPr>
            <w:tcW w:w="1156" w:type="dxa"/>
            <w:tcBorders/>
            <w:shd w:fill="CCEEFF" w:val="clear"/>
            <w:vAlign w:val="bottom"/>
          </w:tcPr>
          <w:p>
            <w:pPr>
              <w:pStyle w:val="TableContents"/>
              <w:spacing w:before="0" w:after="283"/>
              <w:jc w:val="right"/>
              <w:rPr/>
            </w:pPr>
            <w:r>
              <w:rPr/>
              <w:t>7,799</w:t>
            </w:r>
          </w:p>
        </w:tc>
        <w:tc>
          <w:tcPr>
            <w:tcW w:w="12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w:t>
            </w:r>
          </w:p>
        </w:tc>
        <w:tc>
          <w:tcPr>
            <w:tcW w:w="791" w:type="dxa"/>
            <w:tcBorders/>
            <w:shd w:fill="CCEEFF" w:val="clear"/>
            <w:vAlign w:val="bottom"/>
          </w:tcPr>
          <w:p>
            <w:pPr>
              <w:pStyle w:val="TableContents"/>
              <w:spacing w:before="0" w:after="283"/>
              <w:jc w:val="right"/>
              <w:rPr/>
            </w:pPr>
            <w:r>
              <w:rPr/>
              <w:t>122</w:t>
            </w:r>
          </w:p>
        </w:tc>
        <w:tc>
          <w:tcPr>
            <w:tcW w:w="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803" w:type="dxa"/>
            <w:tcBorders/>
            <w:shd w:fill="CCEEFF" w:val="clear"/>
            <w:vAlign w:val="bottom"/>
          </w:tcPr>
          <w:p>
            <w:pPr>
              <w:pStyle w:val="TableContents"/>
              <w:spacing w:before="0" w:after="283"/>
              <w:jc w:val="right"/>
              <w:rPr/>
            </w:pPr>
            <w:r>
              <w:rPr/>
              <w:t>206,641</w:t>
            </w:r>
          </w:p>
        </w:tc>
        <w:tc>
          <w:tcPr>
            <w:tcW w:w="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47" w:type="dxa"/>
            <w:tcBorders/>
            <w:shd w:fill="CCEEFF" w:val="clear"/>
            <w:vAlign w:val="bottom"/>
          </w:tcPr>
          <w:p>
            <w:pPr>
              <w:pStyle w:val="TableContents"/>
              <w:spacing w:before="0" w:after="283"/>
              <w:jc w:val="right"/>
              <w:rPr/>
            </w:pPr>
            <w:r>
              <w:rPr/>
              <w:t>1,097</w:t>
            </w:r>
          </w:p>
        </w:tc>
        <w:tc>
          <w:tcPr>
            <w:tcW w:w="72" w:type="dxa"/>
            <w:tcBorders/>
            <w:shd w:fill="CCEEFF" w:val="clear"/>
            <w:vAlign w:val="bottom"/>
          </w:tcPr>
          <w:p>
            <w:pPr>
              <w:pStyle w:val="TableContents"/>
              <w:spacing w:before="0" w:after="283"/>
              <w:rPr/>
            </w:pPr>
            <w:r>
              <w:rPr/>
              <w:t> </w:t>
            </w:r>
          </w:p>
        </w:tc>
      </w:tr>
      <w:tr>
        <w:trPr/>
        <w:tc>
          <w:tcPr>
            <w:tcW w:w="1986" w:type="dxa"/>
            <w:tcBorders/>
            <w:shd w:fill="auto" w:val="clear"/>
            <w:vAlign w:val="bottom"/>
          </w:tcPr>
          <w:p>
            <w:pPr>
              <w:pStyle w:val="TableContents"/>
              <w:spacing w:before="0" w:after="0"/>
              <w:ind w:left="225" w:right="0" w:hanging="225"/>
              <w:rPr/>
            </w:pPr>
            <w:r>
              <w:rPr/>
              <w:t> </w:t>
            </w:r>
          </w:p>
        </w:tc>
        <w:tc>
          <w:tcPr>
            <w:tcW w:w="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r>
      <w:tr>
        <w:trPr/>
        <w:tc>
          <w:tcPr>
            <w:tcW w:w="1986" w:type="dxa"/>
            <w:tcBorders/>
            <w:shd w:fill="auto" w:val="clear"/>
            <w:vAlign w:val="bottom"/>
          </w:tcPr>
          <w:p>
            <w:pPr>
              <w:pStyle w:val="TableContents"/>
              <w:spacing w:before="0" w:after="0"/>
              <w:ind w:left="225" w:right="0" w:hanging="225"/>
              <w:rPr/>
            </w:pPr>
            <w:r>
              <w:rPr/>
              <w:t>Mutual funds and other equity securities</w:t>
            </w:r>
          </w:p>
        </w:tc>
        <w:tc>
          <w:tcPr>
            <w:tcW w:w="67"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54</w:t>
            </w:r>
          </w:p>
        </w:tc>
        <w:tc>
          <w:tcPr>
            <w:tcW w:w="1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10</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54</w:t>
            </w:r>
          </w:p>
        </w:tc>
        <w:tc>
          <w:tcPr>
            <w:tcW w:w="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10</w:t>
            </w:r>
          </w:p>
        </w:tc>
        <w:tc>
          <w:tcPr>
            <w:tcW w:w="72" w:type="dxa"/>
            <w:tcBorders/>
            <w:shd w:fill="auto" w:val="clear"/>
            <w:vAlign w:val="bottom"/>
          </w:tcPr>
          <w:p>
            <w:pPr>
              <w:pStyle w:val="TableContents"/>
              <w:spacing w:before="0" w:after="283"/>
              <w:rPr/>
            </w:pPr>
            <w:r>
              <w:rPr/>
              <w:t> </w:t>
            </w:r>
          </w:p>
        </w:tc>
      </w:tr>
      <w:tr>
        <w:trPr/>
        <w:tc>
          <w:tcPr>
            <w:tcW w:w="198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152"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986" w:type="dxa"/>
            <w:tcBorders/>
            <w:shd w:fill="CCEEFF" w:val="clear"/>
            <w:vAlign w:val="bottom"/>
          </w:tcPr>
          <w:p>
            <w:pPr>
              <w:pStyle w:val="TableContents"/>
              <w:spacing w:before="0" w:after="0"/>
              <w:ind w:left="450" w:right="0" w:hanging="225"/>
              <w:rPr/>
            </w:pPr>
            <w:r>
              <w:rPr/>
              <w:t>Total temporarily impaired securities</w:t>
            </w:r>
          </w:p>
        </w:tc>
        <w:tc>
          <w:tcPr>
            <w:tcW w:w="67"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w:t>
            </w:r>
          </w:p>
        </w:tc>
        <w:tc>
          <w:tcPr>
            <w:tcW w:w="1400" w:type="dxa"/>
            <w:tcBorders/>
            <w:shd w:fill="CCEEFF" w:val="clear"/>
            <w:vAlign w:val="bottom"/>
          </w:tcPr>
          <w:p>
            <w:pPr>
              <w:pStyle w:val="TableContents"/>
              <w:spacing w:before="0" w:after="283"/>
              <w:jc w:val="right"/>
              <w:rPr/>
            </w:pPr>
            <w:r>
              <w:rPr/>
              <w:t>198,896</w:t>
            </w:r>
          </w:p>
        </w:tc>
        <w:tc>
          <w:tcPr>
            <w:tcW w:w="10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jc w:val="left"/>
              <w:rPr/>
            </w:pPr>
            <w:r>
              <w:rPr/>
              <w:t>$</w:t>
            </w:r>
          </w:p>
        </w:tc>
        <w:tc>
          <w:tcPr>
            <w:tcW w:w="774" w:type="dxa"/>
            <w:tcBorders/>
            <w:shd w:fill="CCEEFF" w:val="clear"/>
            <w:vAlign w:val="bottom"/>
          </w:tcPr>
          <w:p>
            <w:pPr>
              <w:pStyle w:val="TableContents"/>
              <w:spacing w:before="0" w:after="283"/>
              <w:jc w:val="right"/>
              <w:rPr/>
            </w:pPr>
            <w:r>
              <w:rPr/>
              <w:t>985</w:t>
            </w:r>
          </w:p>
        </w:tc>
        <w:tc>
          <w:tcPr>
            <w:tcW w:w="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w:t>
            </w:r>
          </w:p>
        </w:tc>
        <w:tc>
          <w:tcPr>
            <w:tcW w:w="1156" w:type="dxa"/>
            <w:tcBorders/>
            <w:shd w:fill="CCEEFF" w:val="clear"/>
            <w:vAlign w:val="bottom"/>
          </w:tcPr>
          <w:p>
            <w:pPr>
              <w:pStyle w:val="TableContents"/>
              <w:spacing w:before="0" w:after="283"/>
              <w:jc w:val="right"/>
              <w:rPr/>
            </w:pPr>
            <w:r>
              <w:rPr/>
              <w:t>7,799</w:t>
            </w:r>
          </w:p>
        </w:tc>
        <w:tc>
          <w:tcPr>
            <w:tcW w:w="12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w:t>
            </w:r>
          </w:p>
        </w:tc>
        <w:tc>
          <w:tcPr>
            <w:tcW w:w="791" w:type="dxa"/>
            <w:tcBorders/>
            <w:shd w:fill="CCEEFF" w:val="clear"/>
            <w:vAlign w:val="bottom"/>
          </w:tcPr>
          <w:p>
            <w:pPr>
              <w:pStyle w:val="TableContents"/>
              <w:spacing w:before="0" w:after="283"/>
              <w:jc w:val="right"/>
              <w:rPr/>
            </w:pPr>
            <w:r>
              <w:rPr/>
              <w:t>122</w:t>
            </w:r>
          </w:p>
        </w:tc>
        <w:tc>
          <w:tcPr>
            <w:tcW w:w="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803" w:type="dxa"/>
            <w:tcBorders/>
            <w:shd w:fill="CCEEFF" w:val="clear"/>
            <w:vAlign w:val="bottom"/>
          </w:tcPr>
          <w:p>
            <w:pPr>
              <w:pStyle w:val="TableContents"/>
              <w:spacing w:before="0" w:after="283"/>
              <w:jc w:val="right"/>
              <w:rPr/>
            </w:pPr>
            <w:r>
              <w:rPr/>
              <w:t>206,695</w:t>
            </w:r>
          </w:p>
        </w:tc>
        <w:tc>
          <w:tcPr>
            <w:tcW w:w="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847" w:type="dxa"/>
            <w:tcBorders/>
            <w:shd w:fill="CCEEFF" w:val="clear"/>
            <w:vAlign w:val="bottom"/>
          </w:tcPr>
          <w:p>
            <w:pPr>
              <w:pStyle w:val="TableContents"/>
              <w:spacing w:before="0" w:after="283"/>
              <w:jc w:val="right"/>
              <w:rPr/>
            </w:pPr>
            <w:r>
              <w:rPr/>
              <w:t>1,107</w:t>
            </w:r>
          </w:p>
        </w:tc>
        <w:tc>
          <w:tcPr>
            <w:tcW w:w="72" w:type="dxa"/>
            <w:tcBorders/>
            <w:shd w:fill="CCEEFF" w:val="clear"/>
            <w:vAlign w:val="bottom"/>
          </w:tcPr>
          <w:p>
            <w:pPr>
              <w:pStyle w:val="TableContents"/>
              <w:spacing w:before="0" w:after="283"/>
              <w:rPr/>
            </w:pPr>
            <w:r>
              <w:rPr/>
              <w:t> </w:t>
            </w:r>
          </w:p>
        </w:tc>
      </w:tr>
      <w:tr>
        <w:trPr/>
        <w:tc>
          <w:tcPr>
            <w:tcW w:w="1986"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152" w:type="dxa"/>
            <w:gridSpan w:val="23"/>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69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total number of securities in the investments portfolio in an unrealized loss position as of December 31, 2005, and December 31, 2004, were 270 and 156, respectively. All securities with unrealized losses are reviewed by management at least quarterly to determine whether the unrealized losses are other-than-temporary. Unrealized losses in the portfolio at December 31, 2005, and December 31, 2004, resulted from increased market interest rates and not from deterioration in the creditworthiness of the issuers. Because the Corporation has the ability and intent to hold these securities until market price recovery or maturity, these investments are not considered by management to be other-than-temporarily impaired. </w:t>
      </w:r>
    </w:p>
    <w:p>
      <w:pPr>
        <w:pStyle w:val="TextBody"/>
        <w:spacing w:before="240" w:after="283"/>
        <w:jc w:val="left"/>
        <w:rPr>
          <w:rFonts w:ascii="Arial;Helvetica;sans-serif" w:hAnsi="Arial;Helvetica;sans-serif"/>
          <w:sz w:val="17"/>
        </w:rPr>
      </w:pPr>
      <w:r>
        <w:rPr>
          <w:rFonts w:ascii="Arial;Helvetica;sans-serif" w:hAnsi="Arial;Helvetica;sans-serif"/>
          <w:b/>
          <w:sz w:val="17"/>
        </w:rPr>
        <w:t>Note 5. Loans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composition of loans is as follows: </w:t>
      </w:r>
    </w:p>
    <w:tbl>
      <w:tblPr>
        <w:tblW w:w="5000" w:type="pct"/>
        <w:jc w:val="center"/>
        <w:tblInd w:w="0" w:type="dxa"/>
        <w:tblCellMar>
          <w:top w:w="0" w:type="dxa"/>
          <w:left w:w="0" w:type="dxa"/>
          <w:bottom w:w="0" w:type="dxa"/>
          <w:right w:w="0" w:type="dxa"/>
        </w:tblCellMar>
      </w:tblPr>
      <w:tblGrid>
        <w:gridCol w:w="6792"/>
        <w:gridCol w:w="438"/>
        <w:gridCol w:w="163"/>
        <w:gridCol w:w="987"/>
        <w:gridCol w:w="116"/>
        <w:gridCol w:w="438"/>
        <w:gridCol w:w="163"/>
        <w:gridCol w:w="987"/>
        <w:gridCol w:w="121"/>
      </w:tblGrid>
      <w:tr>
        <w:trPr/>
        <w:tc>
          <w:tcPr>
            <w:tcW w:w="679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79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854" w:type="dxa"/>
            <w:gridSpan w:val="6"/>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121" w:type="dxa"/>
            <w:tcBorders/>
            <w:shd w:fill="auto" w:val="clear"/>
            <w:vAlign w:val="bottom"/>
          </w:tcPr>
          <w:p>
            <w:pPr>
              <w:pStyle w:val="TableContents"/>
              <w:spacing w:before="0" w:after="283"/>
              <w:rPr/>
            </w:pPr>
            <w:r>
              <w:rPr/>
              <w:t> </w:t>
            </w:r>
          </w:p>
        </w:tc>
      </w:tr>
      <w:tr>
        <w:trPr/>
        <w:tc>
          <w:tcPr>
            <w:tcW w:w="679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15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16" w:type="dxa"/>
            <w:tcBorders>
              <w:bottom w:val="single" w:sz="2" w:space="0" w:color="000000"/>
            </w:tcBorders>
            <w:shd w:fill="auto" w:val="clear"/>
            <w:tcMar>
              <w:bottom w:w="28" w:type="dxa"/>
            </w:tcMar>
            <w:vAlign w:val="bottom"/>
          </w:tcPr>
          <w:p>
            <w:pPr>
              <w:pStyle w:val="TableContents"/>
              <w:spacing w:before="0" w:after="283"/>
              <w:rPr/>
            </w:pPr>
            <w:r>
              <w:rPr/>
              <w:t> </w:t>
            </w:r>
          </w:p>
        </w:tc>
        <w:tc>
          <w:tcPr>
            <w:tcW w:w="438" w:type="dxa"/>
            <w:tcBorders>
              <w:bottom w:val="single" w:sz="2" w:space="0" w:color="000000"/>
            </w:tcBorders>
            <w:shd w:fill="auto" w:val="clear"/>
            <w:tcMar>
              <w:bottom w:w="28" w:type="dxa"/>
            </w:tcMar>
            <w:vAlign w:val="bottom"/>
          </w:tcPr>
          <w:p>
            <w:pPr>
              <w:pStyle w:val="TableContents"/>
              <w:spacing w:before="0" w:after="283"/>
              <w:rPr/>
            </w:pPr>
            <w:r>
              <w:rPr/>
              <w:t> </w:t>
            </w:r>
          </w:p>
        </w:tc>
        <w:tc>
          <w:tcPr>
            <w:tcW w:w="115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679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854" w:type="dxa"/>
            <w:gridSpan w:val="6"/>
            <w:tcBorders/>
            <w:shd w:fill="auto" w:val="clear"/>
            <w:vAlign w:val="bottom"/>
          </w:tcPr>
          <w:p>
            <w:pPr>
              <w:pStyle w:val="TableContents"/>
              <w:spacing w:before="0" w:after="283"/>
              <w:jc w:val="center"/>
              <w:rPr/>
            </w:pPr>
            <w:r>
              <w:rPr/>
              <w:t>(Dollars in thousands)</w:t>
            </w:r>
          </w:p>
        </w:tc>
        <w:tc>
          <w:tcPr>
            <w:tcW w:w="121" w:type="dxa"/>
            <w:tcBorders/>
            <w:shd w:fill="auto" w:val="clear"/>
            <w:vAlign w:val="bottom"/>
          </w:tcPr>
          <w:p>
            <w:pPr>
              <w:pStyle w:val="TableContents"/>
              <w:spacing w:before="0" w:after="283"/>
              <w:rPr/>
            </w:pPr>
            <w:r>
              <w:rPr/>
              <w:t> </w:t>
            </w:r>
          </w:p>
        </w:tc>
      </w:tr>
      <w:tr>
        <w:trPr/>
        <w:tc>
          <w:tcPr>
            <w:tcW w:w="6792" w:type="dxa"/>
            <w:tcBorders/>
            <w:shd w:fill="CCEEFF" w:val="clear"/>
            <w:vAlign w:val="bottom"/>
          </w:tcPr>
          <w:p>
            <w:pPr>
              <w:pStyle w:val="TableContents"/>
              <w:spacing w:before="0" w:after="0"/>
              <w:ind w:left="225" w:right="0" w:hanging="225"/>
              <w:rPr/>
            </w:pPr>
            <w:r>
              <w:rPr/>
              <w:t>Commercial</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987" w:type="dxa"/>
            <w:tcBorders/>
            <w:shd w:fill="CCEEFF" w:val="clear"/>
            <w:vAlign w:val="bottom"/>
          </w:tcPr>
          <w:p>
            <w:pPr>
              <w:pStyle w:val="TableContents"/>
              <w:spacing w:before="0" w:after="283"/>
              <w:jc w:val="right"/>
              <w:rPr/>
            </w:pPr>
            <w:r>
              <w:rPr/>
              <w:t>219,134</w:t>
            </w:r>
          </w:p>
        </w:tc>
        <w:tc>
          <w:tcPr>
            <w:tcW w:w="11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987" w:type="dxa"/>
            <w:tcBorders/>
            <w:shd w:fill="CCEEFF" w:val="clear"/>
            <w:vAlign w:val="bottom"/>
          </w:tcPr>
          <w:p>
            <w:pPr>
              <w:pStyle w:val="TableContents"/>
              <w:spacing w:before="0" w:after="283"/>
              <w:jc w:val="right"/>
              <w:rPr/>
            </w:pPr>
            <w:r>
              <w:rPr/>
              <w:t>216,290</w:t>
            </w:r>
          </w:p>
        </w:tc>
        <w:tc>
          <w:tcPr>
            <w:tcW w:w="121" w:type="dxa"/>
            <w:tcBorders/>
            <w:shd w:fill="CCEEFF" w:val="clear"/>
            <w:vAlign w:val="bottom"/>
          </w:tcPr>
          <w:p>
            <w:pPr>
              <w:pStyle w:val="TableContents"/>
              <w:spacing w:before="0" w:after="283"/>
              <w:rPr/>
            </w:pPr>
            <w:r>
              <w:rPr/>
              <w:t> </w:t>
            </w:r>
          </w:p>
        </w:tc>
      </w:tr>
      <w:tr>
        <w:trPr/>
        <w:tc>
          <w:tcPr>
            <w:tcW w:w="6792" w:type="dxa"/>
            <w:tcBorders/>
            <w:shd w:fill="auto" w:val="clear"/>
            <w:vAlign w:val="bottom"/>
          </w:tcPr>
          <w:p>
            <w:pPr>
              <w:pStyle w:val="TableContents"/>
              <w:spacing w:before="0" w:after="0"/>
              <w:ind w:left="225" w:right="0" w:hanging="225"/>
              <w:rPr/>
            </w:pPr>
            <w:r>
              <w:rPr/>
              <w:t>Real estate construction</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345,454</w:t>
            </w:r>
          </w:p>
        </w:tc>
        <w:tc>
          <w:tcPr>
            <w:tcW w:w="11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235,547</w:t>
            </w:r>
          </w:p>
        </w:tc>
        <w:tc>
          <w:tcPr>
            <w:tcW w:w="121" w:type="dxa"/>
            <w:tcBorders/>
            <w:shd w:fill="auto" w:val="clear"/>
            <w:vAlign w:val="bottom"/>
          </w:tcPr>
          <w:p>
            <w:pPr>
              <w:pStyle w:val="TableContents"/>
              <w:spacing w:before="0" w:after="283"/>
              <w:rPr/>
            </w:pPr>
            <w:r>
              <w:rPr/>
              <w:t> </w:t>
            </w:r>
          </w:p>
        </w:tc>
      </w:tr>
      <w:tr>
        <w:trPr/>
        <w:tc>
          <w:tcPr>
            <w:tcW w:w="6792" w:type="dxa"/>
            <w:tcBorders/>
            <w:shd w:fill="CCEEFF" w:val="clear"/>
            <w:vAlign w:val="bottom"/>
          </w:tcPr>
          <w:p>
            <w:pPr>
              <w:pStyle w:val="TableContents"/>
              <w:spacing w:before="0" w:after="0"/>
              <w:ind w:left="225" w:right="0" w:hanging="225"/>
              <w:rPr/>
            </w:pPr>
            <w:r>
              <w:rPr/>
              <w:t>Real estate  farmland</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10,188</w:t>
            </w:r>
          </w:p>
        </w:tc>
        <w:tc>
          <w:tcPr>
            <w:tcW w:w="11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11,750</w:t>
            </w:r>
          </w:p>
        </w:tc>
        <w:tc>
          <w:tcPr>
            <w:tcW w:w="121" w:type="dxa"/>
            <w:tcBorders/>
            <w:shd w:fill="CCEEFF" w:val="clear"/>
            <w:vAlign w:val="bottom"/>
          </w:tcPr>
          <w:p>
            <w:pPr>
              <w:pStyle w:val="TableContents"/>
              <w:spacing w:before="0" w:after="283"/>
              <w:rPr/>
            </w:pPr>
            <w:r>
              <w:rPr/>
              <w:t> </w:t>
            </w:r>
          </w:p>
        </w:tc>
      </w:tr>
      <w:tr>
        <w:trPr/>
        <w:tc>
          <w:tcPr>
            <w:tcW w:w="6792" w:type="dxa"/>
            <w:tcBorders/>
            <w:shd w:fill="auto" w:val="clear"/>
            <w:vAlign w:val="bottom"/>
          </w:tcPr>
          <w:p>
            <w:pPr>
              <w:pStyle w:val="TableContents"/>
              <w:spacing w:before="0" w:after="0"/>
              <w:ind w:left="225" w:right="0" w:hanging="225"/>
              <w:rPr/>
            </w:pPr>
            <w:r>
              <w:rPr/>
              <w:t>Real estate  1 to 4 family residential mortgage</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517,185</w:t>
            </w:r>
          </w:p>
        </w:tc>
        <w:tc>
          <w:tcPr>
            <w:tcW w:w="11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443,320</w:t>
            </w:r>
          </w:p>
        </w:tc>
        <w:tc>
          <w:tcPr>
            <w:tcW w:w="121" w:type="dxa"/>
            <w:tcBorders/>
            <w:shd w:fill="auto" w:val="clear"/>
            <w:vAlign w:val="bottom"/>
          </w:tcPr>
          <w:p>
            <w:pPr>
              <w:pStyle w:val="TableContents"/>
              <w:spacing w:before="0" w:after="283"/>
              <w:rPr/>
            </w:pPr>
            <w:r>
              <w:rPr/>
              <w:t> </w:t>
            </w:r>
          </w:p>
        </w:tc>
      </w:tr>
      <w:tr>
        <w:trPr/>
        <w:tc>
          <w:tcPr>
            <w:tcW w:w="6792" w:type="dxa"/>
            <w:tcBorders/>
            <w:shd w:fill="CCEEFF" w:val="clear"/>
            <w:vAlign w:val="bottom"/>
          </w:tcPr>
          <w:p>
            <w:pPr>
              <w:pStyle w:val="TableContents"/>
              <w:spacing w:before="0" w:after="0"/>
              <w:ind w:left="225" w:right="0" w:hanging="225"/>
              <w:rPr/>
            </w:pPr>
            <w:r>
              <w:rPr/>
              <w:t>Real estate  multifamily mortgage</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104,502</w:t>
            </w:r>
          </w:p>
        </w:tc>
        <w:tc>
          <w:tcPr>
            <w:tcW w:w="11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106,163</w:t>
            </w:r>
          </w:p>
        </w:tc>
        <w:tc>
          <w:tcPr>
            <w:tcW w:w="121" w:type="dxa"/>
            <w:tcBorders/>
            <w:shd w:fill="CCEEFF" w:val="clear"/>
            <w:vAlign w:val="bottom"/>
          </w:tcPr>
          <w:p>
            <w:pPr>
              <w:pStyle w:val="TableContents"/>
              <w:spacing w:before="0" w:after="283"/>
              <w:rPr/>
            </w:pPr>
            <w:r>
              <w:rPr/>
              <w:t> </w:t>
            </w:r>
          </w:p>
        </w:tc>
      </w:tr>
      <w:tr>
        <w:trPr/>
        <w:tc>
          <w:tcPr>
            <w:tcW w:w="6792" w:type="dxa"/>
            <w:tcBorders/>
            <w:shd w:fill="auto" w:val="clear"/>
            <w:vAlign w:val="bottom"/>
          </w:tcPr>
          <w:p>
            <w:pPr>
              <w:pStyle w:val="TableContents"/>
              <w:spacing w:before="0" w:after="0"/>
              <w:ind w:left="225" w:right="0" w:hanging="225"/>
              <w:rPr/>
            </w:pPr>
            <w:r>
              <w:rPr/>
              <w:t>Real estate  non-farm nonresidential mortgage</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470,779</w:t>
            </w:r>
          </w:p>
        </w:tc>
        <w:tc>
          <w:tcPr>
            <w:tcW w:w="11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363,993</w:t>
            </w:r>
          </w:p>
        </w:tc>
        <w:tc>
          <w:tcPr>
            <w:tcW w:w="121" w:type="dxa"/>
            <w:tcBorders/>
            <w:shd w:fill="auto" w:val="clear"/>
            <w:vAlign w:val="bottom"/>
          </w:tcPr>
          <w:p>
            <w:pPr>
              <w:pStyle w:val="TableContents"/>
              <w:spacing w:before="0" w:after="283"/>
              <w:rPr/>
            </w:pPr>
            <w:r>
              <w:rPr/>
              <w:t> </w:t>
            </w:r>
          </w:p>
        </w:tc>
      </w:tr>
      <w:tr>
        <w:trPr/>
        <w:tc>
          <w:tcPr>
            <w:tcW w:w="6792" w:type="dxa"/>
            <w:tcBorders/>
            <w:shd w:fill="CCEEFF" w:val="clear"/>
            <w:vAlign w:val="bottom"/>
          </w:tcPr>
          <w:p>
            <w:pPr>
              <w:pStyle w:val="TableContents"/>
              <w:spacing w:before="0" w:after="0"/>
              <w:ind w:left="225" w:right="0" w:hanging="225"/>
              <w:rPr/>
            </w:pPr>
            <w:r>
              <w:rPr/>
              <w:t>Installment</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45,702</w:t>
            </w:r>
          </w:p>
        </w:tc>
        <w:tc>
          <w:tcPr>
            <w:tcW w:w="11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63,315</w:t>
            </w:r>
          </w:p>
        </w:tc>
        <w:tc>
          <w:tcPr>
            <w:tcW w:w="121" w:type="dxa"/>
            <w:tcBorders/>
            <w:shd w:fill="CCEEFF" w:val="clear"/>
            <w:vAlign w:val="bottom"/>
          </w:tcPr>
          <w:p>
            <w:pPr>
              <w:pStyle w:val="TableContents"/>
              <w:spacing w:before="0" w:after="283"/>
              <w:rPr/>
            </w:pPr>
            <w:r>
              <w:rPr/>
              <w:t> </w:t>
            </w:r>
          </w:p>
        </w:tc>
      </w:tr>
      <w:tr>
        <w:trPr/>
        <w:tc>
          <w:tcPr>
            <w:tcW w:w="6792" w:type="dxa"/>
            <w:tcBorders/>
            <w:shd w:fill="auto" w:val="clear"/>
            <w:vAlign w:val="bottom"/>
          </w:tcPr>
          <w:p>
            <w:pPr>
              <w:pStyle w:val="TableContents"/>
              <w:spacing w:before="0" w:after="0"/>
              <w:ind w:left="225" w:right="0" w:hanging="225"/>
              <w:rPr/>
            </w:pPr>
            <w:r>
              <w:rPr/>
              <w:t>Agricultural</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23,433</w:t>
            </w:r>
          </w:p>
        </w:tc>
        <w:tc>
          <w:tcPr>
            <w:tcW w:w="11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25,224</w:t>
            </w:r>
          </w:p>
        </w:tc>
        <w:tc>
          <w:tcPr>
            <w:tcW w:w="121" w:type="dxa"/>
            <w:tcBorders/>
            <w:shd w:fill="auto" w:val="clear"/>
            <w:vAlign w:val="bottom"/>
          </w:tcPr>
          <w:p>
            <w:pPr>
              <w:pStyle w:val="TableContents"/>
              <w:spacing w:before="0" w:after="283"/>
              <w:rPr/>
            </w:pPr>
            <w:r>
              <w:rPr/>
              <w:t> </w:t>
            </w:r>
          </w:p>
        </w:tc>
      </w:tr>
      <w:tr>
        <w:trPr/>
        <w:tc>
          <w:tcPr>
            <w:tcW w:w="6792"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2975"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792" w:type="dxa"/>
            <w:tcBorders/>
            <w:shd w:fill="CCEEFF" w:val="clear"/>
            <w:vAlign w:val="bottom"/>
          </w:tcPr>
          <w:p>
            <w:pPr>
              <w:pStyle w:val="TableContents"/>
              <w:spacing w:before="0" w:after="0"/>
              <w:ind w:left="225" w:right="0" w:hanging="225"/>
              <w:rPr/>
            </w:pPr>
            <w:r>
              <w:rPr/>
              <w:t> </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1,736,377</w:t>
            </w:r>
          </w:p>
        </w:tc>
        <w:tc>
          <w:tcPr>
            <w:tcW w:w="11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1,465,602</w:t>
            </w:r>
          </w:p>
        </w:tc>
        <w:tc>
          <w:tcPr>
            <w:tcW w:w="121" w:type="dxa"/>
            <w:tcBorders/>
            <w:shd w:fill="CCEEFF" w:val="clear"/>
            <w:vAlign w:val="bottom"/>
          </w:tcPr>
          <w:p>
            <w:pPr>
              <w:pStyle w:val="TableContents"/>
              <w:spacing w:before="0" w:after="283"/>
              <w:rPr/>
            </w:pPr>
            <w:r>
              <w:rPr/>
              <w:t> </w:t>
            </w:r>
          </w:p>
        </w:tc>
      </w:tr>
      <w:tr>
        <w:trPr/>
        <w:tc>
          <w:tcPr>
            <w:tcW w:w="6792" w:type="dxa"/>
            <w:tcBorders/>
            <w:shd w:fill="auto" w:val="clear"/>
            <w:vAlign w:val="bottom"/>
          </w:tcPr>
          <w:p>
            <w:pPr>
              <w:pStyle w:val="TableContents"/>
              <w:spacing w:before="0" w:after="0"/>
              <w:ind w:left="225" w:right="0" w:hanging="225"/>
              <w:rPr/>
            </w:pPr>
            <w:r>
              <w:rPr/>
              <w:t>Plus net deferred loan origination costs</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1,048</w:t>
            </w:r>
          </w:p>
        </w:tc>
        <w:tc>
          <w:tcPr>
            <w:tcW w:w="11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724</w:t>
            </w:r>
          </w:p>
        </w:tc>
        <w:tc>
          <w:tcPr>
            <w:tcW w:w="121" w:type="dxa"/>
            <w:tcBorders/>
            <w:shd w:fill="auto" w:val="clear"/>
            <w:vAlign w:val="bottom"/>
          </w:tcPr>
          <w:p>
            <w:pPr>
              <w:pStyle w:val="TableContents"/>
              <w:spacing w:before="0" w:after="283"/>
              <w:rPr/>
            </w:pPr>
            <w:r>
              <w:rPr/>
              <w:t> </w:t>
            </w:r>
          </w:p>
        </w:tc>
      </w:tr>
      <w:tr>
        <w:trPr/>
        <w:tc>
          <w:tcPr>
            <w:tcW w:w="6792"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2975"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792" w:type="dxa"/>
            <w:tcBorders/>
            <w:shd w:fill="CCEEFF" w:val="clear"/>
            <w:vAlign w:val="bottom"/>
          </w:tcPr>
          <w:p>
            <w:pPr>
              <w:pStyle w:val="TableContents"/>
              <w:spacing w:before="0" w:after="0"/>
              <w:ind w:left="225" w:right="0" w:hanging="225"/>
              <w:rPr/>
            </w:pPr>
            <w:r>
              <w:rPr/>
              <w:t> </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1,737,425</w:t>
            </w:r>
          </w:p>
        </w:tc>
        <w:tc>
          <w:tcPr>
            <w:tcW w:w="11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1,466,326</w:t>
            </w:r>
          </w:p>
        </w:tc>
        <w:tc>
          <w:tcPr>
            <w:tcW w:w="121" w:type="dxa"/>
            <w:tcBorders/>
            <w:shd w:fill="CCEEFF" w:val="clear"/>
            <w:vAlign w:val="bottom"/>
          </w:tcPr>
          <w:p>
            <w:pPr>
              <w:pStyle w:val="TableContents"/>
              <w:spacing w:before="0" w:after="283"/>
              <w:rPr/>
            </w:pPr>
            <w:r>
              <w:rPr/>
              <w:t> </w:t>
            </w:r>
          </w:p>
        </w:tc>
      </w:tr>
      <w:tr>
        <w:trPr/>
        <w:tc>
          <w:tcPr>
            <w:tcW w:w="6792" w:type="dxa"/>
            <w:tcBorders/>
            <w:shd w:fill="auto" w:val="clear"/>
            <w:vAlign w:val="bottom"/>
          </w:tcPr>
          <w:p>
            <w:pPr>
              <w:pStyle w:val="TableContents"/>
              <w:spacing w:before="0" w:after="0"/>
              <w:ind w:left="225" w:right="0" w:hanging="225"/>
              <w:rPr/>
            </w:pPr>
            <w:r>
              <w:rPr/>
              <w:t>Less allowance for loan losses</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23,190</w:t>
            </w:r>
          </w:p>
        </w:tc>
        <w:tc>
          <w:tcPr>
            <w:tcW w:w="11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19,217</w:t>
            </w:r>
          </w:p>
        </w:tc>
        <w:tc>
          <w:tcPr>
            <w:tcW w:w="121" w:type="dxa"/>
            <w:tcBorders/>
            <w:shd w:fill="auto" w:val="clear"/>
            <w:vAlign w:val="bottom"/>
          </w:tcPr>
          <w:p>
            <w:pPr>
              <w:pStyle w:val="TableContents"/>
              <w:spacing w:before="0" w:after="283"/>
              <w:rPr/>
            </w:pPr>
            <w:r>
              <w:rPr/>
              <w:t> </w:t>
            </w:r>
          </w:p>
        </w:tc>
      </w:tr>
      <w:tr>
        <w:trPr/>
        <w:tc>
          <w:tcPr>
            <w:tcW w:w="6792"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2975"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792" w:type="dxa"/>
            <w:tcBorders/>
            <w:shd w:fill="auto" w:val="clear"/>
            <w:vAlign w:val="bottom"/>
          </w:tcPr>
          <w:p>
            <w:pPr>
              <w:pStyle w:val="TableContents"/>
              <w:spacing w:before="0" w:after="0"/>
              <w:ind w:left="225" w:right="0" w:hanging="225"/>
              <w:rPr/>
            </w:pPr>
            <w:r>
              <w:rPr/>
              <w:t> </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792" w:type="dxa"/>
            <w:tcBorders/>
            <w:shd w:fill="CCEEFF" w:val="clear"/>
            <w:vAlign w:val="bottom"/>
          </w:tcPr>
          <w:p>
            <w:pPr>
              <w:pStyle w:val="TableContents"/>
              <w:spacing w:before="0" w:after="0"/>
              <w:ind w:left="450" w:right="0" w:hanging="225"/>
              <w:rPr>
                <w:b/>
              </w:rPr>
            </w:pPr>
            <w:r>
              <w:rPr>
                <w:b/>
              </w:rPr>
              <w:t>Net loans</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987" w:type="dxa"/>
            <w:tcBorders/>
            <w:shd w:fill="CCEEFF" w:val="clear"/>
            <w:vAlign w:val="bottom"/>
          </w:tcPr>
          <w:p>
            <w:pPr>
              <w:pStyle w:val="TableContents"/>
              <w:spacing w:before="0" w:after="283"/>
              <w:jc w:val="right"/>
              <w:rPr/>
            </w:pPr>
            <w:r>
              <w:rPr/>
              <w:t>1,714,235</w:t>
            </w:r>
          </w:p>
        </w:tc>
        <w:tc>
          <w:tcPr>
            <w:tcW w:w="11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987" w:type="dxa"/>
            <w:tcBorders/>
            <w:shd w:fill="CCEEFF" w:val="clear"/>
            <w:vAlign w:val="bottom"/>
          </w:tcPr>
          <w:p>
            <w:pPr>
              <w:pStyle w:val="TableContents"/>
              <w:spacing w:before="0" w:after="283"/>
              <w:jc w:val="right"/>
              <w:rPr/>
            </w:pPr>
            <w:r>
              <w:rPr/>
              <w:t>1,447,109</w:t>
            </w:r>
          </w:p>
        </w:tc>
        <w:tc>
          <w:tcPr>
            <w:tcW w:w="121" w:type="dxa"/>
            <w:tcBorders/>
            <w:shd w:fill="CCEEFF" w:val="clear"/>
            <w:vAlign w:val="bottom"/>
          </w:tcPr>
          <w:p>
            <w:pPr>
              <w:pStyle w:val="TableContents"/>
              <w:spacing w:before="0" w:after="283"/>
              <w:rPr/>
            </w:pPr>
            <w:r>
              <w:rPr/>
              <w:t> </w:t>
            </w:r>
          </w:p>
        </w:tc>
      </w:tr>
      <w:tr>
        <w:trPr/>
        <w:tc>
          <w:tcPr>
            <w:tcW w:w="6792"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2975"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loan portfolio includes a concentration of loans for commercial real estate amounting to approximately $575,281,000 and $470,156,000 as of December 31, 2005 and 2004, respectively. The loan portfolio also includes a concentration of loans for real estate construction amounting to approximately $345,454,000 as of December 31, 2005. Generally these loans are collateralized by assets of the borrowers. The loans are expected to be repaid from cash flows or from proceeds from the sale of selected assets of the borrowers. Credit losses arising from lending transactions for commercial real estate entities are comparable with the Corporations credit loss experience on its loan portfolio as a whole.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Geographic distribution of the commercial real estate loans as of December 31, 2005 and 2004 follows: </w:t>
      </w:r>
    </w:p>
    <w:tbl>
      <w:tblPr>
        <w:tblW w:w="5000" w:type="pct"/>
        <w:jc w:val="center"/>
        <w:tblInd w:w="0" w:type="dxa"/>
        <w:tblCellMar>
          <w:top w:w="0" w:type="dxa"/>
          <w:left w:w="0" w:type="dxa"/>
          <w:bottom w:w="0" w:type="dxa"/>
          <w:right w:w="0" w:type="dxa"/>
        </w:tblCellMar>
      </w:tblPr>
      <w:tblGrid>
        <w:gridCol w:w="7053"/>
        <w:gridCol w:w="476"/>
        <w:gridCol w:w="155"/>
        <w:gridCol w:w="825"/>
        <w:gridCol w:w="117"/>
        <w:gridCol w:w="476"/>
        <w:gridCol w:w="155"/>
        <w:gridCol w:w="826"/>
        <w:gridCol w:w="122"/>
      </w:tblGrid>
      <w:tr>
        <w:trPr/>
        <w:tc>
          <w:tcPr>
            <w:tcW w:w="7053"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2554" w:type="dxa"/>
            <w:gridSpan w:val="6"/>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122" w:type="dxa"/>
            <w:tcBorders/>
            <w:shd w:fill="auto" w:val="cle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98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17" w:type="dxa"/>
            <w:tcBorders>
              <w:bottom w:val="single" w:sz="2" w:space="0" w:color="000000"/>
            </w:tcBorders>
            <w:shd w:fill="auto" w:val="clear"/>
            <w:tcMar>
              <w:bottom w:w="28" w:type="dxa"/>
            </w:tcMar>
            <w:vAlign w:val="bottom"/>
          </w:tcPr>
          <w:p>
            <w:pPr>
              <w:pStyle w:val="TableContents"/>
              <w:spacing w:before="0" w:after="283"/>
              <w:rPr/>
            </w:pPr>
            <w:r>
              <w:rPr/>
              <w:t> </w:t>
            </w:r>
          </w:p>
        </w:tc>
        <w:tc>
          <w:tcPr>
            <w:tcW w:w="476" w:type="dxa"/>
            <w:tcBorders>
              <w:bottom w:val="single" w:sz="2" w:space="0" w:color="000000"/>
            </w:tcBorders>
            <w:shd w:fill="auto" w:val="clear"/>
            <w:tcMar>
              <w:bottom w:w="28" w:type="dxa"/>
            </w:tcMar>
            <w:vAlign w:val="bottom"/>
          </w:tcPr>
          <w:p>
            <w:pPr>
              <w:pStyle w:val="TableContents"/>
              <w:spacing w:before="0" w:after="283"/>
              <w:rPr/>
            </w:pPr>
            <w:r>
              <w:rPr/>
              <w:t> </w:t>
            </w:r>
          </w:p>
        </w:tc>
        <w:tc>
          <w:tcPr>
            <w:tcW w:w="98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22"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2554" w:type="dxa"/>
            <w:gridSpan w:val="6"/>
            <w:tcBorders/>
            <w:shd w:fill="auto" w:val="clear"/>
            <w:vAlign w:val="bottom"/>
          </w:tcPr>
          <w:p>
            <w:pPr>
              <w:pStyle w:val="TableContents"/>
              <w:spacing w:before="0" w:after="283"/>
              <w:jc w:val="center"/>
              <w:rPr/>
            </w:pPr>
            <w:r>
              <w:rPr/>
              <w:t>(dollars in thousands)</w:t>
            </w:r>
          </w:p>
        </w:tc>
        <w:tc>
          <w:tcPr>
            <w:tcW w:w="122" w:type="dxa"/>
            <w:tcBorders/>
            <w:shd w:fill="auto" w:val="clear"/>
            <w:vAlign w:val="bottom"/>
          </w:tcPr>
          <w:p>
            <w:pPr>
              <w:pStyle w:val="TableContents"/>
              <w:spacing w:before="0" w:after="283"/>
              <w:rPr/>
            </w:pPr>
            <w:r>
              <w:rPr/>
              <w:t> </w:t>
            </w:r>
          </w:p>
        </w:tc>
      </w:tr>
      <w:tr>
        <w:trPr/>
        <w:tc>
          <w:tcPr>
            <w:tcW w:w="7053" w:type="dxa"/>
            <w:tcBorders/>
            <w:shd w:fill="CCEEFF" w:val="clear"/>
            <w:vAlign w:val="bottom"/>
          </w:tcPr>
          <w:p>
            <w:pPr>
              <w:pStyle w:val="TableContents"/>
              <w:spacing w:before="0" w:after="0"/>
              <w:ind w:left="225" w:right="0" w:hanging="225"/>
              <w:rPr/>
            </w:pPr>
            <w:r>
              <w:rPr/>
              <w:t>Illinois</w:t>
            </w:r>
          </w:p>
        </w:tc>
        <w:tc>
          <w:tcPr>
            <w:tcW w:w="47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335,702</w:t>
            </w:r>
          </w:p>
        </w:tc>
        <w:tc>
          <w:tcPr>
            <w:tcW w:w="117"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306,324</w:t>
            </w:r>
          </w:p>
        </w:tc>
        <w:tc>
          <w:tcPr>
            <w:tcW w:w="122" w:type="dxa"/>
            <w:tcBorders/>
            <w:shd w:fill="CCEEFF" w:val="clear"/>
            <w:vAlign w:val="bottom"/>
          </w:tcPr>
          <w:p>
            <w:pPr>
              <w:pStyle w:val="TableContents"/>
              <w:spacing w:before="0" w:after="283"/>
              <w:rPr/>
            </w:pPr>
            <w:r>
              <w:rPr/>
              <w:t> </w:t>
            </w:r>
          </w:p>
        </w:tc>
      </w:tr>
      <w:tr>
        <w:trPr/>
        <w:tc>
          <w:tcPr>
            <w:tcW w:w="7053" w:type="dxa"/>
            <w:tcBorders/>
            <w:shd w:fill="auto" w:val="clear"/>
            <w:vAlign w:val="bottom"/>
          </w:tcPr>
          <w:p>
            <w:pPr>
              <w:pStyle w:val="TableContents"/>
              <w:spacing w:before="0" w:after="0"/>
              <w:ind w:left="225" w:right="0" w:hanging="225"/>
              <w:rPr/>
            </w:pPr>
            <w:r>
              <w:rPr/>
              <w:t>Florida</w:t>
            </w:r>
          </w:p>
        </w:tc>
        <w:tc>
          <w:tcPr>
            <w:tcW w:w="47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167,745</w:t>
            </w:r>
          </w:p>
        </w:tc>
        <w:tc>
          <w:tcPr>
            <w:tcW w:w="117"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93,970</w:t>
            </w:r>
          </w:p>
        </w:tc>
        <w:tc>
          <w:tcPr>
            <w:tcW w:w="122" w:type="dxa"/>
            <w:tcBorders/>
            <w:shd w:fill="auto" w:val="clear"/>
            <w:vAlign w:val="bottom"/>
          </w:tcPr>
          <w:p>
            <w:pPr>
              <w:pStyle w:val="TableContents"/>
              <w:spacing w:before="0" w:after="283"/>
              <w:rPr/>
            </w:pPr>
            <w:r>
              <w:rPr/>
              <w:t> </w:t>
            </w:r>
          </w:p>
        </w:tc>
      </w:tr>
      <w:tr>
        <w:trPr/>
        <w:tc>
          <w:tcPr>
            <w:tcW w:w="7053" w:type="dxa"/>
            <w:tcBorders/>
            <w:shd w:fill="CCEEFF" w:val="clear"/>
            <w:vAlign w:val="bottom"/>
          </w:tcPr>
          <w:p>
            <w:pPr>
              <w:pStyle w:val="TableContents"/>
              <w:spacing w:before="0" w:after="0"/>
              <w:ind w:left="225" w:right="0" w:hanging="225"/>
              <w:rPr/>
            </w:pPr>
            <w:r>
              <w:rPr/>
              <w:t>Indiana</w:t>
            </w:r>
          </w:p>
        </w:tc>
        <w:tc>
          <w:tcPr>
            <w:tcW w:w="47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71,834</w:t>
            </w:r>
          </w:p>
        </w:tc>
        <w:tc>
          <w:tcPr>
            <w:tcW w:w="117"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69,862</w:t>
            </w:r>
          </w:p>
        </w:tc>
        <w:tc>
          <w:tcPr>
            <w:tcW w:w="122" w:type="dxa"/>
            <w:tcBorders/>
            <w:shd w:fill="CCEEFF" w:val="clear"/>
            <w:vAlign w:val="bottom"/>
          </w:tcPr>
          <w:p>
            <w:pPr>
              <w:pStyle w:val="TableContents"/>
              <w:spacing w:before="0" w:after="283"/>
              <w:rPr/>
            </w:pPr>
            <w:r>
              <w:rPr/>
              <w:t> </w:t>
            </w:r>
          </w:p>
        </w:tc>
      </w:tr>
      <w:tr>
        <w:trPr/>
        <w:tc>
          <w:tcPr>
            <w:tcW w:w="7053" w:type="dxa"/>
            <w:tcBorders/>
            <w:shd w:fill="auto" w:val="clear"/>
            <w:vAlign w:val="center"/>
          </w:tcPr>
          <w:p>
            <w:pPr>
              <w:pStyle w:val="TableContents"/>
              <w:spacing w:before="0" w:after="283"/>
              <w:rPr/>
            </w:pPr>
            <w:r>
              <w:rPr/>
              <w:t> </w:t>
            </w:r>
          </w:p>
        </w:tc>
        <w:tc>
          <w:tcPr>
            <w:tcW w:w="476" w:type="dxa"/>
            <w:tcBorders/>
            <w:shd w:fill="auto" w:val="clear"/>
            <w:vAlign w:val="center"/>
          </w:tcPr>
          <w:p>
            <w:pPr>
              <w:pStyle w:val="TableContents"/>
              <w:spacing w:before="0" w:after="283"/>
              <w:rPr/>
            </w:pPr>
            <w:r>
              <w:rPr/>
              <w:t> </w:t>
            </w:r>
          </w:p>
        </w:tc>
        <w:tc>
          <w:tcPr>
            <w:tcW w:w="2676"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053" w:type="dxa"/>
            <w:tcBorders/>
            <w:shd w:fill="auto" w:val="clear"/>
            <w:vAlign w:val="bottom"/>
          </w:tcPr>
          <w:p>
            <w:pPr>
              <w:pStyle w:val="TableContents"/>
              <w:spacing w:before="0" w:after="0"/>
              <w:ind w:left="225" w:right="0" w:hanging="225"/>
              <w:rPr/>
            </w:pPr>
            <w:r>
              <w:rPr/>
              <w:t> </w:t>
            </w:r>
          </w:p>
        </w:tc>
        <w:tc>
          <w:tcPr>
            <w:tcW w:w="47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25" w:type="dxa"/>
            <w:tcBorders/>
            <w:shd w:fill="auto" w:val="clear"/>
            <w:vAlign w:val="bottom"/>
          </w:tcPr>
          <w:p>
            <w:pPr>
              <w:pStyle w:val="TableContents"/>
              <w:spacing w:before="0" w:after="283"/>
              <w:jc w:val="right"/>
              <w:rPr/>
            </w:pPr>
            <w:r>
              <w:rPr/>
              <w:t>575,281</w:t>
            </w:r>
          </w:p>
        </w:tc>
        <w:tc>
          <w:tcPr>
            <w:tcW w:w="117"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470,156</w:t>
            </w:r>
          </w:p>
        </w:tc>
        <w:tc>
          <w:tcPr>
            <w:tcW w:w="122" w:type="dxa"/>
            <w:tcBorders/>
            <w:shd w:fill="auto" w:val="clear"/>
            <w:vAlign w:val="bottom"/>
          </w:tcPr>
          <w:p>
            <w:pPr>
              <w:pStyle w:val="TableContents"/>
              <w:spacing w:before="0" w:after="283"/>
              <w:rPr/>
            </w:pPr>
            <w:r>
              <w:rPr/>
              <w:t> </w:t>
            </w:r>
          </w:p>
        </w:tc>
      </w:tr>
      <w:tr>
        <w:trPr/>
        <w:tc>
          <w:tcPr>
            <w:tcW w:w="7053" w:type="dxa"/>
            <w:tcBorders/>
            <w:shd w:fill="auto" w:val="clear"/>
            <w:vAlign w:val="center"/>
          </w:tcPr>
          <w:p>
            <w:pPr>
              <w:pStyle w:val="TableContents"/>
              <w:spacing w:before="0" w:after="283"/>
              <w:rPr/>
            </w:pPr>
            <w:r>
              <w:rPr/>
              <w:t> </w:t>
            </w:r>
          </w:p>
        </w:tc>
        <w:tc>
          <w:tcPr>
            <w:tcW w:w="476" w:type="dxa"/>
            <w:tcBorders/>
            <w:shd w:fill="auto" w:val="clear"/>
            <w:vAlign w:val="center"/>
          </w:tcPr>
          <w:p>
            <w:pPr>
              <w:pStyle w:val="TableContents"/>
              <w:spacing w:before="0" w:after="283"/>
              <w:rPr/>
            </w:pPr>
            <w:r>
              <w:rPr/>
              <w:t> </w:t>
            </w:r>
          </w:p>
        </w:tc>
        <w:tc>
          <w:tcPr>
            <w:tcW w:w="2676"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70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Managements opinion as to the ultimate collectibility of loans is subject to estimates regarding future cash flows from operations and the value of property, real and personal, pledged as collateral. These estimates are affected by changing economic conditions and the economic prospects of borrowers.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Loans contractually past due in excess of 90 days and loans classified as non-accrual are summarized as follows: </w:t>
      </w:r>
    </w:p>
    <w:tbl>
      <w:tblPr>
        <w:tblW w:w="5000" w:type="pct"/>
        <w:jc w:val="center"/>
        <w:tblInd w:w="0" w:type="dxa"/>
        <w:tblCellMar>
          <w:top w:w="0" w:type="dxa"/>
          <w:left w:w="0" w:type="dxa"/>
          <w:bottom w:w="0" w:type="dxa"/>
          <w:right w:w="0" w:type="dxa"/>
        </w:tblCellMar>
      </w:tblPr>
      <w:tblGrid>
        <w:gridCol w:w="6908"/>
        <w:gridCol w:w="452"/>
        <w:gridCol w:w="195"/>
        <w:gridCol w:w="867"/>
        <w:gridCol w:w="131"/>
        <w:gridCol w:w="465"/>
        <w:gridCol w:w="195"/>
        <w:gridCol w:w="869"/>
        <w:gridCol w:w="123"/>
      </w:tblGrid>
      <w:tr>
        <w:trPr/>
        <w:tc>
          <w:tcPr>
            <w:tcW w:w="6908"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908"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2722" w:type="dxa"/>
            <w:gridSpan w:val="6"/>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123" w:type="dxa"/>
            <w:tcBorders/>
            <w:shd w:fill="auto" w:val="clear"/>
            <w:vAlign w:val="bottom"/>
          </w:tcPr>
          <w:p>
            <w:pPr>
              <w:pStyle w:val="TableContents"/>
              <w:spacing w:before="0" w:after="283"/>
              <w:rPr/>
            </w:pPr>
            <w:r>
              <w:rPr/>
              <w:t> </w:t>
            </w:r>
          </w:p>
        </w:tc>
      </w:tr>
      <w:tr>
        <w:trPr/>
        <w:tc>
          <w:tcPr>
            <w:tcW w:w="6908"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06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31" w:type="dxa"/>
            <w:tcBorders>
              <w:bottom w:val="single" w:sz="2" w:space="0" w:color="000000"/>
            </w:tcBorders>
            <w:shd w:fill="auto" w:val="clear"/>
            <w:tcMar>
              <w:bottom w:w="28" w:type="dxa"/>
            </w:tcMar>
            <w:vAlign w:val="bottom"/>
          </w:tcPr>
          <w:p>
            <w:pPr>
              <w:pStyle w:val="TableContents"/>
              <w:spacing w:before="0" w:after="283"/>
              <w:rPr/>
            </w:pPr>
            <w:r>
              <w:rPr/>
              <w:t> </w:t>
            </w:r>
          </w:p>
        </w:tc>
        <w:tc>
          <w:tcPr>
            <w:tcW w:w="465" w:type="dxa"/>
            <w:tcBorders>
              <w:bottom w:val="single" w:sz="2" w:space="0" w:color="000000"/>
            </w:tcBorders>
            <w:shd w:fill="auto" w:val="clear"/>
            <w:tcMar>
              <w:bottom w:w="28" w:type="dxa"/>
            </w:tcMar>
            <w:vAlign w:val="bottom"/>
          </w:tcPr>
          <w:p>
            <w:pPr>
              <w:pStyle w:val="TableContents"/>
              <w:spacing w:before="0" w:after="283"/>
              <w:rPr/>
            </w:pPr>
            <w:r>
              <w:rPr/>
              <w:t> </w:t>
            </w:r>
          </w:p>
        </w:tc>
        <w:tc>
          <w:tcPr>
            <w:tcW w:w="106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23"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6908"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2722" w:type="dxa"/>
            <w:gridSpan w:val="6"/>
            <w:tcBorders/>
            <w:shd w:fill="auto" w:val="clear"/>
            <w:vAlign w:val="bottom"/>
          </w:tcPr>
          <w:p>
            <w:pPr>
              <w:pStyle w:val="TableContents"/>
              <w:spacing w:before="0" w:after="283"/>
              <w:jc w:val="center"/>
              <w:rPr/>
            </w:pPr>
            <w:r>
              <w:rPr/>
              <w:t>(Dollars in thousands)</w:t>
            </w:r>
          </w:p>
        </w:tc>
        <w:tc>
          <w:tcPr>
            <w:tcW w:w="123" w:type="dxa"/>
            <w:tcBorders/>
            <w:shd w:fill="auto" w:val="clear"/>
            <w:vAlign w:val="bottom"/>
          </w:tcPr>
          <w:p>
            <w:pPr>
              <w:pStyle w:val="TableContents"/>
              <w:spacing w:before="0" w:after="283"/>
              <w:rPr/>
            </w:pPr>
            <w:r>
              <w:rPr/>
              <w:t> </w:t>
            </w:r>
          </w:p>
        </w:tc>
      </w:tr>
      <w:tr>
        <w:trPr/>
        <w:tc>
          <w:tcPr>
            <w:tcW w:w="6908" w:type="dxa"/>
            <w:tcBorders/>
            <w:shd w:fill="CCEEFF" w:val="clear"/>
            <w:vAlign w:val="bottom"/>
          </w:tcPr>
          <w:p>
            <w:pPr>
              <w:pStyle w:val="TableContents"/>
              <w:spacing w:before="0" w:after="0"/>
              <w:ind w:left="225" w:right="0" w:hanging="225"/>
              <w:rPr/>
            </w:pPr>
            <w:r>
              <w:rPr/>
              <w:t>Loans 90 days past due and still accruing</w:t>
            </w:r>
          </w:p>
        </w:tc>
        <w:tc>
          <w:tcPr>
            <w:tcW w:w="45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867" w:type="dxa"/>
            <w:tcBorders/>
            <w:shd w:fill="CCEEFF" w:val="clear"/>
            <w:vAlign w:val="bottom"/>
          </w:tcPr>
          <w:p>
            <w:pPr>
              <w:pStyle w:val="TableContents"/>
              <w:spacing w:before="0" w:after="283"/>
              <w:jc w:val="right"/>
              <w:rPr/>
            </w:pPr>
            <w:r>
              <w:rPr/>
              <w:t>1,420</w:t>
            </w:r>
          </w:p>
        </w:tc>
        <w:tc>
          <w:tcPr>
            <w:tcW w:w="131"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869" w:type="dxa"/>
            <w:tcBorders/>
            <w:shd w:fill="CCEEFF" w:val="clear"/>
            <w:vAlign w:val="bottom"/>
          </w:tcPr>
          <w:p>
            <w:pPr>
              <w:pStyle w:val="TableContents"/>
              <w:spacing w:before="0" w:after="283"/>
              <w:jc w:val="right"/>
              <w:rPr/>
            </w:pPr>
            <w:r>
              <w:rPr/>
              <w:t>2,141</w:t>
            </w:r>
          </w:p>
        </w:tc>
        <w:tc>
          <w:tcPr>
            <w:tcW w:w="123" w:type="dxa"/>
            <w:tcBorders/>
            <w:shd w:fill="CCEEFF" w:val="clear"/>
            <w:vAlign w:val="bottom"/>
          </w:tcPr>
          <w:p>
            <w:pPr>
              <w:pStyle w:val="TableContents"/>
              <w:spacing w:before="0" w:after="283"/>
              <w:rPr/>
            </w:pPr>
            <w:r>
              <w:rPr/>
              <w:t> </w:t>
            </w:r>
          </w:p>
        </w:tc>
      </w:tr>
      <w:tr>
        <w:trPr/>
        <w:tc>
          <w:tcPr>
            <w:tcW w:w="6908" w:type="dxa"/>
            <w:tcBorders/>
            <w:shd w:fill="auto" w:val="clear"/>
            <w:vAlign w:val="bottom"/>
          </w:tcPr>
          <w:p>
            <w:pPr>
              <w:pStyle w:val="TableContents"/>
              <w:spacing w:before="0" w:after="0"/>
              <w:ind w:left="225" w:right="0" w:hanging="225"/>
              <w:rPr/>
            </w:pPr>
            <w:r>
              <w:rPr/>
              <w:t>Non-accrual loans</w:t>
            </w:r>
          </w:p>
        </w:tc>
        <w:tc>
          <w:tcPr>
            <w:tcW w:w="45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pPr>
            <w:r>
              <w:rPr/>
              <w:t>4,483</w:t>
            </w:r>
          </w:p>
        </w:tc>
        <w:tc>
          <w:tcPr>
            <w:tcW w:w="131"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1,523</w:t>
            </w:r>
          </w:p>
        </w:tc>
        <w:tc>
          <w:tcPr>
            <w:tcW w:w="123" w:type="dxa"/>
            <w:tcBorders/>
            <w:shd w:fill="auto" w:val="clear"/>
            <w:vAlign w:val="bottom"/>
          </w:tcPr>
          <w:p>
            <w:pPr>
              <w:pStyle w:val="TableContents"/>
              <w:spacing w:before="0" w:after="283"/>
              <w:rPr/>
            </w:pPr>
            <w:r>
              <w:rPr/>
              <w:t> </w:t>
            </w:r>
          </w:p>
        </w:tc>
      </w:tr>
      <w:tr>
        <w:trPr/>
        <w:tc>
          <w:tcPr>
            <w:tcW w:w="6908"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2845"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908" w:type="dxa"/>
            <w:tcBorders/>
            <w:shd w:fill="CCEEFF" w:val="clear"/>
            <w:vAlign w:val="bottom"/>
          </w:tcPr>
          <w:p>
            <w:pPr>
              <w:pStyle w:val="TableContents"/>
              <w:spacing w:before="0" w:after="0"/>
              <w:ind w:left="225" w:right="0" w:hanging="225"/>
              <w:rPr/>
            </w:pPr>
            <w:r>
              <w:rPr/>
              <w:t> </w:t>
            </w:r>
          </w:p>
        </w:tc>
        <w:tc>
          <w:tcPr>
            <w:tcW w:w="45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5,903</w:t>
            </w:r>
          </w:p>
        </w:tc>
        <w:tc>
          <w:tcPr>
            <w:tcW w:w="131"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3,664</w:t>
            </w:r>
          </w:p>
        </w:tc>
        <w:tc>
          <w:tcPr>
            <w:tcW w:w="123" w:type="dxa"/>
            <w:tcBorders/>
            <w:shd w:fill="CCEEFF" w:val="clear"/>
            <w:vAlign w:val="bottom"/>
          </w:tcPr>
          <w:p>
            <w:pPr>
              <w:pStyle w:val="TableContents"/>
              <w:spacing w:before="0" w:after="283"/>
              <w:rPr/>
            </w:pPr>
            <w:r>
              <w:rPr/>
              <w:t> </w:t>
            </w:r>
          </w:p>
        </w:tc>
      </w:tr>
      <w:tr>
        <w:trPr/>
        <w:tc>
          <w:tcPr>
            <w:tcW w:w="6908"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2845"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240" w:after="283"/>
        <w:jc w:val="left"/>
        <w:rPr>
          <w:rFonts w:ascii="Arial;Helvetica;sans-serif" w:hAnsi="Arial;Helvetica;sans-serif"/>
          <w:sz w:val="17"/>
        </w:rPr>
      </w:pPr>
      <w:r>
        <w:rPr>
          <w:rFonts w:ascii="Arial;Helvetica;sans-serif" w:hAnsi="Arial;Helvetica;sans-serif"/>
          <w:sz w:val="17"/>
        </w:rPr>
        <w:t xml:space="preserve">The following table presents data on impaired loans: </w:t>
      </w:r>
    </w:p>
    <w:tbl>
      <w:tblPr>
        <w:tblW w:w="5000" w:type="pct"/>
        <w:jc w:val="center"/>
        <w:tblInd w:w="0" w:type="dxa"/>
        <w:tblCellMar>
          <w:top w:w="0" w:type="dxa"/>
          <w:left w:w="0" w:type="dxa"/>
          <w:bottom w:w="0" w:type="dxa"/>
          <w:right w:w="0" w:type="dxa"/>
        </w:tblCellMar>
      </w:tblPr>
      <w:tblGrid>
        <w:gridCol w:w="6055"/>
        <w:gridCol w:w="470"/>
        <w:gridCol w:w="141"/>
        <w:gridCol w:w="658"/>
        <w:gridCol w:w="111"/>
        <w:gridCol w:w="470"/>
        <w:gridCol w:w="141"/>
        <w:gridCol w:w="658"/>
        <w:gridCol w:w="111"/>
        <w:gridCol w:w="470"/>
        <w:gridCol w:w="141"/>
        <w:gridCol w:w="658"/>
        <w:gridCol w:w="121"/>
      </w:tblGrid>
      <w:tr>
        <w:trPr/>
        <w:tc>
          <w:tcPr>
            <w:tcW w:w="6055"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79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11" w:type="dxa"/>
            <w:tcBorders>
              <w:bottom w:val="single" w:sz="2" w:space="0" w:color="000000"/>
            </w:tcBorders>
            <w:shd w:fill="auto" w:val="clear"/>
            <w:tcMar>
              <w:bottom w:w="28" w:type="dxa"/>
            </w:tcMar>
            <w:vAlign w:val="bottom"/>
          </w:tcPr>
          <w:p>
            <w:pPr>
              <w:pStyle w:val="TableContents"/>
              <w:spacing w:before="0" w:after="283"/>
              <w:rPr/>
            </w:pPr>
            <w:r>
              <w:rPr/>
              <w:t> </w:t>
            </w:r>
          </w:p>
        </w:tc>
        <w:tc>
          <w:tcPr>
            <w:tcW w:w="470" w:type="dxa"/>
            <w:tcBorders>
              <w:bottom w:val="single" w:sz="2" w:space="0" w:color="000000"/>
            </w:tcBorders>
            <w:shd w:fill="auto" w:val="clear"/>
            <w:tcMar>
              <w:bottom w:w="28" w:type="dxa"/>
            </w:tcMar>
            <w:vAlign w:val="bottom"/>
          </w:tcPr>
          <w:p>
            <w:pPr>
              <w:pStyle w:val="TableContents"/>
              <w:spacing w:before="0" w:after="283"/>
              <w:rPr/>
            </w:pPr>
            <w:r>
              <w:rPr/>
              <w:t> </w:t>
            </w:r>
          </w:p>
        </w:tc>
        <w:tc>
          <w:tcPr>
            <w:tcW w:w="79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11" w:type="dxa"/>
            <w:tcBorders>
              <w:bottom w:val="single" w:sz="2" w:space="0" w:color="000000"/>
            </w:tcBorders>
            <w:shd w:fill="auto" w:val="clear"/>
            <w:tcMar>
              <w:bottom w:w="28" w:type="dxa"/>
            </w:tcMar>
            <w:vAlign w:val="bottom"/>
          </w:tcPr>
          <w:p>
            <w:pPr>
              <w:pStyle w:val="TableContents"/>
              <w:spacing w:before="0" w:after="283"/>
              <w:rPr/>
            </w:pPr>
            <w:r>
              <w:rPr/>
              <w:t> </w:t>
            </w:r>
          </w:p>
        </w:tc>
        <w:tc>
          <w:tcPr>
            <w:tcW w:w="470" w:type="dxa"/>
            <w:tcBorders>
              <w:bottom w:val="single" w:sz="2" w:space="0" w:color="000000"/>
            </w:tcBorders>
            <w:shd w:fill="auto" w:val="clear"/>
            <w:tcMar>
              <w:bottom w:w="28" w:type="dxa"/>
            </w:tcMar>
            <w:vAlign w:val="bottom"/>
          </w:tcPr>
          <w:p>
            <w:pPr>
              <w:pStyle w:val="TableContents"/>
              <w:spacing w:before="0" w:after="283"/>
              <w:rPr/>
            </w:pPr>
            <w:r>
              <w:rPr/>
              <w:t> </w:t>
            </w:r>
          </w:p>
        </w:tc>
        <w:tc>
          <w:tcPr>
            <w:tcW w:w="79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3559" w:type="dxa"/>
            <w:gridSpan w:val="10"/>
            <w:tcBorders/>
            <w:shd w:fill="auto" w:val="clear"/>
            <w:vAlign w:val="bottom"/>
          </w:tcPr>
          <w:p>
            <w:pPr>
              <w:pStyle w:val="TableContents"/>
              <w:spacing w:before="0" w:after="283"/>
              <w:jc w:val="center"/>
              <w:rPr/>
            </w:pPr>
            <w:r>
              <w:rPr/>
              <w:t>(Dollars in thousands)</w:t>
            </w:r>
          </w:p>
        </w:tc>
        <w:tc>
          <w:tcPr>
            <w:tcW w:w="121" w:type="dxa"/>
            <w:tcBorders/>
            <w:shd w:fill="auto" w:val="clear"/>
            <w:vAlign w:val="bottom"/>
          </w:tcPr>
          <w:p>
            <w:pPr>
              <w:pStyle w:val="TableContents"/>
              <w:spacing w:before="0" w:after="283"/>
              <w:rPr/>
            </w:pPr>
            <w:r>
              <w:rPr/>
              <w:t> </w:t>
            </w:r>
          </w:p>
        </w:tc>
      </w:tr>
      <w:tr>
        <w:trPr/>
        <w:tc>
          <w:tcPr>
            <w:tcW w:w="6055" w:type="dxa"/>
            <w:tcBorders/>
            <w:shd w:fill="CCEEFF" w:val="clear"/>
            <w:vAlign w:val="bottom"/>
          </w:tcPr>
          <w:p>
            <w:pPr>
              <w:pStyle w:val="TableContents"/>
              <w:spacing w:before="0" w:after="0"/>
              <w:ind w:left="225" w:right="0" w:hanging="225"/>
              <w:rPr/>
            </w:pPr>
            <w:r>
              <w:rPr/>
              <w:t>Impaired loans for which a specific allowance has been provided</w:t>
            </w:r>
          </w:p>
        </w:tc>
        <w:tc>
          <w:tcPr>
            <w:tcW w:w="4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58" w:type="dxa"/>
            <w:tcBorders/>
            <w:shd w:fill="CCEEFF" w:val="clear"/>
            <w:vAlign w:val="bottom"/>
          </w:tcPr>
          <w:p>
            <w:pPr>
              <w:pStyle w:val="TableContents"/>
              <w:spacing w:before="0" w:after="283"/>
              <w:jc w:val="right"/>
              <w:rPr/>
            </w:pPr>
            <w:r>
              <w:rPr/>
              <w:t>2,361</w:t>
            </w:r>
          </w:p>
        </w:tc>
        <w:tc>
          <w:tcPr>
            <w:tcW w:w="11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58" w:type="dxa"/>
            <w:tcBorders/>
            <w:shd w:fill="CCEEFF" w:val="clear"/>
            <w:vAlign w:val="bottom"/>
          </w:tcPr>
          <w:p>
            <w:pPr>
              <w:pStyle w:val="TableContents"/>
              <w:spacing w:before="0" w:after="283"/>
              <w:jc w:val="right"/>
              <w:rPr/>
            </w:pPr>
            <w:r>
              <w:rPr/>
              <w:t>408</w:t>
            </w:r>
          </w:p>
        </w:tc>
        <w:tc>
          <w:tcPr>
            <w:tcW w:w="11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58"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0"/>
              <w:ind w:left="225" w:right="0" w:hanging="225"/>
              <w:rPr/>
            </w:pPr>
            <w:r>
              <w:rPr/>
              <w:t>Impaired loans for which no specific allowance has been provided</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58" w:type="dxa"/>
            <w:tcBorders/>
            <w:shd w:fill="auto" w:val="clear"/>
            <w:vAlign w:val="bottom"/>
          </w:tcPr>
          <w:p>
            <w:pPr>
              <w:pStyle w:val="TableContents"/>
              <w:spacing w:before="0" w:after="283"/>
              <w:jc w:val="right"/>
              <w:rPr/>
            </w:pPr>
            <w:r>
              <w:rPr/>
              <w:t>682</w:t>
            </w:r>
          </w:p>
        </w:tc>
        <w:tc>
          <w:tcPr>
            <w:tcW w:w="11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58" w:type="dxa"/>
            <w:tcBorders/>
            <w:shd w:fill="auto" w:val="clear"/>
            <w:vAlign w:val="bottom"/>
          </w:tcPr>
          <w:p>
            <w:pPr>
              <w:pStyle w:val="TableContents"/>
              <w:spacing w:before="0" w:after="283"/>
              <w:jc w:val="right"/>
              <w:rPr/>
            </w:pPr>
            <w:r>
              <w:rPr/>
              <w:t>503</w:t>
            </w:r>
          </w:p>
        </w:tc>
        <w:tc>
          <w:tcPr>
            <w:tcW w:w="11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58" w:type="dxa"/>
            <w:tcBorders/>
            <w:shd w:fill="auto" w:val="clear"/>
            <w:vAlign w:val="bottom"/>
          </w:tcPr>
          <w:p>
            <w:pPr>
              <w:pStyle w:val="TableContents"/>
              <w:spacing w:before="0" w:after="283"/>
              <w:jc w:val="right"/>
              <w:rPr/>
            </w:pPr>
            <w:r>
              <w:rPr/>
              <w:t>2,214</w:t>
            </w:r>
          </w:p>
        </w:tc>
        <w:tc>
          <w:tcPr>
            <w:tcW w:w="121" w:type="dxa"/>
            <w:tcBorders/>
            <w:shd w:fill="auto" w:val="clear"/>
            <w:vAlign w:val="bottom"/>
          </w:tcPr>
          <w:p>
            <w:pPr>
              <w:pStyle w:val="TableContents"/>
              <w:spacing w:before="0" w:after="283"/>
              <w:rPr/>
            </w:pPr>
            <w:r>
              <w:rPr/>
              <w:t> </w:t>
            </w:r>
          </w:p>
        </w:tc>
      </w:tr>
      <w:tr>
        <w:trPr/>
        <w:tc>
          <w:tcPr>
            <w:tcW w:w="605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3680"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55" w:type="dxa"/>
            <w:tcBorders/>
            <w:shd w:fill="auto" w:val="clear"/>
            <w:vAlign w:val="bottom"/>
          </w:tcPr>
          <w:p>
            <w:pPr>
              <w:pStyle w:val="TableContents"/>
              <w:spacing w:before="0" w:after="0"/>
              <w:ind w:left="225" w:right="0" w:hanging="225"/>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055" w:type="dxa"/>
            <w:tcBorders/>
            <w:shd w:fill="CCEEFF" w:val="clear"/>
            <w:vAlign w:val="bottom"/>
          </w:tcPr>
          <w:p>
            <w:pPr>
              <w:pStyle w:val="TableContents"/>
              <w:spacing w:before="0" w:after="0"/>
              <w:ind w:left="225" w:right="0" w:hanging="225"/>
              <w:rPr/>
            </w:pPr>
            <w:r>
              <w:rPr/>
              <w:t>Total loans determined to be impaired</w:t>
            </w:r>
          </w:p>
        </w:tc>
        <w:tc>
          <w:tcPr>
            <w:tcW w:w="4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58" w:type="dxa"/>
            <w:tcBorders/>
            <w:shd w:fill="CCEEFF" w:val="clear"/>
            <w:vAlign w:val="bottom"/>
          </w:tcPr>
          <w:p>
            <w:pPr>
              <w:pStyle w:val="TableContents"/>
              <w:spacing w:before="0" w:after="283"/>
              <w:jc w:val="right"/>
              <w:rPr/>
            </w:pPr>
            <w:r>
              <w:rPr/>
              <w:t>3,043</w:t>
            </w:r>
          </w:p>
        </w:tc>
        <w:tc>
          <w:tcPr>
            <w:tcW w:w="11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58" w:type="dxa"/>
            <w:tcBorders/>
            <w:shd w:fill="CCEEFF" w:val="clear"/>
            <w:vAlign w:val="bottom"/>
          </w:tcPr>
          <w:p>
            <w:pPr>
              <w:pStyle w:val="TableContents"/>
              <w:spacing w:before="0" w:after="283"/>
              <w:jc w:val="right"/>
              <w:rPr/>
            </w:pPr>
            <w:r>
              <w:rPr/>
              <w:t>911</w:t>
            </w:r>
          </w:p>
        </w:tc>
        <w:tc>
          <w:tcPr>
            <w:tcW w:w="11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58" w:type="dxa"/>
            <w:tcBorders/>
            <w:shd w:fill="CCEEFF" w:val="clear"/>
            <w:vAlign w:val="bottom"/>
          </w:tcPr>
          <w:p>
            <w:pPr>
              <w:pStyle w:val="TableContents"/>
              <w:spacing w:before="0" w:after="283"/>
              <w:jc w:val="right"/>
              <w:rPr/>
            </w:pPr>
            <w:r>
              <w:rPr/>
              <w:t>2,214</w:t>
            </w:r>
          </w:p>
        </w:tc>
        <w:tc>
          <w:tcPr>
            <w:tcW w:w="121" w:type="dxa"/>
            <w:tcBorders/>
            <w:shd w:fill="CCEEFF" w:val="clear"/>
            <w:vAlign w:val="bottom"/>
          </w:tcPr>
          <w:p>
            <w:pPr>
              <w:pStyle w:val="TableContents"/>
              <w:spacing w:before="0" w:after="283"/>
              <w:rPr/>
            </w:pPr>
            <w:r>
              <w:rPr/>
              <w:t> </w:t>
            </w:r>
          </w:p>
        </w:tc>
      </w:tr>
      <w:tr>
        <w:trPr/>
        <w:tc>
          <w:tcPr>
            <w:tcW w:w="605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3680"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6055" w:type="dxa"/>
            <w:tcBorders/>
            <w:shd w:fill="auto" w:val="clear"/>
            <w:vAlign w:val="bottom"/>
          </w:tcPr>
          <w:p>
            <w:pPr>
              <w:pStyle w:val="TableContents"/>
              <w:spacing w:before="0" w:after="0"/>
              <w:ind w:left="225" w:right="0" w:hanging="225"/>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055" w:type="dxa"/>
            <w:tcBorders/>
            <w:shd w:fill="auto" w:val="clear"/>
            <w:vAlign w:val="bottom"/>
          </w:tcPr>
          <w:p>
            <w:pPr>
              <w:pStyle w:val="TableContents"/>
              <w:spacing w:before="0" w:after="0"/>
              <w:ind w:left="225" w:right="0" w:hanging="225"/>
              <w:rPr/>
            </w:pPr>
            <w:r>
              <w:rPr/>
              <w:t>Allowance for loan loss for impaired loans included in the allowance for loan losses</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58" w:type="dxa"/>
            <w:tcBorders/>
            <w:shd w:fill="auto" w:val="clear"/>
            <w:vAlign w:val="bottom"/>
          </w:tcPr>
          <w:p>
            <w:pPr>
              <w:pStyle w:val="TableContents"/>
              <w:spacing w:before="0" w:after="283"/>
              <w:jc w:val="right"/>
              <w:rPr/>
            </w:pPr>
            <w:r>
              <w:rPr/>
              <w:t>800</w:t>
            </w:r>
          </w:p>
        </w:tc>
        <w:tc>
          <w:tcPr>
            <w:tcW w:w="11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58" w:type="dxa"/>
            <w:tcBorders/>
            <w:shd w:fill="auto" w:val="clear"/>
            <w:vAlign w:val="bottom"/>
          </w:tcPr>
          <w:p>
            <w:pPr>
              <w:pStyle w:val="TableContents"/>
              <w:spacing w:before="0" w:after="283"/>
              <w:jc w:val="right"/>
              <w:rPr/>
            </w:pPr>
            <w:r>
              <w:rPr/>
              <w:t>168</w:t>
            </w:r>
          </w:p>
        </w:tc>
        <w:tc>
          <w:tcPr>
            <w:tcW w:w="11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58" w:type="dxa"/>
            <w:tcBorders/>
            <w:shd w:fill="auto" w:val="clear"/>
            <w:vAlign w:val="bottom"/>
          </w:tcPr>
          <w:p>
            <w:pPr>
              <w:pStyle w:val="TableContents"/>
              <w:spacing w:before="0" w:after="283"/>
              <w:jc w:val="right"/>
              <w:rPr/>
            </w:pPr>
            <w:r>
              <w:rPr/>
              <w:t></w:t>
            </w:r>
          </w:p>
        </w:tc>
        <w:tc>
          <w:tcPr>
            <w:tcW w:w="121" w:type="dxa"/>
            <w:tcBorders/>
            <w:shd w:fill="auto" w:val="clear"/>
            <w:vAlign w:val="bottom"/>
          </w:tcPr>
          <w:p>
            <w:pPr>
              <w:pStyle w:val="TableContents"/>
              <w:spacing w:before="0" w:after="283"/>
              <w:rPr/>
            </w:pPr>
            <w:r>
              <w:rPr/>
              <w:t> </w:t>
            </w:r>
          </w:p>
        </w:tc>
      </w:tr>
      <w:tr>
        <w:trPr/>
        <w:tc>
          <w:tcPr>
            <w:tcW w:w="605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3680"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6055" w:type="dxa"/>
            <w:tcBorders/>
            <w:shd w:fill="CCEEFF" w:val="clear"/>
            <w:vAlign w:val="bottom"/>
          </w:tcPr>
          <w:p>
            <w:pPr>
              <w:pStyle w:val="TableContents"/>
              <w:spacing w:before="0" w:after="0"/>
              <w:ind w:left="225" w:right="0" w:hanging="225"/>
              <w:rPr/>
            </w:pPr>
            <w:r>
              <w:rPr/>
              <w:t>Average recorded investment in impaired loans</w:t>
            </w:r>
          </w:p>
        </w:tc>
        <w:tc>
          <w:tcPr>
            <w:tcW w:w="4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58" w:type="dxa"/>
            <w:tcBorders/>
            <w:shd w:fill="CCEEFF" w:val="clear"/>
            <w:vAlign w:val="bottom"/>
          </w:tcPr>
          <w:p>
            <w:pPr>
              <w:pStyle w:val="TableContents"/>
              <w:spacing w:before="0" w:after="283"/>
              <w:jc w:val="right"/>
              <w:rPr/>
            </w:pPr>
            <w:r>
              <w:rPr/>
              <w:t>881</w:t>
            </w:r>
          </w:p>
        </w:tc>
        <w:tc>
          <w:tcPr>
            <w:tcW w:w="11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58" w:type="dxa"/>
            <w:tcBorders/>
            <w:shd w:fill="CCEEFF" w:val="clear"/>
            <w:vAlign w:val="bottom"/>
          </w:tcPr>
          <w:p>
            <w:pPr>
              <w:pStyle w:val="TableContents"/>
              <w:spacing w:before="0" w:after="283"/>
              <w:jc w:val="right"/>
              <w:rPr/>
            </w:pPr>
            <w:r>
              <w:rPr/>
              <w:t>1,670</w:t>
            </w:r>
          </w:p>
        </w:tc>
        <w:tc>
          <w:tcPr>
            <w:tcW w:w="11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58" w:type="dxa"/>
            <w:tcBorders/>
            <w:shd w:fill="CCEEFF" w:val="clear"/>
            <w:vAlign w:val="bottom"/>
          </w:tcPr>
          <w:p>
            <w:pPr>
              <w:pStyle w:val="TableContents"/>
              <w:spacing w:before="0" w:after="283"/>
              <w:jc w:val="right"/>
              <w:rPr/>
            </w:pPr>
            <w:r>
              <w:rPr/>
              <w:t>1,193</w:t>
            </w:r>
          </w:p>
        </w:tc>
        <w:tc>
          <w:tcPr>
            <w:tcW w:w="121" w:type="dxa"/>
            <w:tcBorders/>
            <w:shd w:fill="CCEEFF" w:val="clear"/>
            <w:vAlign w:val="bottom"/>
          </w:tcPr>
          <w:p>
            <w:pPr>
              <w:pStyle w:val="TableContents"/>
              <w:spacing w:before="0" w:after="283"/>
              <w:rPr/>
            </w:pPr>
            <w:r>
              <w:rPr/>
              <w:t> </w:t>
            </w:r>
          </w:p>
        </w:tc>
      </w:tr>
      <w:tr>
        <w:trPr/>
        <w:tc>
          <w:tcPr>
            <w:tcW w:w="605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3680"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6055" w:type="dxa"/>
            <w:tcBorders/>
            <w:shd w:fill="auto" w:val="clear"/>
            <w:vAlign w:val="bottom"/>
          </w:tcPr>
          <w:p>
            <w:pPr>
              <w:pStyle w:val="TableContents"/>
              <w:spacing w:before="0" w:after="0"/>
              <w:ind w:left="225" w:right="0" w:hanging="225"/>
              <w:rPr/>
            </w:pPr>
            <w:r>
              <w:rPr/>
              <w:t>Interest income recognized from impaired loans</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58" w:type="dxa"/>
            <w:tcBorders/>
            <w:shd w:fill="auto" w:val="clear"/>
            <w:vAlign w:val="bottom"/>
          </w:tcPr>
          <w:p>
            <w:pPr>
              <w:pStyle w:val="TableContents"/>
              <w:spacing w:before="0" w:after="283"/>
              <w:jc w:val="right"/>
              <w:rPr/>
            </w:pPr>
            <w:r>
              <w:rPr/>
              <w:t>250</w:t>
            </w:r>
          </w:p>
        </w:tc>
        <w:tc>
          <w:tcPr>
            <w:tcW w:w="11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58" w:type="dxa"/>
            <w:tcBorders/>
            <w:shd w:fill="auto" w:val="clear"/>
            <w:vAlign w:val="bottom"/>
          </w:tcPr>
          <w:p>
            <w:pPr>
              <w:pStyle w:val="TableContents"/>
              <w:spacing w:before="0" w:after="283"/>
              <w:jc w:val="right"/>
              <w:rPr/>
            </w:pPr>
            <w:r>
              <w:rPr/>
              <w:t>28</w:t>
            </w:r>
          </w:p>
        </w:tc>
        <w:tc>
          <w:tcPr>
            <w:tcW w:w="11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58" w:type="dxa"/>
            <w:tcBorders/>
            <w:shd w:fill="auto" w:val="clear"/>
            <w:vAlign w:val="bottom"/>
          </w:tcPr>
          <w:p>
            <w:pPr>
              <w:pStyle w:val="TableContents"/>
              <w:spacing w:before="0" w:after="283"/>
              <w:jc w:val="right"/>
              <w:rPr/>
            </w:pPr>
            <w:r>
              <w:rPr/>
              <w:t></w:t>
            </w:r>
          </w:p>
        </w:tc>
        <w:tc>
          <w:tcPr>
            <w:tcW w:w="121" w:type="dxa"/>
            <w:tcBorders/>
            <w:shd w:fill="auto" w:val="clear"/>
            <w:vAlign w:val="bottom"/>
          </w:tcPr>
          <w:p>
            <w:pPr>
              <w:pStyle w:val="TableContents"/>
              <w:spacing w:before="0" w:after="283"/>
              <w:rPr/>
            </w:pPr>
            <w:r>
              <w:rPr/>
              <w:t> </w:t>
            </w:r>
          </w:p>
        </w:tc>
      </w:tr>
      <w:tr>
        <w:trPr/>
        <w:tc>
          <w:tcPr>
            <w:tcW w:w="605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3680"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71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 6. Allowance for Loan Losses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Changes in the allowance for loan losses were as follows: </w:t>
      </w:r>
    </w:p>
    <w:tbl>
      <w:tblPr>
        <w:tblW w:w="5000" w:type="pct"/>
        <w:jc w:val="center"/>
        <w:tblInd w:w="0" w:type="dxa"/>
        <w:tblCellMar>
          <w:top w:w="0" w:type="dxa"/>
          <w:left w:w="0" w:type="dxa"/>
          <w:bottom w:w="0" w:type="dxa"/>
          <w:right w:w="0" w:type="dxa"/>
        </w:tblCellMar>
      </w:tblPr>
      <w:tblGrid>
        <w:gridCol w:w="5103"/>
        <w:gridCol w:w="393"/>
        <w:gridCol w:w="330"/>
        <w:gridCol w:w="686"/>
        <w:gridCol w:w="289"/>
        <w:gridCol w:w="393"/>
        <w:gridCol w:w="330"/>
        <w:gridCol w:w="686"/>
        <w:gridCol w:w="289"/>
        <w:gridCol w:w="393"/>
        <w:gridCol w:w="330"/>
        <w:gridCol w:w="686"/>
        <w:gridCol w:w="297"/>
      </w:tblGrid>
      <w:tr>
        <w:trPr/>
        <w:tc>
          <w:tcPr>
            <w:tcW w:w="5103"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r>
      <w:tr>
        <w:trPr/>
        <w:tc>
          <w:tcPr>
            <w:tcW w:w="5103"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4709" w:type="dxa"/>
            <w:gridSpan w:val="11"/>
            <w:tcBorders>
              <w:bottom w:val="single" w:sz="2" w:space="0" w:color="000000"/>
            </w:tcBorders>
            <w:shd w:fill="auto" w:val="clear"/>
            <w:tcMar>
              <w:bottom w:w="28" w:type="dxa"/>
            </w:tcMar>
            <w:vAlign w:val="bottom"/>
          </w:tcPr>
          <w:p>
            <w:pPr>
              <w:pStyle w:val="TableContents"/>
              <w:spacing w:before="0" w:after="283"/>
              <w:jc w:val="center"/>
              <w:rPr/>
            </w:pPr>
            <w:r>
              <w:rPr/>
              <w:t>Years Ended December 31,</w:t>
            </w:r>
          </w:p>
        </w:tc>
      </w:tr>
      <w:tr>
        <w:trPr/>
        <w:tc>
          <w:tcPr>
            <w:tcW w:w="5103"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305" w:type="dxa"/>
            <w:gridSpan w:val="3"/>
            <w:tcBorders/>
            <w:shd w:fill="auto" w:val="clear"/>
            <w:vAlign w:val="bottom"/>
          </w:tcPr>
          <w:p>
            <w:pPr>
              <w:pStyle w:val="TableContents"/>
              <w:spacing w:before="0" w:after="283"/>
              <w:jc w:val="center"/>
              <w:rPr/>
            </w:pPr>
            <w:r>
              <w:rPr/>
              <w:t>2005</w:t>
            </w:r>
          </w:p>
        </w:tc>
        <w:tc>
          <w:tcPr>
            <w:tcW w:w="393" w:type="dxa"/>
            <w:tcBorders/>
            <w:shd w:fill="auto" w:val="clear"/>
            <w:vAlign w:val="bottom"/>
          </w:tcPr>
          <w:p>
            <w:pPr>
              <w:pStyle w:val="TableContents"/>
              <w:spacing w:before="0" w:after="283"/>
              <w:rPr/>
            </w:pPr>
            <w:r>
              <w:rPr/>
              <w:t> </w:t>
            </w:r>
          </w:p>
        </w:tc>
        <w:tc>
          <w:tcPr>
            <w:tcW w:w="1305" w:type="dxa"/>
            <w:gridSpan w:val="3"/>
            <w:tcBorders/>
            <w:shd w:fill="auto" w:val="clear"/>
            <w:vAlign w:val="bottom"/>
          </w:tcPr>
          <w:p>
            <w:pPr>
              <w:pStyle w:val="TableContents"/>
              <w:spacing w:before="0" w:after="283"/>
              <w:jc w:val="center"/>
              <w:rPr/>
            </w:pPr>
            <w:r>
              <w:rPr/>
              <w:t>2004</w:t>
            </w:r>
          </w:p>
        </w:tc>
        <w:tc>
          <w:tcPr>
            <w:tcW w:w="393" w:type="dxa"/>
            <w:tcBorders/>
            <w:shd w:fill="auto" w:val="clear"/>
            <w:vAlign w:val="bottom"/>
          </w:tcPr>
          <w:p>
            <w:pPr>
              <w:pStyle w:val="TableContents"/>
              <w:spacing w:before="0" w:after="283"/>
              <w:rPr/>
            </w:pPr>
            <w:r>
              <w:rPr/>
              <w:t> </w:t>
            </w:r>
          </w:p>
        </w:tc>
        <w:tc>
          <w:tcPr>
            <w:tcW w:w="1313" w:type="dxa"/>
            <w:gridSpan w:val="3"/>
            <w:tcBorders/>
            <w:shd w:fill="auto" w:val="clear"/>
            <w:vAlign w:val="bottom"/>
          </w:tcPr>
          <w:p>
            <w:pPr>
              <w:pStyle w:val="TableContents"/>
              <w:spacing w:before="0" w:after="283"/>
              <w:jc w:val="center"/>
              <w:rPr/>
            </w:pPr>
            <w:r>
              <w:rPr/>
              <w:t>2003</w:t>
            </w:r>
          </w:p>
        </w:tc>
      </w:tr>
      <w:tr>
        <w:trPr/>
        <w:tc>
          <w:tcPr>
            <w:tcW w:w="5103"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4709"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103"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4709" w:type="dxa"/>
            <w:gridSpan w:val="11"/>
            <w:tcBorders/>
            <w:shd w:fill="auto" w:val="clear"/>
            <w:vAlign w:val="bottom"/>
          </w:tcPr>
          <w:p>
            <w:pPr>
              <w:pStyle w:val="TableContents"/>
              <w:spacing w:before="0" w:after="283"/>
              <w:jc w:val="center"/>
              <w:rPr/>
            </w:pPr>
            <w:r>
              <w:rPr/>
              <w:t>(Dollars in thousands)</w:t>
            </w:r>
          </w:p>
        </w:tc>
      </w:tr>
      <w:tr>
        <w:trPr/>
        <w:tc>
          <w:tcPr>
            <w:tcW w:w="5103" w:type="dxa"/>
            <w:tcBorders/>
            <w:shd w:fill="CCEEFF" w:val="clear"/>
            <w:vAlign w:val="bottom"/>
          </w:tcPr>
          <w:p>
            <w:pPr>
              <w:pStyle w:val="TableContents"/>
              <w:spacing w:before="0" w:after="0"/>
              <w:ind w:left="225" w:right="0" w:hanging="225"/>
              <w:rPr/>
            </w:pPr>
            <w:r>
              <w:rPr/>
              <w:t>Balance, beginning of year</w:t>
            </w:r>
          </w:p>
        </w:tc>
        <w:tc>
          <w:tcPr>
            <w:tcW w:w="393"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jc w:val="right"/>
              <w:rPr/>
            </w:pPr>
            <w:r>
              <w:rPr/>
              <w:t>$</w:t>
            </w:r>
          </w:p>
        </w:tc>
        <w:tc>
          <w:tcPr>
            <w:tcW w:w="686" w:type="dxa"/>
            <w:tcBorders/>
            <w:shd w:fill="CCEEFF" w:val="clear"/>
            <w:vAlign w:val="bottom"/>
          </w:tcPr>
          <w:p>
            <w:pPr>
              <w:pStyle w:val="TableContents"/>
              <w:spacing w:before="0" w:after="283"/>
              <w:jc w:val="right"/>
              <w:rPr/>
            </w:pPr>
            <w:r>
              <w:rPr/>
              <w:t>19,217</w:t>
            </w:r>
          </w:p>
        </w:tc>
        <w:tc>
          <w:tcPr>
            <w:tcW w:w="289"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jc w:val="right"/>
              <w:rPr/>
            </w:pPr>
            <w:r>
              <w:rPr/>
              <w:t>$</w:t>
            </w:r>
          </w:p>
        </w:tc>
        <w:tc>
          <w:tcPr>
            <w:tcW w:w="686" w:type="dxa"/>
            <w:tcBorders/>
            <w:shd w:fill="CCEEFF" w:val="clear"/>
            <w:vAlign w:val="bottom"/>
          </w:tcPr>
          <w:p>
            <w:pPr>
              <w:pStyle w:val="TableContents"/>
              <w:spacing w:before="0" w:after="283"/>
              <w:jc w:val="right"/>
              <w:rPr/>
            </w:pPr>
            <w:r>
              <w:rPr/>
              <w:t>16,228</w:t>
            </w:r>
          </w:p>
        </w:tc>
        <w:tc>
          <w:tcPr>
            <w:tcW w:w="289"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jc w:val="right"/>
              <w:rPr/>
            </w:pPr>
            <w:r>
              <w:rPr/>
              <w:t>$</w:t>
            </w:r>
          </w:p>
        </w:tc>
        <w:tc>
          <w:tcPr>
            <w:tcW w:w="686" w:type="dxa"/>
            <w:tcBorders/>
            <w:shd w:fill="CCEEFF" w:val="clear"/>
            <w:vAlign w:val="bottom"/>
          </w:tcPr>
          <w:p>
            <w:pPr>
              <w:pStyle w:val="TableContents"/>
              <w:spacing w:before="0" w:after="283"/>
              <w:jc w:val="right"/>
              <w:rPr/>
            </w:pPr>
            <w:r>
              <w:rPr/>
              <w:t>15,460</w:t>
            </w:r>
          </w:p>
        </w:tc>
        <w:tc>
          <w:tcPr>
            <w:tcW w:w="297" w:type="dxa"/>
            <w:tcBorders/>
            <w:shd w:fill="CCEEFF" w:val="clear"/>
            <w:vAlign w:val="bottom"/>
          </w:tcPr>
          <w:p>
            <w:pPr>
              <w:pStyle w:val="TableContents"/>
              <w:spacing w:before="0" w:after="283"/>
              <w:rPr/>
            </w:pPr>
            <w:r>
              <w:rPr/>
              <w:t> </w:t>
            </w:r>
          </w:p>
        </w:tc>
      </w:tr>
      <w:tr>
        <w:trPr/>
        <w:tc>
          <w:tcPr>
            <w:tcW w:w="5103" w:type="dxa"/>
            <w:tcBorders/>
            <w:shd w:fill="auto" w:val="clear"/>
            <w:vAlign w:val="bottom"/>
          </w:tcPr>
          <w:p>
            <w:pPr>
              <w:pStyle w:val="TableContents"/>
              <w:spacing w:before="0" w:after="0"/>
              <w:ind w:left="450" w:right="0" w:hanging="225"/>
              <w:rPr/>
            </w:pPr>
            <w:r>
              <w:rPr/>
              <w:t>Addition due to acquisition</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pPr>
            <w:r>
              <w:rPr/>
              <w:t>1,208</w:t>
            </w:r>
          </w:p>
        </w:tc>
        <w:tc>
          <w:tcPr>
            <w:tcW w:w="28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pPr>
            <w:r>
              <w:rPr/>
              <w:t>2,069</w:t>
            </w:r>
          </w:p>
        </w:tc>
        <w:tc>
          <w:tcPr>
            <w:tcW w:w="28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pPr>
            <w:r>
              <w:rPr/>
              <w:t></w:t>
            </w:r>
          </w:p>
        </w:tc>
        <w:tc>
          <w:tcPr>
            <w:tcW w:w="297" w:type="dxa"/>
            <w:tcBorders/>
            <w:shd w:fill="auto" w:val="clear"/>
            <w:vAlign w:val="bottom"/>
          </w:tcPr>
          <w:p>
            <w:pPr>
              <w:pStyle w:val="TableContents"/>
              <w:spacing w:before="0" w:after="283"/>
              <w:rPr/>
            </w:pPr>
            <w:r>
              <w:rPr/>
              <w:t> </w:t>
            </w:r>
          </w:p>
        </w:tc>
      </w:tr>
      <w:tr>
        <w:trPr/>
        <w:tc>
          <w:tcPr>
            <w:tcW w:w="5103" w:type="dxa"/>
            <w:tcBorders/>
            <w:shd w:fill="CCEEFF" w:val="clear"/>
            <w:vAlign w:val="bottom"/>
          </w:tcPr>
          <w:p>
            <w:pPr>
              <w:pStyle w:val="TableContents"/>
              <w:spacing w:before="0" w:after="0"/>
              <w:ind w:left="450" w:right="0" w:hanging="225"/>
              <w:rPr/>
            </w:pPr>
            <w:r>
              <w:rPr/>
              <w:t>Provision for loan losses</w:t>
            </w:r>
          </w:p>
        </w:tc>
        <w:tc>
          <w:tcPr>
            <w:tcW w:w="393"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pPr>
            <w:r>
              <w:rPr/>
              <w:t>3,490</w:t>
            </w:r>
          </w:p>
        </w:tc>
        <w:tc>
          <w:tcPr>
            <w:tcW w:w="289"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pPr>
            <w:r>
              <w:rPr/>
              <w:t>2,905</w:t>
            </w:r>
          </w:p>
        </w:tc>
        <w:tc>
          <w:tcPr>
            <w:tcW w:w="289"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pPr>
            <w:r>
              <w:rPr/>
              <w:t>3,058</w:t>
            </w:r>
          </w:p>
        </w:tc>
        <w:tc>
          <w:tcPr>
            <w:tcW w:w="297" w:type="dxa"/>
            <w:tcBorders/>
            <w:shd w:fill="CCEEFF" w:val="clear"/>
            <w:vAlign w:val="bottom"/>
          </w:tcPr>
          <w:p>
            <w:pPr>
              <w:pStyle w:val="TableContents"/>
              <w:spacing w:before="0" w:after="283"/>
              <w:rPr/>
            </w:pPr>
            <w:r>
              <w:rPr/>
              <w:t> </w:t>
            </w:r>
          </w:p>
        </w:tc>
      </w:tr>
      <w:tr>
        <w:trPr/>
        <w:tc>
          <w:tcPr>
            <w:tcW w:w="5103" w:type="dxa"/>
            <w:tcBorders/>
            <w:shd w:fill="auto" w:val="clear"/>
            <w:vAlign w:val="bottom"/>
          </w:tcPr>
          <w:p>
            <w:pPr>
              <w:pStyle w:val="TableContents"/>
              <w:spacing w:before="0" w:after="0"/>
              <w:ind w:left="450" w:right="0" w:hanging="225"/>
              <w:rPr/>
            </w:pPr>
            <w:r>
              <w:rPr/>
              <w:t>Recoveries applicable to loan balances previously charged off</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pPr>
            <w:r>
              <w:rPr/>
              <w:t>215</w:t>
            </w:r>
          </w:p>
        </w:tc>
        <w:tc>
          <w:tcPr>
            <w:tcW w:w="28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pPr>
            <w:r>
              <w:rPr/>
              <w:t>202</w:t>
            </w:r>
          </w:p>
        </w:tc>
        <w:tc>
          <w:tcPr>
            <w:tcW w:w="28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pPr>
            <w:r>
              <w:rPr/>
              <w:t>225</w:t>
            </w:r>
          </w:p>
        </w:tc>
        <w:tc>
          <w:tcPr>
            <w:tcW w:w="297" w:type="dxa"/>
            <w:tcBorders/>
            <w:shd w:fill="auto" w:val="clear"/>
            <w:vAlign w:val="bottom"/>
          </w:tcPr>
          <w:p>
            <w:pPr>
              <w:pStyle w:val="TableContents"/>
              <w:spacing w:before="0" w:after="283"/>
              <w:rPr/>
            </w:pPr>
            <w:r>
              <w:rPr/>
              <w:t> </w:t>
            </w:r>
          </w:p>
        </w:tc>
      </w:tr>
      <w:tr>
        <w:trPr/>
        <w:tc>
          <w:tcPr>
            <w:tcW w:w="5103" w:type="dxa"/>
            <w:tcBorders/>
            <w:shd w:fill="CCEEFF" w:val="clear"/>
            <w:vAlign w:val="bottom"/>
          </w:tcPr>
          <w:p>
            <w:pPr>
              <w:pStyle w:val="TableContents"/>
              <w:spacing w:before="0" w:after="0"/>
              <w:ind w:left="450" w:right="0" w:hanging="225"/>
              <w:rPr/>
            </w:pPr>
            <w:r>
              <w:rPr/>
              <w:t>Loan balances charged off</w:t>
            </w:r>
          </w:p>
        </w:tc>
        <w:tc>
          <w:tcPr>
            <w:tcW w:w="393"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jc w:val="right"/>
              <w:rPr/>
            </w:pPr>
            <w:r>
              <w:rPr/>
              <w:t> </w:t>
            </w:r>
          </w:p>
        </w:tc>
        <w:tc>
          <w:tcPr>
            <w:tcW w:w="686" w:type="dxa"/>
            <w:tcBorders/>
            <w:shd w:fill="CCEEFF" w:val="clear"/>
            <w:vAlign w:val="bottom"/>
          </w:tcPr>
          <w:p>
            <w:pPr>
              <w:pStyle w:val="TableContents"/>
              <w:spacing w:before="0" w:after="283"/>
              <w:jc w:val="right"/>
              <w:rPr/>
            </w:pPr>
            <w:r>
              <w:rPr/>
              <w:t>(940</w:t>
            </w:r>
          </w:p>
        </w:tc>
        <w:tc>
          <w:tcPr>
            <w:tcW w:w="289" w:type="dxa"/>
            <w:tcBorders/>
            <w:shd w:fill="CCEEFF" w:val="clear"/>
            <w:vAlign w:val="bottom"/>
          </w:tcPr>
          <w:p>
            <w:pPr>
              <w:pStyle w:val="TableContents"/>
              <w:spacing w:before="0" w:after="283"/>
              <w:rPr/>
            </w:pPr>
            <w:r>
              <w:rPr/>
              <w:t>)</w:t>
            </w:r>
          </w:p>
        </w:tc>
        <w:tc>
          <w:tcPr>
            <w:tcW w:w="393"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jc w:val="right"/>
              <w:rPr/>
            </w:pPr>
            <w:r>
              <w:rPr/>
              <w:t> </w:t>
            </w:r>
          </w:p>
        </w:tc>
        <w:tc>
          <w:tcPr>
            <w:tcW w:w="686" w:type="dxa"/>
            <w:tcBorders/>
            <w:shd w:fill="CCEEFF" w:val="clear"/>
            <w:vAlign w:val="bottom"/>
          </w:tcPr>
          <w:p>
            <w:pPr>
              <w:pStyle w:val="TableContents"/>
              <w:spacing w:before="0" w:after="283"/>
              <w:jc w:val="right"/>
              <w:rPr/>
            </w:pPr>
            <w:r>
              <w:rPr/>
              <w:t>(2,187</w:t>
            </w:r>
          </w:p>
        </w:tc>
        <w:tc>
          <w:tcPr>
            <w:tcW w:w="289" w:type="dxa"/>
            <w:tcBorders/>
            <w:shd w:fill="CCEEFF" w:val="clear"/>
            <w:vAlign w:val="bottom"/>
          </w:tcPr>
          <w:p>
            <w:pPr>
              <w:pStyle w:val="TableContents"/>
              <w:spacing w:before="0" w:after="283"/>
              <w:rPr/>
            </w:pPr>
            <w:r>
              <w:rPr/>
              <w:t>)</w:t>
            </w:r>
          </w:p>
        </w:tc>
        <w:tc>
          <w:tcPr>
            <w:tcW w:w="393"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jc w:val="right"/>
              <w:rPr/>
            </w:pPr>
            <w:r>
              <w:rPr/>
              <w:t> </w:t>
            </w:r>
          </w:p>
        </w:tc>
        <w:tc>
          <w:tcPr>
            <w:tcW w:w="686" w:type="dxa"/>
            <w:tcBorders/>
            <w:shd w:fill="CCEEFF" w:val="clear"/>
            <w:vAlign w:val="bottom"/>
          </w:tcPr>
          <w:p>
            <w:pPr>
              <w:pStyle w:val="TableContents"/>
              <w:spacing w:before="0" w:after="283"/>
              <w:jc w:val="right"/>
              <w:rPr/>
            </w:pPr>
            <w:r>
              <w:rPr/>
              <w:t>(2,515</w:t>
            </w:r>
          </w:p>
        </w:tc>
        <w:tc>
          <w:tcPr>
            <w:tcW w:w="297" w:type="dxa"/>
            <w:tcBorders/>
            <w:shd w:fill="CCEEFF" w:val="clear"/>
            <w:vAlign w:val="bottom"/>
          </w:tcPr>
          <w:p>
            <w:pPr>
              <w:pStyle w:val="TableContents"/>
              <w:spacing w:before="0" w:after="283"/>
              <w:rPr/>
            </w:pPr>
            <w:r>
              <w:rPr/>
              <w:t>)</w:t>
            </w:r>
          </w:p>
        </w:tc>
      </w:tr>
      <w:tr>
        <w:trPr/>
        <w:tc>
          <w:tcPr>
            <w:tcW w:w="5103"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4709"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103" w:type="dxa"/>
            <w:tcBorders/>
            <w:shd w:fill="auto" w:val="clear"/>
            <w:vAlign w:val="bottom"/>
          </w:tcPr>
          <w:p>
            <w:pPr>
              <w:pStyle w:val="TableContents"/>
              <w:spacing w:before="0" w:after="0"/>
              <w:ind w:left="225" w:right="0" w:hanging="225"/>
              <w:rPr/>
            </w:pPr>
            <w:r>
              <w:rPr/>
              <w:t> </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r>
      <w:tr>
        <w:trPr/>
        <w:tc>
          <w:tcPr>
            <w:tcW w:w="5103" w:type="dxa"/>
            <w:tcBorders/>
            <w:shd w:fill="auto" w:val="clear"/>
            <w:vAlign w:val="bottom"/>
          </w:tcPr>
          <w:p>
            <w:pPr>
              <w:pStyle w:val="TableContents"/>
              <w:spacing w:before="0" w:after="0"/>
              <w:ind w:left="225" w:right="0" w:hanging="225"/>
              <w:rPr/>
            </w:pPr>
            <w:r>
              <w:rPr/>
              <w:t>Balance, end of year</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jc w:val="right"/>
              <w:rPr/>
            </w:pPr>
            <w:r>
              <w:rPr/>
              <w:t>$</w:t>
            </w:r>
          </w:p>
        </w:tc>
        <w:tc>
          <w:tcPr>
            <w:tcW w:w="686" w:type="dxa"/>
            <w:tcBorders/>
            <w:shd w:fill="auto" w:val="clear"/>
            <w:vAlign w:val="bottom"/>
          </w:tcPr>
          <w:p>
            <w:pPr>
              <w:pStyle w:val="TableContents"/>
              <w:spacing w:before="0" w:after="283"/>
              <w:jc w:val="right"/>
              <w:rPr/>
            </w:pPr>
            <w:r>
              <w:rPr/>
              <w:t>23,190</w:t>
            </w:r>
          </w:p>
        </w:tc>
        <w:tc>
          <w:tcPr>
            <w:tcW w:w="28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jc w:val="right"/>
              <w:rPr/>
            </w:pPr>
            <w:r>
              <w:rPr/>
              <w:t>$</w:t>
            </w:r>
          </w:p>
        </w:tc>
        <w:tc>
          <w:tcPr>
            <w:tcW w:w="686" w:type="dxa"/>
            <w:tcBorders/>
            <w:shd w:fill="auto" w:val="clear"/>
            <w:vAlign w:val="bottom"/>
          </w:tcPr>
          <w:p>
            <w:pPr>
              <w:pStyle w:val="TableContents"/>
              <w:spacing w:before="0" w:after="283"/>
              <w:jc w:val="right"/>
              <w:rPr/>
            </w:pPr>
            <w:r>
              <w:rPr/>
              <w:t>19,217</w:t>
            </w:r>
          </w:p>
        </w:tc>
        <w:tc>
          <w:tcPr>
            <w:tcW w:w="28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jc w:val="right"/>
              <w:rPr/>
            </w:pPr>
            <w:r>
              <w:rPr/>
              <w:t>$</w:t>
            </w:r>
          </w:p>
        </w:tc>
        <w:tc>
          <w:tcPr>
            <w:tcW w:w="686" w:type="dxa"/>
            <w:tcBorders/>
            <w:shd w:fill="auto" w:val="clear"/>
            <w:vAlign w:val="bottom"/>
          </w:tcPr>
          <w:p>
            <w:pPr>
              <w:pStyle w:val="TableContents"/>
              <w:spacing w:before="0" w:after="283"/>
              <w:jc w:val="right"/>
              <w:rPr/>
            </w:pPr>
            <w:r>
              <w:rPr/>
              <w:t>16,228</w:t>
            </w:r>
          </w:p>
        </w:tc>
        <w:tc>
          <w:tcPr>
            <w:tcW w:w="297" w:type="dxa"/>
            <w:tcBorders/>
            <w:shd w:fill="auto" w:val="clear"/>
            <w:vAlign w:val="bottom"/>
          </w:tcPr>
          <w:p>
            <w:pPr>
              <w:pStyle w:val="TableContents"/>
              <w:spacing w:before="0" w:after="283"/>
              <w:rPr/>
            </w:pPr>
            <w:r>
              <w:rPr/>
              <w:t> </w:t>
            </w:r>
          </w:p>
        </w:tc>
      </w:tr>
      <w:tr>
        <w:trPr/>
        <w:tc>
          <w:tcPr>
            <w:tcW w:w="5103"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4709"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240" w:after="283"/>
        <w:jc w:val="left"/>
        <w:rPr>
          <w:rFonts w:ascii="Arial;Helvetica;sans-serif" w:hAnsi="Arial;Helvetica;sans-serif"/>
          <w:sz w:val="17"/>
        </w:rPr>
      </w:pPr>
      <w:r>
        <w:rPr>
          <w:rFonts w:ascii="Arial;Helvetica;sans-serif" w:hAnsi="Arial;Helvetica;sans-serif"/>
          <w:b/>
          <w:sz w:val="17"/>
        </w:rPr>
        <w:t>Note 7. Loan Servicing</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unpaid principal balances of loans serviced by the Corporation for the benefit of other are not included in the accompanying consolidated balance sheets. These unpaid principal balances were $529,086,000 and $568,081,000 as of December 31, 2005 and 2004, respectively. Servicing loans for others generally consists of collecting mortgage payments, maintaining escrow accounts, disbursing payments to investors and collection and foreclosure processing. Loan servicing income is recorded on the accrual basis and includes servicing fees from investors and certain charges collected from borrowers, such as late payment fees and is net of amortization of capitalized mortgage servicing rights.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balance of capitalized servicing rights included in other assets at December 31, 2005 and 2004, was $1,340,000 and $1,964,000, respectively. The fair values of these servicing rights were $1,843,000 and $2,025,000, respectively, at December 31, 2005 and 2004. The following summarizes mortgage servicing rights capitalized and amortized: </w:t>
      </w:r>
    </w:p>
    <w:tbl>
      <w:tblPr>
        <w:tblW w:w="5000" w:type="pct"/>
        <w:jc w:val="center"/>
        <w:tblInd w:w="0" w:type="dxa"/>
        <w:tblCellMar>
          <w:top w:w="0" w:type="dxa"/>
          <w:left w:w="0" w:type="dxa"/>
          <w:bottom w:w="0" w:type="dxa"/>
          <w:right w:w="0" w:type="dxa"/>
        </w:tblCellMar>
      </w:tblPr>
      <w:tblGrid>
        <w:gridCol w:w="4758"/>
        <w:gridCol w:w="369"/>
        <w:gridCol w:w="370"/>
        <w:gridCol w:w="792"/>
        <w:gridCol w:w="266"/>
        <w:gridCol w:w="391"/>
        <w:gridCol w:w="370"/>
        <w:gridCol w:w="792"/>
        <w:gridCol w:w="266"/>
        <w:gridCol w:w="391"/>
        <w:gridCol w:w="370"/>
        <w:gridCol w:w="792"/>
        <w:gridCol w:w="278"/>
      </w:tblGrid>
      <w:tr>
        <w:trPr/>
        <w:tc>
          <w:tcPr>
            <w:tcW w:w="475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r>
      <w:tr>
        <w:trPr/>
        <w:tc>
          <w:tcPr>
            <w:tcW w:w="475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5078" w:type="dxa"/>
            <w:gridSpan w:val="11"/>
            <w:tcBorders>
              <w:bottom w:val="single" w:sz="2" w:space="0" w:color="000000"/>
            </w:tcBorders>
            <w:shd w:fill="auto" w:val="clear"/>
            <w:tcMar>
              <w:bottom w:w="28" w:type="dxa"/>
            </w:tcMar>
            <w:vAlign w:val="bottom"/>
          </w:tcPr>
          <w:p>
            <w:pPr>
              <w:pStyle w:val="TableContents"/>
              <w:spacing w:before="0" w:after="283"/>
              <w:jc w:val="center"/>
              <w:rPr/>
            </w:pPr>
            <w:r>
              <w:rPr/>
              <w:t>For the Years Ended December 31,</w:t>
            </w:r>
          </w:p>
        </w:tc>
      </w:tr>
      <w:tr>
        <w:trPr/>
        <w:tc>
          <w:tcPr>
            <w:tcW w:w="475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428" w:type="dxa"/>
            <w:gridSpan w:val="3"/>
            <w:tcBorders/>
            <w:shd w:fill="auto" w:val="clear"/>
            <w:vAlign w:val="bottom"/>
          </w:tcPr>
          <w:p>
            <w:pPr>
              <w:pStyle w:val="TableContents"/>
              <w:spacing w:before="0" w:after="283"/>
              <w:jc w:val="center"/>
              <w:rPr/>
            </w:pPr>
            <w:r>
              <w:rPr/>
              <w:t>2005</w:t>
            </w:r>
          </w:p>
        </w:tc>
        <w:tc>
          <w:tcPr>
            <w:tcW w:w="391" w:type="dxa"/>
            <w:tcBorders/>
            <w:shd w:fill="auto" w:val="clear"/>
            <w:vAlign w:val="bottom"/>
          </w:tcPr>
          <w:p>
            <w:pPr>
              <w:pStyle w:val="TableContents"/>
              <w:spacing w:before="0" w:after="283"/>
              <w:rPr/>
            </w:pPr>
            <w:r>
              <w:rPr/>
              <w:t> </w:t>
            </w:r>
          </w:p>
        </w:tc>
        <w:tc>
          <w:tcPr>
            <w:tcW w:w="1428" w:type="dxa"/>
            <w:gridSpan w:val="3"/>
            <w:tcBorders/>
            <w:shd w:fill="auto" w:val="clear"/>
            <w:vAlign w:val="bottom"/>
          </w:tcPr>
          <w:p>
            <w:pPr>
              <w:pStyle w:val="TableContents"/>
              <w:spacing w:before="0" w:after="283"/>
              <w:jc w:val="center"/>
              <w:rPr/>
            </w:pPr>
            <w:r>
              <w:rPr/>
              <w:t>2004</w:t>
            </w:r>
          </w:p>
        </w:tc>
        <w:tc>
          <w:tcPr>
            <w:tcW w:w="391" w:type="dxa"/>
            <w:tcBorders/>
            <w:shd w:fill="auto" w:val="clear"/>
            <w:vAlign w:val="bottom"/>
          </w:tcPr>
          <w:p>
            <w:pPr>
              <w:pStyle w:val="TableContents"/>
              <w:spacing w:before="0" w:after="283"/>
              <w:rPr/>
            </w:pPr>
            <w:r>
              <w:rPr/>
              <w:t> </w:t>
            </w:r>
          </w:p>
        </w:tc>
        <w:tc>
          <w:tcPr>
            <w:tcW w:w="1440" w:type="dxa"/>
            <w:gridSpan w:val="3"/>
            <w:tcBorders/>
            <w:shd w:fill="auto" w:val="clear"/>
            <w:vAlign w:val="bottom"/>
          </w:tcPr>
          <w:p>
            <w:pPr>
              <w:pStyle w:val="TableContents"/>
              <w:spacing w:before="0" w:after="283"/>
              <w:jc w:val="center"/>
              <w:rPr/>
            </w:pPr>
            <w:r>
              <w:rPr/>
              <w:t>2003</w:t>
            </w:r>
          </w:p>
        </w:tc>
      </w:tr>
      <w:tr>
        <w:trPr/>
        <w:tc>
          <w:tcPr>
            <w:tcW w:w="4758"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5078"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758"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5078" w:type="dxa"/>
            <w:gridSpan w:val="11"/>
            <w:tcBorders/>
            <w:shd w:fill="auto" w:val="clear"/>
            <w:vAlign w:val="bottom"/>
          </w:tcPr>
          <w:p>
            <w:pPr>
              <w:pStyle w:val="TableContents"/>
              <w:spacing w:before="0" w:after="283"/>
              <w:jc w:val="center"/>
              <w:rPr/>
            </w:pPr>
            <w:r>
              <w:rPr/>
              <w:t>(Dollars in thousands)</w:t>
            </w:r>
          </w:p>
        </w:tc>
      </w:tr>
      <w:tr>
        <w:trPr/>
        <w:tc>
          <w:tcPr>
            <w:tcW w:w="4758" w:type="dxa"/>
            <w:tcBorders/>
            <w:shd w:fill="auto" w:val="clear"/>
            <w:vAlign w:val="bottom"/>
          </w:tcPr>
          <w:p>
            <w:pPr>
              <w:pStyle w:val="TableContents"/>
              <w:spacing w:before="0" w:after="0"/>
              <w:ind w:left="225" w:right="0" w:hanging="225"/>
              <w:rPr/>
            </w:pPr>
            <w:r>
              <w:rPr/>
              <w:t>Mortgage servicing rights capitalized</w:t>
            </w:r>
          </w:p>
        </w:tc>
        <w:tc>
          <w:tcPr>
            <w:tcW w:w="369"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450</w:t>
            </w:r>
          </w:p>
        </w:tc>
        <w:tc>
          <w:tcPr>
            <w:tcW w:w="26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838</w:t>
            </w:r>
          </w:p>
        </w:tc>
        <w:tc>
          <w:tcPr>
            <w:tcW w:w="26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2,679</w:t>
            </w:r>
          </w:p>
        </w:tc>
        <w:tc>
          <w:tcPr>
            <w:tcW w:w="278" w:type="dxa"/>
            <w:tcBorders/>
            <w:shd w:fill="auto" w:val="clear"/>
            <w:vAlign w:val="bottom"/>
          </w:tcPr>
          <w:p>
            <w:pPr>
              <w:pStyle w:val="TableContents"/>
              <w:spacing w:before="0" w:after="283"/>
              <w:rPr/>
            </w:pPr>
            <w:r>
              <w:rPr/>
              <w:t> </w:t>
            </w:r>
          </w:p>
        </w:tc>
      </w:tr>
      <w:tr>
        <w:trPr/>
        <w:tc>
          <w:tcPr>
            <w:tcW w:w="4758"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5078"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758" w:type="dxa"/>
            <w:tcBorders/>
            <w:shd w:fill="auto" w:val="clear"/>
            <w:vAlign w:val="bottom"/>
          </w:tcPr>
          <w:p>
            <w:pPr>
              <w:pStyle w:val="TableContents"/>
              <w:spacing w:before="0" w:after="0"/>
              <w:ind w:left="225" w:right="0" w:hanging="225"/>
              <w:rPr/>
            </w:pPr>
            <w:r>
              <w:rPr/>
              <w:t>Mortgage servicing rights amortized</w:t>
            </w:r>
          </w:p>
        </w:tc>
        <w:tc>
          <w:tcPr>
            <w:tcW w:w="369"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1,074</w:t>
            </w:r>
          </w:p>
        </w:tc>
        <w:tc>
          <w:tcPr>
            <w:tcW w:w="26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1,153</w:t>
            </w:r>
          </w:p>
        </w:tc>
        <w:tc>
          <w:tcPr>
            <w:tcW w:w="26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1,874</w:t>
            </w:r>
          </w:p>
        </w:tc>
        <w:tc>
          <w:tcPr>
            <w:tcW w:w="278" w:type="dxa"/>
            <w:tcBorders/>
            <w:shd w:fill="auto" w:val="clear"/>
            <w:vAlign w:val="bottom"/>
          </w:tcPr>
          <w:p>
            <w:pPr>
              <w:pStyle w:val="TableContents"/>
              <w:spacing w:before="0" w:after="283"/>
              <w:rPr/>
            </w:pPr>
            <w:r>
              <w:rPr/>
              <w:t> </w:t>
            </w:r>
          </w:p>
        </w:tc>
      </w:tr>
      <w:tr>
        <w:trPr/>
        <w:tc>
          <w:tcPr>
            <w:tcW w:w="4758"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5078"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72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 8. Premises and Equipment</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Premises and equipment are summarized as follows: </w:t>
      </w:r>
    </w:p>
    <w:tbl>
      <w:tblPr>
        <w:tblW w:w="5000" w:type="pct"/>
        <w:jc w:val="center"/>
        <w:tblInd w:w="0" w:type="dxa"/>
        <w:tblCellMar>
          <w:top w:w="0" w:type="dxa"/>
          <w:left w:w="0" w:type="dxa"/>
          <w:bottom w:w="0" w:type="dxa"/>
          <w:right w:w="0" w:type="dxa"/>
        </w:tblCellMar>
      </w:tblPr>
      <w:tblGrid>
        <w:gridCol w:w="6712"/>
        <w:gridCol w:w="428"/>
        <w:gridCol w:w="350"/>
        <w:gridCol w:w="687"/>
        <w:gridCol w:w="278"/>
        <w:gridCol w:w="428"/>
        <w:gridCol w:w="350"/>
        <w:gridCol w:w="687"/>
        <w:gridCol w:w="285"/>
      </w:tblGrid>
      <w:tr>
        <w:trPr/>
        <w:tc>
          <w:tcPr>
            <w:tcW w:w="671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r>
      <w:tr>
        <w:trPr/>
        <w:tc>
          <w:tcPr>
            <w:tcW w:w="671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065" w:type="dxa"/>
            <w:gridSpan w:val="7"/>
            <w:tcBorders>
              <w:bottom w:val="single" w:sz="2" w:space="0" w:color="000000"/>
            </w:tcBorders>
            <w:shd w:fill="auto" w:val="clear"/>
            <w:tcMar>
              <w:bottom w:w="28" w:type="dxa"/>
            </w:tcMar>
            <w:vAlign w:val="bottom"/>
          </w:tcPr>
          <w:p>
            <w:pPr>
              <w:pStyle w:val="TableContents"/>
              <w:spacing w:before="0" w:after="283"/>
              <w:jc w:val="center"/>
              <w:rPr/>
            </w:pPr>
            <w:r>
              <w:rPr/>
              <w:t>December 31,</w:t>
            </w:r>
          </w:p>
        </w:tc>
      </w:tr>
      <w:tr>
        <w:trPr/>
        <w:tc>
          <w:tcPr>
            <w:tcW w:w="671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315" w:type="dxa"/>
            <w:gridSpan w:val="3"/>
            <w:tcBorders/>
            <w:shd w:fill="auto" w:val="clear"/>
            <w:vAlign w:val="bottom"/>
          </w:tcPr>
          <w:p>
            <w:pPr>
              <w:pStyle w:val="TableContents"/>
              <w:spacing w:before="0" w:after="283"/>
              <w:jc w:val="center"/>
              <w:rPr/>
            </w:pPr>
            <w:r>
              <w:rPr/>
              <w:t>2005</w:t>
            </w:r>
          </w:p>
        </w:tc>
        <w:tc>
          <w:tcPr>
            <w:tcW w:w="428" w:type="dxa"/>
            <w:tcBorders/>
            <w:shd w:fill="auto" w:val="clear"/>
            <w:vAlign w:val="bottom"/>
          </w:tcPr>
          <w:p>
            <w:pPr>
              <w:pStyle w:val="TableContents"/>
              <w:spacing w:before="0" w:after="283"/>
              <w:rPr/>
            </w:pPr>
            <w:r>
              <w:rPr/>
              <w:t> </w:t>
            </w:r>
          </w:p>
        </w:tc>
        <w:tc>
          <w:tcPr>
            <w:tcW w:w="1322" w:type="dxa"/>
            <w:gridSpan w:val="3"/>
            <w:tcBorders/>
            <w:shd w:fill="auto" w:val="clear"/>
            <w:vAlign w:val="bottom"/>
          </w:tcPr>
          <w:p>
            <w:pPr>
              <w:pStyle w:val="TableContents"/>
              <w:spacing w:before="0" w:after="283"/>
              <w:jc w:val="center"/>
              <w:rPr/>
            </w:pPr>
            <w:r>
              <w:rPr/>
              <w:t>2004</w:t>
            </w:r>
          </w:p>
        </w:tc>
      </w:tr>
      <w:tr>
        <w:trPr/>
        <w:tc>
          <w:tcPr>
            <w:tcW w:w="6712"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3065"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71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065" w:type="dxa"/>
            <w:gridSpan w:val="7"/>
            <w:tcBorders/>
            <w:shd w:fill="auto" w:val="clear"/>
            <w:vAlign w:val="bottom"/>
          </w:tcPr>
          <w:p>
            <w:pPr>
              <w:pStyle w:val="TableContents"/>
              <w:spacing w:before="0" w:after="283"/>
              <w:jc w:val="center"/>
              <w:rPr/>
            </w:pPr>
            <w:r>
              <w:rPr/>
              <w:t>(Dollars in thousands)</w:t>
            </w:r>
          </w:p>
        </w:tc>
      </w:tr>
      <w:tr>
        <w:trPr/>
        <w:tc>
          <w:tcPr>
            <w:tcW w:w="6712" w:type="dxa"/>
            <w:tcBorders/>
            <w:shd w:fill="CCEEFF" w:val="clear"/>
            <w:vAlign w:val="bottom"/>
          </w:tcPr>
          <w:p>
            <w:pPr>
              <w:pStyle w:val="TableContents"/>
              <w:spacing w:before="0" w:after="0"/>
              <w:ind w:left="225" w:right="0" w:hanging="225"/>
              <w:rPr/>
            </w:pPr>
            <w:r>
              <w:rPr/>
              <w:t>Land</w:t>
            </w:r>
          </w:p>
        </w:tc>
        <w:tc>
          <w:tcPr>
            <w:tcW w:w="428"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pPr>
            <w:r>
              <w:rPr/>
              <w:t>$</w:t>
            </w:r>
          </w:p>
        </w:tc>
        <w:tc>
          <w:tcPr>
            <w:tcW w:w="687" w:type="dxa"/>
            <w:tcBorders/>
            <w:shd w:fill="CCEEFF" w:val="clear"/>
            <w:vAlign w:val="bottom"/>
          </w:tcPr>
          <w:p>
            <w:pPr>
              <w:pStyle w:val="TableContents"/>
              <w:spacing w:before="0" w:after="283"/>
              <w:jc w:val="right"/>
              <w:rPr/>
            </w:pPr>
            <w:r>
              <w:rPr/>
              <w:t>11,131</w:t>
            </w:r>
          </w:p>
        </w:tc>
        <w:tc>
          <w:tcPr>
            <w:tcW w:w="278"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pPr>
            <w:r>
              <w:rPr/>
              <w:t>$</w:t>
            </w:r>
          </w:p>
        </w:tc>
        <w:tc>
          <w:tcPr>
            <w:tcW w:w="687" w:type="dxa"/>
            <w:tcBorders/>
            <w:shd w:fill="CCEEFF" w:val="clear"/>
            <w:vAlign w:val="bottom"/>
          </w:tcPr>
          <w:p>
            <w:pPr>
              <w:pStyle w:val="TableContents"/>
              <w:spacing w:before="0" w:after="283"/>
              <w:jc w:val="right"/>
              <w:rPr/>
            </w:pPr>
            <w:r>
              <w:rPr/>
              <w:t>7,381</w:t>
            </w:r>
          </w:p>
        </w:tc>
        <w:tc>
          <w:tcPr>
            <w:tcW w:w="285" w:type="dxa"/>
            <w:tcBorders/>
            <w:shd w:fill="CCEEFF" w:val="clear"/>
            <w:vAlign w:val="bottom"/>
          </w:tcPr>
          <w:p>
            <w:pPr>
              <w:pStyle w:val="TableContents"/>
              <w:spacing w:before="0" w:after="283"/>
              <w:rPr/>
            </w:pPr>
            <w:r>
              <w:rPr/>
              <w:t> </w:t>
            </w:r>
          </w:p>
        </w:tc>
      </w:tr>
      <w:tr>
        <w:trPr/>
        <w:tc>
          <w:tcPr>
            <w:tcW w:w="6712" w:type="dxa"/>
            <w:tcBorders/>
            <w:shd w:fill="auto" w:val="clear"/>
            <w:vAlign w:val="bottom"/>
          </w:tcPr>
          <w:p>
            <w:pPr>
              <w:pStyle w:val="TableContents"/>
              <w:spacing w:before="0" w:after="0"/>
              <w:ind w:left="225" w:right="0" w:hanging="225"/>
              <w:rPr/>
            </w:pPr>
            <w:r>
              <w:rPr/>
              <w:t>Buildings and improvements</w:t>
            </w:r>
          </w:p>
        </w:tc>
        <w:tc>
          <w:tcPr>
            <w:tcW w:w="428"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32,830</w:t>
            </w:r>
          </w:p>
        </w:tc>
        <w:tc>
          <w:tcPr>
            <w:tcW w:w="278"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25,045</w:t>
            </w:r>
          </w:p>
        </w:tc>
        <w:tc>
          <w:tcPr>
            <w:tcW w:w="285" w:type="dxa"/>
            <w:tcBorders/>
            <w:shd w:fill="auto" w:val="clear"/>
            <w:vAlign w:val="bottom"/>
          </w:tcPr>
          <w:p>
            <w:pPr>
              <w:pStyle w:val="TableContents"/>
              <w:spacing w:before="0" w:after="283"/>
              <w:rPr/>
            </w:pPr>
            <w:r>
              <w:rPr/>
              <w:t> </w:t>
            </w:r>
          </w:p>
        </w:tc>
      </w:tr>
      <w:tr>
        <w:trPr/>
        <w:tc>
          <w:tcPr>
            <w:tcW w:w="6712" w:type="dxa"/>
            <w:tcBorders/>
            <w:shd w:fill="CCEEFF" w:val="clear"/>
            <w:vAlign w:val="bottom"/>
          </w:tcPr>
          <w:p>
            <w:pPr>
              <w:pStyle w:val="TableContents"/>
              <w:spacing w:before="0" w:after="0"/>
              <w:ind w:left="225" w:right="0" w:hanging="225"/>
              <w:rPr/>
            </w:pPr>
            <w:r>
              <w:rPr/>
              <w:t>Furniture and equipment</w:t>
            </w:r>
          </w:p>
        </w:tc>
        <w:tc>
          <w:tcPr>
            <w:tcW w:w="428"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22,462</w:t>
            </w:r>
          </w:p>
        </w:tc>
        <w:tc>
          <w:tcPr>
            <w:tcW w:w="278"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21,386</w:t>
            </w:r>
          </w:p>
        </w:tc>
        <w:tc>
          <w:tcPr>
            <w:tcW w:w="285" w:type="dxa"/>
            <w:tcBorders/>
            <w:shd w:fill="CCEEFF" w:val="clear"/>
            <w:vAlign w:val="bottom"/>
          </w:tcPr>
          <w:p>
            <w:pPr>
              <w:pStyle w:val="TableContents"/>
              <w:spacing w:before="0" w:after="283"/>
              <w:rPr/>
            </w:pPr>
            <w:r>
              <w:rPr/>
              <w:t> </w:t>
            </w:r>
          </w:p>
        </w:tc>
      </w:tr>
      <w:tr>
        <w:trPr/>
        <w:tc>
          <w:tcPr>
            <w:tcW w:w="6712"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3065"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712" w:type="dxa"/>
            <w:tcBorders/>
            <w:shd w:fill="auto" w:val="clear"/>
            <w:vAlign w:val="bottom"/>
          </w:tcPr>
          <w:p>
            <w:pPr>
              <w:pStyle w:val="TableContents"/>
              <w:spacing w:before="0" w:after="0"/>
              <w:ind w:left="225" w:right="0" w:hanging="225"/>
              <w:rPr/>
            </w:pPr>
            <w:r>
              <w:rPr/>
              <w:t> </w:t>
            </w:r>
          </w:p>
        </w:tc>
        <w:tc>
          <w:tcPr>
            <w:tcW w:w="428"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66,423</w:t>
            </w:r>
          </w:p>
        </w:tc>
        <w:tc>
          <w:tcPr>
            <w:tcW w:w="278"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53,812</w:t>
            </w:r>
          </w:p>
        </w:tc>
        <w:tc>
          <w:tcPr>
            <w:tcW w:w="285" w:type="dxa"/>
            <w:tcBorders/>
            <w:shd w:fill="auto" w:val="clear"/>
            <w:vAlign w:val="bottom"/>
          </w:tcPr>
          <w:p>
            <w:pPr>
              <w:pStyle w:val="TableContents"/>
              <w:spacing w:before="0" w:after="283"/>
              <w:rPr/>
            </w:pPr>
            <w:r>
              <w:rPr/>
              <w:t> </w:t>
            </w:r>
          </w:p>
        </w:tc>
      </w:tr>
      <w:tr>
        <w:trPr/>
        <w:tc>
          <w:tcPr>
            <w:tcW w:w="6712" w:type="dxa"/>
            <w:tcBorders/>
            <w:shd w:fill="CCEEFF" w:val="clear"/>
            <w:vAlign w:val="bottom"/>
          </w:tcPr>
          <w:p>
            <w:pPr>
              <w:pStyle w:val="TableContents"/>
              <w:spacing w:before="0" w:after="0"/>
              <w:ind w:left="225" w:right="0" w:hanging="225"/>
              <w:rPr/>
            </w:pPr>
            <w:r>
              <w:rPr/>
              <w:t>Less accumulated depreciation</w:t>
            </w:r>
          </w:p>
        </w:tc>
        <w:tc>
          <w:tcPr>
            <w:tcW w:w="428"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28,608</w:t>
            </w:r>
          </w:p>
        </w:tc>
        <w:tc>
          <w:tcPr>
            <w:tcW w:w="278"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27,517</w:t>
            </w:r>
          </w:p>
        </w:tc>
        <w:tc>
          <w:tcPr>
            <w:tcW w:w="285" w:type="dxa"/>
            <w:tcBorders/>
            <w:shd w:fill="CCEEFF" w:val="clear"/>
            <w:vAlign w:val="bottom"/>
          </w:tcPr>
          <w:p>
            <w:pPr>
              <w:pStyle w:val="TableContents"/>
              <w:spacing w:before="0" w:after="283"/>
              <w:rPr/>
            </w:pPr>
            <w:r>
              <w:rPr/>
              <w:t> </w:t>
            </w:r>
          </w:p>
        </w:tc>
      </w:tr>
      <w:tr>
        <w:trPr/>
        <w:tc>
          <w:tcPr>
            <w:tcW w:w="6712"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3065"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712" w:type="dxa"/>
            <w:tcBorders/>
            <w:shd w:fill="auto" w:val="clear"/>
            <w:vAlign w:val="bottom"/>
          </w:tcPr>
          <w:p>
            <w:pPr>
              <w:pStyle w:val="TableContents"/>
              <w:spacing w:before="0" w:after="0"/>
              <w:ind w:left="225" w:right="0" w:hanging="225"/>
              <w:rPr/>
            </w:pPr>
            <w:r>
              <w:rPr/>
              <w:t> </w:t>
            </w:r>
          </w:p>
        </w:tc>
        <w:tc>
          <w:tcPr>
            <w:tcW w:w="428"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r>
      <w:tr>
        <w:trPr/>
        <w:tc>
          <w:tcPr>
            <w:tcW w:w="6712" w:type="dxa"/>
            <w:tcBorders/>
            <w:shd w:fill="auto" w:val="clear"/>
            <w:vAlign w:val="bottom"/>
          </w:tcPr>
          <w:p>
            <w:pPr>
              <w:pStyle w:val="TableContents"/>
              <w:spacing w:before="0" w:after="0"/>
              <w:ind w:left="225" w:right="0" w:hanging="225"/>
              <w:rPr/>
            </w:pPr>
            <w:r>
              <w:rPr/>
              <w:t> </w:t>
            </w:r>
          </w:p>
        </w:tc>
        <w:tc>
          <w:tcPr>
            <w:tcW w:w="428"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pPr>
            <w:r>
              <w:rPr/>
              <w:t>$</w:t>
            </w:r>
          </w:p>
        </w:tc>
        <w:tc>
          <w:tcPr>
            <w:tcW w:w="687" w:type="dxa"/>
            <w:tcBorders/>
            <w:shd w:fill="auto" w:val="clear"/>
            <w:vAlign w:val="bottom"/>
          </w:tcPr>
          <w:p>
            <w:pPr>
              <w:pStyle w:val="TableContents"/>
              <w:spacing w:before="0" w:after="283"/>
              <w:jc w:val="right"/>
              <w:rPr/>
            </w:pPr>
            <w:r>
              <w:rPr/>
              <w:t>37,815</w:t>
            </w:r>
          </w:p>
        </w:tc>
        <w:tc>
          <w:tcPr>
            <w:tcW w:w="278"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pPr>
            <w:r>
              <w:rPr/>
              <w:t>$</w:t>
            </w:r>
          </w:p>
        </w:tc>
        <w:tc>
          <w:tcPr>
            <w:tcW w:w="687" w:type="dxa"/>
            <w:tcBorders/>
            <w:shd w:fill="auto" w:val="clear"/>
            <w:vAlign w:val="bottom"/>
          </w:tcPr>
          <w:p>
            <w:pPr>
              <w:pStyle w:val="TableContents"/>
              <w:spacing w:before="0" w:after="283"/>
              <w:jc w:val="right"/>
              <w:rPr/>
            </w:pPr>
            <w:r>
              <w:rPr/>
              <w:t>26,295</w:t>
            </w:r>
          </w:p>
        </w:tc>
        <w:tc>
          <w:tcPr>
            <w:tcW w:w="285" w:type="dxa"/>
            <w:tcBorders/>
            <w:shd w:fill="auto" w:val="clear"/>
            <w:vAlign w:val="bottom"/>
          </w:tcPr>
          <w:p>
            <w:pPr>
              <w:pStyle w:val="TableContents"/>
              <w:spacing w:before="0" w:after="283"/>
              <w:rPr/>
            </w:pPr>
            <w:r>
              <w:rPr/>
              <w:t> </w:t>
            </w:r>
          </w:p>
        </w:tc>
      </w:tr>
      <w:tr>
        <w:trPr/>
        <w:tc>
          <w:tcPr>
            <w:tcW w:w="6712"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3065"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240" w:after="283"/>
        <w:jc w:val="left"/>
        <w:rPr>
          <w:rFonts w:ascii="Arial;Helvetica;sans-serif" w:hAnsi="Arial;Helvetica;sans-serif"/>
          <w:sz w:val="17"/>
        </w:rPr>
      </w:pPr>
      <w:r>
        <w:rPr>
          <w:rFonts w:ascii="Arial;Helvetica;sans-serif" w:hAnsi="Arial;Helvetica;sans-serif"/>
          <w:sz w:val="17"/>
        </w:rPr>
        <w:t xml:space="preserve">Depreciation expense was $3,487,000, $2,894,000, and $3,120,000 for the years ended December 31, 2005, 2004 and 2003, respectively. </w:t>
      </w:r>
    </w:p>
    <w:p>
      <w:pPr>
        <w:pStyle w:val="TextBody"/>
        <w:spacing w:before="120" w:after="283"/>
        <w:jc w:val="left"/>
        <w:rPr>
          <w:rFonts w:ascii="Arial;Helvetica;sans-serif" w:hAnsi="Arial;Helvetica;sans-serif"/>
          <w:sz w:val="17"/>
        </w:rPr>
      </w:pPr>
      <w:r>
        <w:rPr>
          <w:rFonts w:ascii="Arial;Helvetica;sans-serif" w:hAnsi="Arial;Helvetica;sans-serif"/>
          <w:b/>
          <w:sz w:val="17"/>
        </w:rPr>
        <w:t>Note 9. Deposits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composition of deposits is as follows: </w:t>
      </w:r>
    </w:p>
    <w:tbl>
      <w:tblPr>
        <w:tblW w:w="5000" w:type="pct"/>
        <w:jc w:val="center"/>
        <w:tblInd w:w="0" w:type="dxa"/>
        <w:tblCellMar>
          <w:top w:w="0" w:type="dxa"/>
          <w:left w:w="0" w:type="dxa"/>
          <w:bottom w:w="0" w:type="dxa"/>
          <w:right w:w="0" w:type="dxa"/>
        </w:tblCellMar>
      </w:tblPr>
      <w:tblGrid>
        <w:gridCol w:w="6258"/>
        <w:gridCol w:w="389"/>
        <w:gridCol w:w="332"/>
        <w:gridCol w:w="994"/>
        <w:gridCol w:w="256"/>
        <w:gridCol w:w="389"/>
        <w:gridCol w:w="332"/>
        <w:gridCol w:w="994"/>
        <w:gridCol w:w="261"/>
      </w:tblGrid>
      <w:tr>
        <w:trPr/>
        <w:tc>
          <w:tcPr>
            <w:tcW w:w="6258"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r>
      <w:tr>
        <w:trPr/>
        <w:tc>
          <w:tcPr>
            <w:tcW w:w="6258"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3297" w:type="dxa"/>
            <w:gridSpan w:val="6"/>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261" w:type="dxa"/>
            <w:tcBorders/>
            <w:shd w:fill="auto" w:val="clear"/>
            <w:vAlign w:val="bottom"/>
          </w:tcPr>
          <w:p>
            <w:pPr>
              <w:pStyle w:val="TableContents"/>
              <w:spacing w:before="0" w:after="283"/>
              <w:rPr/>
            </w:pPr>
            <w:r>
              <w:rPr/>
              <w:t> </w:t>
            </w:r>
          </w:p>
        </w:tc>
      </w:tr>
      <w:tr>
        <w:trPr/>
        <w:tc>
          <w:tcPr>
            <w:tcW w:w="6258"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326" w:type="dxa"/>
            <w:gridSpan w:val="2"/>
            <w:tcBorders/>
            <w:shd w:fill="auto" w:val="clear"/>
            <w:vAlign w:val="bottom"/>
          </w:tcPr>
          <w:p>
            <w:pPr>
              <w:pStyle w:val="TableContents"/>
              <w:spacing w:before="0" w:after="283"/>
              <w:jc w:val="center"/>
              <w:rPr/>
            </w:pPr>
            <w:r>
              <w:rPr/>
              <w:t>2005</w:t>
            </w:r>
          </w:p>
        </w:tc>
        <w:tc>
          <w:tcPr>
            <w:tcW w:w="256"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326" w:type="dxa"/>
            <w:gridSpan w:val="2"/>
            <w:tcBorders/>
            <w:shd w:fill="auto" w:val="clear"/>
            <w:vAlign w:val="bottom"/>
          </w:tcPr>
          <w:p>
            <w:pPr>
              <w:pStyle w:val="TableContents"/>
              <w:spacing w:before="0" w:after="283"/>
              <w:jc w:val="center"/>
              <w:rPr/>
            </w:pPr>
            <w:r>
              <w:rPr/>
              <w:t>2004</w:t>
            </w:r>
          </w:p>
        </w:tc>
        <w:tc>
          <w:tcPr>
            <w:tcW w:w="261" w:type="dxa"/>
            <w:tcBorders/>
            <w:shd w:fill="auto" w:val="clear"/>
            <w:vAlign w:val="bottom"/>
          </w:tcPr>
          <w:p>
            <w:pPr>
              <w:pStyle w:val="TableContents"/>
              <w:spacing w:before="0" w:after="283"/>
              <w:rPr/>
            </w:pPr>
            <w:r>
              <w:rPr/>
              <w:t> </w:t>
            </w:r>
          </w:p>
        </w:tc>
      </w:tr>
      <w:tr>
        <w:trPr/>
        <w:tc>
          <w:tcPr>
            <w:tcW w:w="6258"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3558"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58"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3558" w:type="dxa"/>
            <w:gridSpan w:val="7"/>
            <w:tcBorders/>
            <w:shd w:fill="auto" w:val="clear"/>
            <w:vAlign w:val="bottom"/>
          </w:tcPr>
          <w:p>
            <w:pPr>
              <w:pStyle w:val="TableContents"/>
              <w:spacing w:before="0" w:after="283"/>
              <w:jc w:val="center"/>
              <w:rPr/>
            </w:pPr>
            <w:r>
              <w:rPr/>
              <w:t>(dollars in thousands)</w:t>
            </w:r>
          </w:p>
        </w:tc>
      </w:tr>
      <w:tr>
        <w:trPr/>
        <w:tc>
          <w:tcPr>
            <w:tcW w:w="6258" w:type="dxa"/>
            <w:tcBorders/>
            <w:shd w:fill="CCEEFF" w:val="clear"/>
            <w:vAlign w:val="bottom"/>
          </w:tcPr>
          <w:p>
            <w:pPr>
              <w:pStyle w:val="TableContents"/>
              <w:spacing w:before="0" w:after="0"/>
              <w:ind w:left="225" w:right="0" w:hanging="225"/>
              <w:rPr/>
            </w:pPr>
            <w:r>
              <w:rPr/>
              <w:t>Demand deposits, noninterest-bearing</w:t>
            </w:r>
          </w:p>
        </w:tc>
        <w:tc>
          <w:tcPr>
            <w:tcW w:w="389"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w:t>
            </w:r>
          </w:p>
        </w:tc>
        <w:tc>
          <w:tcPr>
            <w:tcW w:w="994" w:type="dxa"/>
            <w:tcBorders/>
            <w:shd w:fill="CCEEFF" w:val="clear"/>
            <w:vAlign w:val="bottom"/>
          </w:tcPr>
          <w:p>
            <w:pPr>
              <w:pStyle w:val="TableContents"/>
              <w:spacing w:before="0" w:after="283"/>
              <w:jc w:val="right"/>
              <w:rPr/>
            </w:pPr>
            <w:r>
              <w:rPr/>
              <w:t>265,170</w:t>
            </w:r>
          </w:p>
        </w:tc>
        <w:tc>
          <w:tcPr>
            <w:tcW w:w="256"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jc w:val="left"/>
              <w:rPr/>
            </w:pPr>
            <w:r>
              <w:rPr/>
              <w:t>$</w:t>
            </w:r>
          </w:p>
        </w:tc>
        <w:tc>
          <w:tcPr>
            <w:tcW w:w="994" w:type="dxa"/>
            <w:tcBorders/>
            <w:shd w:fill="CCEEFF" w:val="clear"/>
            <w:vAlign w:val="bottom"/>
          </w:tcPr>
          <w:p>
            <w:pPr>
              <w:pStyle w:val="TableContents"/>
              <w:spacing w:before="0" w:after="283"/>
              <w:jc w:val="right"/>
              <w:rPr/>
            </w:pPr>
            <w:r>
              <w:rPr/>
              <w:t>213,921</w:t>
            </w:r>
          </w:p>
        </w:tc>
        <w:tc>
          <w:tcPr>
            <w:tcW w:w="261" w:type="dxa"/>
            <w:tcBorders/>
            <w:shd w:fill="CCEEFF" w:val="clear"/>
            <w:vAlign w:val="bottom"/>
          </w:tcPr>
          <w:p>
            <w:pPr>
              <w:pStyle w:val="TableContents"/>
              <w:spacing w:before="0" w:after="283"/>
              <w:rPr/>
            </w:pPr>
            <w:r>
              <w:rPr/>
              <w:t> </w:t>
            </w:r>
          </w:p>
        </w:tc>
      </w:tr>
      <w:tr>
        <w:trPr/>
        <w:tc>
          <w:tcPr>
            <w:tcW w:w="6258" w:type="dxa"/>
            <w:tcBorders/>
            <w:shd w:fill="auto" w:val="clear"/>
            <w:vAlign w:val="bottom"/>
          </w:tcPr>
          <w:p>
            <w:pPr>
              <w:pStyle w:val="TableContents"/>
              <w:spacing w:before="0" w:after="0"/>
              <w:ind w:left="225" w:right="0" w:hanging="225"/>
              <w:rPr/>
            </w:pPr>
            <w:r>
              <w:rPr/>
              <w:t>Interest-bearing transaction deposits</w:t>
            </w:r>
          </w:p>
        </w:tc>
        <w:tc>
          <w:tcPr>
            <w:tcW w:w="38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48,042</w:t>
            </w:r>
          </w:p>
        </w:tc>
        <w:tc>
          <w:tcPr>
            <w:tcW w:w="256"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31,129</w:t>
            </w:r>
          </w:p>
        </w:tc>
        <w:tc>
          <w:tcPr>
            <w:tcW w:w="261" w:type="dxa"/>
            <w:tcBorders/>
            <w:shd w:fill="auto" w:val="clear"/>
            <w:vAlign w:val="bottom"/>
          </w:tcPr>
          <w:p>
            <w:pPr>
              <w:pStyle w:val="TableContents"/>
              <w:spacing w:before="0" w:after="283"/>
              <w:rPr/>
            </w:pPr>
            <w:r>
              <w:rPr/>
              <w:t> </w:t>
            </w:r>
          </w:p>
        </w:tc>
      </w:tr>
      <w:tr>
        <w:trPr/>
        <w:tc>
          <w:tcPr>
            <w:tcW w:w="6258" w:type="dxa"/>
            <w:tcBorders/>
            <w:shd w:fill="CCEEFF" w:val="clear"/>
            <w:vAlign w:val="bottom"/>
          </w:tcPr>
          <w:p>
            <w:pPr>
              <w:pStyle w:val="TableContents"/>
              <w:spacing w:before="0" w:after="0"/>
              <w:ind w:left="225" w:right="0" w:hanging="225"/>
              <w:rPr/>
            </w:pPr>
            <w:r>
              <w:rPr/>
              <w:t>Savings deposits</w:t>
            </w:r>
          </w:p>
        </w:tc>
        <w:tc>
          <w:tcPr>
            <w:tcW w:w="389"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117,090</w:t>
            </w:r>
          </w:p>
        </w:tc>
        <w:tc>
          <w:tcPr>
            <w:tcW w:w="256"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113,822</w:t>
            </w:r>
          </w:p>
        </w:tc>
        <w:tc>
          <w:tcPr>
            <w:tcW w:w="261" w:type="dxa"/>
            <w:tcBorders/>
            <w:shd w:fill="CCEEFF" w:val="clear"/>
            <w:vAlign w:val="bottom"/>
          </w:tcPr>
          <w:p>
            <w:pPr>
              <w:pStyle w:val="TableContents"/>
              <w:spacing w:before="0" w:after="283"/>
              <w:rPr/>
            </w:pPr>
            <w:r>
              <w:rPr/>
              <w:t> </w:t>
            </w:r>
          </w:p>
        </w:tc>
      </w:tr>
      <w:tr>
        <w:trPr/>
        <w:tc>
          <w:tcPr>
            <w:tcW w:w="6258" w:type="dxa"/>
            <w:tcBorders/>
            <w:shd w:fill="auto" w:val="clear"/>
            <w:vAlign w:val="bottom"/>
          </w:tcPr>
          <w:p>
            <w:pPr>
              <w:pStyle w:val="TableContents"/>
              <w:spacing w:before="0" w:after="0"/>
              <w:ind w:left="225" w:right="0" w:hanging="225"/>
              <w:rPr/>
            </w:pPr>
            <w:r>
              <w:rPr/>
              <w:t>Money market deposits</w:t>
            </w:r>
          </w:p>
        </w:tc>
        <w:tc>
          <w:tcPr>
            <w:tcW w:w="38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645,347</w:t>
            </w:r>
          </w:p>
        </w:tc>
        <w:tc>
          <w:tcPr>
            <w:tcW w:w="256"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538,560</w:t>
            </w:r>
          </w:p>
        </w:tc>
        <w:tc>
          <w:tcPr>
            <w:tcW w:w="261" w:type="dxa"/>
            <w:tcBorders/>
            <w:shd w:fill="auto" w:val="clear"/>
            <w:vAlign w:val="bottom"/>
          </w:tcPr>
          <w:p>
            <w:pPr>
              <w:pStyle w:val="TableContents"/>
              <w:spacing w:before="0" w:after="283"/>
              <w:rPr/>
            </w:pPr>
            <w:r>
              <w:rPr/>
              <w:t> </w:t>
            </w:r>
          </w:p>
        </w:tc>
      </w:tr>
      <w:tr>
        <w:trPr/>
        <w:tc>
          <w:tcPr>
            <w:tcW w:w="6258" w:type="dxa"/>
            <w:tcBorders/>
            <w:shd w:fill="CCEEFF" w:val="clear"/>
            <w:vAlign w:val="bottom"/>
          </w:tcPr>
          <w:p>
            <w:pPr>
              <w:pStyle w:val="TableContents"/>
              <w:spacing w:before="0" w:after="0"/>
              <w:ind w:left="225" w:right="0" w:hanging="225"/>
              <w:rPr/>
            </w:pPr>
            <w:r>
              <w:rPr/>
              <w:t>Time deposits</w:t>
            </w:r>
          </w:p>
        </w:tc>
        <w:tc>
          <w:tcPr>
            <w:tcW w:w="389"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733,750</w:t>
            </w:r>
          </w:p>
        </w:tc>
        <w:tc>
          <w:tcPr>
            <w:tcW w:w="256"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661,390</w:t>
            </w:r>
          </w:p>
        </w:tc>
        <w:tc>
          <w:tcPr>
            <w:tcW w:w="261" w:type="dxa"/>
            <w:tcBorders/>
            <w:shd w:fill="CCEEFF" w:val="clear"/>
            <w:vAlign w:val="bottom"/>
          </w:tcPr>
          <w:p>
            <w:pPr>
              <w:pStyle w:val="TableContents"/>
              <w:spacing w:before="0" w:after="283"/>
              <w:rPr/>
            </w:pPr>
            <w:r>
              <w:rPr/>
              <w:t> </w:t>
            </w:r>
          </w:p>
        </w:tc>
      </w:tr>
      <w:tr>
        <w:trPr/>
        <w:tc>
          <w:tcPr>
            <w:tcW w:w="6258" w:type="dxa"/>
            <w:tcBorders/>
            <w:shd w:fill="auto" w:val="clear"/>
            <w:vAlign w:val="center"/>
          </w:tcPr>
          <w:p>
            <w:pPr>
              <w:pStyle w:val="TableContents"/>
              <w:spacing w:before="0" w:after="0"/>
              <w:ind w:left="225" w:right="0" w:hanging="225"/>
              <w:rPr/>
            </w:pPr>
            <w:r>
              <w:rPr/>
              <w:t> </w:t>
            </w:r>
          </w:p>
        </w:tc>
        <w:tc>
          <w:tcPr>
            <w:tcW w:w="389" w:type="dxa"/>
            <w:tcBorders/>
            <w:shd w:fill="auto" w:val="clear"/>
            <w:vAlign w:val="center"/>
          </w:tcPr>
          <w:p>
            <w:pPr>
              <w:pStyle w:val="TableContents"/>
              <w:spacing w:before="0" w:after="283"/>
              <w:rPr/>
            </w:pPr>
            <w:r>
              <w:rPr/>
              <w:t> </w:t>
            </w:r>
          </w:p>
        </w:tc>
        <w:tc>
          <w:tcPr>
            <w:tcW w:w="13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6"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13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61" w:type="dxa"/>
            <w:tcBorders/>
            <w:shd w:fill="auto" w:val="clear"/>
            <w:vAlign w:val="center"/>
          </w:tcPr>
          <w:p>
            <w:pPr>
              <w:pStyle w:val="TableContents"/>
              <w:spacing w:before="0" w:after="283"/>
              <w:rPr/>
            </w:pPr>
            <w:r>
              <w:rPr/>
              <w:t> </w:t>
            </w:r>
          </w:p>
        </w:tc>
      </w:tr>
      <w:tr>
        <w:trPr/>
        <w:tc>
          <w:tcPr>
            <w:tcW w:w="6258" w:type="dxa"/>
            <w:tcBorders/>
            <w:shd w:fill="auto" w:val="clear"/>
            <w:vAlign w:val="bottom"/>
          </w:tcPr>
          <w:p>
            <w:pPr>
              <w:pStyle w:val="TableContents"/>
              <w:spacing w:before="0" w:after="0"/>
              <w:ind w:left="225" w:right="0" w:hanging="225"/>
              <w:rPr/>
            </w:pPr>
            <w:r>
              <w:rPr/>
              <w:t>Total</w:t>
            </w:r>
          </w:p>
        </w:tc>
        <w:tc>
          <w:tcPr>
            <w:tcW w:w="38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jc w:val="left"/>
              <w:rPr/>
            </w:pPr>
            <w:r>
              <w:rPr/>
              <w:t>$</w:t>
            </w:r>
          </w:p>
        </w:tc>
        <w:tc>
          <w:tcPr>
            <w:tcW w:w="994" w:type="dxa"/>
            <w:tcBorders/>
            <w:shd w:fill="auto" w:val="clear"/>
            <w:vAlign w:val="bottom"/>
          </w:tcPr>
          <w:p>
            <w:pPr>
              <w:pStyle w:val="TableContents"/>
              <w:spacing w:before="0" w:after="283"/>
              <w:jc w:val="right"/>
              <w:rPr/>
            </w:pPr>
            <w:r>
              <w:rPr/>
              <w:t>1,809,399</w:t>
            </w:r>
          </w:p>
        </w:tc>
        <w:tc>
          <w:tcPr>
            <w:tcW w:w="256"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jc w:val="left"/>
              <w:rPr/>
            </w:pPr>
            <w:r>
              <w:rPr/>
              <w:t>$</w:t>
            </w:r>
          </w:p>
        </w:tc>
        <w:tc>
          <w:tcPr>
            <w:tcW w:w="994" w:type="dxa"/>
            <w:tcBorders/>
            <w:shd w:fill="auto" w:val="clear"/>
            <w:vAlign w:val="bottom"/>
          </w:tcPr>
          <w:p>
            <w:pPr>
              <w:pStyle w:val="TableContents"/>
              <w:spacing w:before="0" w:after="283"/>
              <w:jc w:val="right"/>
              <w:rPr/>
            </w:pPr>
            <w:r>
              <w:rPr/>
              <w:t>1,558,822</w:t>
            </w:r>
          </w:p>
        </w:tc>
        <w:tc>
          <w:tcPr>
            <w:tcW w:w="261" w:type="dxa"/>
            <w:tcBorders/>
            <w:shd w:fill="auto" w:val="clear"/>
            <w:vAlign w:val="bottom"/>
          </w:tcPr>
          <w:p>
            <w:pPr>
              <w:pStyle w:val="TableContents"/>
              <w:spacing w:before="0" w:after="283"/>
              <w:rPr/>
            </w:pPr>
            <w:r>
              <w:rPr/>
              <w:t> </w:t>
            </w:r>
          </w:p>
        </w:tc>
      </w:tr>
      <w:tr>
        <w:trPr/>
        <w:tc>
          <w:tcPr>
            <w:tcW w:w="6258" w:type="dxa"/>
            <w:tcBorders/>
            <w:shd w:fill="auto" w:val="clear"/>
            <w:vAlign w:val="center"/>
          </w:tcPr>
          <w:p>
            <w:pPr>
              <w:pStyle w:val="TableContents"/>
              <w:spacing w:before="0" w:after="0"/>
              <w:ind w:left="225" w:right="0" w:hanging="225"/>
              <w:rPr/>
            </w:pPr>
            <w:r>
              <w:rPr/>
              <w:t> </w:t>
            </w:r>
          </w:p>
        </w:tc>
        <w:tc>
          <w:tcPr>
            <w:tcW w:w="389" w:type="dxa"/>
            <w:tcBorders/>
            <w:shd w:fill="auto" w:val="clear"/>
            <w:vAlign w:val="center"/>
          </w:tcPr>
          <w:p>
            <w:pPr>
              <w:pStyle w:val="TableContents"/>
              <w:spacing w:before="0" w:after="283"/>
              <w:rPr/>
            </w:pPr>
            <w:r>
              <w:rPr/>
              <w:t> </w:t>
            </w:r>
          </w:p>
        </w:tc>
        <w:tc>
          <w:tcPr>
            <w:tcW w:w="13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6"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13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61" w:type="dxa"/>
            <w:tcBorders/>
            <w:shd w:fill="auto" w:val="clear"/>
            <w:vAlign w:val="center"/>
          </w:tcPr>
          <w:p>
            <w:pPr>
              <w:pStyle w:val="TableContents"/>
              <w:spacing w:before="0" w:after="283"/>
              <w:rPr/>
            </w:pPr>
            <w:r>
              <w:rPr/>
              <w:t> </w:t>
            </w:r>
          </w:p>
        </w:tc>
      </w:tr>
    </w:tbl>
    <w:p>
      <w:pPr>
        <w:pStyle w:val="TextBody"/>
        <w:spacing w:before="240" w:after="283"/>
        <w:jc w:val="left"/>
        <w:rPr>
          <w:rFonts w:ascii="Arial;Helvetica;sans-serif" w:hAnsi="Arial;Helvetica;sans-serif"/>
          <w:sz w:val="17"/>
        </w:rPr>
      </w:pPr>
      <w:r>
        <w:rPr>
          <w:rFonts w:ascii="Arial;Helvetica;sans-serif" w:hAnsi="Arial;Helvetica;sans-serif"/>
          <w:sz w:val="17"/>
        </w:rPr>
        <w:t xml:space="preserve">The aggregate amount of time deposits with a minimum denomination of $100,000 was approximately $209,872,000 and $196,260,000 at December 31, 2005 and 2004, respectively. Brokered deposits of $8,337,000 and $16,423,000 are included in the balance of time deposits with a minimum denomination of $100,000 as of December 31, 2005 and 2004, respectively. </w:t>
      </w:r>
    </w:p>
    <w:p>
      <w:pPr>
        <w:pStyle w:val="TextBody"/>
        <w:spacing w:before="120" w:after="283"/>
        <w:jc w:val="left"/>
        <w:rPr/>
      </w:pPr>
      <w:r>
        <w:rPr/>
        <w:t>     </w:t>
      </w:r>
      <w:r>
        <w:rPr>
          <w:rFonts w:ascii="Arial;Helvetica;sans-serif" w:hAnsi="Arial;Helvetica;sans-serif"/>
          <w:sz w:val="17"/>
        </w:rPr>
        <w:t xml:space="preserve">As of December 31, 2005, the scheduled maturities of certificates of deposit, in thousands, are as follows: </w:t>
      </w:r>
    </w:p>
    <w:tbl>
      <w:tblPr>
        <w:tblW w:w="5000" w:type="pct"/>
        <w:jc w:val="center"/>
        <w:tblInd w:w="0" w:type="dxa"/>
        <w:tblCellMar>
          <w:top w:w="0" w:type="dxa"/>
          <w:left w:w="0" w:type="dxa"/>
          <w:bottom w:w="0" w:type="dxa"/>
          <w:right w:w="0" w:type="dxa"/>
        </w:tblCellMar>
      </w:tblPr>
      <w:tblGrid>
        <w:gridCol w:w="8217"/>
        <w:gridCol w:w="481"/>
        <w:gridCol w:w="383"/>
        <w:gridCol w:w="810"/>
        <w:gridCol w:w="314"/>
      </w:tblGrid>
      <w:tr>
        <w:trPr/>
        <w:tc>
          <w:tcPr>
            <w:tcW w:w="8217"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r>
      <w:tr>
        <w:trPr/>
        <w:tc>
          <w:tcPr>
            <w:tcW w:w="8217" w:type="dxa"/>
            <w:tcBorders/>
            <w:shd w:fill="CCEEFF" w:val="clear"/>
            <w:vAlign w:val="bottom"/>
          </w:tcPr>
          <w:p>
            <w:pPr>
              <w:pStyle w:val="TableContents"/>
              <w:spacing w:before="0" w:after="0"/>
              <w:ind w:left="225" w:right="0" w:hanging="225"/>
              <w:rPr/>
            </w:pPr>
            <w:r>
              <w:rPr/>
              <w:t>2006</w:t>
            </w:r>
          </w:p>
        </w:tc>
        <w:tc>
          <w:tcPr>
            <w:tcW w:w="481"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466,148</w:t>
            </w:r>
          </w:p>
        </w:tc>
        <w:tc>
          <w:tcPr>
            <w:tcW w:w="314" w:type="dxa"/>
            <w:tcBorders/>
            <w:shd w:fill="CCEEFF" w:val="clear"/>
            <w:vAlign w:val="bottom"/>
          </w:tcPr>
          <w:p>
            <w:pPr>
              <w:pStyle w:val="TableContents"/>
              <w:spacing w:before="0" w:after="283"/>
              <w:rPr/>
            </w:pPr>
            <w:r>
              <w:rPr/>
              <w:t> </w:t>
            </w:r>
          </w:p>
        </w:tc>
      </w:tr>
      <w:tr>
        <w:trPr/>
        <w:tc>
          <w:tcPr>
            <w:tcW w:w="8217" w:type="dxa"/>
            <w:tcBorders/>
            <w:shd w:fill="auto" w:val="clear"/>
            <w:vAlign w:val="bottom"/>
          </w:tcPr>
          <w:p>
            <w:pPr>
              <w:pStyle w:val="TableContents"/>
              <w:spacing w:before="0" w:after="0"/>
              <w:ind w:left="225" w:right="0" w:hanging="225"/>
              <w:rPr/>
            </w:pPr>
            <w:r>
              <w:rPr/>
              <w:t>2007</w:t>
            </w:r>
          </w:p>
        </w:tc>
        <w:tc>
          <w:tcPr>
            <w:tcW w:w="481"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149,804</w:t>
            </w:r>
          </w:p>
        </w:tc>
        <w:tc>
          <w:tcPr>
            <w:tcW w:w="314" w:type="dxa"/>
            <w:tcBorders/>
            <w:shd w:fill="auto" w:val="clear"/>
            <w:vAlign w:val="bottom"/>
          </w:tcPr>
          <w:p>
            <w:pPr>
              <w:pStyle w:val="TableContents"/>
              <w:spacing w:before="0" w:after="283"/>
              <w:rPr/>
            </w:pPr>
            <w:r>
              <w:rPr/>
              <w:t> </w:t>
            </w:r>
          </w:p>
        </w:tc>
      </w:tr>
      <w:tr>
        <w:trPr/>
        <w:tc>
          <w:tcPr>
            <w:tcW w:w="8217" w:type="dxa"/>
            <w:tcBorders/>
            <w:shd w:fill="CCEEFF" w:val="clear"/>
            <w:vAlign w:val="bottom"/>
          </w:tcPr>
          <w:p>
            <w:pPr>
              <w:pStyle w:val="TableContents"/>
              <w:spacing w:before="0" w:after="0"/>
              <w:ind w:left="225" w:right="0" w:hanging="225"/>
              <w:rPr/>
            </w:pPr>
            <w:r>
              <w:rPr/>
              <w:t>2008</w:t>
            </w:r>
          </w:p>
        </w:tc>
        <w:tc>
          <w:tcPr>
            <w:tcW w:w="481"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58,680</w:t>
            </w:r>
          </w:p>
        </w:tc>
        <w:tc>
          <w:tcPr>
            <w:tcW w:w="314" w:type="dxa"/>
            <w:tcBorders/>
            <w:shd w:fill="CCEEFF" w:val="clear"/>
            <w:vAlign w:val="bottom"/>
          </w:tcPr>
          <w:p>
            <w:pPr>
              <w:pStyle w:val="TableContents"/>
              <w:spacing w:before="0" w:after="283"/>
              <w:rPr/>
            </w:pPr>
            <w:r>
              <w:rPr/>
              <w:t> </w:t>
            </w:r>
          </w:p>
        </w:tc>
      </w:tr>
      <w:tr>
        <w:trPr/>
        <w:tc>
          <w:tcPr>
            <w:tcW w:w="8217" w:type="dxa"/>
            <w:tcBorders/>
            <w:shd w:fill="auto" w:val="clear"/>
            <w:vAlign w:val="bottom"/>
          </w:tcPr>
          <w:p>
            <w:pPr>
              <w:pStyle w:val="TableContents"/>
              <w:spacing w:before="0" w:after="0"/>
              <w:ind w:left="225" w:right="0" w:hanging="225"/>
              <w:rPr/>
            </w:pPr>
            <w:r>
              <w:rPr/>
              <w:t>2009</w:t>
            </w:r>
          </w:p>
        </w:tc>
        <w:tc>
          <w:tcPr>
            <w:tcW w:w="481"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36,659</w:t>
            </w:r>
          </w:p>
        </w:tc>
        <w:tc>
          <w:tcPr>
            <w:tcW w:w="314" w:type="dxa"/>
            <w:tcBorders/>
            <w:shd w:fill="auto" w:val="clear"/>
            <w:vAlign w:val="bottom"/>
          </w:tcPr>
          <w:p>
            <w:pPr>
              <w:pStyle w:val="TableContents"/>
              <w:spacing w:before="0" w:after="283"/>
              <w:rPr/>
            </w:pPr>
            <w:r>
              <w:rPr/>
              <w:t> </w:t>
            </w:r>
          </w:p>
        </w:tc>
      </w:tr>
      <w:tr>
        <w:trPr/>
        <w:tc>
          <w:tcPr>
            <w:tcW w:w="8217" w:type="dxa"/>
            <w:tcBorders/>
            <w:shd w:fill="CCEEFF" w:val="clear"/>
            <w:vAlign w:val="bottom"/>
          </w:tcPr>
          <w:p>
            <w:pPr>
              <w:pStyle w:val="TableContents"/>
              <w:spacing w:before="0" w:after="0"/>
              <w:ind w:left="225" w:right="0" w:hanging="225"/>
              <w:rPr/>
            </w:pPr>
            <w:r>
              <w:rPr/>
              <w:t>2010</w:t>
            </w:r>
          </w:p>
        </w:tc>
        <w:tc>
          <w:tcPr>
            <w:tcW w:w="481"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21,779</w:t>
            </w:r>
          </w:p>
        </w:tc>
        <w:tc>
          <w:tcPr>
            <w:tcW w:w="314" w:type="dxa"/>
            <w:tcBorders/>
            <w:shd w:fill="CCEEFF" w:val="clear"/>
            <w:vAlign w:val="bottom"/>
          </w:tcPr>
          <w:p>
            <w:pPr>
              <w:pStyle w:val="TableContents"/>
              <w:spacing w:before="0" w:after="283"/>
              <w:rPr/>
            </w:pPr>
            <w:r>
              <w:rPr/>
              <w:t> </w:t>
            </w:r>
          </w:p>
        </w:tc>
      </w:tr>
      <w:tr>
        <w:trPr/>
        <w:tc>
          <w:tcPr>
            <w:tcW w:w="8217" w:type="dxa"/>
            <w:tcBorders/>
            <w:shd w:fill="auto" w:val="clear"/>
            <w:vAlign w:val="bottom"/>
          </w:tcPr>
          <w:p>
            <w:pPr>
              <w:pStyle w:val="TableContents"/>
              <w:spacing w:before="0" w:after="0"/>
              <w:ind w:left="225" w:right="0" w:hanging="225"/>
              <w:rPr/>
            </w:pPr>
            <w:r>
              <w:rPr/>
              <w:t>Thereafter</w:t>
            </w:r>
          </w:p>
        </w:tc>
        <w:tc>
          <w:tcPr>
            <w:tcW w:w="481"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680</w:t>
            </w:r>
          </w:p>
        </w:tc>
        <w:tc>
          <w:tcPr>
            <w:tcW w:w="314" w:type="dxa"/>
            <w:tcBorders/>
            <w:shd w:fill="auto" w:val="clear"/>
            <w:vAlign w:val="bottom"/>
          </w:tcPr>
          <w:p>
            <w:pPr>
              <w:pStyle w:val="TableContents"/>
              <w:spacing w:before="0" w:after="283"/>
              <w:rPr/>
            </w:pPr>
            <w:r>
              <w:rPr/>
              <w:t> </w:t>
            </w:r>
          </w:p>
        </w:tc>
      </w:tr>
      <w:tr>
        <w:trPr/>
        <w:tc>
          <w:tcPr>
            <w:tcW w:w="8217" w:type="dxa"/>
            <w:tcBorders/>
            <w:shd w:fill="auto" w:val="clear"/>
            <w:vAlign w:val="center"/>
          </w:tcPr>
          <w:p>
            <w:pPr>
              <w:pStyle w:val="TableContents"/>
              <w:spacing w:before="0" w:after="0"/>
              <w:ind w:left="225" w:right="0" w:hanging="225"/>
              <w:rPr/>
            </w:pPr>
            <w:r>
              <w:rPr/>
              <w:t> </w:t>
            </w:r>
          </w:p>
        </w:tc>
        <w:tc>
          <w:tcPr>
            <w:tcW w:w="4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4" w:type="dxa"/>
            <w:tcBorders/>
            <w:shd w:fill="auto" w:val="clear"/>
            <w:vAlign w:val="center"/>
          </w:tcPr>
          <w:p>
            <w:pPr>
              <w:pStyle w:val="TableContents"/>
              <w:spacing w:before="0" w:after="283"/>
              <w:rPr/>
            </w:pPr>
            <w:r>
              <w:rPr/>
              <w:t> </w:t>
            </w:r>
          </w:p>
        </w:tc>
      </w:tr>
      <w:tr>
        <w:trPr/>
        <w:tc>
          <w:tcPr>
            <w:tcW w:w="8217" w:type="dxa"/>
            <w:tcBorders/>
            <w:shd w:fill="CCEEFF" w:val="clear"/>
            <w:vAlign w:val="bottom"/>
          </w:tcPr>
          <w:p>
            <w:pPr>
              <w:pStyle w:val="TableContents"/>
              <w:spacing w:before="0" w:after="0"/>
              <w:ind w:left="225" w:right="0" w:hanging="225"/>
              <w:rPr/>
            </w:pPr>
            <w:r>
              <w:rPr/>
              <w:t> </w:t>
            </w:r>
          </w:p>
        </w:tc>
        <w:tc>
          <w:tcPr>
            <w:tcW w:w="481"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733,750</w:t>
            </w:r>
          </w:p>
        </w:tc>
        <w:tc>
          <w:tcPr>
            <w:tcW w:w="314" w:type="dxa"/>
            <w:tcBorders/>
            <w:shd w:fill="CCEEFF" w:val="clear"/>
            <w:vAlign w:val="bottom"/>
          </w:tcPr>
          <w:p>
            <w:pPr>
              <w:pStyle w:val="TableContents"/>
              <w:spacing w:before="0" w:after="283"/>
              <w:rPr/>
            </w:pPr>
            <w:r>
              <w:rPr/>
              <w:t> </w:t>
            </w:r>
          </w:p>
        </w:tc>
      </w:tr>
      <w:tr>
        <w:trPr/>
        <w:tc>
          <w:tcPr>
            <w:tcW w:w="8217" w:type="dxa"/>
            <w:tcBorders/>
            <w:shd w:fill="auto" w:val="clear"/>
            <w:vAlign w:val="center"/>
          </w:tcPr>
          <w:p>
            <w:pPr>
              <w:pStyle w:val="TableContents"/>
              <w:spacing w:before="0" w:after="0"/>
              <w:ind w:left="225" w:right="0" w:hanging="225"/>
              <w:rPr/>
            </w:pPr>
            <w:r>
              <w:rPr/>
              <w:t> </w:t>
            </w:r>
          </w:p>
        </w:tc>
        <w:tc>
          <w:tcPr>
            <w:tcW w:w="48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4" w:type="dxa"/>
            <w:tcBorders/>
            <w:shd w:fill="auto" w:val="clear"/>
            <w:vAlign w:val="center"/>
          </w:tcPr>
          <w:p>
            <w:pPr>
              <w:pStyle w:val="TableContents"/>
              <w:spacing w:before="0" w:after="283"/>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73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 10. Securities Sold Under Agreements to Repurchase</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Securities sold under agreements to repurchase, which are classified as secured borrowings, generally mature within one to four years from the transaction date. Securities sold under agreements to repurchase are reflected at the amount of cash received in connection with the transaction. The underlying securities are held by the Corporations safekeeping agent. The Corporation may be required to provide additional collateral based on the fair value of the underlying securities. Balances of securities sold under agreements to repurchase were $42,228,000 and $41,558,000 as of December 31, 2005 and 2004, respectively. </w:t>
      </w:r>
    </w:p>
    <w:p>
      <w:pPr>
        <w:pStyle w:val="TextBody"/>
        <w:spacing w:before="120" w:after="283"/>
        <w:jc w:val="left"/>
        <w:rPr>
          <w:rFonts w:ascii="Arial;Helvetica;sans-serif" w:hAnsi="Arial;Helvetica;sans-serif"/>
          <w:sz w:val="17"/>
        </w:rPr>
      </w:pPr>
      <w:r>
        <w:rPr>
          <w:rFonts w:ascii="Arial;Helvetica;sans-serif" w:hAnsi="Arial;Helvetica;sans-serif"/>
          <w:b/>
          <w:sz w:val="17"/>
        </w:rPr>
        <w:t>Note 11. Short-term Borrowings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Short-term borrowings consist of fixed-rate advances which mature in less than one year from date of origination. The advances are borrowed from the Federal Home Loan Bank of Chicago, collateralized by all unpledged U.S. Treasury and U.S. Agency securities, first mortgages on 1-4 family residential real estate and Federal Home Loan Bank of Chicago stock. The Corporation had no short-term borrowings outstanding as of December 31, 2005. Interest rates on the short-term advances outstanding as of December 31, 2004, ranged from 1.31% to 2.05% with an average weighted rate of 1.86%.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At December 31, 2005, First Busey Corporation had an operating line in the amount of $10,000,000 from its primary correspondent bank. The entire balance was available as of December 31, 2005. The line, which is collateralized by the outstanding shares of Busey Bank, matures on January 20, 2006. </w:t>
      </w:r>
    </w:p>
    <w:p>
      <w:pPr>
        <w:pStyle w:val="TextBody"/>
        <w:jc w:val="center"/>
        <w:rPr>
          <w:rFonts w:ascii="Arial;Helvetica;sans-serif" w:hAnsi="Arial;Helvetica;sans-serif"/>
          <w:sz w:val="17"/>
        </w:rPr>
      </w:pPr>
      <w:r>
        <w:rPr>
          <w:rFonts w:ascii="Arial;Helvetica;sans-serif" w:hAnsi="Arial;Helvetica;sans-serif"/>
          <w:sz w:val="17"/>
        </w:rPr>
        <w:t xml:space="preserve">74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 12. Long-term Debt</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Long-term debt is summarized as follows: </w:t>
      </w:r>
    </w:p>
    <w:tbl>
      <w:tblPr>
        <w:tblW w:w="5000" w:type="pct"/>
        <w:jc w:val="center"/>
        <w:tblInd w:w="0" w:type="dxa"/>
        <w:tblCellMar>
          <w:top w:w="0" w:type="dxa"/>
          <w:left w:w="0" w:type="dxa"/>
          <w:bottom w:w="0" w:type="dxa"/>
          <w:right w:w="0" w:type="dxa"/>
        </w:tblCellMar>
      </w:tblPr>
      <w:tblGrid>
        <w:gridCol w:w="6534"/>
        <w:gridCol w:w="416"/>
        <w:gridCol w:w="344"/>
        <w:gridCol w:w="801"/>
        <w:gridCol w:w="271"/>
        <w:gridCol w:w="416"/>
        <w:gridCol w:w="344"/>
        <w:gridCol w:w="801"/>
        <w:gridCol w:w="278"/>
      </w:tblGrid>
      <w:tr>
        <w:trPr/>
        <w:tc>
          <w:tcPr>
            <w:tcW w:w="6534"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r>
      <w:tr>
        <w:trPr/>
        <w:tc>
          <w:tcPr>
            <w:tcW w:w="6534"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255" w:type="dxa"/>
            <w:gridSpan w:val="7"/>
            <w:tcBorders>
              <w:bottom w:val="single" w:sz="2" w:space="0" w:color="000000"/>
            </w:tcBorders>
            <w:shd w:fill="auto" w:val="clear"/>
            <w:tcMar>
              <w:bottom w:w="28" w:type="dxa"/>
            </w:tcMar>
            <w:vAlign w:val="bottom"/>
          </w:tcPr>
          <w:p>
            <w:pPr>
              <w:pStyle w:val="TableContents"/>
              <w:spacing w:before="0" w:after="283"/>
              <w:jc w:val="center"/>
              <w:rPr/>
            </w:pPr>
            <w:r>
              <w:rPr/>
              <w:t>December 31,</w:t>
            </w:r>
          </w:p>
        </w:tc>
      </w:tr>
      <w:tr>
        <w:trPr/>
        <w:tc>
          <w:tcPr>
            <w:tcW w:w="6534"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416" w:type="dxa"/>
            <w:gridSpan w:val="3"/>
            <w:tcBorders/>
            <w:shd w:fill="auto" w:val="clear"/>
            <w:vAlign w:val="bottom"/>
          </w:tcPr>
          <w:p>
            <w:pPr>
              <w:pStyle w:val="TableContents"/>
              <w:spacing w:before="0" w:after="283"/>
              <w:jc w:val="center"/>
              <w:rPr/>
            </w:pPr>
            <w:r>
              <w:rPr/>
              <w:t>2005</w:t>
            </w:r>
          </w:p>
        </w:tc>
        <w:tc>
          <w:tcPr>
            <w:tcW w:w="416" w:type="dxa"/>
            <w:tcBorders/>
            <w:shd w:fill="auto" w:val="clear"/>
            <w:vAlign w:val="bottom"/>
          </w:tcPr>
          <w:p>
            <w:pPr>
              <w:pStyle w:val="TableContents"/>
              <w:spacing w:before="0" w:after="283"/>
              <w:rPr/>
            </w:pPr>
            <w:r>
              <w:rPr/>
              <w:t> </w:t>
            </w:r>
          </w:p>
        </w:tc>
        <w:tc>
          <w:tcPr>
            <w:tcW w:w="1423" w:type="dxa"/>
            <w:gridSpan w:val="3"/>
            <w:tcBorders/>
            <w:shd w:fill="auto" w:val="clear"/>
            <w:vAlign w:val="bottom"/>
          </w:tcPr>
          <w:p>
            <w:pPr>
              <w:pStyle w:val="TableContents"/>
              <w:spacing w:before="0" w:after="283"/>
              <w:jc w:val="center"/>
              <w:rPr/>
            </w:pPr>
            <w:r>
              <w:rPr/>
              <w:t>2004</w:t>
            </w:r>
          </w:p>
        </w:tc>
      </w:tr>
      <w:tr>
        <w:trPr/>
        <w:tc>
          <w:tcPr>
            <w:tcW w:w="6534" w:type="dxa"/>
            <w:tcBorders/>
            <w:shd w:fill="auto" w:val="clear"/>
            <w:vAlign w:val="center"/>
          </w:tcPr>
          <w:p>
            <w:pPr>
              <w:pStyle w:val="TableContents"/>
              <w:spacing w:before="0" w:after="283"/>
              <w:rPr/>
            </w:pPr>
            <w:r>
              <w:rPr/>
              <w:t> </w:t>
            </w:r>
          </w:p>
        </w:tc>
        <w:tc>
          <w:tcPr>
            <w:tcW w:w="416" w:type="dxa"/>
            <w:tcBorders/>
            <w:shd w:fill="auto" w:val="clear"/>
            <w:vAlign w:val="center"/>
          </w:tcPr>
          <w:p>
            <w:pPr>
              <w:pStyle w:val="TableContents"/>
              <w:spacing w:before="0" w:after="283"/>
              <w:rPr/>
            </w:pPr>
            <w:r>
              <w:rPr/>
              <w:t> </w:t>
            </w:r>
          </w:p>
        </w:tc>
        <w:tc>
          <w:tcPr>
            <w:tcW w:w="3255"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534"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255" w:type="dxa"/>
            <w:gridSpan w:val="7"/>
            <w:tcBorders/>
            <w:shd w:fill="auto" w:val="clear"/>
            <w:vAlign w:val="bottom"/>
          </w:tcPr>
          <w:p>
            <w:pPr>
              <w:pStyle w:val="TableContents"/>
              <w:spacing w:before="0" w:after="283"/>
              <w:jc w:val="center"/>
              <w:rPr/>
            </w:pPr>
            <w:r>
              <w:rPr/>
              <w:t>(Dollars in thousands)</w:t>
            </w:r>
          </w:p>
        </w:tc>
      </w:tr>
      <w:tr>
        <w:trPr/>
        <w:tc>
          <w:tcPr>
            <w:tcW w:w="6534" w:type="dxa"/>
            <w:tcBorders/>
            <w:shd w:fill="CCEEFF" w:val="clear"/>
            <w:vAlign w:val="bottom"/>
          </w:tcPr>
          <w:p>
            <w:pPr>
              <w:pStyle w:val="TableContents"/>
              <w:spacing w:before="0" w:after="0"/>
              <w:ind w:left="225" w:right="0" w:hanging="225"/>
              <w:rPr/>
            </w:pPr>
            <w:r>
              <w:rPr/>
              <w:t>Notes payable, JPMorgan Chase N.A., formerly known as Bank One, interest payable quarterly</w:t>
            </w:r>
          </w:p>
        </w:tc>
        <w:tc>
          <w:tcPr>
            <w:tcW w:w="41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r>
      <w:tr>
        <w:trPr/>
        <w:tc>
          <w:tcPr>
            <w:tcW w:w="6534" w:type="dxa"/>
            <w:tcBorders/>
            <w:shd w:fill="auto" w:val="clear"/>
            <w:vAlign w:val="bottom"/>
          </w:tcPr>
          <w:p>
            <w:pPr>
              <w:pStyle w:val="TableContents"/>
              <w:spacing w:before="0" w:after="0"/>
              <w:ind w:left="225" w:right="0" w:hanging="225"/>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r>
      <w:tr>
        <w:trPr/>
        <w:tc>
          <w:tcPr>
            <w:tcW w:w="6534" w:type="dxa"/>
            <w:tcBorders/>
            <w:shd w:fill="auto" w:val="clear"/>
            <w:vAlign w:val="bottom"/>
          </w:tcPr>
          <w:p>
            <w:pPr>
              <w:pStyle w:val="TableContents"/>
              <w:spacing w:before="0" w:after="0"/>
              <w:ind w:left="450" w:right="0" w:hanging="225"/>
              <w:rPr/>
            </w:pPr>
            <w:r>
              <w:rPr/>
              <w:t>$250,000 term loan, at one-year LIBOR plus 1.25% (effective rate of 4.49% at December 31, 2005), principal payment of $25,000 due annually on December 15, final payment due December 15, 2006, collateralized by unallocated shares of First Busey Corporation common stock purchased by employee stock ownership plan in August, 1997 (3,000 shares as of December 31, 2005; 6,000 shares as of December 31, 2004)</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w:t>
            </w:r>
          </w:p>
        </w:tc>
        <w:tc>
          <w:tcPr>
            <w:tcW w:w="801" w:type="dxa"/>
            <w:tcBorders/>
            <w:shd w:fill="auto" w:val="clear"/>
            <w:vAlign w:val="bottom"/>
          </w:tcPr>
          <w:p>
            <w:pPr>
              <w:pStyle w:val="TableContents"/>
              <w:spacing w:before="0" w:after="283"/>
              <w:jc w:val="right"/>
              <w:rPr/>
            </w:pPr>
            <w:r>
              <w:rPr/>
              <w:t>25</w:t>
            </w:r>
          </w:p>
        </w:tc>
        <w:tc>
          <w:tcPr>
            <w:tcW w:w="271"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w:t>
            </w:r>
          </w:p>
        </w:tc>
        <w:tc>
          <w:tcPr>
            <w:tcW w:w="801" w:type="dxa"/>
            <w:tcBorders/>
            <w:shd w:fill="auto" w:val="clear"/>
            <w:vAlign w:val="bottom"/>
          </w:tcPr>
          <w:p>
            <w:pPr>
              <w:pStyle w:val="TableContents"/>
              <w:spacing w:before="0" w:after="283"/>
              <w:jc w:val="right"/>
              <w:rPr/>
            </w:pPr>
            <w:r>
              <w:rPr/>
              <w:t>50</w:t>
            </w:r>
          </w:p>
        </w:tc>
        <w:tc>
          <w:tcPr>
            <w:tcW w:w="278" w:type="dxa"/>
            <w:tcBorders/>
            <w:shd w:fill="auto" w:val="clear"/>
            <w:vAlign w:val="bottom"/>
          </w:tcPr>
          <w:p>
            <w:pPr>
              <w:pStyle w:val="TableContents"/>
              <w:spacing w:before="0" w:after="283"/>
              <w:rPr/>
            </w:pPr>
            <w:r>
              <w:rPr/>
              <w:t> </w:t>
            </w:r>
          </w:p>
        </w:tc>
      </w:tr>
      <w:tr>
        <w:trPr/>
        <w:tc>
          <w:tcPr>
            <w:tcW w:w="6534" w:type="dxa"/>
            <w:tcBorders/>
            <w:shd w:fill="auto" w:val="clear"/>
            <w:vAlign w:val="bottom"/>
          </w:tcPr>
          <w:p>
            <w:pPr>
              <w:pStyle w:val="TableContents"/>
              <w:spacing w:before="0" w:after="0"/>
              <w:ind w:left="225" w:right="0" w:hanging="225"/>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r>
      <w:tr>
        <w:trPr/>
        <w:tc>
          <w:tcPr>
            <w:tcW w:w="6534" w:type="dxa"/>
            <w:tcBorders/>
            <w:shd w:fill="CCEEFF" w:val="clear"/>
            <w:vAlign w:val="bottom"/>
          </w:tcPr>
          <w:p>
            <w:pPr>
              <w:pStyle w:val="TableContents"/>
              <w:spacing w:before="0" w:after="0"/>
              <w:ind w:left="450" w:right="0" w:hanging="225"/>
              <w:rPr/>
            </w:pPr>
            <w:r>
              <w:rPr/>
              <w:t>$2,370,000 term loan, at one-year LIBOR plus 1.25% (effective rate of 4.49% at December 31, 2005), principal payment of $237,000 due annually on December 15, final payment due December 15, 2009, collateralized by unallocated shares of First Busey Corporation common stock purchased by employee stock ownership plan in November, 1999 (60,000 shares as of December 31, 2005; 75,000 shares as of December 31, 2004)</w:t>
            </w:r>
          </w:p>
        </w:tc>
        <w:tc>
          <w:tcPr>
            <w:tcW w:w="41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w:t>
            </w:r>
          </w:p>
        </w:tc>
        <w:tc>
          <w:tcPr>
            <w:tcW w:w="801" w:type="dxa"/>
            <w:tcBorders/>
            <w:shd w:fill="CCEEFF" w:val="clear"/>
            <w:vAlign w:val="bottom"/>
          </w:tcPr>
          <w:p>
            <w:pPr>
              <w:pStyle w:val="TableContents"/>
              <w:spacing w:before="0" w:after="283"/>
              <w:jc w:val="right"/>
              <w:rPr/>
            </w:pPr>
            <w:r>
              <w:rPr/>
              <w:t>948</w:t>
            </w:r>
          </w:p>
        </w:tc>
        <w:tc>
          <w:tcPr>
            <w:tcW w:w="271"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w:t>
            </w:r>
          </w:p>
        </w:tc>
        <w:tc>
          <w:tcPr>
            <w:tcW w:w="801" w:type="dxa"/>
            <w:tcBorders/>
            <w:shd w:fill="CCEEFF" w:val="clear"/>
            <w:vAlign w:val="bottom"/>
          </w:tcPr>
          <w:p>
            <w:pPr>
              <w:pStyle w:val="TableContents"/>
              <w:spacing w:before="0" w:after="283"/>
              <w:jc w:val="right"/>
              <w:rPr/>
            </w:pPr>
            <w:r>
              <w:rPr/>
              <w:t>1,185</w:t>
            </w:r>
          </w:p>
        </w:tc>
        <w:tc>
          <w:tcPr>
            <w:tcW w:w="278" w:type="dxa"/>
            <w:tcBorders/>
            <w:shd w:fill="CCEEFF" w:val="clear"/>
            <w:vAlign w:val="bottom"/>
          </w:tcPr>
          <w:p>
            <w:pPr>
              <w:pStyle w:val="TableContents"/>
              <w:spacing w:before="0" w:after="283"/>
              <w:rPr/>
            </w:pPr>
            <w:r>
              <w:rPr/>
              <w:t> </w:t>
            </w:r>
          </w:p>
        </w:tc>
      </w:tr>
      <w:tr>
        <w:trPr/>
        <w:tc>
          <w:tcPr>
            <w:tcW w:w="6534" w:type="dxa"/>
            <w:tcBorders/>
            <w:shd w:fill="auto" w:val="clear"/>
            <w:vAlign w:val="bottom"/>
          </w:tcPr>
          <w:p>
            <w:pPr>
              <w:pStyle w:val="TableContents"/>
              <w:spacing w:before="0" w:after="0"/>
              <w:ind w:left="225" w:right="0" w:hanging="225"/>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r>
      <w:tr>
        <w:trPr/>
        <w:tc>
          <w:tcPr>
            <w:tcW w:w="6534" w:type="dxa"/>
            <w:tcBorders/>
            <w:shd w:fill="auto" w:val="clear"/>
            <w:vAlign w:val="bottom"/>
          </w:tcPr>
          <w:p>
            <w:pPr>
              <w:pStyle w:val="TableContents"/>
              <w:spacing w:before="0" w:after="0"/>
              <w:ind w:left="450" w:right="0" w:hanging="225"/>
              <w:rPr/>
            </w:pPr>
            <w:r>
              <w:rPr/>
              <w:t>$1,356,500 term loan at one-year LIBOR plus 1.25% (effective rate of 4.49% at December 31, 2005), principal payment of $135,650 due annually on December 15, final payment due December 15, 2013, collateralized by unallocated shares of First Busey Corporation common stock purchased by employee stock ownership plan in December, 2003 (60,000 shares as of December 31, 2005; 67,500 shares as of December 31, 2004)</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w:t>
            </w:r>
          </w:p>
        </w:tc>
        <w:tc>
          <w:tcPr>
            <w:tcW w:w="801" w:type="dxa"/>
            <w:tcBorders/>
            <w:shd w:fill="auto" w:val="clear"/>
            <w:vAlign w:val="bottom"/>
          </w:tcPr>
          <w:p>
            <w:pPr>
              <w:pStyle w:val="TableContents"/>
              <w:spacing w:before="0" w:after="283"/>
              <w:jc w:val="right"/>
              <w:rPr/>
            </w:pPr>
            <w:r>
              <w:rPr/>
              <w:t>1,085</w:t>
            </w:r>
          </w:p>
        </w:tc>
        <w:tc>
          <w:tcPr>
            <w:tcW w:w="271"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w:t>
            </w:r>
          </w:p>
        </w:tc>
        <w:tc>
          <w:tcPr>
            <w:tcW w:w="801" w:type="dxa"/>
            <w:tcBorders/>
            <w:shd w:fill="auto" w:val="clear"/>
            <w:vAlign w:val="bottom"/>
          </w:tcPr>
          <w:p>
            <w:pPr>
              <w:pStyle w:val="TableContents"/>
              <w:spacing w:before="0" w:after="283"/>
              <w:jc w:val="right"/>
              <w:rPr/>
            </w:pPr>
            <w:r>
              <w:rPr/>
              <w:t>1,221</w:t>
            </w:r>
          </w:p>
        </w:tc>
        <w:tc>
          <w:tcPr>
            <w:tcW w:w="278" w:type="dxa"/>
            <w:tcBorders/>
            <w:shd w:fill="auto" w:val="clear"/>
            <w:vAlign w:val="bottom"/>
          </w:tcPr>
          <w:p>
            <w:pPr>
              <w:pStyle w:val="TableContents"/>
              <w:spacing w:before="0" w:after="283"/>
              <w:rPr/>
            </w:pPr>
            <w:r>
              <w:rPr/>
              <w:t> </w:t>
            </w:r>
          </w:p>
        </w:tc>
      </w:tr>
      <w:tr>
        <w:trPr/>
        <w:tc>
          <w:tcPr>
            <w:tcW w:w="6534" w:type="dxa"/>
            <w:tcBorders/>
            <w:shd w:fill="auto" w:val="clear"/>
            <w:vAlign w:val="bottom"/>
          </w:tcPr>
          <w:p>
            <w:pPr>
              <w:pStyle w:val="TableContents"/>
              <w:spacing w:before="0" w:after="0"/>
              <w:ind w:left="225" w:right="0" w:hanging="225"/>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r>
      <w:tr>
        <w:trPr/>
        <w:tc>
          <w:tcPr>
            <w:tcW w:w="6534" w:type="dxa"/>
            <w:tcBorders/>
            <w:shd w:fill="CCEEFF" w:val="clear"/>
            <w:vAlign w:val="bottom"/>
          </w:tcPr>
          <w:p>
            <w:pPr>
              <w:pStyle w:val="TableContents"/>
              <w:spacing w:before="0" w:after="0"/>
              <w:ind w:left="450" w:right="0" w:hanging="225"/>
              <w:rPr/>
            </w:pPr>
            <w:r>
              <w:rPr/>
              <w:t>$42,000,000 term loan at six-month LIBOR plus 1.25% (effective rate of 4.49% at December 31, 2005), principal payment of $4,000,000 due annually; next annual payment due January 25, 2007, final payment due on June 1, 2011, collateralized by the outstanding shares of Busey Bank.</w:t>
            </w:r>
          </w:p>
        </w:tc>
        <w:tc>
          <w:tcPr>
            <w:tcW w:w="41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w:t>
            </w:r>
          </w:p>
        </w:tc>
        <w:tc>
          <w:tcPr>
            <w:tcW w:w="801" w:type="dxa"/>
            <w:tcBorders/>
            <w:shd w:fill="CCEEFF" w:val="clear"/>
            <w:vAlign w:val="bottom"/>
          </w:tcPr>
          <w:p>
            <w:pPr>
              <w:pStyle w:val="TableContents"/>
              <w:spacing w:before="0" w:after="283"/>
              <w:jc w:val="right"/>
              <w:rPr/>
            </w:pPr>
            <w:r>
              <w:rPr/>
              <w:t>42,000</w:t>
            </w:r>
          </w:p>
        </w:tc>
        <w:tc>
          <w:tcPr>
            <w:tcW w:w="271"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w:t>
            </w:r>
          </w:p>
        </w:tc>
        <w:tc>
          <w:tcPr>
            <w:tcW w:w="801" w:type="dxa"/>
            <w:tcBorders/>
            <w:shd w:fill="CCEEFF" w:val="clear"/>
            <w:vAlign w:val="bottom"/>
          </w:tcPr>
          <w:p>
            <w:pPr>
              <w:pStyle w:val="TableContents"/>
              <w:spacing w:before="0" w:after="283"/>
              <w:jc w:val="right"/>
              <w:rPr/>
            </w:pPr>
            <w:r>
              <w:rPr/>
              <w:t>30,000</w:t>
            </w:r>
          </w:p>
        </w:tc>
        <w:tc>
          <w:tcPr>
            <w:tcW w:w="278" w:type="dxa"/>
            <w:tcBorders/>
            <w:shd w:fill="CCEEFF" w:val="clear"/>
            <w:vAlign w:val="bottom"/>
          </w:tcPr>
          <w:p>
            <w:pPr>
              <w:pStyle w:val="TableContents"/>
              <w:spacing w:before="0" w:after="283"/>
              <w:rPr/>
            </w:pPr>
            <w:r>
              <w:rPr/>
              <w:t> </w:t>
            </w:r>
          </w:p>
        </w:tc>
      </w:tr>
      <w:tr>
        <w:trPr/>
        <w:tc>
          <w:tcPr>
            <w:tcW w:w="6534" w:type="dxa"/>
            <w:tcBorders/>
            <w:shd w:fill="auto" w:val="clear"/>
            <w:vAlign w:val="bottom"/>
          </w:tcPr>
          <w:p>
            <w:pPr>
              <w:pStyle w:val="TableContents"/>
              <w:spacing w:before="0" w:after="0"/>
              <w:ind w:left="225" w:right="0" w:hanging="225"/>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r>
      <w:tr>
        <w:trPr/>
        <w:tc>
          <w:tcPr>
            <w:tcW w:w="6534" w:type="dxa"/>
            <w:tcBorders/>
            <w:shd w:fill="auto" w:val="clear"/>
            <w:vAlign w:val="bottom"/>
          </w:tcPr>
          <w:p>
            <w:pPr>
              <w:pStyle w:val="TableContents"/>
              <w:spacing w:before="0" w:after="0"/>
              <w:ind w:left="225" w:right="0" w:hanging="225"/>
              <w:rPr/>
            </w:pPr>
            <w:r>
              <w:rPr/>
              <w:t>Notes payable, Federal Home Loan Banks of Chicago and Atlanta, collateralized by all otherwise unpledged U.S. Treasury and U.S. Agency securities, first mortgages on 1-4 family residential real estate and Federal Home Loan Bank stock.</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w:t>
            </w:r>
          </w:p>
        </w:tc>
        <w:tc>
          <w:tcPr>
            <w:tcW w:w="801" w:type="dxa"/>
            <w:tcBorders/>
            <w:shd w:fill="auto" w:val="clear"/>
            <w:vAlign w:val="bottom"/>
          </w:tcPr>
          <w:p>
            <w:pPr>
              <w:pStyle w:val="TableContents"/>
              <w:spacing w:before="0" w:after="283"/>
              <w:jc w:val="right"/>
              <w:rPr/>
            </w:pPr>
            <w:r>
              <w:rPr/>
              <w:t>125,825</w:t>
            </w:r>
          </w:p>
        </w:tc>
        <w:tc>
          <w:tcPr>
            <w:tcW w:w="271"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w:t>
            </w:r>
          </w:p>
        </w:tc>
        <w:tc>
          <w:tcPr>
            <w:tcW w:w="801" w:type="dxa"/>
            <w:tcBorders/>
            <w:shd w:fill="auto" w:val="clear"/>
            <w:vAlign w:val="bottom"/>
          </w:tcPr>
          <w:p>
            <w:pPr>
              <w:pStyle w:val="TableContents"/>
              <w:spacing w:before="0" w:after="283"/>
              <w:jc w:val="right"/>
              <w:rPr/>
            </w:pPr>
            <w:r>
              <w:rPr/>
              <w:t>132,918</w:t>
            </w:r>
          </w:p>
        </w:tc>
        <w:tc>
          <w:tcPr>
            <w:tcW w:w="278" w:type="dxa"/>
            <w:tcBorders/>
            <w:shd w:fill="auto" w:val="clear"/>
            <w:vAlign w:val="bottom"/>
          </w:tcPr>
          <w:p>
            <w:pPr>
              <w:pStyle w:val="TableContents"/>
              <w:spacing w:before="0" w:after="283"/>
              <w:rPr/>
            </w:pPr>
            <w:r>
              <w:rPr/>
              <w:t> </w:t>
            </w:r>
          </w:p>
        </w:tc>
      </w:tr>
      <w:tr>
        <w:trPr/>
        <w:tc>
          <w:tcPr>
            <w:tcW w:w="6534" w:type="dxa"/>
            <w:tcBorders/>
            <w:shd w:fill="auto" w:val="clear"/>
            <w:vAlign w:val="center"/>
          </w:tcPr>
          <w:p>
            <w:pPr>
              <w:pStyle w:val="TableContents"/>
              <w:spacing w:before="0" w:after="283"/>
              <w:rPr/>
            </w:pPr>
            <w:r>
              <w:rPr/>
              <w:t> </w:t>
            </w:r>
          </w:p>
        </w:tc>
        <w:tc>
          <w:tcPr>
            <w:tcW w:w="416" w:type="dxa"/>
            <w:tcBorders/>
            <w:shd w:fill="auto" w:val="clear"/>
            <w:vAlign w:val="center"/>
          </w:tcPr>
          <w:p>
            <w:pPr>
              <w:pStyle w:val="TableContents"/>
              <w:spacing w:before="0" w:after="283"/>
              <w:rPr/>
            </w:pPr>
            <w:r>
              <w:rPr/>
              <w:t> </w:t>
            </w:r>
          </w:p>
        </w:tc>
        <w:tc>
          <w:tcPr>
            <w:tcW w:w="3255"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534" w:type="dxa"/>
            <w:tcBorders/>
            <w:shd w:fill="CCEEFF" w:val="clear"/>
            <w:vAlign w:val="bottom"/>
          </w:tcPr>
          <w:p>
            <w:pPr>
              <w:pStyle w:val="TableContents"/>
              <w:spacing w:before="0" w:after="0"/>
              <w:ind w:left="225" w:right="0" w:hanging="225"/>
              <w:rPr/>
            </w:pPr>
            <w:r>
              <w:rPr/>
              <w:t> </w:t>
            </w:r>
          </w:p>
        </w:tc>
        <w:tc>
          <w:tcPr>
            <w:tcW w:w="41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w:t>
            </w:r>
          </w:p>
        </w:tc>
        <w:tc>
          <w:tcPr>
            <w:tcW w:w="801" w:type="dxa"/>
            <w:tcBorders/>
            <w:shd w:fill="CCEEFF" w:val="clear"/>
            <w:vAlign w:val="bottom"/>
          </w:tcPr>
          <w:p>
            <w:pPr>
              <w:pStyle w:val="TableContents"/>
              <w:spacing w:before="0" w:after="283"/>
              <w:jc w:val="right"/>
              <w:rPr/>
            </w:pPr>
            <w:r>
              <w:rPr/>
              <w:t>169,883</w:t>
            </w:r>
          </w:p>
        </w:tc>
        <w:tc>
          <w:tcPr>
            <w:tcW w:w="271"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w:t>
            </w:r>
          </w:p>
        </w:tc>
        <w:tc>
          <w:tcPr>
            <w:tcW w:w="801" w:type="dxa"/>
            <w:tcBorders/>
            <w:shd w:fill="CCEEFF" w:val="clear"/>
            <w:vAlign w:val="bottom"/>
          </w:tcPr>
          <w:p>
            <w:pPr>
              <w:pStyle w:val="TableContents"/>
              <w:spacing w:before="0" w:after="283"/>
              <w:jc w:val="right"/>
              <w:rPr/>
            </w:pPr>
            <w:r>
              <w:rPr/>
              <w:t>165,374</w:t>
            </w:r>
          </w:p>
        </w:tc>
        <w:tc>
          <w:tcPr>
            <w:tcW w:w="278" w:type="dxa"/>
            <w:tcBorders/>
            <w:shd w:fill="CCEEFF" w:val="clear"/>
            <w:vAlign w:val="bottom"/>
          </w:tcPr>
          <w:p>
            <w:pPr>
              <w:pStyle w:val="TableContents"/>
              <w:spacing w:before="0" w:after="283"/>
              <w:rPr/>
            </w:pPr>
            <w:r>
              <w:rPr/>
              <w:t> </w:t>
            </w:r>
          </w:p>
        </w:tc>
      </w:tr>
      <w:tr>
        <w:trPr/>
        <w:tc>
          <w:tcPr>
            <w:tcW w:w="6534" w:type="dxa"/>
            <w:tcBorders/>
            <w:shd w:fill="auto" w:val="clear"/>
            <w:vAlign w:val="center"/>
          </w:tcPr>
          <w:p>
            <w:pPr>
              <w:pStyle w:val="TableContents"/>
              <w:spacing w:before="0" w:after="283"/>
              <w:rPr/>
            </w:pPr>
            <w:r>
              <w:rPr/>
              <w:t> </w:t>
            </w:r>
          </w:p>
        </w:tc>
        <w:tc>
          <w:tcPr>
            <w:tcW w:w="416" w:type="dxa"/>
            <w:tcBorders/>
            <w:shd w:fill="auto" w:val="clear"/>
            <w:vAlign w:val="center"/>
          </w:tcPr>
          <w:p>
            <w:pPr>
              <w:pStyle w:val="TableContents"/>
              <w:spacing w:before="0" w:after="283"/>
              <w:rPr/>
            </w:pPr>
            <w:r>
              <w:rPr/>
              <w:t> </w:t>
            </w:r>
          </w:p>
        </w:tc>
        <w:tc>
          <w:tcPr>
            <w:tcW w:w="3255"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 connection with the $42,000,000 term loan, the Corporation has agreed, among other things, not to incur at the holding company level additional debt exceeding $5,000,000, pledge as collateral any personal or real property, dispose of assets exceeding ten percent of the consolidated assets of the Corporation, become a guarantor of otherwise liable for debts of any other person, purchase the assets of or merge with another institution without prior consent of the lender. Additionally, First Busey has agreed to maintain an annual return on average total assets of 0.70% and to maintain sufficient capital to be classified as well capitalized on both a consolidated basis and at the individual bank level. </w:t>
      </w:r>
    </w:p>
    <w:p>
      <w:pPr>
        <w:pStyle w:val="TextBody"/>
        <w:jc w:val="center"/>
        <w:rPr>
          <w:rFonts w:ascii="Arial;Helvetica;sans-serif" w:hAnsi="Arial;Helvetica;sans-serif"/>
          <w:sz w:val="17"/>
        </w:rPr>
      </w:pPr>
      <w:r>
        <w:rPr>
          <w:rFonts w:ascii="Arial;Helvetica;sans-serif" w:hAnsi="Arial;Helvetica;sans-serif"/>
          <w:sz w:val="17"/>
        </w:rPr>
        <w:t xml:space="preserve">75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As of December 31, 2005, funds borrowed from the Federal Home Loan Banks of Chicago and Atlanta, listed above, consisted of fixed-rate advances maturing through January, 2013, with interest rates ranging from 2.54% to 5.30%. The weighted average rate on these long-term advances was 4.12% and 3.95% as of December 31, 2005 and 2004, respectively.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As of December 31, 2005, the scheduled maturities of long-term debt, in thousands, are as follows: </w:t>
      </w:r>
    </w:p>
    <w:tbl>
      <w:tblPr>
        <w:tblW w:w="5000" w:type="pct"/>
        <w:jc w:val="center"/>
        <w:tblInd w:w="0" w:type="dxa"/>
        <w:tblCellMar>
          <w:top w:w="0" w:type="dxa"/>
          <w:left w:w="0" w:type="dxa"/>
          <w:bottom w:w="0" w:type="dxa"/>
          <w:right w:w="0" w:type="dxa"/>
        </w:tblCellMar>
      </w:tblPr>
      <w:tblGrid>
        <w:gridCol w:w="8217"/>
        <w:gridCol w:w="481"/>
        <w:gridCol w:w="383"/>
        <w:gridCol w:w="810"/>
        <w:gridCol w:w="314"/>
      </w:tblGrid>
      <w:tr>
        <w:trPr/>
        <w:tc>
          <w:tcPr>
            <w:tcW w:w="8217"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r>
      <w:tr>
        <w:trPr/>
        <w:tc>
          <w:tcPr>
            <w:tcW w:w="8217" w:type="dxa"/>
            <w:tcBorders/>
            <w:shd w:fill="CCEEFF" w:val="clear"/>
            <w:vAlign w:val="bottom"/>
          </w:tcPr>
          <w:p>
            <w:pPr>
              <w:pStyle w:val="TableContents"/>
              <w:spacing w:before="0" w:after="0"/>
              <w:ind w:left="225" w:right="0" w:hanging="225"/>
              <w:rPr/>
            </w:pPr>
            <w:r>
              <w:rPr/>
              <w:t>2006</w:t>
            </w:r>
          </w:p>
        </w:tc>
        <w:tc>
          <w:tcPr>
            <w:tcW w:w="481"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25,898</w:t>
            </w:r>
          </w:p>
        </w:tc>
        <w:tc>
          <w:tcPr>
            <w:tcW w:w="314" w:type="dxa"/>
            <w:tcBorders/>
            <w:shd w:fill="CCEEFF" w:val="clear"/>
            <w:vAlign w:val="bottom"/>
          </w:tcPr>
          <w:p>
            <w:pPr>
              <w:pStyle w:val="TableContents"/>
              <w:spacing w:before="0" w:after="283"/>
              <w:rPr/>
            </w:pPr>
            <w:r>
              <w:rPr/>
              <w:t> </w:t>
            </w:r>
          </w:p>
        </w:tc>
      </w:tr>
      <w:tr>
        <w:trPr/>
        <w:tc>
          <w:tcPr>
            <w:tcW w:w="8217" w:type="dxa"/>
            <w:tcBorders/>
            <w:shd w:fill="auto" w:val="clear"/>
            <w:vAlign w:val="bottom"/>
          </w:tcPr>
          <w:p>
            <w:pPr>
              <w:pStyle w:val="TableContents"/>
              <w:spacing w:before="0" w:after="0"/>
              <w:ind w:left="225" w:right="0" w:hanging="225"/>
              <w:rPr/>
            </w:pPr>
            <w:r>
              <w:rPr/>
              <w:t>2007</w:t>
            </w:r>
          </w:p>
        </w:tc>
        <w:tc>
          <w:tcPr>
            <w:tcW w:w="481"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23,198</w:t>
            </w:r>
          </w:p>
        </w:tc>
        <w:tc>
          <w:tcPr>
            <w:tcW w:w="314" w:type="dxa"/>
            <w:tcBorders/>
            <w:shd w:fill="auto" w:val="clear"/>
            <w:vAlign w:val="bottom"/>
          </w:tcPr>
          <w:p>
            <w:pPr>
              <w:pStyle w:val="TableContents"/>
              <w:spacing w:before="0" w:after="283"/>
              <w:rPr/>
            </w:pPr>
            <w:r>
              <w:rPr/>
              <w:t> </w:t>
            </w:r>
          </w:p>
        </w:tc>
      </w:tr>
      <w:tr>
        <w:trPr/>
        <w:tc>
          <w:tcPr>
            <w:tcW w:w="8217" w:type="dxa"/>
            <w:tcBorders/>
            <w:shd w:fill="CCEEFF" w:val="clear"/>
            <w:vAlign w:val="bottom"/>
          </w:tcPr>
          <w:p>
            <w:pPr>
              <w:pStyle w:val="TableContents"/>
              <w:spacing w:before="0" w:after="0"/>
              <w:ind w:left="225" w:right="0" w:hanging="225"/>
              <w:rPr/>
            </w:pPr>
            <w:r>
              <w:rPr/>
              <w:t>2008</w:t>
            </w:r>
          </w:p>
        </w:tc>
        <w:tc>
          <w:tcPr>
            <w:tcW w:w="481"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44,373</w:t>
            </w:r>
          </w:p>
        </w:tc>
        <w:tc>
          <w:tcPr>
            <w:tcW w:w="314" w:type="dxa"/>
            <w:tcBorders/>
            <w:shd w:fill="CCEEFF" w:val="clear"/>
            <w:vAlign w:val="bottom"/>
          </w:tcPr>
          <w:p>
            <w:pPr>
              <w:pStyle w:val="TableContents"/>
              <w:spacing w:before="0" w:after="283"/>
              <w:rPr/>
            </w:pPr>
            <w:r>
              <w:rPr/>
              <w:t> </w:t>
            </w:r>
          </w:p>
        </w:tc>
      </w:tr>
      <w:tr>
        <w:trPr/>
        <w:tc>
          <w:tcPr>
            <w:tcW w:w="8217" w:type="dxa"/>
            <w:tcBorders/>
            <w:shd w:fill="auto" w:val="clear"/>
            <w:vAlign w:val="bottom"/>
          </w:tcPr>
          <w:p>
            <w:pPr>
              <w:pStyle w:val="TableContents"/>
              <w:spacing w:before="0" w:after="0"/>
              <w:ind w:left="225" w:right="0" w:hanging="225"/>
              <w:rPr/>
            </w:pPr>
            <w:r>
              <w:rPr/>
              <w:t>2009</w:t>
            </w:r>
          </w:p>
        </w:tc>
        <w:tc>
          <w:tcPr>
            <w:tcW w:w="481"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14,373</w:t>
            </w:r>
          </w:p>
        </w:tc>
        <w:tc>
          <w:tcPr>
            <w:tcW w:w="314" w:type="dxa"/>
            <w:tcBorders/>
            <w:shd w:fill="auto" w:val="clear"/>
            <w:vAlign w:val="bottom"/>
          </w:tcPr>
          <w:p>
            <w:pPr>
              <w:pStyle w:val="TableContents"/>
              <w:spacing w:before="0" w:after="283"/>
              <w:rPr/>
            </w:pPr>
            <w:r>
              <w:rPr/>
              <w:t> </w:t>
            </w:r>
          </w:p>
        </w:tc>
      </w:tr>
      <w:tr>
        <w:trPr/>
        <w:tc>
          <w:tcPr>
            <w:tcW w:w="8217" w:type="dxa"/>
            <w:tcBorders/>
            <w:shd w:fill="CCEEFF" w:val="clear"/>
            <w:vAlign w:val="bottom"/>
          </w:tcPr>
          <w:p>
            <w:pPr>
              <w:pStyle w:val="TableContents"/>
              <w:spacing w:before="0" w:after="0"/>
              <w:ind w:left="225" w:right="0" w:hanging="225"/>
              <w:rPr/>
            </w:pPr>
            <w:r>
              <w:rPr/>
              <w:t>2010</w:t>
            </w:r>
          </w:p>
        </w:tc>
        <w:tc>
          <w:tcPr>
            <w:tcW w:w="481"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17,636</w:t>
            </w:r>
          </w:p>
        </w:tc>
        <w:tc>
          <w:tcPr>
            <w:tcW w:w="314" w:type="dxa"/>
            <w:tcBorders/>
            <w:shd w:fill="CCEEFF" w:val="clear"/>
            <w:vAlign w:val="bottom"/>
          </w:tcPr>
          <w:p>
            <w:pPr>
              <w:pStyle w:val="TableContents"/>
              <w:spacing w:before="0" w:after="283"/>
              <w:rPr/>
            </w:pPr>
            <w:r>
              <w:rPr/>
              <w:t> </w:t>
            </w:r>
          </w:p>
        </w:tc>
      </w:tr>
      <w:tr>
        <w:trPr/>
        <w:tc>
          <w:tcPr>
            <w:tcW w:w="8217" w:type="dxa"/>
            <w:tcBorders/>
            <w:shd w:fill="auto" w:val="clear"/>
            <w:vAlign w:val="bottom"/>
          </w:tcPr>
          <w:p>
            <w:pPr>
              <w:pStyle w:val="TableContents"/>
              <w:spacing w:before="0" w:after="0"/>
              <w:ind w:left="225" w:right="0" w:hanging="225"/>
              <w:rPr/>
            </w:pPr>
            <w:r>
              <w:rPr/>
              <w:t>Thereafter</w:t>
            </w:r>
          </w:p>
        </w:tc>
        <w:tc>
          <w:tcPr>
            <w:tcW w:w="481"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44,405</w:t>
            </w:r>
          </w:p>
        </w:tc>
        <w:tc>
          <w:tcPr>
            <w:tcW w:w="314" w:type="dxa"/>
            <w:tcBorders/>
            <w:shd w:fill="auto" w:val="clear"/>
            <w:vAlign w:val="bottom"/>
          </w:tcPr>
          <w:p>
            <w:pPr>
              <w:pStyle w:val="TableContents"/>
              <w:spacing w:before="0" w:after="283"/>
              <w:rPr/>
            </w:pPr>
            <w:r>
              <w:rPr/>
              <w:t> </w:t>
            </w:r>
          </w:p>
        </w:tc>
      </w:tr>
      <w:tr>
        <w:trPr/>
        <w:tc>
          <w:tcPr>
            <w:tcW w:w="8217" w:type="dxa"/>
            <w:tcBorders/>
            <w:shd w:fill="auto" w:val="clear"/>
            <w:vAlign w:val="center"/>
          </w:tcPr>
          <w:p>
            <w:pPr>
              <w:pStyle w:val="TableContents"/>
              <w:spacing w:before="0" w:after="0"/>
              <w:ind w:left="225" w:right="0" w:hanging="225"/>
              <w:rPr/>
            </w:pPr>
            <w:r>
              <w:rPr/>
              <w:t> </w:t>
            </w:r>
          </w:p>
        </w:tc>
        <w:tc>
          <w:tcPr>
            <w:tcW w:w="481" w:type="dxa"/>
            <w:tcBorders/>
            <w:shd w:fill="auto" w:val="clear"/>
            <w:vAlign w:val="center"/>
          </w:tcPr>
          <w:p>
            <w:pPr>
              <w:pStyle w:val="TableContents"/>
              <w:spacing w:before="0" w:after="283"/>
              <w:rPr/>
            </w:pPr>
            <w:r>
              <w:rPr/>
              <w:t> </w:t>
            </w:r>
          </w:p>
        </w:tc>
        <w:tc>
          <w:tcPr>
            <w:tcW w:w="11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4" w:type="dxa"/>
            <w:tcBorders/>
            <w:shd w:fill="auto" w:val="clear"/>
            <w:vAlign w:val="center"/>
          </w:tcPr>
          <w:p>
            <w:pPr>
              <w:pStyle w:val="TableContents"/>
              <w:spacing w:before="0" w:after="283"/>
              <w:rPr/>
            </w:pPr>
            <w:r>
              <w:rPr/>
              <w:t> </w:t>
            </w:r>
          </w:p>
        </w:tc>
      </w:tr>
      <w:tr>
        <w:trPr/>
        <w:tc>
          <w:tcPr>
            <w:tcW w:w="8217" w:type="dxa"/>
            <w:tcBorders/>
            <w:shd w:fill="CCEEFF" w:val="clear"/>
            <w:vAlign w:val="bottom"/>
          </w:tcPr>
          <w:p>
            <w:pPr>
              <w:pStyle w:val="TableContents"/>
              <w:spacing w:before="0" w:after="0"/>
              <w:ind w:left="225" w:right="0" w:hanging="225"/>
              <w:rPr/>
            </w:pPr>
            <w:r>
              <w:rPr/>
              <w:t> </w:t>
            </w:r>
          </w:p>
        </w:tc>
        <w:tc>
          <w:tcPr>
            <w:tcW w:w="481"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169,883</w:t>
            </w:r>
          </w:p>
        </w:tc>
        <w:tc>
          <w:tcPr>
            <w:tcW w:w="314" w:type="dxa"/>
            <w:tcBorders/>
            <w:shd w:fill="CCEEFF" w:val="clear"/>
            <w:vAlign w:val="bottom"/>
          </w:tcPr>
          <w:p>
            <w:pPr>
              <w:pStyle w:val="TableContents"/>
              <w:spacing w:before="0" w:after="283"/>
              <w:rPr/>
            </w:pPr>
            <w:r>
              <w:rPr/>
              <w:t> </w:t>
            </w:r>
          </w:p>
        </w:tc>
      </w:tr>
      <w:tr>
        <w:trPr/>
        <w:tc>
          <w:tcPr>
            <w:tcW w:w="8217" w:type="dxa"/>
            <w:tcBorders/>
            <w:shd w:fill="auto" w:val="clear"/>
            <w:vAlign w:val="center"/>
          </w:tcPr>
          <w:p>
            <w:pPr>
              <w:pStyle w:val="TableContents"/>
              <w:spacing w:before="0" w:after="0"/>
              <w:ind w:left="225" w:right="0" w:hanging="225"/>
              <w:rPr/>
            </w:pPr>
            <w:r>
              <w:rPr/>
              <w:t> </w:t>
            </w:r>
          </w:p>
        </w:tc>
        <w:tc>
          <w:tcPr>
            <w:tcW w:w="481" w:type="dxa"/>
            <w:tcBorders/>
            <w:shd w:fill="auto" w:val="clear"/>
            <w:vAlign w:val="center"/>
          </w:tcPr>
          <w:p>
            <w:pPr>
              <w:pStyle w:val="TableContents"/>
              <w:spacing w:before="0" w:after="283"/>
              <w:rPr/>
            </w:pPr>
            <w:r>
              <w:rPr/>
              <w:t> </w:t>
            </w:r>
          </w:p>
        </w:tc>
        <w:tc>
          <w:tcPr>
            <w:tcW w:w="11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4" w:type="dxa"/>
            <w:tcBorders/>
            <w:shd w:fill="auto" w:val="clear"/>
            <w:vAlign w:val="center"/>
          </w:tcPr>
          <w:p>
            <w:pPr>
              <w:pStyle w:val="TableContents"/>
              <w:spacing w:before="0" w:after="283"/>
              <w:rPr/>
            </w:pPr>
            <w:r>
              <w:rPr/>
              <w:t> </w:t>
            </w:r>
          </w:p>
        </w:tc>
      </w:tr>
    </w:tbl>
    <w:p>
      <w:pPr>
        <w:pStyle w:val="TextBody"/>
        <w:spacing w:before="240" w:after="283"/>
        <w:jc w:val="left"/>
        <w:rPr>
          <w:rFonts w:ascii="Arial;Helvetica;sans-serif" w:hAnsi="Arial;Helvetica;sans-serif"/>
          <w:sz w:val="17"/>
        </w:rPr>
      </w:pPr>
      <w:r>
        <w:rPr>
          <w:rFonts w:ascii="Arial;Helvetica;sans-serif" w:hAnsi="Arial;Helvetica;sans-serif"/>
          <w:b/>
          <w:sz w:val="17"/>
        </w:rPr>
        <w:t>Note 13. Junior Subordinated Debt Owed to Unconsolidated Trusts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First Busey Corporation has established statutory trusts for the sole purpose of issuing trust preferred securities and related trust common securities. The proceeds from such issuances were used by the trusts to purchase junior subordinated notes of the Corporation, which are the sole assets of each trust. Concurrent with the issuance of the trust preferred securities, First Busey issued guarantees for the benefit of the holders of the trust preferred securities. The trust preferred securities are issues that qualify, and are treated by First Busey, as Tier I regulatory capital. First Busey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table below summarizes the outstanding junior subordinated notes and the related trust preferred securities issued by each trust as of December 31, 2005: </w:t>
      </w:r>
    </w:p>
    <w:tbl>
      <w:tblPr>
        <w:tblW w:w="5000" w:type="pct"/>
        <w:jc w:val="center"/>
        <w:tblInd w:w="0" w:type="dxa"/>
        <w:tblCellMar>
          <w:top w:w="0" w:type="dxa"/>
          <w:left w:w="0" w:type="dxa"/>
          <w:bottom w:w="0" w:type="dxa"/>
          <w:right w:w="0" w:type="dxa"/>
        </w:tblCellMar>
      </w:tblPr>
      <w:tblGrid>
        <w:gridCol w:w="2165"/>
        <w:gridCol w:w="147"/>
        <w:gridCol w:w="292"/>
        <w:gridCol w:w="1913"/>
        <w:gridCol w:w="425"/>
        <w:gridCol w:w="147"/>
        <w:gridCol w:w="284"/>
        <w:gridCol w:w="1850"/>
        <w:gridCol w:w="153"/>
        <w:gridCol w:w="147"/>
        <w:gridCol w:w="326"/>
        <w:gridCol w:w="2178"/>
        <w:gridCol w:w="178"/>
      </w:tblGrid>
      <w:tr>
        <w:trPr/>
        <w:tc>
          <w:tcPr>
            <w:tcW w:w="216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1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85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21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r>
      <w:tr>
        <w:trPr/>
        <w:tc>
          <w:tcPr>
            <w:tcW w:w="216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630" w:type="dxa"/>
            <w:gridSpan w:val="3"/>
            <w:tcBorders/>
            <w:shd w:fill="auto" w:val="clear"/>
            <w:vAlign w:val="bottom"/>
          </w:tcPr>
          <w:p>
            <w:pPr>
              <w:pStyle w:val="TableContents"/>
              <w:spacing w:before="0" w:after="283"/>
              <w:jc w:val="center"/>
              <w:rPr/>
            </w:pPr>
            <w:r>
              <w:rPr/>
              <w:t>First Busey Capital Trust I</w:t>
            </w:r>
          </w:p>
        </w:tc>
        <w:tc>
          <w:tcPr>
            <w:tcW w:w="147" w:type="dxa"/>
            <w:tcBorders/>
            <w:shd w:fill="auto" w:val="clear"/>
            <w:vAlign w:val="bottom"/>
          </w:tcPr>
          <w:p>
            <w:pPr>
              <w:pStyle w:val="TableContents"/>
              <w:spacing w:before="0" w:after="283"/>
              <w:rPr/>
            </w:pPr>
            <w:r>
              <w:rPr/>
              <w:t> </w:t>
            </w:r>
          </w:p>
        </w:tc>
        <w:tc>
          <w:tcPr>
            <w:tcW w:w="2287" w:type="dxa"/>
            <w:gridSpan w:val="3"/>
            <w:tcBorders/>
            <w:shd w:fill="auto" w:val="clear"/>
            <w:vAlign w:val="bottom"/>
          </w:tcPr>
          <w:p>
            <w:pPr>
              <w:pStyle w:val="TableContents"/>
              <w:spacing w:before="0" w:after="283"/>
              <w:jc w:val="center"/>
              <w:rPr/>
            </w:pPr>
            <w:r>
              <w:rPr/>
              <w:t>First Busey Statutory</w:t>
            </w:r>
          </w:p>
        </w:tc>
        <w:tc>
          <w:tcPr>
            <w:tcW w:w="147" w:type="dxa"/>
            <w:tcBorders/>
            <w:shd w:fill="auto" w:val="clear"/>
            <w:vAlign w:val="bottom"/>
          </w:tcPr>
          <w:p>
            <w:pPr>
              <w:pStyle w:val="TableContents"/>
              <w:spacing w:before="0" w:after="283"/>
              <w:rPr/>
            </w:pPr>
            <w:r>
              <w:rPr/>
              <w:t> </w:t>
            </w:r>
          </w:p>
        </w:tc>
        <w:tc>
          <w:tcPr>
            <w:tcW w:w="2682" w:type="dxa"/>
            <w:gridSpan w:val="3"/>
            <w:tcBorders/>
            <w:shd w:fill="auto" w:val="clear"/>
            <w:vAlign w:val="bottom"/>
          </w:tcPr>
          <w:p>
            <w:pPr>
              <w:pStyle w:val="TableContents"/>
              <w:spacing w:before="0" w:after="283"/>
              <w:jc w:val="center"/>
              <w:rPr/>
            </w:pPr>
            <w:r>
              <w:rPr/>
              <w:t>First Busey Statutory Trust</w:t>
            </w:r>
          </w:p>
        </w:tc>
      </w:tr>
      <w:tr>
        <w:trPr/>
        <w:tc>
          <w:tcPr>
            <w:tcW w:w="216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630" w:type="dxa"/>
            <w:gridSpan w:val="3"/>
            <w:tcBorders/>
            <w:shd w:fill="auto" w:val="clear"/>
            <w:vAlign w:val="bottom"/>
          </w:tcPr>
          <w:p>
            <w:pPr>
              <w:pStyle w:val="TableContents"/>
              <w:spacing w:before="0" w:after="283"/>
              <w:jc w:val="center"/>
              <w:rPr/>
            </w:pPr>
            <w:r>
              <w:rPr/>
              <w:t> </w:t>
            </w:r>
          </w:p>
        </w:tc>
        <w:tc>
          <w:tcPr>
            <w:tcW w:w="147" w:type="dxa"/>
            <w:tcBorders/>
            <w:shd w:fill="auto" w:val="clear"/>
            <w:vAlign w:val="bottom"/>
          </w:tcPr>
          <w:p>
            <w:pPr>
              <w:pStyle w:val="TableContents"/>
              <w:spacing w:before="0" w:after="283"/>
              <w:rPr/>
            </w:pPr>
            <w:r>
              <w:rPr/>
              <w:t> </w:t>
            </w:r>
          </w:p>
        </w:tc>
        <w:tc>
          <w:tcPr>
            <w:tcW w:w="2287" w:type="dxa"/>
            <w:gridSpan w:val="3"/>
            <w:tcBorders/>
            <w:shd w:fill="auto" w:val="clear"/>
            <w:vAlign w:val="bottom"/>
          </w:tcPr>
          <w:p>
            <w:pPr>
              <w:pStyle w:val="TableContents"/>
              <w:spacing w:before="0" w:after="283"/>
              <w:jc w:val="center"/>
              <w:rPr/>
            </w:pPr>
            <w:r>
              <w:rPr/>
              <w:t>Trust II</w:t>
            </w:r>
          </w:p>
        </w:tc>
        <w:tc>
          <w:tcPr>
            <w:tcW w:w="147" w:type="dxa"/>
            <w:tcBorders/>
            <w:shd w:fill="auto" w:val="clear"/>
            <w:vAlign w:val="bottom"/>
          </w:tcPr>
          <w:p>
            <w:pPr>
              <w:pStyle w:val="TableContents"/>
              <w:spacing w:before="0" w:after="283"/>
              <w:rPr/>
            </w:pPr>
            <w:r>
              <w:rPr/>
              <w:t> </w:t>
            </w:r>
          </w:p>
        </w:tc>
        <w:tc>
          <w:tcPr>
            <w:tcW w:w="2682" w:type="dxa"/>
            <w:gridSpan w:val="3"/>
            <w:tcBorders/>
            <w:shd w:fill="auto" w:val="clear"/>
            <w:vAlign w:val="bottom"/>
          </w:tcPr>
          <w:p>
            <w:pPr>
              <w:pStyle w:val="TableContents"/>
              <w:spacing w:before="0" w:after="283"/>
              <w:jc w:val="center"/>
              <w:rPr/>
            </w:pPr>
            <w:r>
              <w:rPr/>
              <w:t>III(1)</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225" w:right="0" w:hanging="225"/>
              <w:rPr/>
            </w:pPr>
            <w:r>
              <w:rPr/>
              <w:t>Junior Subordinated Notes:</w:t>
            </w:r>
          </w:p>
        </w:tc>
        <w:tc>
          <w:tcPr>
            <w:tcW w:w="147"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913"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85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21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r>
      <w:tr>
        <w:trPr/>
        <w:tc>
          <w:tcPr>
            <w:tcW w:w="2165" w:type="dxa"/>
            <w:tcBorders/>
            <w:shd w:fill="auto" w:val="clear"/>
            <w:vAlign w:val="bottom"/>
          </w:tcPr>
          <w:p>
            <w:pPr>
              <w:pStyle w:val="TableContents"/>
              <w:spacing w:before="0" w:after="0"/>
              <w:ind w:left="450" w:right="0" w:hanging="225"/>
              <w:rPr/>
            </w:pPr>
            <w:r>
              <w:rPr/>
              <w:t>Principal balance</w:t>
            </w:r>
          </w:p>
        </w:tc>
        <w:tc>
          <w:tcPr>
            <w:tcW w:w="14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right"/>
              <w:rPr/>
            </w:pPr>
            <w:r>
              <w:rPr/>
              <w:t>$</w:t>
            </w:r>
          </w:p>
        </w:tc>
        <w:tc>
          <w:tcPr>
            <w:tcW w:w="1913" w:type="dxa"/>
            <w:tcBorders/>
            <w:shd w:fill="auto" w:val="clear"/>
            <w:vAlign w:val="bottom"/>
          </w:tcPr>
          <w:p>
            <w:pPr>
              <w:pStyle w:val="TableContents"/>
              <w:spacing w:before="0" w:after="283"/>
              <w:jc w:val="right"/>
              <w:rPr/>
            </w:pPr>
            <w:r>
              <w:rPr/>
              <w:t>25,000,000</w:t>
            </w:r>
          </w:p>
        </w:tc>
        <w:tc>
          <w:tcPr>
            <w:tcW w:w="4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jc w:val="right"/>
              <w:rPr/>
            </w:pPr>
            <w:r>
              <w:rPr/>
              <w:t>$</w:t>
            </w:r>
          </w:p>
        </w:tc>
        <w:tc>
          <w:tcPr>
            <w:tcW w:w="1850" w:type="dxa"/>
            <w:tcBorders/>
            <w:shd w:fill="auto" w:val="clear"/>
            <w:vAlign w:val="bottom"/>
          </w:tcPr>
          <w:p>
            <w:pPr>
              <w:pStyle w:val="TableContents"/>
              <w:spacing w:before="0" w:after="283"/>
              <w:jc w:val="right"/>
              <w:rPr/>
            </w:pPr>
            <w:r>
              <w:rPr/>
              <w:t>15,000,000</w:t>
            </w:r>
          </w:p>
        </w:tc>
        <w:tc>
          <w:tcPr>
            <w:tcW w:w="15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jc w:val="right"/>
              <w:rPr/>
            </w:pPr>
            <w:r>
              <w:rPr/>
              <w:t>$</w:t>
            </w:r>
          </w:p>
        </w:tc>
        <w:tc>
          <w:tcPr>
            <w:tcW w:w="2178" w:type="dxa"/>
            <w:tcBorders/>
            <w:shd w:fill="auto" w:val="clear"/>
            <w:vAlign w:val="bottom"/>
          </w:tcPr>
          <w:p>
            <w:pPr>
              <w:pStyle w:val="TableContents"/>
              <w:spacing w:before="0" w:after="283"/>
              <w:jc w:val="right"/>
              <w:rPr/>
            </w:pPr>
            <w:r>
              <w:rPr/>
              <w:t>10,000,000</w:t>
            </w:r>
          </w:p>
        </w:tc>
        <w:tc>
          <w:tcPr>
            <w:tcW w:w="178" w:type="dxa"/>
            <w:tcBorders/>
            <w:shd w:fill="auto" w:val="clear"/>
            <w:vAlign w:val="bottom"/>
          </w:tcPr>
          <w:p>
            <w:pPr>
              <w:pStyle w:val="TableContents"/>
              <w:spacing w:before="0" w:after="283"/>
              <w:rPr/>
            </w:pPr>
            <w:r>
              <w:rPr/>
              <w:t> </w:t>
            </w:r>
          </w:p>
        </w:tc>
      </w:tr>
      <w:tr>
        <w:trPr/>
        <w:tc>
          <w:tcPr>
            <w:tcW w:w="2165" w:type="dxa"/>
            <w:tcBorders/>
            <w:shd w:fill="CCEEFF" w:val="clear"/>
            <w:vAlign w:val="bottom"/>
          </w:tcPr>
          <w:p>
            <w:pPr>
              <w:pStyle w:val="TableContents"/>
              <w:spacing w:before="0" w:after="0"/>
              <w:ind w:left="450" w:right="0" w:hanging="225"/>
              <w:rPr/>
            </w:pPr>
            <w:r>
              <w:rPr/>
              <w:t>Annual interest rate</w:t>
            </w:r>
          </w:p>
        </w:tc>
        <w:tc>
          <w:tcPr>
            <w:tcW w:w="147"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right"/>
              <w:rPr/>
            </w:pPr>
            <w:r>
              <w:rPr/>
              <w:t> </w:t>
            </w:r>
          </w:p>
        </w:tc>
        <w:tc>
          <w:tcPr>
            <w:tcW w:w="1913" w:type="dxa"/>
            <w:tcBorders/>
            <w:shd w:fill="CCEEFF" w:val="clear"/>
            <w:vAlign w:val="bottom"/>
          </w:tcPr>
          <w:p>
            <w:pPr>
              <w:pStyle w:val="TableContents"/>
              <w:spacing w:before="0" w:after="283"/>
              <w:jc w:val="right"/>
              <w:rPr/>
            </w:pPr>
            <w:r>
              <w:rPr/>
              <w:t>9.00</w:t>
            </w:r>
          </w:p>
        </w:tc>
        <w:tc>
          <w:tcPr>
            <w:tcW w:w="425" w:type="dxa"/>
            <w:tcBorders/>
            <w:shd w:fill="CCEEFF" w:val="clear"/>
            <w:vAlign w:val="bottom"/>
          </w:tcPr>
          <w:p>
            <w:pPr>
              <w:pStyle w:val="TableContents"/>
              <w:spacing w:before="0" w:after="283"/>
              <w:rPr/>
            </w:pPr>
            <w:r>
              <w:rPr/>
              <w:t>%</w:t>
            </w:r>
          </w:p>
        </w:tc>
        <w:tc>
          <w:tcPr>
            <w:tcW w:w="147" w:type="dxa"/>
            <w:tcBorders/>
            <w:shd w:fill="CCEEFF" w:val="clear"/>
            <w:vAlign w:val="bottom"/>
          </w:tcPr>
          <w:p>
            <w:pPr>
              <w:pStyle w:val="TableContents"/>
              <w:spacing w:before="0" w:after="283"/>
              <w:rPr/>
            </w:pPr>
            <w:r>
              <w:rPr/>
              <w:t> </w:t>
            </w:r>
          </w:p>
        </w:tc>
        <w:tc>
          <w:tcPr>
            <w:tcW w:w="2287" w:type="dxa"/>
            <w:gridSpan w:val="3"/>
            <w:tcBorders/>
            <w:shd w:fill="CCEEFF" w:val="clear"/>
            <w:vAlign w:val="bottom"/>
          </w:tcPr>
          <w:p>
            <w:pPr>
              <w:pStyle w:val="TableContents"/>
              <w:spacing w:before="0" w:after="283"/>
              <w:jc w:val="center"/>
              <w:rPr/>
            </w:pPr>
            <w:r>
              <w:rPr/>
              <w:t>3-mo LIBOR + 2.65%</w:t>
            </w:r>
          </w:p>
        </w:tc>
        <w:tc>
          <w:tcPr>
            <w:tcW w:w="147" w:type="dxa"/>
            <w:tcBorders/>
            <w:shd w:fill="CCEEFF" w:val="clear"/>
            <w:vAlign w:val="bottom"/>
          </w:tcPr>
          <w:p>
            <w:pPr>
              <w:pStyle w:val="TableContents"/>
              <w:spacing w:before="0" w:after="283"/>
              <w:rPr/>
            </w:pPr>
            <w:r>
              <w:rPr/>
              <w:t> </w:t>
            </w:r>
          </w:p>
        </w:tc>
        <w:tc>
          <w:tcPr>
            <w:tcW w:w="2682" w:type="dxa"/>
            <w:gridSpan w:val="3"/>
            <w:tcBorders/>
            <w:shd w:fill="CCEEFF" w:val="clear"/>
            <w:vAlign w:val="bottom"/>
          </w:tcPr>
          <w:p>
            <w:pPr>
              <w:pStyle w:val="TableContents"/>
              <w:spacing w:before="0" w:after="283"/>
              <w:jc w:val="center"/>
              <w:rPr/>
            </w:pPr>
            <w:r>
              <w:rPr/>
              <w:t>3-mo LIBOR + 1.75%</w:t>
            </w:r>
          </w:p>
        </w:tc>
      </w:tr>
      <w:tr>
        <w:trPr/>
        <w:tc>
          <w:tcPr>
            <w:tcW w:w="2165" w:type="dxa"/>
            <w:tcBorders/>
            <w:shd w:fill="auto" w:val="clear"/>
            <w:vAlign w:val="bottom"/>
          </w:tcPr>
          <w:p>
            <w:pPr>
              <w:pStyle w:val="TableContents"/>
              <w:spacing w:before="0" w:after="0"/>
              <w:ind w:left="450" w:right="0" w:hanging="225"/>
              <w:rPr/>
            </w:pPr>
            <w:r>
              <w:rPr/>
              <w:t>Stated maturity date</w:t>
            </w:r>
          </w:p>
        </w:tc>
        <w:tc>
          <w:tcPr>
            <w:tcW w:w="147" w:type="dxa"/>
            <w:tcBorders/>
            <w:shd w:fill="auto" w:val="clear"/>
            <w:vAlign w:val="bottom"/>
          </w:tcPr>
          <w:p>
            <w:pPr>
              <w:pStyle w:val="TableContents"/>
              <w:spacing w:before="0" w:after="283"/>
              <w:rPr/>
            </w:pPr>
            <w:r>
              <w:rPr/>
              <w:t> </w:t>
            </w:r>
          </w:p>
        </w:tc>
        <w:tc>
          <w:tcPr>
            <w:tcW w:w="2630" w:type="dxa"/>
            <w:gridSpan w:val="3"/>
            <w:tcBorders/>
            <w:shd w:fill="auto" w:val="clear"/>
            <w:vAlign w:val="bottom"/>
          </w:tcPr>
          <w:p>
            <w:pPr>
              <w:pStyle w:val="TableContents"/>
              <w:spacing w:before="0" w:after="283"/>
              <w:jc w:val="center"/>
              <w:rPr/>
            </w:pPr>
            <w:r>
              <w:rPr/>
              <w:t>June 18, 2031</w:t>
            </w:r>
          </w:p>
        </w:tc>
        <w:tc>
          <w:tcPr>
            <w:tcW w:w="147" w:type="dxa"/>
            <w:tcBorders/>
            <w:shd w:fill="auto" w:val="clear"/>
            <w:vAlign w:val="bottom"/>
          </w:tcPr>
          <w:p>
            <w:pPr>
              <w:pStyle w:val="TableContents"/>
              <w:spacing w:before="0" w:after="283"/>
              <w:rPr/>
            </w:pPr>
            <w:r>
              <w:rPr/>
              <w:t> </w:t>
            </w:r>
          </w:p>
        </w:tc>
        <w:tc>
          <w:tcPr>
            <w:tcW w:w="2287" w:type="dxa"/>
            <w:gridSpan w:val="3"/>
            <w:tcBorders/>
            <w:shd w:fill="auto" w:val="clear"/>
            <w:vAlign w:val="bottom"/>
          </w:tcPr>
          <w:p>
            <w:pPr>
              <w:pStyle w:val="TableContents"/>
              <w:spacing w:before="0" w:after="283"/>
              <w:jc w:val="center"/>
              <w:rPr/>
            </w:pPr>
            <w:r>
              <w:rPr/>
              <w:t>June 17, 2034</w:t>
            </w:r>
          </w:p>
        </w:tc>
        <w:tc>
          <w:tcPr>
            <w:tcW w:w="147" w:type="dxa"/>
            <w:tcBorders/>
            <w:shd w:fill="auto" w:val="clear"/>
            <w:vAlign w:val="bottom"/>
          </w:tcPr>
          <w:p>
            <w:pPr>
              <w:pStyle w:val="TableContents"/>
              <w:spacing w:before="0" w:after="283"/>
              <w:rPr/>
            </w:pPr>
            <w:r>
              <w:rPr/>
              <w:t> </w:t>
            </w:r>
          </w:p>
        </w:tc>
        <w:tc>
          <w:tcPr>
            <w:tcW w:w="2682" w:type="dxa"/>
            <w:gridSpan w:val="3"/>
            <w:tcBorders/>
            <w:shd w:fill="auto" w:val="clear"/>
            <w:vAlign w:val="bottom"/>
          </w:tcPr>
          <w:p>
            <w:pPr>
              <w:pStyle w:val="TableContents"/>
              <w:spacing w:before="0" w:after="283"/>
              <w:jc w:val="center"/>
              <w:rPr/>
            </w:pPr>
            <w:r>
              <w:rPr/>
              <w:t>June 15, 2035</w:t>
            </w:r>
          </w:p>
        </w:tc>
      </w:tr>
      <w:tr>
        <w:trPr/>
        <w:tc>
          <w:tcPr>
            <w:tcW w:w="2165" w:type="dxa"/>
            <w:tcBorders/>
            <w:shd w:fill="CCEEFF" w:val="clear"/>
            <w:vAlign w:val="bottom"/>
          </w:tcPr>
          <w:p>
            <w:pPr>
              <w:pStyle w:val="TableContents"/>
              <w:spacing w:before="0" w:after="0"/>
              <w:ind w:left="450" w:right="0" w:hanging="225"/>
              <w:rPr/>
            </w:pPr>
            <w:r>
              <w:rPr/>
              <w:t>Call date</w:t>
            </w:r>
          </w:p>
        </w:tc>
        <w:tc>
          <w:tcPr>
            <w:tcW w:w="147" w:type="dxa"/>
            <w:tcBorders/>
            <w:shd w:fill="CCEEFF" w:val="clear"/>
            <w:vAlign w:val="bottom"/>
          </w:tcPr>
          <w:p>
            <w:pPr>
              <w:pStyle w:val="TableContents"/>
              <w:spacing w:before="0" w:after="283"/>
              <w:rPr/>
            </w:pPr>
            <w:r>
              <w:rPr/>
              <w:t> </w:t>
            </w:r>
          </w:p>
        </w:tc>
        <w:tc>
          <w:tcPr>
            <w:tcW w:w="2630" w:type="dxa"/>
            <w:gridSpan w:val="3"/>
            <w:tcBorders/>
            <w:shd w:fill="CCEEFF" w:val="clear"/>
            <w:vAlign w:val="bottom"/>
          </w:tcPr>
          <w:p>
            <w:pPr>
              <w:pStyle w:val="TableContents"/>
              <w:spacing w:before="0" w:after="283"/>
              <w:jc w:val="center"/>
              <w:rPr/>
            </w:pPr>
            <w:r>
              <w:rPr/>
              <w:t>June 18, 2006</w:t>
            </w:r>
          </w:p>
        </w:tc>
        <w:tc>
          <w:tcPr>
            <w:tcW w:w="147" w:type="dxa"/>
            <w:tcBorders/>
            <w:shd w:fill="CCEEFF" w:val="clear"/>
            <w:vAlign w:val="bottom"/>
          </w:tcPr>
          <w:p>
            <w:pPr>
              <w:pStyle w:val="TableContents"/>
              <w:spacing w:before="0" w:after="283"/>
              <w:rPr/>
            </w:pPr>
            <w:r>
              <w:rPr/>
              <w:t> </w:t>
            </w:r>
          </w:p>
        </w:tc>
        <w:tc>
          <w:tcPr>
            <w:tcW w:w="2287" w:type="dxa"/>
            <w:gridSpan w:val="3"/>
            <w:tcBorders/>
            <w:shd w:fill="CCEEFF" w:val="clear"/>
            <w:vAlign w:val="bottom"/>
          </w:tcPr>
          <w:p>
            <w:pPr>
              <w:pStyle w:val="TableContents"/>
              <w:spacing w:before="0" w:after="283"/>
              <w:jc w:val="center"/>
              <w:rPr/>
            </w:pPr>
            <w:r>
              <w:rPr/>
              <w:t>June 17, 2009</w:t>
            </w:r>
          </w:p>
        </w:tc>
        <w:tc>
          <w:tcPr>
            <w:tcW w:w="147" w:type="dxa"/>
            <w:tcBorders/>
            <w:shd w:fill="CCEEFF" w:val="clear"/>
            <w:vAlign w:val="bottom"/>
          </w:tcPr>
          <w:p>
            <w:pPr>
              <w:pStyle w:val="TableContents"/>
              <w:spacing w:before="0" w:after="283"/>
              <w:rPr/>
            </w:pPr>
            <w:r>
              <w:rPr/>
              <w:t> </w:t>
            </w:r>
          </w:p>
        </w:tc>
        <w:tc>
          <w:tcPr>
            <w:tcW w:w="2682" w:type="dxa"/>
            <w:gridSpan w:val="3"/>
            <w:tcBorders/>
            <w:shd w:fill="CCEEFF" w:val="clear"/>
            <w:vAlign w:val="bottom"/>
          </w:tcPr>
          <w:p>
            <w:pPr>
              <w:pStyle w:val="TableContents"/>
              <w:spacing w:before="0" w:after="283"/>
              <w:jc w:val="center"/>
              <w:rPr/>
            </w:pPr>
            <w:r>
              <w:rPr/>
              <w:t>June 15, 2010</w:t>
            </w:r>
          </w:p>
        </w:tc>
      </w:tr>
      <w:tr>
        <w:trPr/>
        <w:tc>
          <w:tcPr>
            <w:tcW w:w="2165" w:type="dxa"/>
            <w:tcBorders/>
            <w:shd w:fill="auto" w:val="clear"/>
            <w:vAlign w:val="bottom"/>
          </w:tcPr>
          <w:p>
            <w:pPr>
              <w:pStyle w:val="TableContents"/>
              <w:spacing w:before="0" w:after="0"/>
              <w:ind w:left="225" w:right="0" w:hanging="225"/>
              <w:rPr/>
            </w:pPr>
            <w:r>
              <w:rPr/>
              <w:t> </w:t>
            </w:r>
          </w:p>
        </w:tc>
        <w:tc>
          <w:tcPr>
            <w:tcW w:w="14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1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85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21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r>
      <w:tr>
        <w:trPr/>
        <w:tc>
          <w:tcPr>
            <w:tcW w:w="2165" w:type="dxa"/>
            <w:tcBorders/>
            <w:shd w:fill="auto" w:val="clear"/>
            <w:vAlign w:val="bottom"/>
          </w:tcPr>
          <w:p>
            <w:pPr>
              <w:pStyle w:val="TableContents"/>
              <w:spacing w:before="0" w:after="0"/>
              <w:ind w:left="225" w:right="0" w:hanging="225"/>
              <w:rPr/>
            </w:pPr>
            <w:r>
              <w:rPr/>
              <w:t>Trust Preferred Securities:</w:t>
            </w:r>
          </w:p>
        </w:tc>
        <w:tc>
          <w:tcPr>
            <w:tcW w:w="14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1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85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21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r>
      <w:tr>
        <w:trPr/>
        <w:tc>
          <w:tcPr>
            <w:tcW w:w="2165" w:type="dxa"/>
            <w:tcBorders/>
            <w:shd w:fill="CCEEFF" w:val="clear"/>
            <w:vAlign w:val="bottom"/>
          </w:tcPr>
          <w:p>
            <w:pPr>
              <w:pStyle w:val="TableContents"/>
              <w:spacing w:before="0" w:after="0"/>
              <w:ind w:left="450" w:right="0" w:hanging="225"/>
              <w:rPr/>
            </w:pPr>
            <w:r>
              <w:rPr/>
              <w:t>Face value</w:t>
            </w:r>
          </w:p>
        </w:tc>
        <w:tc>
          <w:tcPr>
            <w:tcW w:w="147"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right"/>
              <w:rPr/>
            </w:pPr>
            <w:r>
              <w:rPr/>
              <w:t>$</w:t>
            </w:r>
          </w:p>
        </w:tc>
        <w:tc>
          <w:tcPr>
            <w:tcW w:w="1913" w:type="dxa"/>
            <w:tcBorders/>
            <w:shd w:fill="CCEEFF" w:val="clear"/>
            <w:vAlign w:val="bottom"/>
          </w:tcPr>
          <w:p>
            <w:pPr>
              <w:pStyle w:val="TableContents"/>
              <w:spacing w:before="0" w:after="283"/>
              <w:jc w:val="right"/>
              <w:rPr/>
            </w:pPr>
            <w:r>
              <w:rPr/>
              <w:t>25,000,000</w:t>
            </w:r>
          </w:p>
        </w:tc>
        <w:tc>
          <w:tcPr>
            <w:tcW w:w="42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jc w:val="right"/>
              <w:rPr/>
            </w:pPr>
            <w:r>
              <w:rPr/>
              <w:t>$</w:t>
            </w:r>
          </w:p>
        </w:tc>
        <w:tc>
          <w:tcPr>
            <w:tcW w:w="1850" w:type="dxa"/>
            <w:tcBorders/>
            <w:shd w:fill="CCEEFF" w:val="clear"/>
            <w:vAlign w:val="bottom"/>
          </w:tcPr>
          <w:p>
            <w:pPr>
              <w:pStyle w:val="TableContents"/>
              <w:spacing w:before="0" w:after="283"/>
              <w:jc w:val="right"/>
              <w:rPr/>
            </w:pPr>
            <w:r>
              <w:rPr/>
              <w:t>15,000,000</w:t>
            </w:r>
          </w:p>
        </w:tc>
        <w:tc>
          <w:tcPr>
            <w:tcW w:w="15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right"/>
              <w:rPr/>
            </w:pPr>
            <w:r>
              <w:rPr/>
              <w:t>$</w:t>
            </w:r>
          </w:p>
        </w:tc>
        <w:tc>
          <w:tcPr>
            <w:tcW w:w="2178" w:type="dxa"/>
            <w:tcBorders/>
            <w:shd w:fill="CCEEFF" w:val="clear"/>
            <w:vAlign w:val="bottom"/>
          </w:tcPr>
          <w:p>
            <w:pPr>
              <w:pStyle w:val="TableContents"/>
              <w:spacing w:before="0" w:after="283"/>
              <w:jc w:val="right"/>
              <w:rPr/>
            </w:pPr>
            <w:r>
              <w:rPr/>
              <w:t>10,000,000</w:t>
            </w:r>
          </w:p>
        </w:tc>
        <w:tc>
          <w:tcPr>
            <w:tcW w:w="178" w:type="dxa"/>
            <w:tcBorders/>
            <w:shd w:fill="CCEEFF" w:val="clear"/>
            <w:vAlign w:val="bottom"/>
          </w:tcPr>
          <w:p>
            <w:pPr>
              <w:pStyle w:val="TableContents"/>
              <w:spacing w:before="0" w:after="283"/>
              <w:rPr/>
            </w:pPr>
            <w:r>
              <w:rPr/>
              <w:t> </w:t>
            </w:r>
          </w:p>
        </w:tc>
      </w:tr>
      <w:tr>
        <w:trPr/>
        <w:tc>
          <w:tcPr>
            <w:tcW w:w="2165" w:type="dxa"/>
            <w:tcBorders/>
            <w:shd w:fill="auto" w:val="clear"/>
            <w:vAlign w:val="bottom"/>
          </w:tcPr>
          <w:p>
            <w:pPr>
              <w:pStyle w:val="TableContents"/>
              <w:spacing w:before="0" w:after="0"/>
              <w:ind w:left="450" w:right="0" w:hanging="225"/>
              <w:rPr/>
            </w:pPr>
            <w:r>
              <w:rPr/>
              <w:t>Annual distribution rate</w:t>
            </w:r>
          </w:p>
        </w:tc>
        <w:tc>
          <w:tcPr>
            <w:tcW w:w="14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right"/>
              <w:rPr/>
            </w:pPr>
            <w:r>
              <w:rPr/>
              <w:t> </w:t>
            </w:r>
          </w:p>
        </w:tc>
        <w:tc>
          <w:tcPr>
            <w:tcW w:w="1913" w:type="dxa"/>
            <w:tcBorders/>
            <w:shd w:fill="auto" w:val="clear"/>
            <w:vAlign w:val="bottom"/>
          </w:tcPr>
          <w:p>
            <w:pPr>
              <w:pStyle w:val="TableContents"/>
              <w:spacing w:before="0" w:after="283"/>
              <w:jc w:val="right"/>
              <w:rPr/>
            </w:pPr>
            <w:r>
              <w:rPr/>
              <w:t>9.00</w:t>
            </w:r>
          </w:p>
        </w:tc>
        <w:tc>
          <w:tcPr>
            <w:tcW w:w="425" w:type="dxa"/>
            <w:tcBorders/>
            <w:shd w:fill="auto" w:val="clear"/>
            <w:vAlign w:val="bottom"/>
          </w:tcPr>
          <w:p>
            <w:pPr>
              <w:pStyle w:val="TableContents"/>
              <w:spacing w:before="0" w:after="283"/>
              <w:rPr/>
            </w:pPr>
            <w:r>
              <w:rPr/>
              <w:t>%</w:t>
            </w:r>
          </w:p>
        </w:tc>
        <w:tc>
          <w:tcPr>
            <w:tcW w:w="147" w:type="dxa"/>
            <w:tcBorders/>
            <w:shd w:fill="auto" w:val="clear"/>
            <w:vAlign w:val="bottom"/>
          </w:tcPr>
          <w:p>
            <w:pPr>
              <w:pStyle w:val="TableContents"/>
              <w:spacing w:before="0" w:after="283"/>
              <w:rPr/>
            </w:pPr>
            <w:r>
              <w:rPr/>
              <w:t> </w:t>
            </w:r>
          </w:p>
        </w:tc>
        <w:tc>
          <w:tcPr>
            <w:tcW w:w="2287" w:type="dxa"/>
            <w:gridSpan w:val="3"/>
            <w:tcBorders/>
            <w:shd w:fill="auto" w:val="clear"/>
            <w:vAlign w:val="bottom"/>
          </w:tcPr>
          <w:p>
            <w:pPr>
              <w:pStyle w:val="TableContents"/>
              <w:spacing w:before="0" w:after="283"/>
              <w:jc w:val="center"/>
              <w:rPr/>
            </w:pPr>
            <w:r>
              <w:rPr/>
              <w:t>3-mo LIBOR + 2.65%</w:t>
            </w:r>
          </w:p>
        </w:tc>
        <w:tc>
          <w:tcPr>
            <w:tcW w:w="147" w:type="dxa"/>
            <w:tcBorders/>
            <w:shd w:fill="auto" w:val="clear"/>
            <w:vAlign w:val="bottom"/>
          </w:tcPr>
          <w:p>
            <w:pPr>
              <w:pStyle w:val="TableContents"/>
              <w:spacing w:before="0" w:after="283"/>
              <w:rPr/>
            </w:pPr>
            <w:r>
              <w:rPr/>
              <w:t> </w:t>
            </w:r>
          </w:p>
        </w:tc>
        <w:tc>
          <w:tcPr>
            <w:tcW w:w="2682" w:type="dxa"/>
            <w:gridSpan w:val="3"/>
            <w:tcBorders/>
            <w:shd w:fill="auto" w:val="clear"/>
            <w:vAlign w:val="bottom"/>
          </w:tcPr>
          <w:p>
            <w:pPr>
              <w:pStyle w:val="TableContents"/>
              <w:spacing w:before="0" w:after="283"/>
              <w:jc w:val="center"/>
              <w:rPr/>
            </w:pPr>
            <w:r>
              <w:rPr/>
              <w:t>3-mo LIBOR + 1.75%</w:t>
            </w:r>
          </w:p>
        </w:tc>
      </w:tr>
      <w:tr>
        <w:trPr/>
        <w:tc>
          <w:tcPr>
            <w:tcW w:w="2165" w:type="dxa"/>
            <w:tcBorders/>
            <w:shd w:fill="CCEEFF" w:val="clear"/>
            <w:vAlign w:val="bottom"/>
          </w:tcPr>
          <w:p>
            <w:pPr>
              <w:pStyle w:val="TableContents"/>
              <w:spacing w:before="0" w:after="0"/>
              <w:ind w:left="450" w:right="0" w:hanging="225"/>
              <w:rPr/>
            </w:pPr>
            <w:r>
              <w:rPr/>
              <w:t>Issuance date</w:t>
            </w:r>
          </w:p>
        </w:tc>
        <w:tc>
          <w:tcPr>
            <w:tcW w:w="147" w:type="dxa"/>
            <w:tcBorders/>
            <w:shd w:fill="CCEEFF" w:val="clear"/>
            <w:vAlign w:val="bottom"/>
          </w:tcPr>
          <w:p>
            <w:pPr>
              <w:pStyle w:val="TableContents"/>
              <w:spacing w:before="0" w:after="283"/>
              <w:rPr/>
            </w:pPr>
            <w:r>
              <w:rPr/>
              <w:t> </w:t>
            </w:r>
          </w:p>
        </w:tc>
        <w:tc>
          <w:tcPr>
            <w:tcW w:w="2630" w:type="dxa"/>
            <w:gridSpan w:val="3"/>
            <w:tcBorders/>
            <w:shd w:fill="CCEEFF" w:val="clear"/>
            <w:vAlign w:val="bottom"/>
          </w:tcPr>
          <w:p>
            <w:pPr>
              <w:pStyle w:val="TableContents"/>
              <w:spacing w:before="0" w:after="283"/>
              <w:jc w:val="center"/>
              <w:rPr/>
            </w:pPr>
            <w:r>
              <w:rPr/>
              <w:t>June 18, 2001</w:t>
            </w:r>
          </w:p>
        </w:tc>
        <w:tc>
          <w:tcPr>
            <w:tcW w:w="147" w:type="dxa"/>
            <w:tcBorders/>
            <w:shd w:fill="CCEEFF" w:val="clear"/>
            <w:vAlign w:val="bottom"/>
          </w:tcPr>
          <w:p>
            <w:pPr>
              <w:pStyle w:val="TableContents"/>
              <w:spacing w:before="0" w:after="283"/>
              <w:rPr/>
            </w:pPr>
            <w:r>
              <w:rPr/>
              <w:t> </w:t>
            </w:r>
          </w:p>
        </w:tc>
        <w:tc>
          <w:tcPr>
            <w:tcW w:w="2287" w:type="dxa"/>
            <w:gridSpan w:val="3"/>
            <w:tcBorders/>
            <w:shd w:fill="CCEEFF" w:val="clear"/>
            <w:vAlign w:val="bottom"/>
          </w:tcPr>
          <w:p>
            <w:pPr>
              <w:pStyle w:val="TableContents"/>
              <w:spacing w:before="0" w:after="283"/>
              <w:jc w:val="center"/>
              <w:rPr/>
            </w:pPr>
            <w:r>
              <w:rPr/>
              <w:t>April 30, 2004</w:t>
            </w:r>
          </w:p>
        </w:tc>
        <w:tc>
          <w:tcPr>
            <w:tcW w:w="147" w:type="dxa"/>
            <w:tcBorders/>
            <w:shd w:fill="CCEEFF" w:val="clear"/>
            <w:vAlign w:val="bottom"/>
          </w:tcPr>
          <w:p>
            <w:pPr>
              <w:pStyle w:val="TableContents"/>
              <w:spacing w:before="0" w:after="283"/>
              <w:rPr/>
            </w:pPr>
            <w:r>
              <w:rPr/>
              <w:t> </w:t>
            </w:r>
          </w:p>
        </w:tc>
        <w:tc>
          <w:tcPr>
            <w:tcW w:w="2682" w:type="dxa"/>
            <w:gridSpan w:val="3"/>
            <w:tcBorders/>
            <w:shd w:fill="CCEEFF" w:val="clear"/>
            <w:vAlign w:val="bottom"/>
          </w:tcPr>
          <w:p>
            <w:pPr>
              <w:pStyle w:val="TableContents"/>
              <w:spacing w:before="0" w:after="283"/>
              <w:jc w:val="center"/>
              <w:rPr/>
            </w:pPr>
            <w:r>
              <w:rPr/>
              <w:t>June 15, 2005</w:t>
            </w:r>
          </w:p>
        </w:tc>
      </w:tr>
      <w:tr>
        <w:trPr/>
        <w:tc>
          <w:tcPr>
            <w:tcW w:w="2165" w:type="dxa"/>
            <w:tcBorders/>
            <w:shd w:fill="auto" w:val="clear"/>
            <w:vAlign w:val="bottom"/>
          </w:tcPr>
          <w:p>
            <w:pPr>
              <w:pStyle w:val="TableContents"/>
              <w:spacing w:before="0" w:after="0"/>
              <w:ind w:left="450" w:right="0" w:hanging="225"/>
              <w:rPr/>
            </w:pPr>
            <w:r>
              <w:rPr/>
              <w:t>Distribution dates(2)</w:t>
            </w:r>
          </w:p>
        </w:tc>
        <w:tc>
          <w:tcPr>
            <w:tcW w:w="147" w:type="dxa"/>
            <w:tcBorders/>
            <w:shd w:fill="auto" w:val="clear"/>
            <w:vAlign w:val="bottom"/>
          </w:tcPr>
          <w:p>
            <w:pPr>
              <w:pStyle w:val="TableContents"/>
              <w:spacing w:before="0" w:after="283"/>
              <w:rPr/>
            </w:pPr>
            <w:r>
              <w:rPr/>
              <w:t> </w:t>
            </w:r>
          </w:p>
        </w:tc>
        <w:tc>
          <w:tcPr>
            <w:tcW w:w="2630" w:type="dxa"/>
            <w:gridSpan w:val="3"/>
            <w:tcBorders/>
            <w:shd w:fill="auto" w:val="clear"/>
            <w:vAlign w:val="bottom"/>
          </w:tcPr>
          <w:p>
            <w:pPr>
              <w:pStyle w:val="TableContents"/>
              <w:spacing w:before="0" w:after="283"/>
              <w:jc w:val="center"/>
              <w:rPr/>
            </w:pPr>
            <w:r>
              <w:rPr/>
              <w:t>Quarterly</w:t>
            </w:r>
          </w:p>
        </w:tc>
        <w:tc>
          <w:tcPr>
            <w:tcW w:w="147" w:type="dxa"/>
            <w:tcBorders/>
            <w:shd w:fill="auto" w:val="clear"/>
            <w:vAlign w:val="bottom"/>
          </w:tcPr>
          <w:p>
            <w:pPr>
              <w:pStyle w:val="TableContents"/>
              <w:spacing w:before="0" w:after="283"/>
              <w:rPr/>
            </w:pPr>
            <w:r>
              <w:rPr/>
              <w:t> </w:t>
            </w:r>
          </w:p>
        </w:tc>
        <w:tc>
          <w:tcPr>
            <w:tcW w:w="2287" w:type="dxa"/>
            <w:gridSpan w:val="3"/>
            <w:tcBorders/>
            <w:shd w:fill="auto" w:val="clear"/>
            <w:vAlign w:val="bottom"/>
          </w:tcPr>
          <w:p>
            <w:pPr>
              <w:pStyle w:val="TableContents"/>
              <w:spacing w:before="0" w:after="283"/>
              <w:jc w:val="center"/>
              <w:rPr/>
            </w:pPr>
            <w:r>
              <w:rPr/>
              <w:t>Quarterly</w:t>
            </w:r>
          </w:p>
        </w:tc>
        <w:tc>
          <w:tcPr>
            <w:tcW w:w="147" w:type="dxa"/>
            <w:tcBorders/>
            <w:shd w:fill="auto" w:val="clear"/>
            <w:vAlign w:val="bottom"/>
          </w:tcPr>
          <w:p>
            <w:pPr>
              <w:pStyle w:val="TableContents"/>
              <w:spacing w:before="0" w:after="283"/>
              <w:rPr/>
            </w:pPr>
            <w:r>
              <w:rPr/>
              <w:t> </w:t>
            </w:r>
          </w:p>
        </w:tc>
        <w:tc>
          <w:tcPr>
            <w:tcW w:w="2682" w:type="dxa"/>
            <w:gridSpan w:val="3"/>
            <w:tcBorders/>
            <w:shd w:fill="auto" w:val="clear"/>
            <w:vAlign w:val="bottom"/>
          </w:tcPr>
          <w:p>
            <w:pPr>
              <w:pStyle w:val="TableContents"/>
              <w:spacing w:before="0" w:after="283"/>
              <w:jc w:val="center"/>
              <w:rPr/>
            </w:pPr>
            <w:r>
              <w:rPr/>
              <w:t>Quarterly</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283"/>
              <w:rPr/>
            </w:pPr>
            <w:r>
              <w:rPr/>
              <w:t>(1) Established June 15, 2005</w:t>
            </w:r>
          </w:p>
        </w:tc>
      </w:tr>
      <w:tr>
        <w:trPr/>
        <w:tc>
          <w:tcPr>
            <w:tcW w:w="10205" w:type="dxa"/>
            <w:tcBorders/>
            <w:shd w:fill="auto" w:val="clear"/>
            <w:vAlign w:val="center"/>
          </w:tcPr>
          <w:p>
            <w:pPr>
              <w:pStyle w:val="TableContents"/>
              <w:spacing w:before="0" w:after="283"/>
              <w:rPr/>
            </w:pPr>
            <w:r>
              <w:rPr/>
              <w:t> </w:t>
            </w:r>
          </w:p>
        </w:tc>
      </w:tr>
      <w:tr>
        <w:trPr/>
        <w:tc>
          <w:tcPr>
            <w:tcW w:w="10205" w:type="dxa"/>
            <w:tcBorders/>
            <w:shd w:fill="auto" w:val="clear"/>
          </w:tcPr>
          <w:p>
            <w:pPr>
              <w:pStyle w:val="TableContents"/>
              <w:spacing w:before="0" w:after="283"/>
              <w:rPr/>
            </w:pPr>
            <w:r>
              <w:rPr/>
              <w:t>(2) All cash distributions are cumulative</w:t>
            </w:r>
          </w:p>
        </w:tc>
      </w:tr>
    </w:tbl>
    <w:p>
      <w:pPr>
        <w:pStyle w:val="TextBody"/>
        <w:spacing w:before="240" w:after="283"/>
        <w:jc w:val="left"/>
        <w:rPr>
          <w:rFonts w:ascii="Arial;Helvetica;sans-serif" w:hAnsi="Arial;Helvetica;sans-serif"/>
          <w:sz w:val="17"/>
        </w:rPr>
      </w:pPr>
      <w:r>
        <w:rPr>
          <w:rFonts w:ascii="Arial;Helvetica;sans-serif" w:hAnsi="Arial;Helvetica;sans-serif"/>
          <w:sz w:val="17"/>
        </w:rPr>
        <w:t xml:space="preserve">As of January 1, 2004, the Corporation adopted FASB Interpretation No. 46, </w:t>
      </w:r>
      <w:r>
        <w:rPr>
          <w:rFonts w:ascii="Arial;Helvetica;sans-serif" w:hAnsi="Arial;Helvetica;sans-serif"/>
          <w:i/>
          <w:sz w:val="17"/>
        </w:rPr>
        <w:t xml:space="preserve">Consolidated of Variable Interest Entities, as revised in December, 2003. </w:t>
      </w:r>
      <w:r>
        <w:rPr>
          <w:rFonts w:ascii="Arial;Helvetica;sans-serif" w:hAnsi="Arial;Helvetica;sans-serif"/>
          <w:sz w:val="17"/>
        </w:rPr>
        <w:t xml:space="preserve">Upon adoption, the Corporation deconsolidated the capital trust entities outstanding as of that date. The trust preferred securities are subject to mandatory redemption, in whole or in part, upon repayment of the junior subordinated notes at par value at the stated maturity date or upon redemption of the junior subordinated notes on a date no earlier than June 18, 2006, for First Busey Capital Trust I, June 17, 2009, for First Busey Statutory Trust II, and June 15, 2010, for First Busey Statutory Trust III. Prior to these respective redemption dates, the junior subordinated notes may also be redeemed by the Corporation (in which case the trust preferred securities would also be redeemed) after the </w:t>
      </w:r>
    </w:p>
    <w:p>
      <w:pPr>
        <w:pStyle w:val="TextBody"/>
        <w:jc w:val="center"/>
        <w:rPr>
          <w:rFonts w:ascii="Arial;Helvetica;sans-serif" w:hAnsi="Arial;Helvetica;sans-serif"/>
          <w:sz w:val="17"/>
        </w:rPr>
      </w:pPr>
      <w:r>
        <w:rPr>
          <w:rFonts w:ascii="Arial;Helvetica;sans-serif" w:hAnsi="Arial;Helvetica;sans-serif"/>
          <w:sz w:val="17"/>
        </w:rPr>
        <w:t xml:space="preserve">76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occurrence of certain events that would have a negative tax effect on the Corporation or the trusts, would cause the trust preferred securities to no longer qualify for Tier 1 capital, or would result in a trust being treated as an investment company. Each trusts ability to pay amounts due on the trust preferred securities is solely dependent upon the Corporation making payment on the related junior subordinated notes. The Corporations obligations under the junior subordinated notes and other relevant trust agreements, in aggregate, constitute a full and unconditional guarantee by the Corporation of each trusts obligations under the trust preferred securities issued by each trust. The Corporation has the right to defer payment of interest on the notes and, therefore, distributions on the trust preferred securities, for up to five years, but not beyond the stated maturity date in the table above.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 March, 2005, the Board of Governors of the Federal Reserve System issued a final rule allowing bank holding companies to continue to include qualifying trust preferred securities in their Tier I Capital for regulatory capital purposes, subject to a 25% limitation to all core (Tier I) capital elements, net of goodwill less any associated deferred tax liability. Any amount not included in Tier 1 Capital can generally be included in Total Capital. The final rule provides a five-year transition period, ending March 31, 2009, for applications of the aforementioned quantitative limitation. As of December 31, 2005, $34,838,000 of the trust preferred securities noted in the table above qualified as Tier I capital under the final rule adopted in March, 2005. </w:t>
      </w:r>
    </w:p>
    <w:p>
      <w:pPr>
        <w:pStyle w:val="TextBody"/>
        <w:spacing w:before="120" w:after="283"/>
        <w:jc w:val="left"/>
        <w:rPr>
          <w:rFonts w:ascii="Arial;Helvetica;sans-serif" w:hAnsi="Arial;Helvetica;sans-serif"/>
          <w:sz w:val="17"/>
        </w:rPr>
      </w:pPr>
      <w:r>
        <w:rPr>
          <w:rFonts w:ascii="Arial;Helvetica;sans-serif" w:hAnsi="Arial;Helvetica;sans-serif"/>
          <w:b/>
          <w:sz w:val="17"/>
        </w:rPr>
        <w:t>Note 14. Income Taxes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components of income taxes consist of: </w:t>
      </w:r>
    </w:p>
    <w:tbl>
      <w:tblPr>
        <w:tblW w:w="5000" w:type="pct"/>
        <w:jc w:val="center"/>
        <w:tblInd w:w="0" w:type="dxa"/>
        <w:tblCellMar>
          <w:top w:w="0" w:type="dxa"/>
          <w:left w:w="0" w:type="dxa"/>
          <w:bottom w:w="0" w:type="dxa"/>
          <w:right w:w="0" w:type="dxa"/>
        </w:tblCellMar>
      </w:tblPr>
      <w:tblGrid>
        <w:gridCol w:w="5070"/>
        <w:gridCol w:w="405"/>
        <w:gridCol w:w="336"/>
        <w:gridCol w:w="682"/>
        <w:gridCol w:w="296"/>
        <w:gridCol w:w="405"/>
        <w:gridCol w:w="336"/>
        <w:gridCol w:w="682"/>
        <w:gridCol w:w="295"/>
        <w:gridCol w:w="405"/>
        <w:gridCol w:w="336"/>
        <w:gridCol w:w="682"/>
        <w:gridCol w:w="275"/>
      </w:tblGrid>
      <w:tr>
        <w:trPr/>
        <w:tc>
          <w:tcPr>
            <w:tcW w:w="507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r>
      <w:tr>
        <w:trPr/>
        <w:tc>
          <w:tcPr>
            <w:tcW w:w="507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4730" w:type="dxa"/>
            <w:gridSpan w:val="11"/>
            <w:tcBorders>
              <w:bottom w:val="single" w:sz="2" w:space="0" w:color="000000"/>
            </w:tcBorders>
            <w:shd w:fill="auto" w:val="clear"/>
            <w:tcMar>
              <w:bottom w:w="28" w:type="dxa"/>
            </w:tcMar>
            <w:vAlign w:val="bottom"/>
          </w:tcPr>
          <w:p>
            <w:pPr>
              <w:pStyle w:val="TableContents"/>
              <w:spacing w:before="0" w:after="283"/>
              <w:jc w:val="center"/>
              <w:rPr/>
            </w:pPr>
            <w:r>
              <w:rPr/>
              <w:t>Years Ended December 31,</w:t>
            </w:r>
          </w:p>
        </w:tc>
      </w:tr>
      <w:tr>
        <w:trPr/>
        <w:tc>
          <w:tcPr>
            <w:tcW w:w="507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314" w:type="dxa"/>
            <w:gridSpan w:val="3"/>
            <w:tcBorders/>
            <w:shd w:fill="auto" w:val="clear"/>
            <w:vAlign w:val="bottom"/>
          </w:tcPr>
          <w:p>
            <w:pPr>
              <w:pStyle w:val="TableContents"/>
              <w:spacing w:before="0" w:after="283"/>
              <w:jc w:val="center"/>
              <w:rPr/>
            </w:pPr>
            <w:r>
              <w:rPr/>
              <w:t>2005</w:t>
            </w:r>
          </w:p>
        </w:tc>
        <w:tc>
          <w:tcPr>
            <w:tcW w:w="405" w:type="dxa"/>
            <w:tcBorders/>
            <w:shd w:fill="auto" w:val="clear"/>
            <w:vAlign w:val="bottom"/>
          </w:tcPr>
          <w:p>
            <w:pPr>
              <w:pStyle w:val="TableContents"/>
              <w:spacing w:before="0" w:after="283"/>
              <w:rPr/>
            </w:pPr>
            <w:r>
              <w:rPr/>
              <w:t> </w:t>
            </w:r>
          </w:p>
        </w:tc>
        <w:tc>
          <w:tcPr>
            <w:tcW w:w="1313" w:type="dxa"/>
            <w:gridSpan w:val="3"/>
            <w:tcBorders/>
            <w:shd w:fill="auto" w:val="clear"/>
            <w:vAlign w:val="bottom"/>
          </w:tcPr>
          <w:p>
            <w:pPr>
              <w:pStyle w:val="TableContents"/>
              <w:spacing w:before="0" w:after="283"/>
              <w:jc w:val="center"/>
              <w:rPr/>
            </w:pPr>
            <w:r>
              <w:rPr/>
              <w:t>2004</w:t>
            </w:r>
          </w:p>
        </w:tc>
        <w:tc>
          <w:tcPr>
            <w:tcW w:w="405" w:type="dxa"/>
            <w:tcBorders/>
            <w:shd w:fill="auto" w:val="clear"/>
            <w:vAlign w:val="bottom"/>
          </w:tcPr>
          <w:p>
            <w:pPr>
              <w:pStyle w:val="TableContents"/>
              <w:spacing w:before="0" w:after="283"/>
              <w:rPr/>
            </w:pPr>
            <w:r>
              <w:rPr/>
              <w:t> </w:t>
            </w:r>
          </w:p>
        </w:tc>
        <w:tc>
          <w:tcPr>
            <w:tcW w:w="1293" w:type="dxa"/>
            <w:gridSpan w:val="3"/>
            <w:tcBorders/>
            <w:shd w:fill="auto" w:val="clear"/>
            <w:vAlign w:val="bottom"/>
          </w:tcPr>
          <w:p>
            <w:pPr>
              <w:pStyle w:val="TableContents"/>
              <w:spacing w:before="0" w:after="283"/>
              <w:jc w:val="center"/>
              <w:rPr/>
            </w:pPr>
            <w:r>
              <w:rPr/>
              <w:t>2003</w:t>
            </w:r>
          </w:p>
        </w:tc>
      </w:tr>
      <w:tr>
        <w:trPr/>
        <w:tc>
          <w:tcPr>
            <w:tcW w:w="5070"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4730"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07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4730" w:type="dxa"/>
            <w:gridSpan w:val="11"/>
            <w:tcBorders/>
            <w:shd w:fill="auto" w:val="clear"/>
            <w:vAlign w:val="bottom"/>
          </w:tcPr>
          <w:p>
            <w:pPr>
              <w:pStyle w:val="TableContents"/>
              <w:spacing w:before="0" w:after="283"/>
              <w:jc w:val="center"/>
              <w:rPr/>
            </w:pPr>
            <w:r>
              <w:rPr/>
              <w:t>(Dollars in thousands)</w:t>
            </w:r>
          </w:p>
        </w:tc>
      </w:tr>
      <w:tr>
        <w:trPr/>
        <w:tc>
          <w:tcPr>
            <w:tcW w:w="5070" w:type="dxa"/>
            <w:tcBorders/>
            <w:shd w:fill="CCEEFF" w:val="clear"/>
            <w:vAlign w:val="bottom"/>
          </w:tcPr>
          <w:p>
            <w:pPr>
              <w:pStyle w:val="TableContents"/>
              <w:spacing w:before="0" w:after="0"/>
              <w:ind w:left="225" w:right="0" w:hanging="225"/>
              <w:rPr/>
            </w:pPr>
            <w:r>
              <w:rPr/>
              <w:t>Current</w:t>
            </w:r>
          </w:p>
        </w:tc>
        <w:tc>
          <w:tcPr>
            <w:tcW w:w="40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682" w:type="dxa"/>
            <w:tcBorders/>
            <w:shd w:fill="CCEEFF" w:val="clear"/>
            <w:vAlign w:val="bottom"/>
          </w:tcPr>
          <w:p>
            <w:pPr>
              <w:pStyle w:val="TableContents"/>
              <w:spacing w:before="0" w:after="283"/>
              <w:jc w:val="right"/>
              <w:rPr/>
            </w:pPr>
            <w:r>
              <w:rPr/>
              <w:t>13,658</w:t>
            </w:r>
          </w:p>
        </w:tc>
        <w:tc>
          <w:tcPr>
            <w:tcW w:w="296"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682" w:type="dxa"/>
            <w:tcBorders/>
            <w:shd w:fill="CCEEFF" w:val="clear"/>
            <w:vAlign w:val="bottom"/>
          </w:tcPr>
          <w:p>
            <w:pPr>
              <w:pStyle w:val="TableContents"/>
              <w:spacing w:before="0" w:after="283"/>
              <w:jc w:val="right"/>
              <w:rPr/>
            </w:pPr>
            <w:r>
              <w:rPr/>
              <w:t>12,295</w:t>
            </w:r>
          </w:p>
        </w:tc>
        <w:tc>
          <w:tcPr>
            <w:tcW w:w="295"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682" w:type="dxa"/>
            <w:tcBorders/>
            <w:shd w:fill="CCEEFF" w:val="clear"/>
            <w:vAlign w:val="bottom"/>
          </w:tcPr>
          <w:p>
            <w:pPr>
              <w:pStyle w:val="TableContents"/>
              <w:spacing w:before="0" w:after="283"/>
              <w:jc w:val="right"/>
              <w:rPr/>
            </w:pPr>
            <w:r>
              <w:rPr/>
              <w:t>9,681</w:t>
            </w:r>
          </w:p>
        </w:tc>
        <w:tc>
          <w:tcPr>
            <w:tcW w:w="275" w:type="dxa"/>
            <w:tcBorders/>
            <w:shd w:fill="CCEEFF" w:val="clear"/>
            <w:vAlign w:val="bottom"/>
          </w:tcPr>
          <w:p>
            <w:pPr>
              <w:pStyle w:val="TableContents"/>
              <w:spacing w:before="0" w:after="283"/>
              <w:rPr/>
            </w:pPr>
            <w:r>
              <w:rPr/>
              <w:t> </w:t>
            </w:r>
          </w:p>
        </w:tc>
      </w:tr>
      <w:tr>
        <w:trPr/>
        <w:tc>
          <w:tcPr>
            <w:tcW w:w="5070" w:type="dxa"/>
            <w:tcBorders/>
            <w:shd w:fill="auto" w:val="clear"/>
            <w:vAlign w:val="bottom"/>
          </w:tcPr>
          <w:p>
            <w:pPr>
              <w:pStyle w:val="TableContents"/>
              <w:spacing w:before="0" w:after="0"/>
              <w:ind w:left="225" w:right="0" w:hanging="225"/>
              <w:rPr/>
            </w:pPr>
            <w:r>
              <w:rPr/>
              <w:t>Deferred</w:t>
            </w:r>
          </w:p>
        </w:tc>
        <w:tc>
          <w:tcPr>
            <w:tcW w:w="40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pPr>
            <w:r>
              <w:rPr/>
              <w:t> </w:t>
            </w:r>
          </w:p>
        </w:tc>
        <w:tc>
          <w:tcPr>
            <w:tcW w:w="682" w:type="dxa"/>
            <w:tcBorders/>
            <w:shd w:fill="auto" w:val="clear"/>
            <w:vAlign w:val="bottom"/>
          </w:tcPr>
          <w:p>
            <w:pPr>
              <w:pStyle w:val="TableContents"/>
              <w:spacing w:before="0" w:after="283"/>
              <w:jc w:val="right"/>
              <w:rPr/>
            </w:pPr>
            <w:r>
              <w:rPr/>
              <w:t>(698</w:t>
            </w:r>
          </w:p>
        </w:tc>
        <w:tc>
          <w:tcPr>
            <w:tcW w:w="296" w:type="dxa"/>
            <w:tcBorders/>
            <w:shd w:fill="auto" w:val="clear"/>
            <w:vAlign w:val="bottom"/>
          </w:tcPr>
          <w:p>
            <w:pPr>
              <w:pStyle w:val="TableContents"/>
              <w:spacing w:before="0" w:after="283"/>
              <w:rPr/>
            </w:pPr>
            <w:r>
              <w:rPr/>
              <w:t>)</w:t>
            </w:r>
          </w:p>
        </w:tc>
        <w:tc>
          <w:tcPr>
            <w:tcW w:w="40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pPr>
            <w:r>
              <w:rPr/>
              <w:t> </w:t>
            </w:r>
          </w:p>
        </w:tc>
        <w:tc>
          <w:tcPr>
            <w:tcW w:w="682" w:type="dxa"/>
            <w:tcBorders/>
            <w:shd w:fill="auto" w:val="clear"/>
            <w:vAlign w:val="bottom"/>
          </w:tcPr>
          <w:p>
            <w:pPr>
              <w:pStyle w:val="TableContents"/>
              <w:spacing w:before="0" w:after="283"/>
              <w:jc w:val="right"/>
              <w:rPr/>
            </w:pPr>
            <w:r>
              <w:rPr/>
              <w:t>(1,071</w:t>
            </w:r>
          </w:p>
        </w:tc>
        <w:tc>
          <w:tcPr>
            <w:tcW w:w="295" w:type="dxa"/>
            <w:tcBorders/>
            <w:shd w:fill="auto" w:val="clear"/>
            <w:vAlign w:val="bottom"/>
          </w:tcPr>
          <w:p>
            <w:pPr>
              <w:pStyle w:val="TableContents"/>
              <w:spacing w:before="0" w:after="283"/>
              <w:rPr/>
            </w:pPr>
            <w:r>
              <w:rPr/>
              <w:t>)</w:t>
            </w:r>
          </w:p>
        </w:tc>
        <w:tc>
          <w:tcPr>
            <w:tcW w:w="40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344</w:t>
            </w:r>
          </w:p>
        </w:tc>
        <w:tc>
          <w:tcPr>
            <w:tcW w:w="275" w:type="dxa"/>
            <w:tcBorders/>
            <w:shd w:fill="auto" w:val="clear"/>
            <w:vAlign w:val="bottom"/>
          </w:tcPr>
          <w:p>
            <w:pPr>
              <w:pStyle w:val="TableContents"/>
              <w:spacing w:before="0" w:after="283"/>
              <w:rPr/>
            </w:pPr>
            <w:r>
              <w:rPr/>
              <w:t> </w:t>
            </w:r>
          </w:p>
        </w:tc>
      </w:tr>
      <w:tr>
        <w:trPr/>
        <w:tc>
          <w:tcPr>
            <w:tcW w:w="5070"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4730"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070" w:type="dxa"/>
            <w:tcBorders/>
            <w:shd w:fill="auto" w:val="clear"/>
            <w:vAlign w:val="bottom"/>
          </w:tcPr>
          <w:p>
            <w:pPr>
              <w:pStyle w:val="TableContents"/>
              <w:spacing w:before="0" w:after="0"/>
              <w:ind w:left="225" w:right="0" w:hanging="225"/>
              <w:rPr/>
            </w:pPr>
            <w:r>
              <w:rPr/>
              <w:t> </w:t>
            </w:r>
          </w:p>
        </w:tc>
        <w:tc>
          <w:tcPr>
            <w:tcW w:w="40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r>
      <w:tr>
        <w:trPr/>
        <w:tc>
          <w:tcPr>
            <w:tcW w:w="5070" w:type="dxa"/>
            <w:tcBorders/>
            <w:shd w:fill="CCEEFF" w:val="clear"/>
            <w:vAlign w:val="bottom"/>
          </w:tcPr>
          <w:p>
            <w:pPr>
              <w:pStyle w:val="TableContents"/>
              <w:spacing w:before="0" w:after="0"/>
              <w:ind w:left="450" w:right="0" w:hanging="225"/>
              <w:rPr>
                <w:b/>
              </w:rPr>
            </w:pPr>
            <w:r>
              <w:rPr>
                <w:b/>
              </w:rPr>
              <w:t>Total income tax expense</w:t>
            </w:r>
          </w:p>
        </w:tc>
        <w:tc>
          <w:tcPr>
            <w:tcW w:w="40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682" w:type="dxa"/>
            <w:tcBorders/>
            <w:shd w:fill="CCEEFF" w:val="clear"/>
            <w:vAlign w:val="bottom"/>
          </w:tcPr>
          <w:p>
            <w:pPr>
              <w:pStyle w:val="TableContents"/>
              <w:spacing w:before="0" w:after="283"/>
              <w:jc w:val="right"/>
              <w:rPr/>
            </w:pPr>
            <w:r>
              <w:rPr/>
              <w:t>12,960</w:t>
            </w:r>
          </w:p>
        </w:tc>
        <w:tc>
          <w:tcPr>
            <w:tcW w:w="296"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682" w:type="dxa"/>
            <w:tcBorders/>
            <w:shd w:fill="CCEEFF" w:val="clear"/>
            <w:vAlign w:val="bottom"/>
          </w:tcPr>
          <w:p>
            <w:pPr>
              <w:pStyle w:val="TableContents"/>
              <w:spacing w:before="0" w:after="283"/>
              <w:jc w:val="right"/>
              <w:rPr/>
            </w:pPr>
            <w:r>
              <w:rPr/>
              <w:t>11,224</w:t>
            </w:r>
          </w:p>
        </w:tc>
        <w:tc>
          <w:tcPr>
            <w:tcW w:w="295"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682" w:type="dxa"/>
            <w:tcBorders/>
            <w:shd w:fill="CCEEFF" w:val="clear"/>
            <w:vAlign w:val="bottom"/>
          </w:tcPr>
          <w:p>
            <w:pPr>
              <w:pStyle w:val="TableContents"/>
              <w:spacing w:before="0" w:after="283"/>
              <w:jc w:val="right"/>
              <w:rPr/>
            </w:pPr>
            <w:r>
              <w:rPr/>
              <w:t>10,025</w:t>
            </w:r>
          </w:p>
        </w:tc>
        <w:tc>
          <w:tcPr>
            <w:tcW w:w="275" w:type="dxa"/>
            <w:tcBorders/>
            <w:shd w:fill="CCEEFF" w:val="clear"/>
            <w:vAlign w:val="bottom"/>
          </w:tcPr>
          <w:p>
            <w:pPr>
              <w:pStyle w:val="TableContents"/>
              <w:spacing w:before="0" w:after="283"/>
              <w:rPr/>
            </w:pPr>
            <w:r>
              <w:rPr/>
              <w:t> </w:t>
            </w:r>
          </w:p>
        </w:tc>
      </w:tr>
      <w:tr>
        <w:trPr/>
        <w:tc>
          <w:tcPr>
            <w:tcW w:w="5070" w:type="dxa"/>
            <w:tcBorders/>
            <w:shd w:fill="auto" w:val="clear"/>
            <w:vAlign w:val="center"/>
          </w:tcPr>
          <w:p>
            <w:pPr>
              <w:pStyle w:val="TableContents"/>
              <w:spacing w:before="0" w:after="283"/>
              <w:rPr/>
            </w:pPr>
            <w:r>
              <w:rPr/>
              <w:t> </w:t>
            </w:r>
          </w:p>
        </w:tc>
        <w:tc>
          <w:tcPr>
            <w:tcW w:w="405" w:type="dxa"/>
            <w:tcBorders/>
            <w:shd w:fill="auto" w:val="clear"/>
            <w:vAlign w:val="center"/>
          </w:tcPr>
          <w:p>
            <w:pPr>
              <w:pStyle w:val="TableContents"/>
              <w:spacing w:before="0" w:after="283"/>
              <w:rPr/>
            </w:pPr>
            <w:r>
              <w:rPr/>
              <w:t> </w:t>
            </w:r>
          </w:p>
        </w:tc>
        <w:tc>
          <w:tcPr>
            <w:tcW w:w="4730"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240" w:after="283"/>
        <w:jc w:val="left"/>
        <w:rPr>
          <w:rFonts w:ascii="Arial;Helvetica;sans-serif" w:hAnsi="Arial;Helvetica;sans-serif"/>
          <w:sz w:val="17"/>
        </w:rPr>
      </w:pPr>
      <w:r>
        <w:rPr>
          <w:rFonts w:ascii="Arial;Helvetica;sans-serif" w:hAnsi="Arial;Helvetica;sans-serif"/>
          <w:sz w:val="17"/>
        </w:rPr>
        <w:t xml:space="preserve">A reconciliation of federal and state income taxes at statutory rates to the income taxes included in the statements of income is as follows: </w:t>
      </w:r>
    </w:p>
    <w:tbl>
      <w:tblPr>
        <w:tblW w:w="5000" w:type="pct"/>
        <w:jc w:val="center"/>
        <w:tblInd w:w="0" w:type="dxa"/>
        <w:tblCellMar>
          <w:top w:w="0" w:type="dxa"/>
          <w:left w:w="0" w:type="dxa"/>
          <w:bottom w:w="0" w:type="dxa"/>
          <w:right w:w="0" w:type="dxa"/>
        </w:tblCellMar>
      </w:tblPr>
      <w:tblGrid>
        <w:gridCol w:w="1928"/>
        <w:gridCol w:w="224"/>
        <w:gridCol w:w="233"/>
        <w:gridCol w:w="681"/>
        <w:gridCol w:w="191"/>
        <w:gridCol w:w="224"/>
        <w:gridCol w:w="182"/>
        <w:gridCol w:w="642"/>
        <w:gridCol w:w="376"/>
        <w:gridCol w:w="224"/>
        <w:gridCol w:w="233"/>
        <w:gridCol w:w="681"/>
        <w:gridCol w:w="190"/>
        <w:gridCol w:w="224"/>
        <w:gridCol w:w="182"/>
        <w:gridCol w:w="642"/>
        <w:gridCol w:w="376"/>
        <w:gridCol w:w="224"/>
        <w:gridCol w:w="233"/>
        <w:gridCol w:w="681"/>
        <w:gridCol w:w="191"/>
        <w:gridCol w:w="224"/>
        <w:gridCol w:w="182"/>
        <w:gridCol w:w="641"/>
        <w:gridCol w:w="396"/>
      </w:tblGrid>
      <w:tr>
        <w:trPr/>
        <w:tc>
          <w:tcPr>
            <w:tcW w:w="1928"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r>
      <w:tr>
        <w:trPr/>
        <w:tc>
          <w:tcPr>
            <w:tcW w:w="1928"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7657" w:type="dxa"/>
            <w:gridSpan w:val="22"/>
            <w:tcBorders>
              <w:bottom w:val="single" w:sz="2" w:space="0" w:color="000000"/>
            </w:tcBorders>
            <w:shd w:fill="auto" w:val="clear"/>
            <w:tcMar>
              <w:bottom w:w="28" w:type="dxa"/>
            </w:tcMar>
            <w:vAlign w:val="bottom"/>
          </w:tcPr>
          <w:p>
            <w:pPr>
              <w:pStyle w:val="TableContents"/>
              <w:spacing w:before="0" w:after="283"/>
              <w:jc w:val="center"/>
              <w:rPr/>
            </w:pPr>
            <w:r>
              <w:rPr/>
              <w:t>Years Ended December 31,</w:t>
            </w:r>
          </w:p>
        </w:tc>
        <w:tc>
          <w:tcPr>
            <w:tcW w:w="396" w:type="dxa"/>
            <w:tcBorders/>
            <w:shd w:fill="auto" w:val="clear"/>
            <w:vAlign w:val="bottom"/>
          </w:tcPr>
          <w:p>
            <w:pPr>
              <w:pStyle w:val="TableContents"/>
              <w:spacing w:before="0" w:after="283"/>
              <w:rPr/>
            </w:pPr>
            <w:r>
              <w:rPr/>
              <w:t> </w:t>
            </w:r>
          </w:p>
        </w:tc>
      </w:tr>
      <w:tr>
        <w:trPr/>
        <w:tc>
          <w:tcPr>
            <w:tcW w:w="1928"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53" w:type="dxa"/>
            <w:gridSpan w:val="6"/>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52" w:type="dxa"/>
            <w:gridSpan w:val="6"/>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52" w:type="dxa"/>
            <w:gridSpan w:val="6"/>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396" w:type="dxa"/>
            <w:tcBorders/>
            <w:shd w:fill="auto" w:val="clear"/>
            <w:vAlign w:val="bottom"/>
          </w:tcPr>
          <w:p>
            <w:pPr>
              <w:pStyle w:val="TableContents"/>
              <w:spacing w:before="0" w:after="283"/>
              <w:rPr/>
            </w:pPr>
            <w:r>
              <w:rPr/>
              <w:t> </w:t>
            </w:r>
          </w:p>
        </w:tc>
      </w:tr>
      <w:tr>
        <w:trPr/>
        <w:tc>
          <w:tcPr>
            <w:tcW w:w="1928"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824" w:type="dxa"/>
            <w:gridSpan w:val="2"/>
            <w:tcBorders/>
            <w:shd w:fill="auto" w:val="clear"/>
            <w:vAlign w:val="bottom"/>
          </w:tcPr>
          <w:p>
            <w:pPr>
              <w:pStyle w:val="TableContents"/>
              <w:spacing w:before="0" w:after="283"/>
              <w:jc w:val="center"/>
              <w:rPr/>
            </w:pPr>
            <w:r>
              <w:rPr/>
              <w:t>% of</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824" w:type="dxa"/>
            <w:gridSpan w:val="2"/>
            <w:tcBorders/>
            <w:shd w:fill="auto" w:val="clear"/>
            <w:vAlign w:val="bottom"/>
          </w:tcPr>
          <w:p>
            <w:pPr>
              <w:pStyle w:val="TableContents"/>
              <w:spacing w:before="0" w:after="283"/>
              <w:jc w:val="center"/>
              <w:rPr/>
            </w:pPr>
            <w:r>
              <w:rPr/>
              <w:t>% of</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823" w:type="dxa"/>
            <w:gridSpan w:val="2"/>
            <w:tcBorders/>
            <w:shd w:fill="auto" w:val="clear"/>
            <w:vAlign w:val="bottom"/>
          </w:tcPr>
          <w:p>
            <w:pPr>
              <w:pStyle w:val="TableContents"/>
              <w:spacing w:before="0" w:after="283"/>
              <w:jc w:val="center"/>
              <w:rPr/>
            </w:pPr>
            <w:r>
              <w:rPr/>
              <w:t>% of</w:t>
            </w:r>
          </w:p>
        </w:tc>
        <w:tc>
          <w:tcPr>
            <w:tcW w:w="396" w:type="dxa"/>
            <w:tcBorders/>
            <w:shd w:fill="auto" w:val="clear"/>
            <w:vAlign w:val="bottom"/>
          </w:tcPr>
          <w:p>
            <w:pPr>
              <w:pStyle w:val="TableContents"/>
              <w:spacing w:before="0" w:after="283"/>
              <w:rPr/>
            </w:pPr>
            <w:r>
              <w:rPr/>
              <w:t> </w:t>
            </w:r>
          </w:p>
        </w:tc>
      </w:tr>
      <w:tr>
        <w:trPr/>
        <w:tc>
          <w:tcPr>
            <w:tcW w:w="1928"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824" w:type="dxa"/>
            <w:gridSpan w:val="2"/>
            <w:tcBorders/>
            <w:shd w:fill="auto" w:val="clear"/>
            <w:vAlign w:val="bottom"/>
          </w:tcPr>
          <w:p>
            <w:pPr>
              <w:pStyle w:val="TableContents"/>
              <w:spacing w:before="0" w:after="283"/>
              <w:jc w:val="center"/>
              <w:rPr/>
            </w:pPr>
            <w:r>
              <w:rPr/>
              <w:t>Pretax</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824" w:type="dxa"/>
            <w:gridSpan w:val="2"/>
            <w:tcBorders/>
            <w:shd w:fill="auto" w:val="clear"/>
            <w:vAlign w:val="bottom"/>
          </w:tcPr>
          <w:p>
            <w:pPr>
              <w:pStyle w:val="TableContents"/>
              <w:spacing w:before="0" w:after="283"/>
              <w:jc w:val="center"/>
              <w:rPr/>
            </w:pPr>
            <w:r>
              <w:rPr/>
              <w:t>Pretax</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823" w:type="dxa"/>
            <w:gridSpan w:val="2"/>
            <w:tcBorders/>
            <w:shd w:fill="auto" w:val="clear"/>
            <w:vAlign w:val="bottom"/>
          </w:tcPr>
          <w:p>
            <w:pPr>
              <w:pStyle w:val="TableContents"/>
              <w:spacing w:before="0" w:after="283"/>
              <w:jc w:val="center"/>
              <w:rPr/>
            </w:pPr>
            <w:r>
              <w:rPr/>
              <w:t>Pretax</w:t>
            </w:r>
          </w:p>
        </w:tc>
        <w:tc>
          <w:tcPr>
            <w:tcW w:w="396" w:type="dxa"/>
            <w:tcBorders/>
            <w:shd w:fill="auto" w:val="clear"/>
            <w:vAlign w:val="bottom"/>
          </w:tcPr>
          <w:p>
            <w:pPr>
              <w:pStyle w:val="TableContents"/>
              <w:spacing w:before="0" w:after="283"/>
              <w:rPr/>
            </w:pPr>
            <w:r>
              <w:rPr/>
              <w:t> </w:t>
            </w:r>
          </w:p>
        </w:tc>
      </w:tr>
      <w:tr>
        <w:trPr/>
        <w:tc>
          <w:tcPr>
            <w:tcW w:w="1928"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14" w:type="dxa"/>
            <w:gridSpan w:val="2"/>
            <w:tcBorders/>
            <w:shd w:fill="auto" w:val="clear"/>
            <w:vAlign w:val="bottom"/>
          </w:tcPr>
          <w:p>
            <w:pPr>
              <w:pStyle w:val="TableContents"/>
              <w:spacing w:before="0" w:after="283"/>
              <w:jc w:val="center"/>
              <w:rPr/>
            </w:pPr>
            <w:r>
              <w:rPr/>
              <w:t>Amount</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824" w:type="dxa"/>
            <w:gridSpan w:val="2"/>
            <w:tcBorders/>
            <w:shd w:fill="auto" w:val="clear"/>
            <w:vAlign w:val="bottom"/>
          </w:tcPr>
          <w:p>
            <w:pPr>
              <w:pStyle w:val="TableContents"/>
              <w:spacing w:before="0" w:after="283"/>
              <w:jc w:val="center"/>
              <w:rPr/>
            </w:pPr>
            <w:r>
              <w:rPr/>
              <w:t>Income</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14" w:type="dxa"/>
            <w:gridSpan w:val="2"/>
            <w:tcBorders/>
            <w:shd w:fill="auto" w:val="clear"/>
            <w:vAlign w:val="bottom"/>
          </w:tcPr>
          <w:p>
            <w:pPr>
              <w:pStyle w:val="TableContents"/>
              <w:spacing w:before="0" w:after="283"/>
              <w:jc w:val="center"/>
              <w:rPr/>
            </w:pPr>
            <w:r>
              <w:rPr/>
              <w:t>Amount</w:t>
            </w:r>
          </w:p>
        </w:tc>
        <w:tc>
          <w:tcPr>
            <w:tcW w:w="19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824" w:type="dxa"/>
            <w:gridSpan w:val="2"/>
            <w:tcBorders/>
            <w:shd w:fill="auto" w:val="clear"/>
            <w:vAlign w:val="bottom"/>
          </w:tcPr>
          <w:p>
            <w:pPr>
              <w:pStyle w:val="TableContents"/>
              <w:spacing w:before="0" w:after="283"/>
              <w:jc w:val="center"/>
              <w:rPr/>
            </w:pPr>
            <w:r>
              <w:rPr/>
              <w:t>Income</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14" w:type="dxa"/>
            <w:gridSpan w:val="2"/>
            <w:tcBorders/>
            <w:shd w:fill="auto" w:val="clear"/>
            <w:vAlign w:val="bottom"/>
          </w:tcPr>
          <w:p>
            <w:pPr>
              <w:pStyle w:val="TableContents"/>
              <w:spacing w:before="0" w:after="283"/>
              <w:jc w:val="center"/>
              <w:rPr/>
            </w:pPr>
            <w:r>
              <w:rPr/>
              <w:t>Amount</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823" w:type="dxa"/>
            <w:gridSpan w:val="2"/>
            <w:tcBorders/>
            <w:shd w:fill="auto" w:val="clear"/>
            <w:vAlign w:val="bottom"/>
          </w:tcPr>
          <w:p>
            <w:pPr>
              <w:pStyle w:val="TableContents"/>
              <w:spacing w:before="0" w:after="283"/>
              <w:jc w:val="center"/>
              <w:rPr/>
            </w:pPr>
            <w:r>
              <w:rPr/>
              <w:t>Income</w:t>
            </w:r>
          </w:p>
        </w:tc>
        <w:tc>
          <w:tcPr>
            <w:tcW w:w="396" w:type="dxa"/>
            <w:tcBorders/>
            <w:shd w:fill="auto" w:val="clear"/>
            <w:vAlign w:val="bottom"/>
          </w:tcPr>
          <w:p>
            <w:pPr>
              <w:pStyle w:val="TableContents"/>
              <w:spacing w:before="0" w:after="283"/>
              <w:rPr/>
            </w:pPr>
            <w:r>
              <w:rPr/>
              <w:t> </w:t>
            </w:r>
          </w:p>
        </w:tc>
      </w:tr>
      <w:tr>
        <w:trPr/>
        <w:tc>
          <w:tcPr>
            <w:tcW w:w="1928"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8053"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928"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8053" w:type="dxa"/>
            <w:gridSpan w:val="23"/>
            <w:tcBorders/>
            <w:shd w:fill="auto" w:val="clear"/>
            <w:vAlign w:val="bottom"/>
          </w:tcPr>
          <w:p>
            <w:pPr>
              <w:pStyle w:val="TableContents"/>
              <w:spacing w:before="0" w:after="283"/>
              <w:jc w:val="center"/>
              <w:rPr/>
            </w:pPr>
            <w:r>
              <w:rPr/>
              <w:t>(Dollars in thousands)</w:t>
            </w:r>
          </w:p>
        </w:tc>
      </w:tr>
      <w:tr>
        <w:trPr/>
        <w:tc>
          <w:tcPr>
            <w:tcW w:w="1928" w:type="dxa"/>
            <w:tcBorders/>
            <w:shd w:fill="CCEEFF" w:val="clear"/>
            <w:vAlign w:val="bottom"/>
          </w:tcPr>
          <w:p>
            <w:pPr>
              <w:pStyle w:val="TableContents"/>
              <w:spacing w:before="0" w:after="0"/>
              <w:ind w:left="225" w:right="0" w:hanging="225"/>
              <w:rPr/>
            </w:pPr>
            <w:r>
              <w:rPr/>
              <w:t>Income tax at statutory rate</w:t>
            </w:r>
          </w:p>
        </w:tc>
        <w:tc>
          <w:tcPr>
            <w:tcW w:w="22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w:t>
            </w:r>
          </w:p>
        </w:tc>
        <w:tc>
          <w:tcPr>
            <w:tcW w:w="681" w:type="dxa"/>
            <w:tcBorders/>
            <w:shd w:fill="CCEEFF" w:val="clear"/>
            <w:vAlign w:val="bottom"/>
          </w:tcPr>
          <w:p>
            <w:pPr>
              <w:pStyle w:val="TableContents"/>
              <w:spacing w:before="0" w:after="283"/>
              <w:jc w:val="right"/>
              <w:rPr/>
            </w:pPr>
            <w:r>
              <w:rPr/>
              <w:t>13,963</w:t>
            </w:r>
          </w:p>
        </w:tc>
        <w:tc>
          <w:tcPr>
            <w:tcW w:w="191"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642" w:type="dxa"/>
            <w:tcBorders/>
            <w:shd w:fill="CCEEFF" w:val="clear"/>
            <w:vAlign w:val="bottom"/>
          </w:tcPr>
          <w:p>
            <w:pPr>
              <w:pStyle w:val="TableContents"/>
              <w:spacing w:before="0" w:after="283"/>
              <w:jc w:val="right"/>
              <w:rPr/>
            </w:pPr>
            <w:r>
              <w:rPr/>
              <w:t>35.0</w:t>
            </w:r>
          </w:p>
        </w:tc>
        <w:tc>
          <w:tcPr>
            <w:tcW w:w="376"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w:t>
            </w:r>
          </w:p>
        </w:tc>
        <w:tc>
          <w:tcPr>
            <w:tcW w:w="681" w:type="dxa"/>
            <w:tcBorders/>
            <w:shd w:fill="CCEEFF" w:val="clear"/>
            <w:vAlign w:val="bottom"/>
          </w:tcPr>
          <w:p>
            <w:pPr>
              <w:pStyle w:val="TableContents"/>
              <w:spacing w:before="0" w:after="283"/>
              <w:jc w:val="right"/>
              <w:rPr/>
            </w:pPr>
            <w:r>
              <w:rPr/>
              <w:t>11,787</w:t>
            </w:r>
          </w:p>
        </w:tc>
        <w:tc>
          <w:tcPr>
            <w:tcW w:w="190"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642" w:type="dxa"/>
            <w:tcBorders/>
            <w:shd w:fill="CCEEFF" w:val="clear"/>
            <w:vAlign w:val="bottom"/>
          </w:tcPr>
          <w:p>
            <w:pPr>
              <w:pStyle w:val="TableContents"/>
              <w:spacing w:before="0" w:after="283"/>
              <w:jc w:val="right"/>
              <w:rPr/>
            </w:pPr>
            <w:r>
              <w:rPr/>
              <w:t>35.0</w:t>
            </w:r>
          </w:p>
        </w:tc>
        <w:tc>
          <w:tcPr>
            <w:tcW w:w="376"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w:t>
            </w:r>
          </w:p>
        </w:tc>
        <w:tc>
          <w:tcPr>
            <w:tcW w:w="681" w:type="dxa"/>
            <w:tcBorders/>
            <w:shd w:fill="CCEEFF" w:val="clear"/>
            <w:vAlign w:val="bottom"/>
          </w:tcPr>
          <w:p>
            <w:pPr>
              <w:pStyle w:val="TableContents"/>
              <w:spacing w:before="0" w:after="283"/>
              <w:jc w:val="right"/>
              <w:rPr/>
            </w:pPr>
            <w:r>
              <w:rPr/>
              <w:t>10,461</w:t>
            </w:r>
          </w:p>
        </w:tc>
        <w:tc>
          <w:tcPr>
            <w:tcW w:w="191"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35.0</w:t>
            </w:r>
          </w:p>
        </w:tc>
        <w:tc>
          <w:tcPr>
            <w:tcW w:w="396" w:type="dxa"/>
            <w:tcBorders/>
            <w:shd w:fill="CCEEFF" w:val="clear"/>
            <w:vAlign w:val="bottom"/>
          </w:tcPr>
          <w:p>
            <w:pPr>
              <w:pStyle w:val="TableContents"/>
              <w:spacing w:before="0" w:after="283"/>
              <w:rPr/>
            </w:pPr>
            <w:r>
              <w:rPr/>
              <w:t>%</w:t>
            </w:r>
          </w:p>
        </w:tc>
      </w:tr>
      <w:tr>
        <w:trPr/>
        <w:tc>
          <w:tcPr>
            <w:tcW w:w="1928" w:type="dxa"/>
            <w:tcBorders/>
            <w:shd w:fill="auto" w:val="clear"/>
            <w:vAlign w:val="bottom"/>
          </w:tcPr>
          <w:p>
            <w:pPr>
              <w:pStyle w:val="TableContents"/>
              <w:spacing w:before="0" w:after="0"/>
              <w:ind w:left="225" w:right="0" w:hanging="225"/>
              <w:rPr/>
            </w:pPr>
            <w:r>
              <w:rPr/>
              <w:t>Effect of:</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r>
      <w:tr>
        <w:trPr/>
        <w:tc>
          <w:tcPr>
            <w:tcW w:w="1928" w:type="dxa"/>
            <w:tcBorders/>
            <w:shd w:fill="CCEEFF" w:val="clear"/>
            <w:vAlign w:val="bottom"/>
          </w:tcPr>
          <w:p>
            <w:pPr>
              <w:pStyle w:val="TableContents"/>
              <w:spacing w:before="0" w:after="0"/>
              <w:ind w:left="450" w:right="0" w:hanging="225"/>
              <w:rPr/>
            </w:pPr>
            <w:r>
              <w:rPr/>
              <w:t>Tax-exempt interest, net</w:t>
            </w:r>
          </w:p>
        </w:tc>
        <w:tc>
          <w:tcPr>
            <w:tcW w:w="22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(966</w:t>
            </w:r>
          </w:p>
        </w:tc>
        <w:tc>
          <w:tcPr>
            <w:tcW w:w="191"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642" w:type="dxa"/>
            <w:tcBorders/>
            <w:shd w:fill="CCEEFF" w:val="clear"/>
            <w:vAlign w:val="bottom"/>
          </w:tcPr>
          <w:p>
            <w:pPr>
              <w:pStyle w:val="TableContents"/>
              <w:spacing w:before="0" w:after="283"/>
              <w:jc w:val="right"/>
              <w:rPr/>
            </w:pPr>
            <w:r>
              <w:rPr/>
              <w:t>(2.4</w:t>
            </w:r>
          </w:p>
        </w:tc>
        <w:tc>
          <w:tcPr>
            <w:tcW w:w="376"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(797</w:t>
            </w:r>
          </w:p>
        </w:tc>
        <w:tc>
          <w:tcPr>
            <w:tcW w:w="190"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642" w:type="dxa"/>
            <w:tcBorders/>
            <w:shd w:fill="CCEEFF" w:val="clear"/>
            <w:vAlign w:val="bottom"/>
          </w:tcPr>
          <w:p>
            <w:pPr>
              <w:pStyle w:val="TableContents"/>
              <w:spacing w:before="0" w:after="283"/>
              <w:jc w:val="right"/>
              <w:rPr/>
            </w:pPr>
            <w:r>
              <w:rPr/>
              <w:t>(2.4</w:t>
            </w:r>
          </w:p>
        </w:tc>
        <w:tc>
          <w:tcPr>
            <w:tcW w:w="376"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(819</w:t>
            </w:r>
          </w:p>
        </w:tc>
        <w:tc>
          <w:tcPr>
            <w:tcW w:w="191"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(2.7</w:t>
            </w:r>
          </w:p>
        </w:tc>
        <w:tc>
          <w:tcPr>
            <w:tcW w:w="396" w:type="dxa"/>
            <w:tcBorders/>
            <w:shd w:fill="CCEEFF" w:val="clear"/>
            <w:vAlign w:val="bottom"/>
          </w:tcPr>
          <w:p>
            <w:pPr>
              <w:pStyle w:val="TableContents"/>
              <w:spacing w:before="0" w:after="283"/>
              <w:rPr/>
            </w:pPr>
            <w:r>
              <w:rPr/>
              <w:t>%)</w:t>
            </w:r>
          </w:p>
        </w:tc>
      </w:tr>
      <w:tr>
        <w:trPr/>
        <w:tc>
          <w:tcPr>
            <w:tcW w:w="1928" w:type="dxa"/>
            <w:tcBorders/>
            <w:shd w:fill="auto" w:val="clear"/>
            <w:vAlign w:val="bottom"/>
          </w:tcPr>
          <w:p>
            <w:pPr>
              <w:pStyle w:val="TableContents"/>
              <w:spacing w:before="0" w:after="0"/>
              <w:ind w:left="450" w:right="0" w:hanging="225"/>
              <w:rPr/>
            </w:pPr>
            <w:r>
              <w:rPr/>
              <w:t>Income on bank owned life insurance</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(316</w:t>
            </w:r>
          </w:p>
        </w:tc>
        <w:tc>
          <w:tcPr>
            <w:tcW w:w="191"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642" w:type="dxa"/>
            <w:tcBorders/>
            <w:shd w:fill="auto" w:val="clear"/>
            <w:vAlign w:val="bottom"/>
          </w:tcPr>
          <w:p>
            <w:pPr>
              <w:pStyle w:val="TableContents"/>
              <w:spacing w:before="0" w:after="283"/>
              <w:jc w:val="right"/>
              <w:rPr/>
            </w:pPr>
            <w:r>
              <w:rPr/>
              <w:t>(0.8</w:t>
            </w:r>
          </w:p>
        </w:tc>
        <w:tc>
          <w:tcPr>
            <w:tcW w:w="376"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(317</w:t>
            </w:r>
          </w:p>
        </w:tc>
        <w:tc>
          <w:tcPr>
            <w:tcW w:w="190"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642" w:type="dxa"/>
            <w:tcBorders/>
            <w:shd w:fill="auto" w:val="clear"/>
            <w:vAlign w:val="bottom"/>
          </w:tcPr>
          <w:p>
            <w:pPr>
              <w:pStyle w:val="TableContents"/>
              <w:spacing w:before="0" w:after="283"/>
              <w:jc w:val="right"/>
              <w:rPr/>
            </w:pPr>
            <w:r>
              <w:rPr/>
              <w:t>(0.9</w:t>
            </w:r>
          </w:p>
        </w:tc>
        <w:tc>
          <w:tcPr>
            <w:tcW w:w="376"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(287</w:t>
            </w:r>
          </w:p>
        </w:tc>
        <w:tc>
          <w:tcPr>
            <w:tcW w:w="191"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641" w:type="dxa"/>
            <w:tcBorders/>
            <w:shd w:fill="auto" w:val="clear"/>
            <w:vAlign w:val="bottom"/>
          </w:tcPr>
          <w:p>
            <w:pPr>
              <w:pStyle w:val="TableContents"/>
              <w:spacing w:before="0" w:after="283"/>
              <w:jc w:val="right"/>
              <w:rPr/>
            </w:pPr>
            <w:r>
              <w:rPr/>
              <w:t>(1.0</w:t>
            </w:r>
          </w:p>
        </w:tc>
        <w:tc>
          <w:tcPr>
            <w:tcW w:w="396" w:type="dxa"/>
            <w:tcBorders/>
            <w:shd w:fill="auto" w:val="clear"/>
            <w:vAlign w:val="bottom"/>
          </w:tcPr>
          <w:p>
            <w:pPr>
              <w:pStyle w:val="TableContents"/>
              <w:spacing w:before="0" w:after="283"/>
              <w:rPr/>
            </w:pPr>
            <w:r>
              <w:rPr/>
              <w:t>%)</w:t>
            </w:r>
          </w:p>
        </w:tc>
      </w:tr>
      <w:tr>
        <w:trPr/>
        <w:tc>
          <w:tcPr>
            <w:tcW w:w="1928" w:type="dxa"/>
            <w:tcBorders/>
            <w:shd w:fill="CCEEFF" w:val="clear"/>
            <w:vAlign w:val="bottom"/>
          </w:tcPr>
          <w:p>
            <w:pPr>
              <w:pStyle w:val="TableContents"/>
              <w:spacing w:before="0" w:after="0"/>
              <w:ind w:left="450" w:right="0" w:hanging="225"/>
              <w:rPr/>
            </w:pPr>
            <w:r>
              <w:rPr/>
              <w:t>Amortization of intangibles</w:t>
            </w:r>
          </w:p>
        </w:tc>
        <w:tc>
          <w:tcPr>
            <w:tcW w:w="22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(70</w:t>
            </w:r>
          </w:p>
        </w:tc>
        <w:tc>
          <w:tcPr>
            <w:tcW w:w="191"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642" w:type="dxa"/>
            <w:tcBorders/>
            <w:shd w:fill="CCEEFF" w:val="clear"/>
            <w:vAlign w:val="bottom"/>
          </w:tcPr>
          <w:p>
            <w:pPr>
              <w:pStyle w:val="TableContents"/>
              <w:spacing w:before="0" w:after="283"/>
              <w:jc w:val="right"/>
              <w:rPr/>
            </w:pPr>
            <w:r>
              <w:rPr/>
              <w:t>(0.2</w:t>
            </w:r>
          </w:p>
        </w:tc>
        <w:tc>
          <w:tcPr>
            <w:tcW w:w="376"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pPr>
            <w:r>
              <w:rPr/>
              <w:t>51</w:t>
            </w:r>
          </w:p>
        </w:tc>
        <w:tc>
          <w:tcPr>
            <w:tcW w:w="190"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642" w:type="dxa"/>
            <w:tcBorders/>
            <w:shd w:fill="CCEEFF" w:val="clear"/>
            <w:vAlign w:val="bottom"/>
          </w:tcPr>
          <w:p>
            <w:pPr>
              <w:pStyle w:val="TableContents"/>
              <w:spacing w:before="0" w:after="283"/>
              <w:jc w:val="right"/>
              <w:rPr/>
            </w:pPr>
            <w:r>
              <w:rPr/>
              <w:t>0.1</w:t>
            </w:r>
          </w:p>
        </w:tc>
        <w:tc>
          <w:tcPr>
            <w:tcW w:w="376"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(35</w:t>
            </w:r>
          </w:p>
        </w:tc>
        <w:tc>
          <w:tcPr>
            <w:tcW w:w="191"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(0.1</w:t>
            </w:r>
          </w:p>
        </w:tc>
        <w:tc>
          <w:tcPr>
            <w:tcW w:w="396" w:type="dxa"/>
            <w:tcBorders/>
            <w:shd w:fill="CCEEFF" w:val="clear"/>
            <w:vAlign w:val="bottom"/>
          </w:tcPr>
          <w:p>
            <w:pPr>
              <w:pStyle w:val="TableContents"/>
              <w:spacing w:before="0" w:after="283"/>
              <w:rPr/>
            </w:pPr>
            <w:r>
              <w:rPr/>
              <w:t>%)</w:t>
            </w:r>
          </w:p>
        </w:tc>
      </w:tr>
      <w:tr>
        <w:trPr/>
        <w:tc>
          <w:tcPr>
            <w:tcW w:w="1928" w:type="dxa"/>
            <w:tcBorders/>
            <w:shd w:fill="auto" w:val="clear"/>
            <w:vAlign w:val="bottom"/>
          </w:tcPr>
          <w:p>
            <w:pPr>
              <w:pStyle w:val="TableContents"/>
              <w:spacing w:before="0" w:after="0"/>
              <w:ind w:left="450" w:right="0" w:hanging="225"/>
              <w:rPr/>
            </w:pPr>
            <w:r>
              <w:rPr/>
              <w:t>Other</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349</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642" w:type="dxa"/>
            <w:tcBorders/>
            <w:shd w:fill="auto" w:val="clear"/>
            <w:vAlign w:val="bottom"/>
          </w:tcPr>
          <w:p>
            <w:pPr>
              <w:pStyle w:val="TableContents"/>
              <w:spacing w:before="0" w:after="283"/>
              <w:jc w:val="right"/>
              <w:rPr/>
            </w:pPr>
            <w:r>
              <w:rPr/>
              <w:t>0.9</w:t>
            </w:r>
          </w:p>
        </w:tc>
        <w:tc>
          <w:tcPr>
            <w:tcW w:w="376"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500</w:t>
            </w:r>
          </w:p>
        </w:tc>
        <w:tc>
          <w:tcPr>
            <w:tcW w:w="19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642" w:type="dxa"/>
            <w:tcBorders/>
            <w:shd w:fill="auto" w:val="clear"/>
            <w:vAlign w:val="bottom"/>
          </w:tcPr>
          <w:p>
            <w:pPr>
              <w:pStyle w:val="TableContents"/>
              <w:spacing w:before="0" w:after="283"/>
              <w:jc w:val="right"/>
              <w:rPr/>
            </w:pPr>
            <w:r>
              <w:rPr/>
              <w:t>1.5</w:t>
            </w:r>
          </w:p>
        </w:tc>
        <w:tc>
          <w:tcPr>
            <w:tcW w:w="376"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705</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641" w:type="dxa"/>
            <w:tcBorders/>
            <w:shd w:fill="auto" w:val="clear"/>
            <w:vAlign w:val="bottom"/>
          </w:tcPr>
          <w:p>
            <w:pPr>
              <w:pStyle w:val="TableContents"/>
              <w:spacing w:before="0" w:after="283"/>
              <w:jc w:val="right"/>
              <w:rPr/>
            </w:pPr>
            <w:r>
              <w:rPr/>
              <w:t>2.3</w:t>
            </w:r>
          </w:p>
        </w:tc>
        <w:tc>
          <w:tcPr>
            <w:tcW w:w="396" w:type="dxa"/>
            <w:tcBorders/>
            <w:shd w:fill="auto" w:val="clear"/>
            <w:vAlign w:val="bottom"/>
          </w:tcPr>
          <w:p>
            <w:pPr>
              <w:pStyle w:val="TableContents"/>
              <w:spacing w:before="0" w:after="283"/>
              <w:rPr/>
            </w:pPr>
            <w:r>
              <w:rPr/>
              <w:t>%</w:t>
            </w:r>
          </w:p>
        </w:tc>
      </w:tr>
      <w:tr>
        <w:trPr/>
        <w:tc>
          <w:tcPr>
            <w:tcW w:w="1928"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8053"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928" w:type="dxa"/>
            <w:tcBorders/>
            <w:shd w:fill="auto" w:val="clear"/>
            <w:vAlign w:val="bottom"/>
          </w:tcPr>
          <w:p>
            <w:pPr>
              <w:pStyle w:val="TableContents"/>
              <w:spacing w:before="0" w:after="0"/>
              <w:ind w:left="225" w:right="0" w:hanging="225"/>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r>
      <w:tr>
        <w:trPr/>
        <w:tc>
          <w:tcPr>
            <w:tcW w:w="1928" w:type="dxa"/>
            <w:tcBorders/>
            <w:shd w:fill="CCEEFF" w:val="clear"/>
            <w:vAlign w:val="bottom"/>
          </w:tcPr>
          <w:p>
            <w:pPr>
              <w:pStyle w:val="TableContents"/>
              <w:spacing w:before="0" w:after="0"/>
              <w:ind w:left="225" w:right="0" w:hanging="225"/>
              <w:rPr/>
            </w:pPr>
            <w:r>
              <w:rPr/>
              <w:t> </w:t>
            </w:r>
          </w:p>
        </w:tc>
        <w:tc>
          <w:tcPr>
            <w:tcW w:w="22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w:t>
            </w:r>
          </w:p>
        </w:tc>
        <w:tc>
          <w:tcPr>
            <w:tcW w:w="681" w:type="dxa"/>
            <w:tcBorders/>
            <w:shd w:fill="CCEEFF" w:val="clear"/>
            <w:vAlign w:val="bottom"/>
          </w:tcPr>
          <w:p>
            <w:pPr>
              <w:pStyle w:val="TableContents"/>
              <w:spacing w:before="0" w:after="283"/>
              <w:jc w:val="right"/>
              <w:rPr/>
            </w:pPr>
            <w:r>
              <w:rPr/>
              <w:t>12,960</w:t>
            </w:r>
          </w:p>
        </w:tc>
        <w:tc>
          <w:tcPr>
            <w:tcW w:w="191"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642" w:type="dxa"/>
            <w:tcBorders/>
            <w:shd w:fill="CCEEFF" w:val="clear"/>
            <w:vAlign w:val="bottom"/>
          </w:tcPr>
          <w:p>
            <w:pPr>
              <w:pStyle w:val="TableContents"/>
              <w:spacing w:before="0" w:after="283"/>
              <w:jc w:val="right"/>
              <w:rPr/>
            </w:pPr>
            <w:r>
              <w:rPr/>
              <w:t>32.5</w:t>
            </w:r>
          </w:p>
        </w:tc>
        <w:tc>
          <w:tcPr>
            <w:tcW w:w="376"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w:t>
            </w:r>
          </w:p>
        </w:tc>
        <w:tc>
          <w:tcPr>
            <w:tcW w:w="681" w:type="dxa"/>
            <w:tcBorders/>
            <w:shd w:fill="CCEEFF" w:val="clear"/>
            <w:vAlign w:val="bottom"/>
          </w:tcPr>
          <w:p>
            <w:pPr>
              <w:pStyle w:val="TableContents"/>
              <w:spacing w:before="0" w:after="283"/>
              <w:jc w:val="right"/>
              <w:rPr/>
            </w:pPr>
            <w:r>
              <w:rPr/>
              <w:t>11,224</w:t>
            </w:r>
          </w:p>
        </w:tc>
        <w:tc>
          <w:tcPr>
            <w:tcW w:w="190"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642" w:type="dxa"/>
            <w:tcBorders/>
            <w:shd w:fill="CCEEFF" w:val="clear"/>
            <w:vAlign w:val="bottom"/>
          </w:tcPr>
          <w:p>
            <w:pPr>
              <w:pStyle w:val="TableContents"/>
              <w:spacing w:before="0" w:after="283"/>
              <w:jc w:val="right"/>
              <w:rPr/>
            </w:pPr>
            <w:r>
              <w:rPr/>
              <w:t>33.3</w:t>
            </w:r>
          </w:p>
        </w:tc>
        <w:tc>
          <w:tcPr>
            <w:tcW w:w="376"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w:t>
            </w:r>
          </w:p>
        </w:tc>
        <w:tc>
          <w:tcPr>
            <w:tcW w:w="681" w:type="dxa"/>
            <w:tcBorders/>
            <w:shd w:fill="CCEEFF" w:val="clear"/>
            <w:vAlign w:val="bottom"/>
          </w:tcPr>
          <w:p>
            <w:pPr>
              <w:pStyle w:val="TableContents"/>
              <w:spacing w:before="0" w:after="283"/>
              <w:jc w:val="right"/>
              <w:rPr/>
            </w:pPr>
            <w:r>
              <w:rPr/>
              <w:t>10,025</w:t>
            </w:r>
          </w:p>
        </w:tc>
        <w:tc>
          <w:tcPr>
            <w:tcW w:w="191"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33.5</w:t>
            </w:r>
          </w:p>
        </w:tc>
        <w:tc>
          <w:tcPr>
            <w:tcW w:w="396" w:type="dxa"/>
            <w:tcBorders/>
            <w:shd w:fill="CCEEFF" w:val="clear"/>
            <w:vAlign w:val="bottom"/>
          </w:tcPr>
          <w:p>
            <w:pPr>
              <w:pStyle w:val="TableContents"/>
              <w:spacing w:before="0" w:after="283"/>
              <w:rPr/>
            </w:pPr>
            <w:r>
              <w:rPr/>
              <w:t>%</w:t>
            </w:r>
          </w:p>
        </w:tc>
      </w:tr>
      <w:tr>
        <w:trPr/>
        <w:tc>
          <w:tcPr>
            <w:tcW w:w="1928"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8053" w:type="dxa"/>
            <w:gridSpan w:val="23"/>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240" w:after="283"/>
        <w:jc w:val="left"/>
        <w:rPr>
          <w:rFonts w:ascii="Arial;Helvetica;sans-serif" w:hAnsi="Arial;Helvetica;sans-serif"/>
          <w:sz w:val="17"/>
        </w:rPr>
      </w:pPr>
      <w:r>
        <w:rPr>
          <w:rFonts w:ascii="Arial;Helvetica;sans-serif" w:hAnsi="Arial;Helvetica;sans-serif"/>
          <w:sz w:val="17"/>
        </w:rPr>
        <w:t xml:space="preserve">The Corporations effective tax rate decreased during 2005 as a result of increased tax exempt interest income.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Net deferred taxes, included in other liabilities in the accompanying balances sheets, includes the following amounts of deferred tax assets and liabilities: </w:t>
      </w:r>
    </w:p>
    <w:p>
      <w:pPr>
        <w:pStyle w:val="TextBody"/>
        <w:jc w:val="center"/>
        <w:rPr>
          <w:rFonts w:ascii="Arial;Helvetica;sans-serif" w:hAnsi="Arial;Helvetica;sans-serif"/>
          <w:sz w:val="17"/>
        </w:rPr>
      </w:pPr>
      <w:r>
        <w:rPr>
          <w:rFonts w:ascii="Arial;Helvetica;sans-serif" w:hAnsi="Arial;Helvetica;sans-serif"/>
          <w:sz w:val="17"/>
        </w:rPr>
        <w:t xml:space="preserve">77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tbl>
      <w:tblPr>
        <w:tblW w:w="5000" w:type="pct"/>
        <w:jc w:val="center"/>
        <w:tblInd w:w="0" w:type="dxa"/>
        <w:tblCellMar>
          <w:top w:w="0" w:type="dxa"/>
          <w:left w:w="0" w:type="dxa"/>
          <w:bottom w:w="0" w:type="dxa"/>
          <w:right w:w="0" w:type="dxa"/>
        </w:tblCellMar>
      </w:tblPr>
      <w:tblGrid>
        <w:gridCol w:w="6633"/>
        <w:gridCol w:w="425"/>
        <w:gridCol w:w="349"/>
        <w:gridCol w:w="756"/>
        <w:gridCol w:w="308"/>
        <w:gridCol w:w="425"/>
        <w:gridCol w:w="349"/>
        <w:gridCol w:w="648"/>
        <w:gridCol w:w="312"/>
      </w:tblGrid>
      <w:tr>
        <w:trPr/>
        <w:tc>
          <w:tcPr>
            <w:tcW w:w="663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r>
      <w:tr>
        <w:trPr/>
        <w:tc>
          <w:tcPr>
            <w:tcW w:w="663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413" w:type="dxa"/>
            <w:gridSpan w:val="3"/>
            <w:tcBorders/>
            <w:shd w:fill="auto" w:val="clear"/>
            <w:vAlign w:val="bottom"/>
          </w:tcPr>
          <w:p>
            <w:pPr>
              <w:pStyle w:val="TableContents"/>
              <w:spacing w:before="0" w:after="283"/>
              <w:jc w:val="center"/>
              <w:rPr/>
            </w:pPr>
            <w:r>
              <w:rPr/>
              <w:t>2005</w:t>
            </w:r>
          </w:p>
        </w:tc>
        <w:tc>
          <w:tcPr>
            <w:tcW w:w="425" w:type="dxa"/>
            <w:tcBorders/>
            <w:shd w:fill="auto" w:val="clear"/>
            <w:vAlign w:val="bottom"/>
          </w:tcPr>
          <w:p>
            <w:pPr>
              <w:pStyle w:val="TableContents"/>
              <w:spacing w:before="0" w:after="283"/>
              <w:rPr/>
            </w:pPr>
            <w:r>
              <w:rPr/>
              <w:t> </w:t>
            </w:r>
          </w:p>
        </w:tc>
        <w:tc>
          <w:tcPr>
            <w:tcW w:w="1309" w:type="dxa"/>
            <w:gridSpan w:val="3"/>
            <w:tcBorders/>
            <w:shd w:fill="auto" w:val="clear"/>
            <w:vAlign w:val="bottom"/>
          </w:tcPr>
          <w:p>
            <w:pPr>
              <w:pStyle w:val="TableContents"/>
              <w:spacing w:before="0" w:after="283"/>
              <w:jc w:val="center"/>
              <w:rPr/>
            </w:pPr>
            <w:r>
              <w:rPr/>
              <w:t>2004</w:t>
            </w:r>
          </w:p>
        </w:tc>
      </w:tr>
      <w:tr>
        <w:trPr/>
        <w:tc>
          <w:tcPr>
            <w:tcW w:w="6633"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314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63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147" w:type="dxa"/>
            <w:gridSpan w:val="7"/>
            <w:tcBorders/>
            <w:shd w:fill="auto" w:val="clear"/>
            <w:vAlign w:val="bottom"/>
          </w:tcPr>
          <w:p>
            <w:pPr>
              <w:pStyle w:val="TableContents"/>
              <w:spacing w:before="0" w:after="283"/>
              <w:jc w:val="center"/>
              <w:rPr/>
            </w:pPr>
            <w:r>
              <w:rPr/>
              <w:t>(Dollars in thousands)</w:t>
            </w:r>
          </w:p>
        </w:tc>
      </w:tr>
      <w:tr>
        <w:trPr/>
        <w:tc>
          <w:tcPr>
            <w:tcW w:w="6633" w:type="dxa"/>
            <w:tcBorders/>
            <w:shd w:fill="CCEEFF" w:val="clear"/>
            <w:vAlign w:val="bottom"/>
          </w:tcPr>
          <w:p>
            <w:pPr>
              <w:pStyle w:val="TableContents"/>
              <w:spacing w:before="0" w:after="0"/>
              <w:ind w:left="225" w:right="0" w:hanging="225"/>
              <w:rPr/>
            </w:pPr>
            <w:r>
              <w:rPr/>
              <w:t>Deferred tax assets:</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r>
      <w:tr>
        <w:trPr/>
        <w:tc>
          <w:tcPr>
            <w:tcW w:w="6633" w:type="dxa"/>
            <w:tcBorders/>
            <w:shd w:fill="auto" w:val="clear"/>
            <w:vAlign w:val="bottom"/>
          </w:tcPr>
          <w:p>
            <w:pPr>
              <w:pStyle w:val="TableContents"/>
              <w:spacing w:before="0" w:after="0"/>
              <w:ind w:left="450" w:right="0" w:hanging="225"/>
              <w:rPr/>
            </w:pPr>
            <w:r>
              <w:rPr/>
              <w:t>Allowance for loan losses</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w:t>
            </w:r>
          </w:p>
        </w:tc>
        <w:tc>
          <w:tcPr>
            <w:tcW w:w="756" w:type="dxa"/>
            <w:tcBorders/>
            <w:shd w:fill="auto" w:val="clear"/>
            <w:vAlign w:val="bottom"/>
          </w:tcPr>
          <w:p>
            <w:pPr>
              <w:pStyle w:val="TableContents"/>
              <w:spacing w:before="0" w:after="283"/>
              <w:jc w:val="right"/>
              <w:rPr/>
            </w:pPr>
            <w:r>
              <w:rPr/>
              <w:t>8,990</w:t>
            </w:r>
          </w:p>
        </w:tc>
        <w:tc>
          <w:tcPr>
            <w:tcW w:w="308"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w:t>
            </w:r>
          </w:p>
        </w:tc>
        <w:tc>
          <w:tcPr>
            <w:tcW w:w="648" w:type="dxa"/>
            <w:tcBorders/>
            <w:shd w:fill="auto" w:val="clear"/>
            <w:vAlign w:val="bottom"/>
          </w:tcPr>
          <w:p>
            <w:pPr>
              <w:pStyle w:val="TableContents"/>
              <w:spacing w:before="0" w:after="283"/>
              <w:jc w:val="right"/>
              <w:rPr/>
            </w:pPr>
            <w:r>
              <w:rPr/>
              <w:t>7,473</w:t>
            </w:r>
          </w:p>
        </w:tc>
        <w:tc>
          <w:tcPr>
            <w:tcW w:w="312" w:type="dxa"/>
            <w:tcBorders/>
            <w:shd w:fill="auto" w:val="clear"/>
            <w:vAlign w:val="bottom"/>
          </w:tcPr>
          <w:p>
            <w:pPr>
              <w:pStyle w:val="TableContents"/>
              <w:spacing w:before="0" w:after="283"/>
              <w:rPr/>
            </w:pPr>
            <w:r>
              <w:rPr/>
              <w:t> </w:t>
            </w:r>
          </w:p>
        </w:tc>
      </w:tr>
      <w:tr>
        <w:trPr/>
        <w:tc>
          <w:tcPr>
            <w:tcW w:w="6633" w:type="dxa"/>
            <w:tcBorders/>
            <w:shd w:fill="CCEEFF" w:val="clear"/>
            <w:vAlign w:val="bottom"/>
          </w:tcPr>
          <w:p>
            <w:pPr>
              <w:pStyle w:val="TableContents"/>
              <w:spacing w:before="0" w:after="0"/>
              <w:ind w:left="450" w:right="0" w:hanging="225"/>
              <w:rPr/>
            </w:pPr>
            <w:r>
              <w:rPr/>
              <w:t>Property acquired in settlement of loans</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w:t>
            </w:r>
          </w:p>
        </w:tc>
        <w:tc>
          <w:tcPr>
            <w:tcW w:w="308"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pPr>
            <w:r>
              <w:rPr/>
              <w:t>825</w:t>
            </w:r>
          </w:p>
        </w:tc>
        <w:tc>
          <w:tcPr>
            <w:tcW w:w="312" w:type="dxa"/>
            <w:tcBorders/>
            <w:shd w:fill="CCEEFF" w:val="clear"/>
            <w:vAlign w:val="bottom"/>
          </w:tcPr>
          <w:p>
            <w:pPr>
              <w:pStyle w:val="TableContents"/>
              <w:spacing w:before="0" w:after="283"/>
              <w:rPr/>
            </w:pPr>
            <w:r>
              <w:rPr/>
              <w:t> </w:t>
            </w:r>
          </w:p>
        </w:tc>
      </w:tr>
      <w:tr>
        <w:trPr/>
        <w:tc>
          <w:tcPr>
            <w:tcW w:w="6633" w:type="dxa"/>
            <w:tcBorders/>
            <w:shd w:fill="auto" w:val="clear"/>
            <w:vAlign w:val="bottom"/>
          </w:tcPr>
          <w:p>
            <w:pPr>
              <w:pStyle w:val="TableContents"/>
              <w:spacing w:before="0" w:after="0"/>
              <w:ind w:left="450" w:right="0" w:hanging="225"/>
              <w:rPr/>
            </w:pPr>
            <w:r>
              <w:rPr/>
              <w:t>Loans held for sale</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56</w:t>
            </w:r>
          </w:p>
        </w:tc>
        <w:tc>
          <w:tcPr>
            <w:tcW w:w="308"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pPr>
            <w:r>
              <w:rPr/>
              <w:t>50</w:t>
            </w:r>
          </w:p>
        </w:tc>
        <w:tc>
          <w:tcPr>
            <w:tcW w:w="312" w:type="dxa"/>
            <w:tcBorders/>
            <w:shd w:fill="auto" w:val="clear"/>
            <w:vAlign w:val="bottom"/>
          </w:tcPr>
          <w:p>
            <w:pPr>
              <w:pStyle w:val="TableContents"/>
              <w:spacing w:before="0" w:after="283"/>
              <w:rPr/>
            </w:pPr>
            <w:r>
              <w:rPr/>
              <w:t> </w:t>
            </w:r>
          </w:p>
        </w:tc>
      </w:tr>
      <w:tr>
        <w:trPr/>
        <w:tc>
          <w:tcPr>
            <w:tcW w:w="6633" w:type="dxa"/>
            <w:tcBorders/>
            <w:shd w:fill="CCEEFF" w:val="clear"/>
            <w:vAlign w:val="bottom"/>
          </w:tcPr>
          <w:p>
            <w:pPr>
              <w:pStyle w:val="TableContents"/>
              <w:spacing w:before="0" w:after="0"/>
              <w:ind w:left="450" w:right="0" w:hanging="225"/>
              <w:rPr/>
            </w:pPr>
            <w:r>
              <w:rPr/>
              <w:t>Deferred compensation</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692</w:t>
            </w:r>
          </w:p>
        </w:tc>
        <w:tc>
          <w:tcPr>
            <w:tcW w:w="308"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pPr>
            <w:r>
              <w:rPr/>
              <w:t>641</w:t>
            </w:r>
          </w:p>
        </w:tc>
        <w:tc>
          <w:tcPr>
            <w:tcW w:w="312" w:type="dxa"/>
            <w:tcBorders/>
            <w:shd w:fill="CCEEFF" w:val="clear"/>
            <w:vAlign w:val="bottom"/>
          </w:tcPr>
          <w:p>
            <w:pPr>
              <w:pStyle w:val="TableContents"/>
              <w:spacing w:before="0" w:after="283"/>
              <w:rPr/>
            </w:pPr>
            <w:r>
              <w:rPr/>
              <w:t> </w:t>
            </w:r>
          </w:p>
        </w:tc>
      </w:tr>
      <w:tr>
        <w:trPr/>
        <w:tc>
          <w:tcPr>
            <w:tcW w:w="6633" w:type="dxa"/>
            <w:tcBorders/>
            <w:shd w:fill="auto" w:val="clear"/>
            <w:vAlign w:val="bottom"/>
          </w:tcPr>
          <w:p>
            <w:pPr>
              <w:pStyle w:val="TableContents"/>
              <w:spacing w:before="0" w:after="0"/>
              <w:ind w:left="450" w:right="0" w:hanging="225"/>
              <w:rPr/>
            </w:pPr>
            <w:r>
              <w:rPr/>
              <w:t>Accrued vacation</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220</w:t>
            </w:r>
          </w:p>
        </w:tc>
        <w:tc>
          <w:tcPr>
            <w:tcW w:w="308"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pPr>
            <w:r>
              <w:rPr/>
              <w:t>178</w:t>
            </w:r>
          </w:p>
        </w:tc>
        <w:tc>
          <w:tcPr>
            <w:tcW w:w="312" w:type="dxa"/>
            <w:tcBorders/>
            <w:shd w:fill="auto" w:val="clear"/>
            <w:vAlign w:val="bottom"/>
          </w:tcPr>
          <w:p>
            <w:pPr>
              <w:pStyle w:val="TableContents"/>
              <w:spacing w:before="0" w:after="283"/>
              <w:rPr/>
            </w:pPr>
            <w:r>
              <w:rPr/>
              <w:t> </w:t>
            </w:r>
          </w:p>
        </w:tc>
      </w:tr>
      <w:tr>
        <w:trPr/>
        <w:tc>
          <w:tcPr>
            <w:tcW w:w="6633" w:type="dxa"/>
            <w:tcBorders/>
            <w:shd w:fill="CCEEFF" w:val="clear"/>
            <w:vAlign w:val="bottom"/>
          </w:tcPr>
          <w:p>
            <w:pPr>
              <w:pStyle w:val="TableContents"/>
              <w:spacing w:before="0" w:after="0"/>
              <w:ind w:left="450" w:right="0" w:hanging="225"/>
              <w:rPr/>
            </w:pPr>
            <w:r>
              <w:rPr/>
              <w:t>Other</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182</w:t>
            </w:r>
          </w:p>
        </w:tc>
        <w:tc>
          <w:tcPr>
            <w:tcW w:w="308"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pPr>
            <w:r>
              <w:rPr/>
              <w:t>129</w:t>
            </w:r>
          </w:p>
        </w:tc>
        <w:tc>
          <w:tcPr>
            <w:tcW w:w="312" w:type="dxa"/>
            <w:tcBorders/>
            <w:shd w:fill="CCEEFF" w:val="clear"/>
            <w:vAlign w:val="bottom"/>
          </w:tcPr>
          <w:p>
            <w:pPr>
              <w:pStyle w:val="TableContents"/>
              <w:spacing w:before="0" w:after="283"/>
              <w:rPr/>
            </w:pPr>
            <w:r>
              <w:rPr/>
              <w:t> </w:t>
            </w:r>
          </w:p>
        </w:tc>
      </w:tr>
      <w:tr>
        <w:trPr/>
        <w:tc>
          <w:tcPr>
            <w:tcW w:w="6633"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314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633" w:type="dxa"/>
            <w:tcBorders/>
            <w:shd w:fill="auto" w:val="clear"/>
            <w:vAlign w:val="bottom"/>
          </w:tcPr>
          <w:p>
            <w:pPr>
              <w:pStyle w:val="TableContents"/>
              <w:spacing w:before="0" w:after="0"/>
              <w:ind w:left="225" w:right="0" w:hanging="225"/>
              <w:rPr/>
            </w:pPr>
            <w:r>
              <w:rPr/>
              <w:t> </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10,140</w:t>
            </w:r>
          </w:p>
        </w:tc>
        <w:tc>
          <w:tcPr>
            <w:tcW w:w="308"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pPr>
            <w:r>
              <w:rPr/>
              <w:t>9,296</w:t>
            </w:r>
          </w:p>
        </w:tc>
        <w:tc>
          <w:tcPr>
            <w:tcW w:w="312" w:type="dxa"/>
            <w:tcBorders/>
            <w:shd w:fill="auto" w:val="clear"/>
            <w:vAlign w:val="bottom"/>
          </w:tcPr>
          <w:p>
            <w:pPr>
              <w:pStyle w:val="TableContents"/>
              <w:spacing w:before="0" w:after="283"/>
              <w:rPr/>
            </w:pPr>
            <w:r>
              <w:rPr/>
              <w:t> </w:t>
            </w:r>
          </w:p>
        </w:tc>
      </w:tr>
      <w:tr>
        <w:trPr/>
        <w:tc>
          <w:tcPr>
            <w:tcW w:w="6633"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314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633" w:type="dxa"/>
            <w:tcBorders/>
            <w:shd w:fill="auto" w:val="clear"/>
            <w:vAlign w:val="bottom"/>
          </w:tcPr>
          <w:p>
            <w:pPr>
              <w:pStyle w:val="TableContents"/>
              <w:spacing w:before="0" w:after="0"/>
              <w:ind w:left="225" w:right="0" w:hanging="225"/>
              <w:rPr/>
            </w:pPr>
            <w:r>
              <w:rPr/>
              <w:t> </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r>
      <w:tr>
        <w:trPr/>
        <w:tc>
          <w:tcPr>
            <w:tcW w:w="6633" w:type="dxa"/>
            <w:tcBorders/>
            <w:shd w:fill="CCEEFF" w:val="clear"/>
            <w:vAlign w:val="bottom"/>
          </w:tcPr>
          <w:p>
            <w:pPr>
              <w:pStyle w:val="TableContents"/>
              <w:spacing w:before="0" w:after="0"/>
              <w:ind w:left="225" w:right="0" w:hanging="225"/>
              <w:rPr/>
            </w:pPr>
            <w:r>
              <w:rPr/>
              <w:t>Deferred tax liabilities:</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r>
      <w:tr>
        <w:trPr/>
        <w:tc>
          <w:tcPr>
            <w:tcW w:w="6633" w:type="dxa"/>
            <w:tcBorders/>
            <w:shd w:fill="auto" w:val="clear"/>
            <w:vAlign w:val="bottom"/>
          </w:tcPr>
          <w:p>
            <w:pPr>
              <w:pStyle w:val="TableContents"/>
              <w:spacing w:before="0" w:after="0"/>
              <w:ind w:left="450" w:right="0" w:hanging="225"/>
              <w:rPr/>
            </w:pPr>
            <w:r>
              <w:rPr/>
              <w:t>Investment securities:</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r>
      <w:tr>
        <w:trPr/>
        <w:tc>
          <w:tcPr>
            <w:tcW w:w="6633" w:type="dxa"/>
            <w:tcBorders/>
            <w:shd w:fill="CCEEFF" w:val="clear"/>
            <w:vAlign w:val="bottom"/>
          </w:tcPr>
          <w:p>
            <w:pPr>
              <w:pStyle w:val="TableContents"/>
              <w:spacing w:before="0" w:after="0"/>
              <w:ind w:left="675" w:right="0" w:hanging="225"/>
              <w:rPr/>
            </w:pPr>
            <w:r>
              <w:rPr/>
              <w:t>Unrealized gains on securities available for sale</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pPr>
            <w:r>
              <w:rPr/>
              <w:t> </w:t>
            </w:r>
          </w:p>
        </w:tc>
        <w:tc>
          <w:tcPr>
            <w:tcW w:w="756" w:type="dxa"/>
            <w:tcBorders/>
            <w:shd w:fill="CCEEFF" w:val="clear"/>
            <w:vAlign w:val="bottom"/>
          </w:tcPr>
          <w:p>
            <w:pPr>
              <w:pStyle w:val="TableContents"/>
              <w:spacing w:before="0" w:after="283"/>
              <w:jc w:val="right"/>
              <w:rPr/>
            </w:pPr>
            <w:r>
              <w:rPr/>
              <w:t>(4,805</w:t>
            </w:r>
          </w:p>
        </w:tc>
        <w:tc>
          <w:tcPr>
            <w:tcW w:w="308"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pPr>
            <w:r>
              <w:rPr/>
              <w:t> </w:t>
            </w:r>
          </w:p>
        </w:tc>
        <w:tc>
          <w:tcPr>
            <w:tcW w:w="648" w:type="dxa"/>
            <w:tcBorders/>
            <w:shd w:fill="CCEEFF" w:val="clear"/>
            <w:vAlign w:val="bottom"/>
          </w:tcPr>
          <w:p>
            <w:pPr>
              <w:pStyle w:val="TableContents"/>
              <w:spacing w:before="0" w:after="283"/>
              <w:jc w:val="right"/>
              <w:rPr/>
            </w:pPr>
            <w:r>
              <w:rPr/>
              <w:t>(6,049</w:t>
            </w:r>
          </w:p>
        </w:tc>
        <w:tc>
          <w:tcPr>
            <w:tcW w:w="312" w:type="dxa"/>
            <w:tcBorders/>
            <w:shd w:fill="CCEEFF" w:val="clear"/>
            <w:vAlign w:val="bottom"/>
          </w:tcPr>
          <w:p>
            <w:pPr>
              <w:pStyle w:val="TableContents"/>
              <w:spacing w:before="0" w:after="283"/>
              <w:rPr/>
            </w:pPr>
            <w:r>
              <w:rPr/>
              <w:t>)</w:t>
            </w:r>
          </w:p>
        </w:tc>
      </w:tr>
      <w:tr>
        <w:trPr/>
        <w:tc>
          <w:tcPr>
            <w:tcW w:w="6633" w:type="dxa"/>
            <w:tcBorders/>
            <w:shd w:fill="auto" w:val="clear"/>
            <w:vAlign w:val="bottom"/>
          </w:tcPr>
          <w:p>
            <w:pPr>
              <w:pStyle w:val="TableContents"/>
              <w:spacing w:before="0" w:after="0"/>
              <w:ind w:left="675" w:right="0" w:hanging="225"/>
              <w:rPr/>
            </w:pPr>
            <w:r>
              <w:rPr/>
              <w:t>Other</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 </w:t>
            </w:r>
          </w:p>
        </w:tc>
        <w:tc>
          <w:tcPr>
            <w:tcW w:w="756" w:type="dxa"/>
            <w:tcBorders/>
            <w:shd w:fill="auto" w:val="clear"/>
            <w:vAlign w:val="bottom"/>
          </w:tcPr>
          <w:p>
            <w:pPr>
              <w:pStyle w:val="TableContents"/>
              <w:spacing w:before="0" w:after="283"/>
              <w:jc w:val="right"/>
              <w:rPr/>
            </w:pPr>
            <w:r>
              <w:rPr/>
              <w:t>(786</w:t>
            </w:r>
          </w:p>
        </w:tc>
        <w:tc>
          <w:tcPr>
            <w:tcW w:w="308"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 </w:t>
            </w:r>
          </w:p>
        </w:tc>
        <w:tc>
          <w:tcPr>
            <w:tcW w:w="648" w:type="dxa"/>
            <w:tcBorders/>
            <w:shd w:fill="auto" w:val="clear"/>
            <w:vAlign w:val="bottom"/>
          </w:tcPr>
          <w:p>
            <w:pPr>
              <w:pStyle w:val="TableContents"/>
              <w:spacing w:before="0" w:after="283"/>
              <w:jc w:val="right"/>
              <w:rPr/>
            </w:pPr>
            <w:r>
              <w:rPr/>
              <w:t>(592</w:t>
            </w:r>
          </w:p>
        </w:tc>
        <w:tc>
          <w:tcPr>
            <w:tcW w:w="312" w:type="dxa"/>
            <w:tcBorders/>
            <w:shd w:fill="auto" w:val="clear"/>
            <w:vAlign w:val="bottom"/>
          </w:tcPr>
          <w:p>
            <w:pPr>
              <w:pStyle w:val="TableContents"/>
              <w:spacing w:before="0" w:after="283"/>
              <w:rPr/>
            </w:pPr>
            <w:r>
              <w:rPr/>
              <w:t>)</w:t>
            </w:r>
          </w:p>
        </w:tc>
      </w:tr>
      <w:tr>
        <w:trPr/>
        <w:tc>
          <w:tcPr>
            <w:tcW w:w="6633" w:type="dxa"/>
            <w:tcBorders/>
            <w:shd w:fill="CCEEFF" w:val="clear"/>
            <w:vAlign w:val="bottom"/>
          </w:tcPr>
          <w:p>
            <w:pPr>
              <w:pStyle w:val="TableContents"/>
              <w:spacing w:before="0" w:after="0"/>
              <w:ind w:left="450" w:right="0" w:hanging="225"/>
              <w:rPr/>
            </w:pPr>
            <w:r>
              <w:rPr/>
              <w:t>Basis in premises and equipment</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pPr>
            <w:r>
              <w:rPr/>
              <w:t> </w:t>
            </w:r>
          </w:p>
        </w:tc>
        <w:tc>
          <w:tcPr>
            <w:tcW w:w="756" w:type="dxa"/>
            <w:tcBorders/>
            <w:shd w:fill="CCEEFF" w:val="clear"/>
            <w:vAlign w:val="bottom"/>
          </w:tcPr>
          <w:p>
            <w:pPr>
              <w:pStyle w:val="TableContents"/>
              <w:spacing w:before="0" w:after="283"/>
              <w:jc w:val="right"/>
              <w:rPr/>
            </w:pPr>
            <w:r>
              <w:rPr/>
              <w:t>(2,810</w:t>
            </w:r>
          </w:p>
        </w:tc>
        <w:tc>
          <w:tcPr>
            <w:tcW w:w="308"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pPr>
            <w:r>
              <w:rPr/>
              <w:t> </w:t>
            </w:r>
          </w:p>
        </w:tc>
        <w:tc>
          <w:tcPr>
            <w:tcW w:w="648" w:type="dxa"/>
            <w:tcBorders/>
            <w:shd w:fill="CCEEFF" w:val="clear"/>
            <w:vAlign w:val="bottom"/>
          </w:tcPr>
          <w:p>
            <w:pPr>
              <w:pStyle w:val="TableContents"/>
              <w:spacing w:before="0" w:after="283"/>
              <w:jc w:val="right"/>
              <w:rPr/>
            </w:pPr>
            <w:r>
              <w:rPr/>
              <w:t>(1,553</w:t>
            </w:r>
          </w:p>
        </w:tc>
        <w:tc>
          <w:tcPr>
            <w:tcW w:w="312" w:type="dxa"/>
            <w:tcBorders/>
            <w:shd w:fill="CCEEFF" w:val="clear"/>
            <w:vAlign w:val="bottom"/>
          </w:tcPr>
          <w:p>
            <w:pPr>
              <w:pStyle w:val="TableContents"/>
              <w:spacing w:before="0" w:after="283"/>
              <w:rPr/>
            </w:pPr>
            <w:r>
              <w:rPr/>
              <w:t>)</w:t>
            </w:r>
          </w:p>
        </w:tc>
      </w:tr>
      <w:tr>
        <w:trPr/>
        <w:tc>
          <w:tcPr>
            <w:tcW w:w="6633" w:type="dxa"/>
            <w:tcBorders/>
            <w:shd w:fill="auto" w:val="clear"/>
            <w:vAlign w:val="bottom"/>
          </w:tcPr>
          <w:p>
            <w:pPr>
              <w:pStyle w:val="TableContents"/>
              <w:spacing w:before="0" w:after="0"/>
              <w:ind w:left="450" w:right="0" w:hanging="225"/>
              <w:rPr/>
            </w:pPr>
            <w:r>
              <w:rPr/>
              <w:t>Mortgage servicing assets</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 </w:t>
            </w:r>
          </w:p>
        </w:tc>
        <w:tc>
          <w:tcPr>
            <w:tcW w:w="756" w:type="dxa"/>
            <w:tcBorders/>
            <w:shd w:fill="auto" w:val="clear"/>
            <w:vAlign w:val="bottom"/>
          </w:tcPr>
          <w:p>
            <w:pPr>
              <w:pStyle w:val="TableContents"/>
              <w:spacing w:before="0" w:after="283"/>
              <w:jc w:val="right"/>
              <w:rPr/>
            </w:pPr>
            <w:r>
              <w:rPr/>
              <w:t>(532</w:t>
            </w:r>
          </w:p>
        </w:tc>
        <w:tc>
          <w:tcPr>
            <w:tcW w:w="308"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 </w:t>
            </w:r>
          </w:p>
        </w:tc>
        <w:tc>
          <w:tcPr>
            <w:tcW w:w="648" w:type="dxa"/>
            <w:tcBorders/>
            <w:shd w:fill="auto" w:val="clear"/>
            <w:vAlign w:val="bottom"/>
          </w:tcPr>
          <w:p>
            <w:pPr>
              <w:pStyle w:val="TableContents"/>
              <w:spacing w:before="0" w:after="283"/>
              <w:jc w:val="right"/>
              <w:rPr/>
            </w:pPr>
            <w:r>
              <w:rPr/>
              <w:t>(779</w:t>
            </w:r>
          </w:p>
        </w:tc>
        <w:tc>
          <w:tcPr>
            <w:tcW w:w="312" w:type="dxa"/>
            <w:tcBorders/>
            <w:shd w:fill="auto" w:val="clear"/>
            <w:vAlign w:val="bottom"/>
          </w:tcPr>
          <w:p>
            <w:pPr>
              <w:pStyle w:val="TableContents"/>
              <w:spacing w:before="0" w:after="283"/>
              <w:rPr/>
            </w:pPr>
            <w:r>
              <w:rPr/>
              <w:t>)</w:t>
            </w:r>
          </w:p>
        </w:tc>
      </w:tr>
      <w:tr>
        <w:trPr/>
        <w:tc>
          <w:tcPr>
            <w:tcW w:w="6633" w:type="dxa"/>
            <w:tcBorders/>
            <w:shd w:fill="CCEEFF" w:val="clear"/>
            <w:vAlign w:val="bottom"/>
          </w:tcPr>
          <w:p>
            <w:pPr>
              <w:pStyle w:val="TableContents"/>
              <w:spacing w:before="0" w:after="0"/>
              <w:ind w:left="450" w:right="0" w:hanging="225"/>
              <w:rPr/>
            </w:pPr>
            <w:r>
              <w:rPr/>
              <w:t>Basis in deposit intangibles</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pPr>
            <w:r>
              <w:rPr/>
              <w:t> </w:t>
            </w:r>
          </w:p>
        </w:tc>
        <w:tc>
          <w:tcPr>
            <w:tcW w:w="756" w:type="dxa"/>
            <w:tcBorders/>
            <w:shd w:fill="CCEEFF" w:val="clear"/>
            <w:vAlign w:val="bottom"/>
          </w:tcPr>
          <w:p>
            <w:pPr>
              <w:pStyle w:val="TableContents"/>
              <w:spacing w:before="0" w:after="283"/>
              <w:jc w:val="right"/>
              <w:rPr/>
            </w:pPr>
            <w:r>
              <w:rPr/>
              <w:t>(1,282</w:t>
            </w:r>
          </w:p>
        </w:tc>
        <w:tc>
          <w:tcPr>
            <w:tcW w:w="308"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pPr>
            <w:r>
              <w:rPr/>
              <w:t> </w:t>
            </w:r>
          </w:p>
        </w:tc>
        <w:tc>
          <w:tcPr>
            <w:tcW w:w="648" w:type="dxa"/>
            <w:tcBorders/>
            <w:shd w:fill="CCEEFF" w:val="clear"/>
            <w:vAlign w:val="bottom"/>
          </w:tcPr>
          <w:p>
            <w:pPr>
              <w:pStyle w:val="TableContents"/>
              <w:spacing w:before="0" w:after="283"/>
              <w:jc w:val="right"/>
              <w:rPr/>
            </w:pPr>
            <w:r>
              <w:rPr/>
              <w:t>(601</w:t>
            </w:r>
          </w:p>
        </w:tc>
        <w:tc>
          <w:tcPr>
            <w:tcW w:w="312" w:type="dxa"/>
            <w:tcBorders/>
            <w:shd w:fill="CCEEFF" w:val="clear"/>
            <w:vAlign w:val="bottom"/>
          </w:tcPr>
          <w:p>
            <w:pPr>
              <w:pStyle w:val="TableContents"/>
              <w:spacing w:before="0" w:after="283"/>
              <w:rPr/>
            </w:pPr>
            <w:r>
              <w:rPr/>
              <w:t>)</w:t>
            </w:r>
          </w:p>
        </w:tc>
      </w:tr>
      <w:tr>
        <w:trPr/>
        <w:tc>
          <w:tcPr>
            <w:tcW w:w="6633" w:type="dxa"/>
            <w:tcBorders/>
            <w:shd w:fill="auto" w:val="clear"/>
            <w:vAlign w:val="bottom"/>
          </w:tcPr>
          <w:p>
            <w:pPr>
              <w:pStyle w:val="TableContents"/>
              <w:spacing w:before="0" w:after="0"/>
              <w:ind w:left="450" w:right="0" w:hanging="225"/>
              <w:rPr/>
            </w:pPr>
            <w:r>
              <w:rPr/>
              <w:t>Deferred loan origination costs</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 </w:t>
            </w:r>
          </w:p>
        </w:tc>
        <w:tc>
          <w:tcPr>
            <w:tcW w:w="756" w:type="dxa"/>
            <w:tcBorders/>
            <w:shd w:fill="auto" w:val="clear"/>
            <w:vAlign w:val="bottom"/>
          </w:tcPr>
          <w:p>
            <w:pPr>
              <w:pStyle w:val="TableContents"/>
              <w:spacing w:before="0" w:after="283"/>
              <w:jc w:val="right"/>
              <w:rPr/>
            </w:pPr>
            <w:r>
              <w:rPr/>
              <w:t>(319</w:t>
            </w:r>
          </w:p>
        </w:tc>
        <w:tc>
          <w:tcPr>
            <w:tcW w:w="308"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 </w:t>
            </w:r>
          </w:p>
        </w:tc>
        <w:tc>
          <w:tcPr>
            <w:tcW w:w="648" w:type="dxa"/>
            <w:tcBorders/>
            <w:shd w:fill="auto" w:val="clear"/>
            <w:vAlign w:val="bottom"/>
          </w:tcPr>
          <w:p>
            <w:pPr>
              <w:pStyle w:val="TableContents"/>
              <w:spacing w:before="0" w:after="283"/>
              <w:jc w:val="right"/>
              <w:rPr/>
            </w:pPr>
            <w:r>
              <w:rPr/>
              <w:t>(288</w:t>
            </w:r>
          </w:p>
        </w:tc>
        <w:tc>
          <w:tcPr>
            <w:tcW w:w="312" w:type="dxa"/>
            <w:tcBorders/>
            <w:shd w:fill="auto" w:val="clear"/>
            <w:vAlign w:val="bottom"/>
          </w:tcPr>
          <w:p>
            <w:pPr>
              <w:pStyle w:val="TableContents"/>
              <w:spacing w:before="0" w:after="283"/>
              <w:rPr/>
            </w:pPr>
            <w:r>
              <w:rPr/>
              <w:t>)</w:t>
            </w:r>
          </w:p>
        </w:tc>
      </w:tr>
      <w:tr>
        <w:trPr/>
        <w:tc>
          <w:tcPr>
            <w:tcW w:w="6633"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314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633" w:type="dxa"/>
            <w:tcBorders/>
            <w:shd w:fill="CCEEFF" w:val="clear"/>
            <w:vAlign w:val="bottom"/>
          </w:tcPr>
          <w:p>
            <w:pPr>
              <w:pStyle w:val="TableContents"/>
              <w:spacing w:before="0" w:after="0"/>
              <w:ind w:left="225" w:right="0" w:hanging="225"/>
              <w:rPr/>
            </w:pPr>
            <w:r>
              <w:rPr/>
              <w:t> </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pPr>
            <w:r>
              <w:rPr/>
              <w:t> </w:t>
            </w:r>
          </w:p>
        </w:tc>
        <w:tc>
          <w:tcPr>
            <w:tcW w:w="756" w:type="dxa"/>
            <w:tcBorders/>
            <w:shd w:fill="CCEEFF" w:val="clear"/>
            <w:vAlign w:val="bottom"/>
          </w:tcPr>
          <w:p>
            <w:pPr>
              <w:pStyle w:val="TableContents"/>
              <w:spacing w:before="0" w:after="283"/>
              <w:jc w:val="right"/>
              <w:rPr/>
            </w:pPr>
            <w:r>
              <w:rPr/>
              <w:t>(10,534</w:t>
            </w:r>
          </w:p>
        </w:tc>
        <w:tc>
          <w:tcPr>
            <w:tcW w:w="308"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pPr>
            <w:r>
              <w:rPr/>
              <w:t> </w:t>
            </w:r>
          </w:p>
        </w:tc>
        <w:tc>
          <w:tcPr>
            <w:tcW w:w="648" w:type="dxa"/>
            <w:tcBorders/>
            <w:shd w:fill="CCEEFF" w:val="clear"/>
            <w:vAlign w:val="bottom"/>
          </w:tcPr>
          <w:p>
            <w:pPr>
              <w:pStyle w:val="TableContents"/>
              <w:spacing w:before="0" w:after="283"/>
              <w:jc w:val="right"/>
              <w:rPr/>
            </w:pPr>
            <w:r>
              <w:rPr/>
              <w:t>(9,862</w:t>
            </w:r>
          </w:p>
        </w:tc>
        <w:tc>
          <w:tcPr>
            <w:tcW w:w="312" w:type="dxa"/>
            <w:tcBorders/>
            <w:shd w:fill="CCEEFF" w:val="clear"/>
            <w:vAlign w:val="bottom"/>
          </w:tcPr>
          <w:p>
            <w:pPr>
              <w:pStyle w:val="TableContents"/>
              <w:spacing w:before="0" w:after="283"/>
              <w:rPr/>
            </w:pPr>
            <w:r>
              <w:rPr/>
              <w:t>)</w:t>
            </w:r>
          </w:p>
        </w:tc>
      </w:tr>
      <w:tr>
        <w:trPr/>
        <w:tc>
          <w:tcPr>
            <w:tcW w:w="6633"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314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633" w:type="dxa"/>
            <w:tcBorders/>
            <w:shd w:fill="auto" w:val="clear"/>
            <w:vAlign w:val="bottom"/>
          </w:tcPr>
          <w:p>
            <w:pPr>
              <w:pStyle w:val="TableContents"/>
              <w:spacing w:before="0" w:after="0"/>
              <w:ind w:left="225" w:right="0" w:hanging="225"/>
              <w:rPr/>
            </w:pPr>
            <w:r>
              <w:rPr/>
              <w:t> </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r>
      <w:tr>
        <w:trPr/>
        <w:tc>
          <w:tcPr>
            <w:tcW w:w="6633" w:type="dxa"/>
            <w:tcBorders/>
            <w:shd w:fill="auto" w:val="clear"/>
            <w:vAlign w:val="bottom"/>
          </w:tcPr>
          <w:p>
            <w:pPr>
              <w:pStyle w:val="TableContents"/>
              <w:spacing w:before="0" w:after="0"/>
              <w:ind w:left="225" w:right="0" w:hanging="225"/>
              <w:rPr>
                <w:b/>
              </w:rPr>
            </w:pPr>
            <w:r>
              <w:rPr>
                <w:b/>
              </w:rPr>
              <w:t>Net deferred tax liability</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w:t>
            </w:r>
          </w:p>
        </w:tc>
        <w:tc>
          <w:tcPr>
            <w:tcW w:w="756" w:type="dxa"/>
            <w:tcBorders/>
            <w:shd w:fill="auto" w:val="clear"/>
            <w:vAlign w:val="bottom"/>
          </w:tcPr>
          <w:p>
            <w:pPr>
              <w:pStyle w:val="TableContents"/>
              <w:spacing w:before="0" w:after="283"/>
              <w:jc w:val="right"/>
              <w:rPr/>
            </w:pPr>
            <w:r>
              <w:rPr/>
              <w:t>(394</w:t>
            </w:r>
          </w:p>
        </w:tc>
        <w:tc>
          <w:tcPr>
            <w:tcW w:w="308"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pPr>
            <w:r>
              <w:rPr/>
              <w:t>$</w:t>
            </w:r>
          </w:p>
        </w:tc>
        <w:tc>
          <w:tcPr>
            <w:tcW w:w="648" w:type="dxa"/>
            <w:tcBorders/>
            <w:shd w:fill="auto" w:val="clear"/>
            <w:vAlign w:val="bottom"/>
          </w:tcPr>
          <w:p>
            <w:pPr>
              <w:pStyle w:val="TableContents"/>
              <w:spacing w:before="0" w:after="283"/>
              <w:jc w:val="right"/>
              <w:rPr/>
            </w:pPr>
            <w:r>
              <w:rPr/>
              <w:t>(566</w:t>
            </w:r>
          </w:p>
        </w:tc>
        <w:tc>
          <w:tcPr>
            <w:tcW w:w="312" w:type="dxa"/>
            <w:tcBorders/>
            <w:shd w:fill="auto" w:val="clear"/>
            <w:vAlign w:val="bottom"/>
          </w:tcPr>
          <w:p>
            <w:pPr>
              <w:pStyle w:val="TableContents"/>
              <w:spacing w:before="0" w:after="283"/>
              <w:rPr/>
            </w:pPr>
            <w:r>
              <w:rPr/>
              <w:t>)</w:t>
            </w:r>
          </w:p>
        </w:tc>
      </w:tr>
      <w:tr>
        <w:trPr/>
        <w:tc>
          <w:tcPr>
            <w:tcW w:w="6633"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3147"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240" w:after="283"/>
        <w:jc w:val="left"/>
        <w:rPr>
          <w:rFonts w:ascii="Arial;Helvetica;sans-serif" w:hAnsi="Arial;Helvetica;sans-serif"/>
          <w:sz w:val="17"/>
        </w:rPr>
      </w:pPr>
      <w:r>
        <w:rPr>
          <w:rFonts w:ascii="Arial;Helvetica;sans-serif" w:hAnsi="Arial;Helvetica;sans-serif"/>
          <w:b/>
          <w:sz w:val="17"/>
        </w:rPr>
        <w:t>Note 15. Employee Benefit Plans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u w:val="single"/>
        </w:rPr>
        <w:t>Employees Stock Ownership Plan</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First Busey Corporation Employees Stock Ownership Plan (ESOP) is available to all full-time employees who meet certain age and length of service requirements. The ESOP purchased common shares of the Corporation using the proceeds of bank borrowings which is secured by the stock. The borrowings are to be repaid using fully deductible contributions to the trust fund. As the ESOP makes each payment of principal, an appropriate percentage of stock will be allocated to eligible employees accounts in accordance with applicable regulations under the Internal Revenue Code. Allocations of common stock released and forfeitures are based on the eligible compensation of each participant. Dividends on allocated shares of common stock are distributed directly to the participants, and dividends on unallocated shares are used to service the bank borrowings. All shares held by the ESOP, which were acquired prior to the issuance of Statement of Position 93-6, are included in the computation of average common shares and common share equivalents. This accounting treatment is grandfathered under AICPA Statement of Position 93-6, Employers Accounting for Employee Stock Ownership Plans for shares purchased prior to December 31, 1992.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 December, 2003, First Busey Corporations Employees Stock Ownership Plan purchased an additional 75,000 shares of the Corporations common stock using proceeds of $1,356,000 from bank borrowings which are secured by the stock. </w:t>
      </w:r>
    </w:p>
    <w:p>
      <w:pPr>
        <w:pStyle w:val="TextBody"/>
        <w:jc w:val="center"/>
        <w:rPr>
          <w:rFonts w:ascii="Arial;Helvetica;sans-serif" w:hAnsi="Arial;Helvetica;sans-serif"/>
          <w:sz w:val="17"/>
        </w:rPr>
      </w:pPr>
      <w:r>
        <w:rPr>
          <w:rFonts w:ascii="Arial;Helvetica;sans-serif" w:hAnsi="Arial;Helvetica;sans-serif"/>
          <w:sz w:val="17"/>
        </w:rPr>
        <w:t xml:space="preserve">78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As permitted by Statement of Position (SOP) 93-6, compensation expense for shares released is equal to the original acquisition cost of the shares if they were acquired prior to December 31, 1992. Compensation expense for shares released is equal to the fair market value of the shares when released if they were acquired on or after January 1, 1993. All shares released in 2005, 2004, and 2003 were acquired after January 1, 1993. During 2005, $574,000 of compensation expense was recognized for the ESOP, releasing 25,500 shares to participant accounts. During 2004, $467,000 of compensation expense was recognized for the ESOP, releasing 25,500 shares to participant accounts. During 2003, $327,000 of compensation expense was recognized for the ESOP releasing 18,000 shares to participant accounts. Compensation expense related to the ESOP is included in the chart below under Employee Benefits. Compensation expense related to the ESOP plan, including related interest expense, was $684,000, $635,000, and $431,000, in the years ended December 31, 2005, 2004 and 2003.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Shares held in the ESOP which were acquired prior to December 31, 1992 were as follows: </w:t>
      </w:r>
    </w:p>
    <w:tbl>
      <w:tblPr>
        <w:tblW w:w="5000" w:type="pct"/>
        <w:jc w:val="center"/>
        <w:tblInd w:w="0" w:type="dxa"/>
        <w:tblCellMar>
          <w:top w:w="0" w:type="dxa"/>
          <w:left w:w="0" w:type="dxa"/>
          <w:bottom w:w="0" w:type="dxa"/>
          <w:right w:w="0" w:type="dxa"/>
        </w:tblCellMar>
      </w:tblPr>
      <w:tblGrid>
        <w:gridCol w:w="6014"/>
        <w:gridCol w:w="394"/>
        <w:gridCol w:w="334"/>
        <w:gridCol w:w="1106"/>
        <w:gridCol w:w="259"/>
        <w:gridCol w:w="394"/>
        <w:gridCol w:w="334"/>
        <w:gridCol w:w="1106"/>
        <w:gridCol w:w="264"/>
      </w:tblGrid>
      <w:tr>
        <w:trPr/>
        <w:tc>
          <w:tcPr>
            <w:tcW w:w="60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r>
      <w:tr>
        <w:trPr/>
        <w:tc>
          <w:tcPr>
            <w:tcW w:w="6014"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699" w:type="dxa"/>
            <w:gridSpan w:val="3"/>
            <w:tcBorders/>
            <w:shd w:fill="auto" w:val="clear"/>
            <w:vAlign w:val="bottom"/>
          </w:tcPr>
          <w:p>
            <w:pPr>
              <w:pStyle w:val="TableContents"/>
              <w:spacing w:before="0" w:after="283"/>
              <w:jc w:val="center"/>
              <w:rPr/>
            </w:pPr>
            <w:r>
              <w:rPr/>
              <w:t>2005</w:t>
            </w:r>
          </w:p>
        </w:tc>
        <w:tc>
          <w:tcPr>
            <w:tcW w:w="394" w:type="dxa"/>
            <w:tcBorders/>
            <w:shd w:fill="auto" w:val="clear"/>
            <w:vAlign w:val="bottom"/>
          </w:tcPr>
          <w:p>
            <w:pPr>
              <w:pStyle w:val="TableContents"/>
              <w:spacing w:before="0" w:after="283"/>
              <w:rPr/>
            </w:pPr>
            <w:r>
              <w:rPr/>
              <w:t> </w:t>
            </w:r>
          </w:p>
        </w:tc>
        <w:tc>
          <w:tcPr>
            <w:tcW w:w="1704" w:type="dxa"/>
            <w:gridSpan w:val="3"/>
            <w:tcBorders/>
            <w:shd w:fill="auto" w:val="clear"/>
            <w:vAlign w:val="bottom"/>
          </w:tcPr>
          <w:p>
            <w:pPr>
              <w:pStyle w:val="TableContents"/>
              <w:spacing w:before="0" w:after="283"/>
              <w:jc w:val="center"/>
              <w:rPr/>
            </w:pPr>
            <w:r>
              <w:rPr/>
              <w:t>2004</w:t>
            </w:r>
          </w:p>
        </w:tc>
      </w:tr>
      <w:tr>
        <w:trPr/>
        <w:tc>
          <w:tcPr>
            <w:tcW w:w="601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379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14" w:type="dxa"/>
            <w:tcBorders/>
            <w:shd w:fill="CCEEFF" w:val="clear"/>
            <w:vAlign w:val="bottom"/>
          </w:tcPr>
          <w:p>
            <w:pPr>
              <w:pStyle w:val="TableContents"/>
              <w:spacing w:before="0" w:after="0"/>
              <w:ind w:left="225" w:right="0" w:hanging="225"/>
              <w:rPr/>
            </w:pPr>
            <w:r>
              <w:rPr/>
              <w:t>Allocated shares</w:t>
            </w:r>
          </w:p>
        </w:tc>
        <w:tc>
          <w:tcPr>
            <w:tcW w:w="394"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1,054,275</w:t>
            </w:r>
          </w:p>
        </w:tc>
        <w:tc>
          <w:tcPr>
            <w:tcW w:w="259"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1,074,256</w:t>
            </w:r>
          </w:p>
        </w:tc>
        <w:tc>
          <w:tcPr>
            <w:tcW w:w="264" w:type="dxa"/>
            <w:tcBorders/>
            <w:shd w:fill="CCEEFF" w:val="clear"/>
            <w:vAlign w:val="bottom"/>
          </w:tcPr>
          <w:p>
            <w:pPr>
              <w:pStyle w:val="TableContents"/>
              <w:spacing w:before="0" w:after="283"/>
              <w:rPr/>
            </w:pPr>
            <w:r>
              <w:rPr/>
              <w:t> </w:t>
            </w:r>
          </w:p>
        </w:tc>
      </w:tr>
      <w:tr>
        <w:trPr/>
        <w:tc>
          <w:tcPr>
            <w:tcW w:w="6014" w:type="dxa"/>
            <w:tcBorders/>
            <w:shd w:fill="auto" w:val="clear"/>
            <w:vAlign w:val="bottom"/>
          </w:tcPr>
          <w:p>
            <w:pPr>
              <w:pStyle w:val="TableContents"/>
              <w:spacing w:before="0" w:after="0"/>
              <w:ind w:left="225" w:right="0" w:hanging="225"/>
              <w:rPr/>
            </w:pPr>
            <w:r>
              <w:rPr/>
              <w:t>Unallocated shares</w:t>
            </w:r>
          </w:p>
        </w:tc>
        <w:tc>
          <w:tcPr>
            <w:tcW w:w="394"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w:t>
            </w:r>
          </w:p>
        </w:tc>
        <w:tc>
          <w:tcPr>
            <w:tcW w:w="25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w:t>
            </w:r>
          </w:p>
        </w:tc>
        <w:tc>
          <w:tcPr>
            <w:tcW w:w="264" w:type="dxa"/>
            <w:tcBorders/>
            <w:shd w:fill="auto" w:val="clear"/>
            <w:vAlign w:val="bottom"/>
          </w:tcPr>
          <w:p>
            <w:pPr>
              <w:pStyle w:val="TableContents"/>
              <w:spacing w:before="0" w:after="283"/>
              <w:rPr/>
            </w:pPr>
            <w:r>
              <w:rPr/>
              <w:t> </w:t>
            </w:r>
          </w:p>
        </w:tc>
      </w:tr>
      <w:tr>
        <w:trPr/>
        <w:tc>
          <w:tcPr>
            <w:tcW w:w="601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379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14" w:type="dxa"/>
            <w:tcBorders/>
            <w:shd w:fill="auto" w:val="clear"/>
            <w:vAlign w:val="bottom"/>
          </w:tcPr>
          <w:p>
            <w:pPr>
              <w:pStyle w:val="TableContents"/>
              <w:spacing w:before="0" w:after="0"/>
              <w:ind w:left="225" w:right="0" w:hanging="225"/>
              <w:rPr/>
            </w:pPr>
            <w:r>
              <w:rPr/>
              <w:t> </w:t>
            </w:r>
          </w:p>
        </w:tc>
        <w:tc>
          <w:tcPr>
            <w:tcW w:w="394"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r>
      <w:tr>
        <w:trPr/>
        <w:tc>
          <w:tcPr>
            <w:tcW w:w="6014" w:type="dxa"/>
            <w:tcBorders/>
            <w:shd w:fill="CCEEFF" w:val="clear"/>
            <w:vAlign w:val="bottom"/>
          </w:tcPr>
          <w:p>
            <w:pPr>
              <w:pStyle w:val="TableContents"/>
              <w:spacing w:before="0" w:after="0"/>
              <w:ind w:left="225" w:right="0" w:hanging="225"/>
              <w:rPr>
                <w:b/>
              </w:rPr>
            </w:pPr>
            <w:r>
              <w:rPr>
                <w:b/>
              </w:rPr>
              <w:t>Total</w:t>
            </w:r>
          </w:p>
        </w:tc>
        <w:tc>
          <w:tcPr>
            <w:tcW w:w="394"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1,054,275</w:t>
            </w:r>
          </w:p>
        </w:tc>
        <w:tc>
          <w:tcPr>
            <w:tcW w:w="259"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1,074,256</w:t>
            </w:r>
          </w:p>
        </w:tc>
        <w:tc>
          <w:tcPr>
            <w:tcW w:w="264" w:type="dxa"/>
            <w:tcBorders/>
            <w:shd w:fill="CCEEFF" w:val="clear"/>
            <w:vAlign w:val="bottom"/>
          </w:tcPr>
          <w:p>
            <w:pPr>
              <w:pStyle w:val="TableContents"/>
              <w:spacing w:before="0" w:after="283"/>
              <w:rPr/>
            </w:pPr>
            <w:r>
              <w:rPr/>
              <w:t> </w:t>
            </w:r>
          </w:p>
        </w:tc>
      </w:tr>
      <w:tr>
        <w:trPr/>
        <w:tc>
          <w:tcPr>
            <w:tcW w:w="601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3797"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6014" w:type="dxa"/>
            <w:tcBorders/>
            <w:shd w:fill="auto" w:val="clear"/>
            <w:vAlign w:val="bottom"/>
          </w:tcPr>
          <w:p>
            <w:pPr>
              <w:pStyle w:val="TableContents"/>
              <w:spacing w:before="0" w:after="0"/>
              <w:ind w:left="225" w:right="0" w:hanging="225"/>
              <w:rPr/>
            </w:pPr>
            <w:r>
              <w:rPr/>
              <w:t> </w:t>
            </w:r>
          </w:p>
        </w:tc>
        <w:tc>
          <w:tcPr>
            <w:tcW w:w="394"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r>
      <w:tr>
        <w:trPr/>
        <w:tc>
          <w:tcPr>
            <w:tcW w:w="6014" w:type="dxa"/>
            <w:tcBorders/>
            <w:shd w:fill="auto" w:val="clear"/>
            <w:vAlign w:val="bottom"/>
          </w:tcPr>
          <w:p>
            <w:pPr>
              <w:pStyle w:val="TableContents"/>
              <w:spacing w:before="0" w:after="0"/>
              <w:ind w:left="225" w:right="0" w:hanging="225"/>
              <w:rPr/>
            </w:pPr>
            <w:r>
              <w:rPr/>
              <w:t>Fair value of allocated shares at December 31</w:t>
            </w:r>
          </w:p>
        </w:tc>
        <w:tc>
          <w:tcPr>
            <w:tcW w:w="394"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jc w:val="right"/>
              <w:rPr/>
            </w:pPr>
            <w:r>
              <w:rPr/>
              <w:t>$</w:t>
            </w:r>
          </w:p>
        </w:tc>
        <w:tc>
          <w:tcPr>
            <w:tcW w:w="1106" w:type="dxa"/>
            <w:tcBorders/>
            <w:shd w:fill="auto" w:val="clear"/>
            <w:vAlign w:val="bottom"/>
          </w:tcPr>
          <w:p>
            <w:pPr>
              <w:pStyle w:val="TableContents"/>
              <w:spacing w:before="0" w:after="283"/>
              <w:jc w:val="right"/>
              <w:rPr/>
            </w:pPr>
            <w:r>
              <w:rPr/>
              <w:t>22,024,000</w:t>
            </w:r>
          </w:p>
        </w:tc>
        <w:tc>
          <w:tcPr>
            <w:tcW w:w="25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jc w:val="right"/>
              <w:rPr/>
            </w:pPr>
            <w:r>
              <w:rPr/>
              <w:t>$</w:t>
            </w:r>
          </w:p>
        </w:tc>
        <w:tc>
          <w:tcPr>
            <w:tcW w:w="1106" w:type="dxa"/>
            <w:tcBorders/>
            <w:shd w:fill="auto" w:val="clear"/>
            <w:vAlign w:val="bottom"/>
          </w:tcPr>
          <w:p>
            <w:pPr>
              <w:pStyle w:val="TableContents"/>
              <w:spacing w:before="0" w:after="283"/>
              <w:jc w:val="right"/>
              <w:rPr/>
            </w:pPr>
            <w:r>
              <w:rPr/>
              <w:t>22,420,000</w:t>
            </w:r>
          </w:p>
        </w:tc>
        <w:tc>
          <w:tcPr>
            <w:tcW w:w="264" w:type="dxa"/>
            <w:tcBorders/>
            <w:shd w:fill="auto" w:val="clear"/>
            <w:vAlign w:val="bottom"/>
          </w:tcPr>
          <w:p>
            <w:pPr>
              <w:pStyle w:val="TableContents"/>
              <w:spacing w:before="0" w:after="283"/>
              <w:rPr/>
            </w:pPr>
            <w:r>
              <w:rPr/>
              <w:t> </w:t>
            </w:r>
          </w:p>
        </w:tc>
      </w:tr>
      <w:tr>
        <w:trPr/>
        <w:tc>
          <w:tcPr>
            <w:tcW w:w="6014"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3797"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240" w:after="283"/>
        <w:jc w:val="left"/>
        <w:rPr>
          <w:rFonts w:ascii="Arial;Helvetica;sans-serif" w:hAnsi="Arial;Helvetica;sans-serif"/>
          <w:sz w:val="17"/>
        </w:rPr>
      </w:pPr>
      <w:r>
        <w:rPr>
          <w:rFonts w:ascii="Arial;Helvetica;sans-serif" w:hAnsi="Arial;Helvetica;sans-serif"/>
          <w:sz w:val="17"/>
        </w:rPr>
        <w:t xml:space="preserve">Shares held in the ESOP which were acquired after December 31, 1992 and their fair values were as follows: </w:t>
      </w:r>
    </w:p>
    <w:tbl>
      <w:tblPr>
        <w:tblW w:w="5000" w:type="pct"/>
        <w:jc w:val="center"/>
        <w:tblInd w:w="0" w:type="dxa"/>
        <w:tblCellMar>
          <w:top w:w="0" w:type="dxa"/>
          <w:left w:w="0" w:type="dxa"/>
          <w:bottom w:w="0" w:type="dxa"/>
          <w:right w:w="0" w:type="dxa"/>
        </w:tblCellMar>
      </w:tblPr>
      <w:tblGrid>
        <w:gridCol w:w="3533"/>
        <w:gridCol w:w="311"/>
        <w:gridCol w:w="209"/>
        <w:gridCol w:w="813"/>
        <w:gridCol w:w="209"/>
        <w:gridCol w:w="311"/>
        <w:gridCol w:w="285"/>
        <w:gridCol w:w="984"/>
        <w:gridCol w:w="209"/>
        <w:gridCol w:w="311"/>
        <w:gridCol w:w="209"/>
        <w:gridCol w:w="813"/>
        <w:gridCol w:w="209"/>
        <w:gridCol w:w="311"/>
        <w:gridCol w:w="285"/>
        <w:gridCol w:w="984"/>
        <w:gridCol w:w="219"/>
      </w:tblGrid>
      <w:tr>
        <w:trPr/>
        <w:tc>
          <w:tcPr>
            <w:tcW w:w="3533"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r>
      <w:tr>
        <w:trPr/>
        <w:tc>
          <w:tcPr>
            <w:tcW w:w="3533"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3020" w:type="dxa"/>
            <w:gridSpan w:val="7"/>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311" w:type="dxa"/>
            <w:tcBorders/>
            <w:shd w:fill="auto" w:val="clear"/>
            <w:vAlign w:val="bottom"/>
          </w:tcPr>
          <w:p>
            <w:pPr>
              <w:pStyle w:val="TableContents"/>
              <w:spacing w:before="0" w:after="283"/>
              <w:rPr/>
            </w:pPr>
            <w:r>
              <w:rPr/>
              <w:t> </w:t>
            </w:r>
          </w:p>
        </w:tc>
        <w:tc>
          <w:tcPr>
            <w:tcW w:w="3030" w:type="dxa"/>
            <w:gridSpan w:val="7"/>
            <w:tcBorders>
              <w:bottom w:val="single" w:sz="2" w:space="0" w:color="000000"/>
            </w:tcBorders>
            <w:shd w:fill="auto" w:val="clear"/>
            <w:tcMar>
              <w:bottom w:w="28" w:type="dxa"/>
            </w:tcMar>
            <w:vAlign w:val="bottom"/>
          </w:tcPr>
          <w:p>
            <w:pPr>
              <w:pStyle w:val="TableContents"/>
              <w:spacing w:before="0" w:after="283"/>
              <w:jc w:val="center"/>
              <w:rPr/>
            </w:pPr>
            <w:r>
              <w:rPr/>
              <w:t>2004</w:t>
            </w:r>
          </w:p>
        </w:tc>
      </w:tr>
      <w:tr>
        <w:trPr/>
        <w:tc>
          <w:tcPr>
            <w:tcW w:w="3533"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478" w:type="dxa"/>
            <w:gridSpan w:val="3"/>
            <w:tcBorders/>
            <w:shd w:fill="auto" w:val="clear"/>
            <w:vAlign w:val="bottom"/>
          </w:tcPr>
          <w:p>
            <w:pPr>
              <w:pStyle w:val="TableContents"/>
              <w:spacing w:before="0" w:after="283"/>
              <w:jc w:val="center"/>
              <w:rPr/>
            </w:pPr>
            <w:r>
              <w:rPr/>
              <w:t>Fair</w:t>
            </w:r>
          </w:p>
        </w:tc>
        <w:tc>
          <w:tcPr>
            <w:tcW w:w="31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488" w:type="dxa"/>
            <w:gridSpan w:val="3"/>
            <w:tcBorders/>
            <w:shd w:fill="auto" w:val="clear"/>
            <w:vAlign w:val="bottom"/>
          </w:tcPr>
          <w:p>
            <w:pPr>
              <w:pStyle w:val="TableContents"/>
              <w:spacing w:before="0" w:after="283"/>
              <w:jc w:val="center"/>
              <w:rPr/>
            </w:pPr>
            <w:r>
              <w:rPr/>
              <w:t>Fair</w:t>
            </w:r>
          </w:p>
        </w:tc>
      </w:tr>
      <w:tr>
        <w:trPr/>
        <w:tc>
          <w:tcPr>
            <w:tcW w:w="3533"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31" w:type="dxa"/>
            <w:gridSpan w:val="3"/>
            <w:tcBorders/>
            <w:shd w:fill="auto" w:val="clear"/>
            <w:vAlign w:val="bottom"/>
          </w:tcPr>
          <w:p>
            <w:pPr>
              <w:pStyle w:val="TableContents"/>
              <w:spacing w:before="0" w:after="283"/>
              <w:jc w:val="center"/>
              <w:rPr/>
            </w:pPr>
            <w:r>
              <w:rPr/>
              <w:t>Shares</w:t>
            </w:r>
          </w:p>
        </w:tc>
        <w:tc>
          <w:tcPr>
            <w:tcW w:w="311" w:type="dxa"/>
            <w:tcBorders/>
            <w:shd w:fill="auto" w:val="clear"/>
            <w:vAlign w:val="bottom"/>
          </w:tcPr>
          <w:p>
            <w:pPr>
              <w:pStyle w:val="TableContents"/>
              <w:spacing w:before="0" w:after="283"/>
              <w:rPr/>
            </w:pPr>
            <w:r>
              <w:rPr/>
              <w:t> </w:t>
            </w:r>
          </w:p>
        </w:tc>
        <w:tc>
          <w:tcPr>
            <w:tcW w:w="1478" w:type="dxa"/>
            <w:gridSpan w:val="3"/>
            <w:tcBorders/>
            <w:shd w:fill="auto" w:val="clear"/>
            <w:vAlign w:val="bottom"/>
          </w:tcPr>
          <w:p>
            <w:pPr>
              <w:pStyle w:val="TableContents"/>
              <w:spacing w:before="0" w:after="283"/>
              <w:jc w:val="center"/>
              <w:rPr/>
            </w:pPr>
            <w:r>
              <w:rPr/>
              <w:t>Value</w:t>
            </w:r>
          </w:p>
        </w:tc>
        <w:tc>
          <w:tcPr>
            <w:tcW w:w="311" w:type="dxa"/>
            <w:tcBorders/>
            <w:shd w:fill="auto" w:val="clear"/>
            <w:vAlign w:val="bottom"/>
          </w:tcPr>
          <w:p>
            <w:pPr>
              <w:pStyle w:val="TableContents"/>
              <w:spacing w:before="0" w:after="283"/>
              <w:rPr/>
            </w:pPr>
            <w:r>
              <w:rPr/>
              <w:t> </w:t>
            </w:r>
          </w:p>
        </w:tc>
        <w:tc>
          <w:tcPr>
            <w:tcW w:w="1231" w:type="dxa"/>
            <w:gridSpan w:val="3"/>
            <w:tcBorders/>
            <w:shd w:fill="auto" w:val="clear"/>
            <w:vAlign w:val="bottom"/>
          </w:tcPr>
          <w:p>
            <w:pPr>
              <w:pStyle w:val="TableContents"/>
              <w:spacing w:before="0" w:after="283"/>
              <w:jc w:val="center"/>
              <w:rPr/>
            </w:pPr>
            <w:r>
              <w:rPr/>
              <w:t>Shares</w:t>
            </w:r>
          </w:p>
        </w:tc>
        <w:tc>
          <w:tcPr>
            <w:tcW w:w="311" w:type="dxa"/>
            <w:tcBorders/>
            <w:shd w:fill="auto" w:val="clear"/>
            <w:vAlign w:val="bottom"/>
          </w:tcPr>
          <w:p>
            <w:pPr>
              <w:pStyle w:val="TableContents"/>
              <w:spacing w:before="0" w:after="283"/>
              <w:rPr/>
            </w:pPr>
            <w:r>
              <w:rPr/>
              <w:t> </w:t>
            </w:r>
          </w:p>
        </w:tc>
        <w:tc>
          <w:tcPr>
            <w:tcW w:w="1488" w:type="dxa"/>
            <w:gridSpan w:val="3"/>
            <w:tcBorders/>
            <w:shd w:fill="auto" w:val="clear"/>
            <w:vAlign w:val="bottom"/>
          </w:tcPr>
          <w:p>
            <w:pPr>
              <w:pStyle w:val="TableContents"/>
              <w:spacing w:before="0" w:after="283"/>
              <w:jc w:val="center"/>
              <w:rPr/>
            </w:pPr>
            <w:r>
              <w:rPr/>
              <w:t>Value</w:t>
            </w:r>
          </w:p>
        </w:tc>
      </w:tr>
      <w:tr>
        <w:trPr/>
        <w:tc>
          <w:tcPr>
            <w:tcW w:w="3533"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283"/>
              <w:rPr/>
            </w:pPr>
            <w:r>
              <w:rPr/>
              <w:t> </w:t>
            </w:r>
          </w:p>
        </w:tc>
        <w:tc>
          <w:tcPr>
            <w:tcW w:w="6361"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533" w:type="dxa"/>
            <w:tcBorders/>
            <w:shd w:fill="CCEEFF" w:val="clear"/>
            <w:vAlign w:val="bottom"/>
          </w:tcPr>
          <w:p>
            <w:pPr>
              <w:pStyle w:val="TableContents"/>
              <w:spacing w:before="0" w:after="0"/>
              <w:ind w:left="225" w:right="0" w:hanging="225"/>
              <w:rPr/>
            </w:pPr>
            <w:r>
              <w:rPr/>
              <w:t>Allocated shares</w:t>
            </w:r>
          </w:p>
        </w:tc>
        <w:tc>
          <w:tcPr>
            <w:tcW w:w="31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121,649</w:t>
            </w:r>
          </w:p>
        </w:tc>
        <w:tc>
          <w:tcPr>
            <w:tcW w:w="209"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jc w:val="right"/>
              <w:rPr/>
            </w:pPr>
            <w:r>
              <w:rPr/>
              <w:t>$</w:t>
            </w:r>
          </w:p>
        </w:tc>
        <w:tc>
          <w:tcPr>
            <w:tcW w:w="984" w:type="dxa"/>
            <w:tcBorders/>
            <w:shd w:fill="CCEEFF" w:val="clear"/>
            <w:vAlign w:val="bottom"/>
          </w:tcPr>
          <w:p>
            <w:pPr>
              <w:pStyle w:val="TableContents"/>
              <w:spacing w:before="0" w:after="283"/>
              <w:jc w:val="right"/>
              <w:rPr/>
            </w:pPr>
            <w:r>
              <w:rPr/>
              <w:t>2,541,000</w:t>
            </w:r>
          </w:p>
        </w:tc>
        <w:tc>
          <w:tcPr>
            <w:tcW w:w="209"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99,600</w:t>
            </w:r>
          </w:p>
        </w:tc>
        <w:tc>
          <w:tcPr>
            <w:tcW w:w="209"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jc w:val="right"/>
              <w:rPr/>
            </w:pPr>
            <w:r>
              <w:rPr/>
              <w:t>$</w:t>
            </w:r>
          </w:p>
        </w:tc>
        <w:tc>
          <w:tcPr>
            <w:tcW w:w="984" w:type="dxa"/>
            <w:tcBorders/>
            <w:shd w:fill="CCEEFF" w:val="clear"/>
            <w:vAlign w:val="bottom"/>
          </w:tcPr>
          <w:p>
            <w:pPr>
              <w:pStyle w:val="TableContents"/>
              <w:spacing w:before="0" w:after="283"/>
              <w:jc w:val="right"/>
              <w:rPr/>
            </w:pPr>
            <w:r>
              <w:rPr/>
              <w:t>2,079,000</w:t>
            </w:r>
          </w:p>
        </w:tc>
        <w:tc>
          <w:tcPr>
            <w:tcW w:w="219" w:type="dxa"/>
            <w:tcBorders/>
            <w:shd w:fill="CCEEFF" w:val="clear"/>
            <w:vAlign w:val="bottom"/>
          </w:tcPr>
          <w:p>
            <w:pPr>
              <w:pStyle w:val="TableContents"/>
              <w:spacing w:before="0" w:after="283"/>
              <w:rPr/>
            </w:pPr>
            <w:r>
              <w:rPr/>
              <w:t> </w:t>
            </w:r>
          </w:p>
        </w:tc>
      </w:tr>
      <w:tr>
        <w:trPr/>
        <w:tc>
          <w:tcPr>
            <w:tcW w:w="3533" w:type="dxa"/>
            <w:tcBorders/>
            <w:shd w:fill="auto" w:val="clear"/>
            <w:vAlign w:val="bottom"/>
          </w:tcPr>
          <w:p>
            <w:pPr>
              <w:pStyle w:val="TableContents"/>
              <w:spacing w:before="0" w:after="0"/>
              <w:ind w:left="225" w:right="0" w:hanging="225"/>
              <w:rPr/>
            </w:pPr>
            <w:r>
              <w:rPr/>
              <w:t>Unallocated shares</w:t>
            </w:r>
          </w:p>
        </w:tc>
        <w:tc>
          <w:tcPr>
            <w:tcW w:w="31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123,000</w:t>
            </w:r>
          </w:p>
        </w:tc>
        <w:tc>
          <w:tcPr>
            <w:tcW w:w="20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2,570,000</w:t>
            </w:r>
          </w:p>
        </w:tc>
        <w:tc>
          <w:tcPr>
            <w:tcW w:w="20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148,500</w:t>
            </w:r>
          </w:p>
        </w:tc>
        <w:tc>
          <w:tcPr>
            <w:tcW w:w="20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3,099,000</w:t>
            </w:r>
          </w:p>
        </w:tc>
        <w:tc>
          <w:tcPr>
            <w:tcW w:w="219" w:type="dxa"/>
            <w:tcBorders/>
            <w:shd w:fill="auto" w:val="clear"/>
            <w:vAlign w:val="bottom"/>
          </w:tcPr>
          <w:p>
            <w:pPr>
              <w:pStyle w:val="TableContents"/>
              <w:spacing w:before="0" w:after="283"/>
              <w:rPr/>
            </w:pPr>
            <w:r>
              <w:rPr/>
              <w:t> </w:t>
            </w:r>
          </w:p>
        </w:tc>
      </w:tr>
      <w:tr>
        <w:trPr/>
        <w:tc>
          <w:tcPr>
            <w:tcW w:w="3533"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283"/>
              <w:rPr/>
            </w:pPr>
            <w:r>
              <w:rPr/>
              <w:t> </w:t>
            </w:r>
          </w:p>
        </w:tc>
        <w:tc>
          <w:tcPr>
            <w:tcW w:w="6361"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533" w:type="dxa"/>
            <w:tcBorders/>
            <w:shd w:fill="auto" w:val="clear"/>
            <w:vAlign w:val="bottom"/>
          </w:tcPr>
          <w:p>
            <w:pPr>
              <w:pStyle w:val="TableContents"/>
              <w:spacing w:before="0" w:after="0"/>
              <w:ind w:left="225" w:right="0" w:hanging="225"/>
              <w:rPr/>
            </w:pPr>
            <w:r>
              <w:rPr/>
              <w:t> </w:t>
            </w:r>
          </w:p>
        </w:tc>
        <w:tc>
          <w:tcPr>
            <w:tcW w:w="31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r>
      <w:tr>
        <w:trPr/>
        <w:tc>
          <w:tcPr>
            <w:tcW w:w="3533" w:type="dxa"/>
            <w:tcBorders/>
            <w:shd w:fill="CCEEFF" w:val="clear"/>
            <w:vAlign w:val="bottom"/>
          </w:tcPr>
          <w:p>
            <w:pPr>
              <w:pStyle w:val="TableContents"/>
              <w:spacing w:before="0" w:after="0"/>
              <w:ind w:left="225" w:right="0" w:hanging="225"/>
              <w:rPr>
                <w:b/>
              </w:rPr>
            </w:pPr>
            <w:r>
              <w:rPr>
                <w:b/>
              </w:rPr>
              <w:t>Total</w:t>
            </w:r>
          </w:p>
        </w:tc>
        <w:tc>
          <w:tcPr>
            <w:tcW w:w="31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244,649</w:t>
            </w:r>
          </w:p>
        </w:tc>
        <w:tc>
          <w:tcPr>
            <w:tcW w:w="209"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jc w:val="right"/>
              <w:rPr/>
            </w:pPr>
            <w:r>
              <w:rPr/>
              <w:t>$</w:t>
            </w:r>
          </w:p>
        </w:tc>
        <w:tc>
          <w:tcPr>
            <w:tcW w:w="984" w:type="dxa"/>
            <w:tcBorders/>
            <w:shd w:fill="CCEEFF" w:val="clear"/>
            <w:vAlign w:val="bottom"/>
          </w:tcPr>
          <w:p>
            <w:pPr>
              <w:pStyle w:val="TableContents"/>
              <w:spacing w:before="0" w:after="283"/>
              <w:jc w:val="right"/>
              <w:rPr/>
            </w:pPr>
            <w:r>
              <w:rPr/>
              <w:t>5,111,000</w:t>
            </w:r>
          </w:p>
        </w:tc>
        <w:tc>
          <w:tcPr>
            <w:tcW w:w="209"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248,100</w:t>
            </w:r>
          </w:p>
        </w:tc>
        <w:tc>
          <w:tcPr>
            <w:tcW w:w="209"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jc w:val="right"/>
              <w:rPr/>
            </w:pPr>
            <w:r>
              <w:rPr/>
              <w:t>$</w:t>
            </w:r>
          </w:p>
        </w:tc>
        <w:tc>
          <w:tcPr>
            <w:tcW w:w="984" w:type="dxa"/>
            <w:tcBorders/>
            <w:shd w:fill="CCEEFF" w:val="clear"/>
            <w:vAlign w:val="bottom"/>
          </w:tcPr>
          <w:p>
            <w:pPr>
              <w:pStyle w:val="TableContents"/>
              <w:spacing w:before="0" w:after="283"/>
              <w:jc w:val="right"/>
              <w:rPr/>
            </w:pPr>
            <w:r>
              <w:rPr/>
              <w:t>5,178,000</w:t>
            </w:r>
          </w:p>
        </w:tc>
        <w:tc>
          <w:tcPr>
            <w:tcW w:w="219" w:type="dxa"/>
            <w:tcBorders/>
            <w:shd w:fill="CCEEFF" w:val="clear"/>
            <w:vAlign w:val="bottom"/>
          </w:tcPr>
          <w:p>
            <w:pPr>
              <w:pStyle w:val="TableContents"/>
              <w:spacing w:before="0" w:after="283"/>
              <w:rPr/>
            </w:pPr>
            <w:r>
              <w:rPr/>
              <w:t> </w:t>
            </w:r>
          </w:p>
        </w:tc>
      </w:tr>
      <w:tr>
        <w:trPr/>
        <w:tc>
          <w:tcPr>
            <w:tcW w:w="3533"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283"/>
              <w:rPr/>
            </w:pPr>
            <w:r>
              <w:rPr/>
              <w:t> </w:t>
            </w:r>
          </w:p>
        </w:tc>
        <w:tc>
          <w:tcPr>
            <w:tcW w:w="6361" w:type="dxa"/>
            <w:gridSpan w:val="15"/>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79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u w:val="single"/>
        </w:rPr>
        <w:t>Profit Sharing Plan</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All full-time employees who meet certain age and length of service requirements are eligible to participate in the Corporations profit-sharing plan. The contributions, if any, are determined solely by the Boards of Directors of the Corporation and its subsidiaries and in no case may the annual contributions be greater than the amounts deductible for federal income tax purposes for that year.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rights of the participants vest ratably over a seven-year period. Contributions to the plan were $1,129,000, $855,000, and $880,000 for the years ended December 31, 2005, 2004, and 2003, respectively.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Expenses related to the employee benefit plans are included in the statements of income as follows: </w:t>
      </w:r>
    </w:p>
    <w:tbl>
      <w:tblPr>
        <w:tblW w:w="5000" w:type="pct"/>
        <w:jc w:val="center"/>
        <w:tblInd w:w="0" w:type="dxa"/>
        <w:tblCellMar>
          <w:top w:w="0" w:type="dxa"/>
          <w:left w:w="0" w:type="dxa"/>
          <w:bottom w:w="0" w:type="dxa"/>
          <w:right w:w="0" w:type="dxa"/>
        </w:tblCellMar>
      </w:tblPr>
      <w:tblGrid>
        <w:gridCol w:w="5350"/>
        <w:gridCol w:w="391"/>
        <w:gridCol w:w="340"/>
        <w:gridCol w:w="619"/>
        <w:gridCol w:w="261"/>
        <w:gridCol w:w="397"/>
        <w:gridCol w:w="340"/>
        <w:gridCol w:w="619"/>
        <w:gridCol w:w="261"/>
        <w:gridCol w:w="397"/>
        <w:gridCol w:w="340"/>
        <w:gridCol w:w="619"/>
        <w:gridCol w:w="271"/>
      </w:tblGrid>
      <w:tr>
        <w:trPr/>
        <w:tc>
          <w:tcPr>
            <w:tcW w:w="535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r>
      <w:tr>
        <w:trPr/>
        <w:tc>
          <w:tcPr>
            <w:tcW w:w="535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4464" w:type="dxa"/>
            <w:gridSpan w:val="11"/>
            <w:tcBorders>
              <w:bottom w:val="single" w:sz="2" w:space="0" w:color="000000"/>
            </w:tcBorders>
            <w:shd w:fill="auto" w:val="clear"/>
            <w:tcMar>
              <w:bottom w:w="28" w:type="dxa"/>
            </w:tcMar>
            <w:vAlign w:val="bottom"/>
          </w:tcPr>
          <w:p>
            <w:pPr>
              <w:pStyle w:val="TableContents"/>
              <w:spacing w:before="0" w:after="283"/>
              <w:jc w:val="center"/>
              <w:rPr/>
            </w:pPr>
            <w:r>
              <w:rPr/>
              <w:t>Years Ended December 31,</w:t>
            </w:r>
          </w:p>
        </w:tc>
      </w:tr>
      <w:tr>
        <w:trPr/>
        <w:tc>
          <w:tcPr>
            <w:tcW w:w="535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20" w:type="dxa"/>
            <w:gridSpan w:val="3"/>
            <w:tcBorders/>
            <w:shd w:fill="auto" w:val="clear"/>
            <w:vAlign w:val="bottom"/>
          </w:tcPr>
          <w:p>
            <w:pPr>
              <w:pStyle w:val="TableContents"/>
              <w:spacing w:before="0" w:after="283"/>
              <w:jc w:val="center"/>
              <w:rPr/>
            </w:pPr>
            <w:r>
              <w:rPr/>
              <w:t>2005</w:t>
            </w:r>
          </w:p>
        </w:tc>
        <w:tc>
          <w:tcPr>
            <w:tcW w:w="397" w:type="dxa"/>
            <w:tcBorders/>
            <w:shd w:fill="auto" w:val="clear"/>
            <w:vAlign w:val="bottom"/>
          </w:tcPr>
          <w:p>
            <w:pPr>
              <w:pStyle w:val="TableContents"/>
              <w:spacing w:before="0" w:after="283"/>
              <w:rPr/>
            </w:pPr>
            <w:r>
              <w:rPr/>
              <w:t> </w:t>
            </w:r>
          </w:p>
        </w:tc>
        <w:tc>
          <w:tcPr>
            <w:tcW w:w="1220" w:type="dxa"/>
            <w:gridSpan w:val="3"/>
            <w:tcBorders/>
            <w:shd w:fill="auto" w:val="clear"/>
            <w:vAlign w:val="bottom"/>
          </w:tcPr>
          <w:p>
            <w:pPr>
              <w:pStyle w:val="TableContents"/>
              <w:spacing w:before="0" w:after="283"/>
              <w:jc w:val="center"/>
              <w:rPr/>
            </w:pPr>
            <w:r>
              <w:rPr/>
              <w:t>2004</w:t>
            </w:r>
          </w:p>
        </w:tc>
        <w:tc>
          <w:tcPr>
            <w:tcW w:w="397" w:type="dxa"/>
            <w:tcBorders/>
            <w:shd w:fill="auto" w:val="clear"/>
            <w:vAlign w:val="bottom"/>
          </w:tcPr>
          <w:p>
            <w:pPr>
              <w:pStyle w:val="TableContents"/>
              <w:spacing w:before="0" w:after="283"/>
              <w:rPr/>
            </w:pPr>
            <w:r>
              <w:rPr/>
              <w:t> </w:t>
            </w:r>
          </w:p>
        </w:tc>
        <w:tc>
          <w:tcPr>
            <w:tcW w:w="1230" w:type="dxa"/>
            <w:gridSpan w:val="3"/>
            <w:tcBorders/>
            <w:shd w:fill="auto" w:val="clear"/>
            <w:vAlign w:val="bottom"/>
          </w:tcPr>
          <w:p>
            <w:pPr>
              <w:pStyle w:val="TableContents"/>
              <w:spacing w:before="0" w:after="283"/>
              <w:jc w:val="center"/>
              <w:rPr/>
            </w:pPr>
            <w:r>
              <w:rPr/>
              <w:t>2003</w:t>
            </w:r>
          </w:p>
        </w:tc>
      </w:tr>
      <w:tr>
        <w:trPr/>
        <w:tc>
          <w:tcPr>
            <w:tcW w:w="535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4464"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35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4464" w:type="dxa"/>
            <w:gridSpan w:val="11"/>
            <w:tcBorders/>
            <w:shd w:fill="auto" w:val="clear"/>
            <w:vAlign w:val="bottom"/>
          </w:tcPr>
          <w:p>
            <w:pPr>
              <w:pStyle w:val="TableContents"/>
              <w:spacing w:before="0" w:after="283"/>
              <w:jc w:val="center"/>
              <w:rPr/>
            </w:pPr>
            <w:r>
              <w:rPr/>
              <w:t>(Dollars in thousands)</w:t>
            </w:r>
          </w:p>
        </w:tc>
      </w:tr>
      <w:tr>
        <w:trPr/>
        <w:tc>
          <w:tcPr>
            <w:tcW w:w="5350" w:type="dxa"/>
            <w:tcBorders/>
            <w:shd w:fill="CCEEFF" w:val="clear"/>
            <w:vAlign w:val="bottom"/>
          </w:tcPr>
          <w:p>
            <w:pPr>
              <w:pStyle w:val="TableContents"/>
              <w:spacing w:before="0" w:after="0"/>
              <w:ind w:left="225" w:right="0" w:hanging="225"/>
              <w:rPr/>
            </w:pPr>
            <w:r>
              <w:rPr/>
              <w:t>Employee benefits</w:t>
            </w:r>
          </w:p>
        </w:tc>
        <w:tc>
          <w:tcPr>
            <w:tcW w:w="39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jc w:val="right"/>
              <w:rPr/>
            </w:pPr>
            <w:r>
              <w:rPr/>
              <w:t>$</w:t>
            </w:r>
          </w:p>
        </w:tc>
        <w:tc>
          <w:tcPr>
            <w:tcW w:w="619" w:type="dxa"/>
            <w:tcBorders/>
            <w:shd w:fill="CCEEFF" w:val="clear"/>
            <w:vAlign w:val="bottom"/>
          </w:tcPr>
          <w:p>
            <w:pPr>
              <w:pStyle w:val="TableContents"/>
              <w:spacing w:before="0" w:after="283"/>
              <w:jc w:val="right"/>
              <w:rPr/>
            </w:pPr>
            <w:r>
              <w:rPr/>
              <w:t>1,703</w:t>
            </w:r>
          </w:p>
        </w:tc>
        <w:tc>
          <w:tcPr>
            <w:tcW w:w="26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jc w:val="right"/>
              <w:rPr/>
            </w:pPr>
            <w:r>
              <w:rPr/>
              <w:t>$</w:t>
            </w:r>
          </w:p>
        </w:tc>
        <w:tc>
          <w:tcPr>
            <w:tcW w:w="619" w:type="dxa"/>
            <w:tcBorders/>
            <w:shd w:fill="CCEEFF" w:val="clear"/>
            <w:vAlign w:val="bottom"/>
          </w:tcPr>
          <w:p>
            <w:pPr>
              <w:pStyle w:val="TableContents"/>
              <w:spacing w:before="0" w:after="283"/>
              <w:jc w:val="right"/>
              <w:rPr/>
            </w:pPr>
            <w:r>
              <w:rPr/>
              <w:t>1,401</w:t>
            </w:r>
          </w:p>
        </w:tc>
        <w:tc>
          <w:tcPr>
            <w:tcW w:w="26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jc w:val="right"/>
              <w:rPr/>
            </w:pPr>
            <w:r>
              <w:rPr/>
              <w:t>$</w:t>
            </w:r>
          </w:p>
        </w:tc>
        <w:tc>
          <w:tcPr>
            <w:tcW w:w="619" w:type="dxa"/>
            <w:tcBorders/>
            <w:shd w:fill="CCEEFF" w:val="clear"/>
            <w:vAlign w:val="bottom"/>
          </w:tcPr>
          <w:p>
            <w:pPr>
              <w:pStyle w:val="TableContents"/>
              <w:spacing w:before="0" w:after="283"/>
              <w:jc w:val="right"/>
              <w:rPr/>
            </w:pPr>
            <w:r>
              <w:rPr/>
              <w:t>1,259</w:t>
            </w:r>
          </w:p>
        </w:tc>
        <w:tc>
          <w:tcPr>
            <w:tcW w:w="271" w:type="dxa"/>
            <w:tcBorders/>
            <w:shd w:fill="CCEEFF" w:val="clear"/>
            <w:vAlign w:val="bottom"/>
          </w:tcPr>
          <w:p>
            <w:pPr>
              <w:pStyle w:val="TableContents"/>
              <w:spacing w:before="0" w:after="283"/>
              <w:rPr/>
            </w:pPr>
            <w:r>
              <w:rPr/>
              <w:t> </w:t>
            </w:r>
          </w:p>
        </w:tc>
      </w:tr>
      <w:tr>
        <w:trPr/>
        <w:tc>
          <w:tcPr>
            <w:tcW w:w="5350" w:type="dxa"/>
            <w:tcBorders/>
            <w:shd w:fill="auto" w:val="clear"/>
            <w:vAlign w:val="bottom"/>
          </w:tcPr>
          <w:p>
            <w:pPr>
              <w:pStyle w:val="TableContents"/>
              <w:spacing w:before="0" w:after="0"/>
              <w:ind w:left="225" w:right="0" w:hanging="225"/>
              <w:rPr/>
            </w:pPr>
            <w:r>
              <w:rPr/>
              <w:t>Interest on employee stock ownership plan debt</w:t>
            </w:r>
          </w:p>
        </w:tc>
        <w:tc>
          <w:tcPr>
            <w:tcW w:w="39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pPr>
            <w:r>
              <w:rPr/>
              <w:t>109</w:t>
            </w:r>
          </w:p>
        </w:tc>
        <w:tc>
          <w:tcPr>
            <w:tcW w:w="26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pPr>
            <w:r>
              <w:rPr/>
              <w:t>89</w:t>
            </w:r>
          </w:p>
        </w:tc>
        <w:tc>
          <w:tcPr>
            <w:tcW w:w="26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pPr>
            <w:r>
              <w:rPr/>
              <w:t>52</w:t>
            </w:r>
          </w:p>
        </w:tc>
        <w:tc>
          <w:tcPr>
            <w:tcW w:w="271" w:type="dxa"/>
            <w:tcBorders/>
            <w:shd w:fill="auto" w:val="clear"/>
            <w:vAlign w:val="bottom"/>
          </w:tcPr>
          <w:p>
            <w:pPr>
              <w:pStyle w:val="TableContents"/>
              <w:spacing w:before="0" w:after="283"/>
              <w:rPr/>
            </w:pPr>
            <w:r>
              <w:rPr/>
              <w:t> </w:t>
            </w:r>
          </w:p>
        </w:tc>
      </w:tr>
      <w:tr>
        <w:trPr/>
        <w:tc>
          <w:tcPr>
            <w:tcW w:w="535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4464"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350"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r>
      <w:tr>
        <w:trPr/>
        <w:tc>
          <w:tcPr>
            <w:tcW w:w="5350" w:type="dxa"/>
            <w:tcBorders/>
            <w:shd w:fill="CCEEFF" w:val="clear"/>
            <w:vAlign w:val="bottom"/>
          </w:tcPr>
          <w:p>
            <w:pPr>
              <w:pStyle w:val="TableContents"/>
              <w:spacing w:before="0" w:after="0"/>
              <w:ind w:left="450" w:right="0" w:hanging="225"/>
              <w:rPr>
                <w:b/>
              </w:rPr>
            </w:pPr>
            <w:r>
              <w:rPr>
                <w:b/>
              </w:rPr>
              <w:t>Total employer contributions</w:t>
            </w:r>
          </w:p>
        </w:tc>
        <w:tc>
          <w:tcPr>
            <w:tcW w:w="39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jc w:val="right"/>
              <w:rPr/>
            </w:pPr>
            <w:r>
              <w:rPr/>
              <w:t>$</w:t>
            </w:r>
          </w:p>
        </w:tc>
        <w:tc>
          <w:tcPr>
            <w:tcW w:w="619" w:type="dxa"/>
            <w:tcBorders/>
            <w:shd w:fill="CCEEFF" w:val="clear"/>
            <w:vAlign w:val="bottom"/>
          </w:tcPr>
          <w:p>
            <w:pPr>
              <w:pStyle w:val="TableContents"/>
              <w:spacing w:before="0" w:after="283"/>
              <w:jc w:val="right"/>
              <w:rPr/>
            </w:pPr>
            <w:r>
              <w:rPr/>
              <w:t>1,812</w:t>
            </w:r>
          </w:p>
        </w:tc>
        <w:tc>
          <w:tcPr>
            <w:tcW w:w="26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jc w:val="right"/>
              <w:rPr/>
            </w:pPr>
            <w:r>
              <w:rPr/>
              <w:t>$</w:t>
            </w:r>
          </w:p>
        </w:tc>
        <w:tc>
          <w:tcPr>
            <w:tcW w:w="619" w:type="dxa"/>
            <w:tcBorders/>
            <w:shd w:fill="CCEEFF" w:val="clear"/>
            <w:vAlign w:val="bottom"/>
          </w:tcPr>
          <w:p>
            <w:pPr>
              <w:pStyle w:val="TableContents"/>
              <w:spacing w:before="0" w:after="283"/>
              <w:jc w:val="right"/>
              <w:rPr/>
            </w:pPr>
            <w:r>
              <w:rPr/>
              <w:t>1,490</w:t>
            </w:r>
          </w:p>
        </w:tc>
        <w:tc>
          <w:tcPr>
            <w:tcW w:w="26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jc w:val="right"/>
              <w:rPr/>
            </w:pPr>
            <w:r>
              <w:rPr/>
              <w:t>$</w:t>
            </w:r>
          </w:p>
        </w:tc>
        <w:tc>
          <w:tcPr>
            <w:tcW w:w="619" w:type="dxa"/>
            <w:tcBorders/>
            <w:shd w:fill="CCEEFF" w:val="clear"/>
            <w:vAlign w:val="bottom"/>
          </w:tcPr>
          <w:p>
            <w:pPr>
              <w:pStyle w:val="TableContents"/>
              <w:spacing w:before="0" w:after="283"/>
              <w:jc w:val="right"/>
              <w:rPr/>
            </w:pPr>
            <w:r>
              <w:rPr/>
              <w:t>1,311</w:t>
            </w:r>
          </w:p>
        </w:tc>
        <w:tc>
          <w:tcPr>
            <w:tcW w:w="271" w:type="dxa"/>
            <w:tcBorders/>
            <w:shd w:fill="CCEEFF" w:val="clear"/>
            <w:vAlign w:val="bottom"/>
          </w:tcPr>
          <w:p>
            <w:pPr>
              <w:pStyle w:val="TableContents"/>
              <w:spacing w:before="0" w:after="283"/>
              <w:rPr/>
            </w:pPr>
            <w:r>
              <w:rPr/>
              <w:t> </w:t>
            </w:r>
          </w:p>
        </w:tc>
      </w:tr>
      <w:tr>
        <w:trPr/>
        <w:tc>
          <w:tcPr>
            <w:tcW w:w="535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4464"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First Busey Corporation sponsors a deferred compensation plan for executive officers for deferral of performance bonuses. The deferred compensation expense reported for the years ended December 31, 2005, 2004, and 2003 was $142,000, $577,000, and $415,000 respectively. The deferred compensation liability was $1,722,000 at December 31, 2005, and $1,580,000 at December 31, 2004. </w:t>
      </w:r>
    </w:p>
    <w:p>
      <w:pPr>
        <w:pStyle w:val="TextBody"/>
        <w:spacing w:before="120" w:after="283"/>
        <w:jc w:val="left"/>
        <w:rPr>
          <w:rFonts w:ascii="Arial;Helvetica;sans-serif" w:hAnsi="Arial;Helvetica;sans-serif"/>
          <w:sz w:val="17"/>
        </w:rPr>
      </w:pPr>
      <w:r>
        <w:rPr>
          <w:rFonts w:ascii="Arial;Helvetica;sans-serif" w:hAnsi="Arial;Helvetica;sans-serif"/>
          <w:b/>
          <w:sz w:val="17"/>
        </w:rPr>
        <w:t>Note 16. Stock Incentive Plans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u w:val="single"/>
        </w:rPr>
        <w:t>Stock Option Plan</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 March, 1989, the Corporation adopted the 1988 Stock Option Plan pursuant to which incentive stock options and nonqualified stock options for up to 1,350,000 shares of common stock may be granted by the Executive Compensation and Succession Committee of the Board of Directors to certain executive officers and key personnel of First Busey Corporation and its subsidiaries. In March 1996, the Board of Directors approved an increase in the number of shares reserved for issuance as stock options from 1,350,000 to 2,250,000.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 January of 1999, the Corporation adopted the 1999 Stock Option Plan pursuant to which nonqualified stock options for up to 750,000 shares of common stock may be granted by the Executive Compensation and Succession Committee of the Board of Directors to certain executive officers and key personnel of First Busey Corporation and its subsidiaries.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 April, 2004, the Corporation adopted the 2004 Stock Option Plan pursuant to which nonqualified stock options for up to 1,500,000 shares of common stock may be granted by the Executive Compensation and Succession Committee of the Board of Directors to certain executive officers and key personnel of First Busey Corporation and its subsidiaries. </w:t>
      </w:r>
    </w:p>
    <w:p>
      <w:pPr>
        <w:pStyle w:val="TextBody"/>
        <w:jc w:val="center"/>
        <w:rPr>
          <w:rFonts w:ascii="Arial;Helvetica;sans-serif" w:hAnsi="Arial;Helvetica;sans-serif"/>
          <w:sz w:val="17"/>
        </w:rPr>
      </w:pPr>
      <w:r>
        <w:rPr>
          <w:rFonts w:ascii="Arial;Helvetica;sans-serif" w:hAnsi="Arial;Helvetica;sans-serif"/>
          <w:sz w:val="17"/>
        </w:rPr>
        <w:t xml:space="preserve">80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 summary of the status of the Corporations stock option plan for the years ended December 31, 2005, 2004, and 2003, and the changes during the years ending on those dates is as follows: </w:t>
      </w:r>
    </w:p>
    <w:tbl>
      <w:tblPr>
        <w:tblW w:w="5000" w:type="pct"/>
        <w:jc w:val="center"/>
        <w:tblInd w:w="0" w:type="dxa"/>
        <w:tblCellMar>
          <w:top w:w="0" w:type="dxa"/>
          <w:left w:w="0" w:type="dxa"/>
          <w:bottom w:w="0" w:type="dxa"/>
          <w:right w:w="0" w:type="dxa"/>
        </w:tblCellMar>
      </w:tblPr>
      <w:tblGrid>
        <w:gridCol w:w="2087"/>
        <w:gridCol w:w="166"/>
        <w:gridCol w:w="123"/>
        <w:gridCol w:w="875"/>
        <w:gridCol w:w="157"/>
        <w:gridCol w:w="166"/>
        <w:gridCol w:w="262"/>
        <w:gridCol w:w="810"/>
        <w:gridCol w:w="123"/>
        <w:gridCol w:w="166"/>
        <w:gridCol w:w="123"/>
        <w:gridCol w:w="875"/>
        <w:gridCol w:w="157"/>
        <w:gridCol w:w="166"/>
        <w:gridCol w:w="262"/>
        <w:gridCol w:w="809"/>
        <w:gridCol w:w="123"/>
        <w:gridCol w:w="166"/>
        <w:gridCol w:w="123"/>
        <w:gridCol w:w="875"/>
        <w:gridCol w:w="157"/>
        <w:gridCol w:w="166"/>
        <w:gridCol w:w="273"/>
        <w:gridCol w:w="857"/>
        <w:gridCol w:w="138"/>
      </w:tblGrid>
      <w:tr>
        <w:trPr/>
        <w:tc>
          <w:tcPr>
            <w:tcW w:w="208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208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393" w:type="dxa"/>
            <w:gridSpan w:val="6"/>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392" w:type="dxa"/>
            <w:gridSpan w:val="6"/>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451" w:type="dxa"/>
            <w:gridSpan w:val="6"/>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138" w:type="dxa"/>
            <w:tcBorders/>
            <w:shd w:fill="auto" w:val="clear"/>
            <w:vAlign w:val="bottom"/>
          </w:tcPr>
          <w:p>
            <w:pPr>
              <w:pStyle w:val="TableContents"/>
              <w:spacing w:before="0" w:after="283"/>
              <w:rPr/>
            </w:pPr>
            <w:r>
              <w:rPr/>
              <w:t> </w:t>
            </w:r>
          </w:p>
        </w:tc>
      </w:tr>
      <w:tr>
        <w:trPr/>
        <w:tc>
          <w:tcPr>
            <w:tcW w:w="208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283"/>
              <w:jc w:val="center"/>
              <w:rPr/>
            </w:pPr>
            <w:r>
              <w:rPr/>
              <w:t>Weighted-</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71" w:type="dxa"/>
            <w:gridSpan w:val="2"/>
            <w:tcBorders/>
            <w:shd w:fill="auto" w:val="clear"/>
            <w:vAlign w:val="bottom"/>
          </w:tcPr>
          <w:p>
            <w:pPr>
              <w:pStyle w:val="TableContents"/>
              <w:spacing w:before="0" w:after="283"/>
              <w:jc w:val="center"/>
              <w:rPr/>
            </w:pPr>
            <w:r>
              <w:rPr/>
              <w:t>Weighted-</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jc w:val="center"/>
              <w:rPr/>
            </w:pPr>
            <w:r>
              <w:rPr/>
              <w:t>Weighted- </w:t>
            </w:r>
          </w:p>
        </w:tc>
        <w:tc>
          <w:tcPr>
            <w:tcW w:w="138" w:type="dxa"/>
            <w:tcBorders/>
            <w:shd w:fill="auto" w:val="clear"/>
            <w:vAlign w:val="bottom"/>
          </w:tcPr>
          <w:p>
            <w:pPr>
              <w:pStyle w:val="TableContents"/>
              <w:spacing w:before="0" w:after="283"/>
              <w:rPr/>
            </w:pPr>
            <w:r>
              <w:rPr/>
              <w:t> </w:t>
            </w:r>
          </w:p>
        </w:tc>
      </w:tr>
      <w:tr>
        <w:trPr/>
        <w:tc>
          <w:tcPr>
            <w:tcW w:w="208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283"/>
              <w:jc w:val="center"/>
              <w:rPr/>
            </w:pPr>
            <w:r>
              <w:rPr/>
              <w:t>Average</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71" w:type="dxa"/>
            <w:gridSpan w:val="2"/>
            <w:tcBorders/>
            <w:shd w:fill="auto" w:val="clear"/>
            <w:vAlign w:val="bottom"/>
          </w:tcPr>
          <w:p>
            <w:pPr>
              <w:pStyle w:val="TableContents"/>
              <w:spacing w:before="0" w:after="283"/>
              <w:jc w:val="center"/>
              <w:rPr/>
            </w:pPr>
            <w:r>
              <w:rPr/>
              <w:t>Average</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jc w:val="center"/>
              <w:rPr/>
            </w:pPr>
            <w:r>
              <w:rPr/>
              <w:t>Average</w:t>
            </w:r>
          </w:p>
        </w:tc>
        <w:tc>
          <w:tcPr>
            <w:tcW w:w="138" w:type="dxa"/>
            <w:tcBorders/>
            <w:shd w:fill="auto" w:val="clear"/>
            <w:vAlign w:val="bottom"/>
          </w:tcPr>
          <w:p>
            <w:pPr>
              <w:pStyle w:val="TableContents"/>
              <w:spacing w:before="0" w:after="283"/>
              <w:rPr/>
            </w:pPr>
            <w:r>
              <w:rPr/>
              <w:t> </w:t>
            </w:r>
          </w:p>
        </w:tc>
      </w:tr>
      <w:tr>
        <w:trPr/>
        <w:tc>
          <w:tcPr>
            <w:tcW w:w="208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283"/>
              <w:jc w:val="center"/>
              <w:rPr/>
            </w:pPr>
            <w:r>
              <w:rPr/>
              <w:t>Exercise</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71" w:type="dxa"/>
            <w:gridSpan w:val="2"/>
            <w:tcBorders/>
            <w:shd w:fill="auto" w:val="clear"/>
            <w:vAlign w:val="bottom"/>
          </w:tcPr>
          <w:p>
            <w:pPr>
              <w:pStyle w:val="TableContents"/>
              <w:spacing w:before="0" w:after="283"/>
              <w:jc w:val="center"/>
              <w:rPr/>
            </w:pPr>
            <w:r>
              <w:rPr/>
              <w:t>Exercise</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jc w:val="center"/>
              <w:rPr/>
            </w:pPr>
            <w:r>
              <w:rPr/>
              <w:t>Exercise</w:t>
            </w:r>
          </w:p>
        </w:tc>
        <w:tc>
          <w:tcPr>
            <w:tcW w:w="138" w:type="dxa"/>
            <w:tcBorders/>
            <w:shd w:fill="auto" w:val="clear"/>
            <w:vAlign w:val="bottom"/>
          </w:tcPr>
          <w:p>
            <w:pPr>
              <w:pStyle w:val="TableContents"/>
              <w:spacing w:before="0" w:after="283"/>
              <w:rPr/>
            </w:pPr>
            <w:r>
              <w:rPr/>
              <w:t> </w:t>
            </w:r>
          </w:p>
        </w:tc>
      </w:tr>
      <w:tr>
        <w:trPr/>
        <w:tc>
          <w:tcPr>
            <w:tcW w:w="208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98" w:type="dxa"/>
            <w:gridSpan w:val="2"/>
            <w:tcBorders/>
            <w:shd w:fill="auto" w:val="clear"/>
            <w:vAlign w:val="bottom"/>
          </w:tcPr>
          <w:p>
            <w:pPr>
              <w:pStyle w:val="TableContents"/>
              <w:spacing w:before="0" w:after="283"/>
              <w:jc w:val="center"/>
              <w:rPr/>
            </w:pPr>
            <w:r>
              <w:rPr/>
              <w:t>Shares</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283"/>
              <w:jc w:val="center"/>
              <w:rPr/>
            </w:pPr>
            <w:r>
              <w:rPr/>
              <w:t>Price</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98" w:type="dxa"/>
            <w:gridSpan w:val="2"/>
            <w:tcBorders/>
            <w:shd w:fill="auto" w:val="clear"/>
            <w:vAlign w:val="bottom"/>
          </w:tcPr>
          <w:p>
            <w:pPr>
              <w:pStyle w:val="TableContents"/>
              <w:spacing w:before="0" w:after="283"/>
              <w:jc w:val="center"/>
              <w:rPr/>
            </w:pPr>
            <w:r>
              <w:rPr/>
              <w:t>Shares</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71" w:type="dxa"/>
            <w:gridSpan w:val="2"/>
            <w:tcBorders/>
            <w:shd w:fill="auto" w:val="clear"/>
            <w:vAlign w:val="bottom"/>
          </w:tcPr>
          <w:p>
            <w:pPr>
              <w:pStyle w:val="TableContents"/>
              <w:spacing w:before="0" w:after="283"/>
              <w:jc w:val="center"/>
              <w:rPr/>
            </w:pPr>
            <w:r>
              <w:rPr/>
              <w:t>Price</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98" w:type="dxa"/>
            <w:gridSpan w:val="2"/>
            <w:tcBorders/>
            <w:shd w:fill="auto" w:val="clear"/>
            <w:vAlign w:val="bottom"/>
          </w:tcPr>
          <w:p>
            <w:pPr>
              <w:pStyle w:val="TableContents"/>
              <w:spacing w:before="0" w:after="283"/>
              <w:jc w:val="center"/>
              <w:rPr/>
            </w:pPr>
            <w:r>
              <w:rPr/>
              <w:t>Shares</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jc w:val="center"/>
              <w:rPr/>
            </w:pPr>
            <w:r>
              <w:rPr/>
              <w:t>Price</w:t>
            </w:r>
          </w:p>
        </w:tc>
        <w:tc>
          <w:tcPr>
            <w:tcW w:w="138" w:type="dxa"/>
            <w:tcBorders/>
            <w:shd w:fill="auto" w:val="clear"/>
            <w:vAlign w:val="bottom"/>
          </w:tcPr>
          <w:p>
            <w:pPr>
              <w:pStyle w:val="TableContents"/>
              <w:spacing w:before="0" w:after="283"/>
              <w:rPr/>
            </w:pPr>
            <w:r>
              <w:rPr/>
              <w:t> </w:t>
            </w:r>
          </w:p>
        </w:tc>
      </w:tr>
      <w:tr>
        <w:trPr/>
        <w:tc>
          <w:tcPr>
            <w:tcW w:w="2087" w:type="dxa"/>
            <w:tcBorders/>
            <w:shd w:fill="CCEEFF" w:val="clear"/>
            <w:vAlign w:val="bottom"/>
          </w:tcPr>
          <w:p>
            <w:pPr>
              <w:pStyle w:val="TableContents"/>
              <w:spacing w:before="0" w:after="0"/>
              <w:ind w:left="225" w:right="0" w:hanging="225"/>
              <w:rPr/>
            </w:pPr>
            <w:r>
              <w:rPr/>
              <w:t>Outstanding at beginning of year</w:t>
            </w:r>
          </w:p>
        </w:tc>
        <w:tc>
          <w:tcPr>
            <w:tcW w:w="16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770,025</w:t>
            </w:r>
          </w:p>
        </w:tc>
        <w:tc>
          <w:tcPr>
            <w:tcW w:w="15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16.47</w:t>
            </w:r>
          </w:p>
        </w:tc>
        <w:tc>
          <w:tcPr>
            <w:tcW w:w="12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596,400</w:t>
            </w:r>
          </w:p>
        </w:tc>
        <w:tc>
          <w:tcPr>
            <w:tcW w:w="15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12.19</w:t>
            </w:r>
          </w:p>
        </w:tc>
        <w:tc>
          <w:tcPr>
            <w:tcW w:w="12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871,488</w:t>
            </w:r>
          </w:p>
        </w:tc>
        <w:tc>
          <w:tcPr>
            <w:tcW w:w="15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jc w:val="left"/>
              <w:rPr/>
            </w:pPr>
            <w:r>
              <w:rPr/>
              <w:t>$</w:t>
            </w:r>
          </w:p>
        </w:tc>
        <w:tc>
          <w:tcPr>
            <w:tcW w:w="857" w:type="dxa"/>
            <w:tcBorders/>
            <w:shd w:fill="CCEEFF" w:val="clear"/>
            <w:vAlign w:val="bottom"/>
          </w:tcPr>
          <w:p>
            <w:pPr>
              <w:pStyle w:val="TableContents"/>
              <w:spacing w:before="0" w:after="283"/>
              <w:jc w:val="right"/>
              <w:rPr/>
            </w:pPr>
            <w:r>
              <w:rPr/>
              <w:t>12.51</w:t>
            </w:r>
          </w:p>
        </w:tc>
        <w:tc>
          <w:tcPr>
            <w:tcW w:w="138" w:type="dxa"/>
            <w:tcBorders/>
            <w:shd w:fill="CCEEFF" w:val="clear"/>
            <w:vAlign w:val="bottom"/>
          </w:tcPr>
          <w:p>
            <w:pPr>
              <w:pStyle w:val="TableContents"/>
              <w:spacing w:before="0" w:after="283"/>
              <w:rPr/>
            </w:pPr>
            <w:r>
              <w:rPr/>
              <w:t> </w:t>
            </w:r>
          </w:p>
        </w:tc>
      </w:tr>
      <w:tr>
        <w:trPr/>
        <w:tc>
          <w:tcPr>
            <w:tcW w:w="2087" w:type="dxa"/>
            <w:tcBorders/>
            <w:shd w:fill="auto" w:val="clear"/>
            <w:vAlign w:val="bottom"/>
          </w:tcPr>
          <w:p>
            <w:pPr>
              <w:pStyle w:val="TableContents"/>
              <w:spacing w:before="0" w:after="0"/>
              <w:ind w:left="225" w:right="0" w:hanging="225"/>
              <w:rPr/>
            </w:pPr>
            <w:r>
              <w:rPr/>
              <w:t>Granted</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54,000</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19.83</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354,000</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19.36</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r>
      <w:tr>
        <w:trPr/>
        <w:tc>
          <w:tcPr>
            <w:tcW w:w="2087" w:type="dxa"/>
            <w:tcBorders/>
            <w:shd w:fill="CCEEFF" w:val="clear"/>
            <w:vAlign w:val="bottom"/>
          </w:tcPr>
          <w:p>
            <w:pPr>
              <w:pStyle w:val="TableContents"/>
              <w:spacing w:before="0" w:after="0"/>
              <w:ind w:left="225" w:right="0" w:hanging="225"/>
              <w:rPr/>
            </w:pPr>
            <w:r>
              <w:rPr/>
              <w:t>Exercised</w:t>
            </w:r>
          </w:p>
        </w:tc>
        <w:tc>
          <w:tcPr>
            <w:tcW w:w="16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(192,900</w:t>
            </w:r>
          </w:p>
        </w:tc>
        <w:tc>
          <w:tcPr>
            <w:tcW w:w="157"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13.45</w:t>
            </w:r>
          </w:p>
        </w:tc>
        <w:tc>
          <w:tcPr>
            <w:tcW w:w="12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(173,550</w:t>
            </w:r>
          </w:p>
        </w:tc>
        <w:tc>
          <w:tcPr>
            <w:tcW w:w="157"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12.31</w:t>
            </w:r>
          </w:p>
        </w:tc>
        <w:tc>
          <w:tcPr>
            <w:tcW w:w="12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(265,263</w:t>
            </w:r>
          </w:p>
        </w:tc>
        <w:tc>
          <w:tcPr>
            <w:tcW w:w="157"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10.19</w:t>
            </w:r>
          </w:p>
        </w:tc>
        <w:tc>
          <w:tcPr>
            <w:tcW w:w="138" w:type="dxa"/>
            <w:tcBorders/>
            <w:shd w:fill="CCEEFF" w:val="clear"/>
            <w:vAlign w:val="bottom"/>
          </w:tcPr>
          <w:p>
            <w:pPr>
              <w:pStyle w:val="TableContents"/>
              <w:spacing w:before="0" w:after="283"/>
              <w:rPr/>
            </w:pPr>
            <w:r>
              <w:rPr/>
              <w:t> </w:t>
            </w:r>
          </w:p>
        </w:tc>
      </w:tr>
      <w:tr>
        <w:trPr/>
        <w:tc>
          <w:tcPr>
            <w:tcW w:w="2087" w:type="dxa"/>
            <w:tcBorders/>
            <w:shd w:fill="auto" w:val="clear"/>
            <w:vAlign w:val="bottom"/>
          </w:tcPr>
          <w:p>
            <w:pPr>
              <w:pStyle w:val="TableContents"/>
              <w:spacing w:before="0" w:after="0"/>
              <w:ind w:left="225" w:right="0" w:hanging="225"/>
              <w:rPr/>
            </w:pPr>
            <w:r>
              <w:rPr/>
              <w:t>Forfeited</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(5,200</w:t>
            </w:r>
          </w:p>
        </w:tc>
        <w:tc>
          <w:tcPr>
            <w:tcW w:w="157"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19.59</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(6,825</w:t>
            </w:r>
          </w:p>
        </w:tc>
        <w:tc>
          <w:tcPr>
            <w:tcW w:w="157"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16.18</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(9,825</w:t>
            </w:r>
          </w:p>
        </w:tc>
        <w:tc>
          <w:tcPr>
            <w:tcW w:w="157"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12.23</w:t>
            </w:r>
          </w:p>
        </w:tc>
        <w:tc>
          <w:tcPr>
            <w:tcW w:w="138" w:type="dxa"/>
            <w:tcBorders/>
            <w:shd w:fill="auto" w:val="clear"/>
            <w:vAlign w:val="bottom"/>
          </w:tcPr>
          <w:p>
            <w:pPr>
              <w:pStyle w:val="TableContents"/>
              <w:spacing w:before="0" w:after="283"/>
              <w:rPr/>
            </w:pPr>
            <w:r>
              <w:rPr/>
              <w:t> </w:t>
            </w:r>
          </w:p>
        </w:tc>
      </w:tr>
      <w:tr>
        <w:trPr/>
        <w:tc>
          <w:tcPr>
            <w:tcW w:w="2087" w:type="dxa"/>
            <w:tcBorders/>
            <w:shd w:fill="auto" w:val="clear"/>
            <w:vAlign w:val="center"/>
          </w:tcPr>
          <w:p>
            <w:pPr>
              <w:pStyle w:val="TableContents"/>
              <w:spacing w:before="0" w:after="0"/>
              <w:ind w:left="225" w:right="0" w:hanging="225"/>
              <w:rPr/>
            </w:pPr>
            <w:r>
              <w:rPr/>
              <w:t> </w:t>
            </w:r>
          </w:p>
        </w:tc>
        <w:tc>
          <w:tcPr>
            <w:tcW w:w="166"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rPr/>
            </w:pPr>
            <w:r>
              <w:rPr/>
              <w:t> </w:t>
            </w:r>
          </w:p>
        </w:tc>
        <w:tc>
          <w:tcPr>
            <w:tcW w:w="81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2087" w:type="dxa"/>
            <w:tcBorders/>
            <w:shd w:fill="CCEEFF" w:val="clear"/>
            <w:vAlign w:val="bottom"/>
          </w:tcPr>
          <w:p>
            <w:pPr>
              <w:pStyle w:val="TableContents"/>
              <w:spacing w:before="0" w:after="0"/>
              <w:ind w:left="225" w:right="0" w:hanging="225"/>
              <w:rPr/>
            </w:pPr>
            <w:r>
              <w:rPr/>
              <w:t>Outstanding at end of year</w:t>
            </w:r>
          </w:p>
        </w:tc>
        <w:tc>
          <w:tcPr>
            <w:tcW w:w="16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625,925</w:t>
            </w:r>
          </w:p>
        </w:tc>
        <w:tc>
          <w:tcPr>
            <w:tcW w:w="15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17.67</w:t>
            </w:r>
          </w:p>
        </w:tc>
        <w:tc>
          <w:tcPr>
            <w:tcW w:w="12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770,025</w:t>
            </w:r>
          </w:p>
        </w:tc>
        <w:tc>
          <w:tcPr>
            <w:tcW w:w="15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16.47</w:t>
            </w:r>
          </w:p>
        </w:tc>
        <w:tc>
          <w:tcPr>
            <w:tcW w:w="12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596,400</w:t>
            </w:r>
          </w:p>
        </w:tc>
        <w:tc>
          <w:tcPr>
            <w:tcW w:w="15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jc w:val="left"/>
              <w:rPr/>
            </w:pPr>
            <w:r>
              <w:rPr/>
              <w:t>$</w:t>
            </w:r>
          </w:p>
        </w:tc>
        <w:tc>
          <w:tcPr>
            <w:tcW w:w="857" w:type="dxa"/>
            <w:tcBorders/>
            <w:shd w:fill="CCEEFF" w:val="clear"/>
            <w:vAlign w:val="bottom"/>
          </w:tcPr>
          <w:p>
            <w:pPr>
              <w:pStyle w:val="TableContents"/>
              <w:spacing w:before="0" w:after="283"/>
              <w:jc w:val="right"/>
              <w:rPr/>
            </w:pPr>
            <w:r>
              <w:rPr/>
              <w:t>13.54</w:t>
            </w:r>
          </w:p>
        </w:tc>
        <w:tc>
          <w:tcPr>
            <w:tcW w:w="138" w:type="dxa"/>
            <w:tcBorders/>
            <w:shd w:fill="CCEEFF" w:val="clear"/>
            <w:vAlign w:val="bottom"/>
          </w:tcPr>
          <w:p>
            <w:pPr>
              <w:pStyle w:val="TableContents"/>
              <w:spacing w:before="0" w:after="283"/>
              <w:rPr/>
            </w:pPr>
            <w:r>
              <w:rPr/>
              <w:t> </w:t>
            </w:r>
          </w:p>
        </w:tc>
      </w:tr>
      <w:tr>
        <w:trPr/>
        <w:tc>
          <w:tcPr>
            <w:tcW w:w="2087"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7952" w:type="dxa"/>
            <w:gridSpan w:val="2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087" w:type="dxa"/>
            <w:tcBorders/>
            <w:shd w:fill="auto" w:val="clear"/>
            <w:vAlign w:val="bottom"/>
          </w:tcPr>
          <w:p>
            <w:pPr>
              <w:pStyle w:val="TableContents"/>
              <w:spacing w:before="0" w:after="0"/>
              <w:ind w:left="225" w:right="0" w:hanging="225"/>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2087" w:type="dxa"/>
            <w:tcBorders/>
            <w:shd w:fill="auto" w:val="clear"/>
            <w:vAlign w:val="bottom"/>
          </w:tcPr>
          <w:p>
            <w:pPr>
              <w:pStyle w:val="TableContents"/>
              <w:spacing w:before="0" w:after="0"/>
              <w:ind w:left="225" w:right="0" w:hanging="225"/>
              <w:rPr/>
            </w:pPr>
            <w:r>
              <w:rPr/>
              <w:t>Exercisable at end of year</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279,525</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left"/>
              <w:rPr/>
            </w:pPr>
            <w:r>
              <w:rPr/>
              <w:t>$</w:t>
            </w:r>
          </w:p>
        </w:tc>
        <w:tc>
          <w:tcPr>
            <w:tcW w:w="810" w:type="dxa"/>
            <w:tcBorders/>
            <w:shd w:fill="auto" w:val="clear"/>
            <w:vAlign w:val="bottom"/>
          </w:tcPr>
          <w:p>
            <w:pPr>
              <w:pStyle w:val="TableContents"/>
              <w:spacing w:before="0" w:after="283"/>
              <w:jc w:val="right"/>
              <w:rPr/>
            </w:pPr>
            <w:r>
              <w:rPr/>
              <w:t>15.24</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82,125</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11.95</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252,600</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jc w:val="left"/>
              <w:rPr/>
            </w:pPr>
            <w:r>
              <w:rPr/>
              <w:t>$</w:t>
            </w:r>
          </w:p>
        </w:tc>
        <w:tc>
          <w:tcPr>
            <w:tcW w:w="857" w:type="dxa"/>
            <w:tcBorders/>
            <w:shd w:fill="auto" w:val="clear"/>
            <w:vAlign w:val="bottom"/>
          </w:tcPr>
          <w:p>
            <w:pPr>
              <w:pStyle w:val="TableContents"/>
              <w:spacing w:before="0" w:after="283"/>
              <w:jc w:val="right"/>
              <w:rPr/>
            </w:pPr>
            <w:r>
              <w:rPr/>
              <w:t>12.19</w:t>
            </w:r>
          </w:p>
        </w:tc>
        <w:tc>
          <w:tcPr>
            <w:tcW w:w="138" w:type="dxa"/>
            <w:tcBorders/>
            <w:shd w:fill="auto" w:val="clear"/>
            <w:vAlign w:val="bottom"/>
          </w:tcPr>
          <w:p>
            <w:pPr>
              <w:pStyle w:val="TableContents"/>
              <w:spacing w:before="0" w:after="283"/>
              <w:rPr/>
            </w:pPr>
            <w:r>
              <w:rPr/>
              <w:t> </w:t>
            </w:r>
          </w:p>
        </w:tc>
      </w:tr>
      <w:tr>
        <w:trPr/>
        <w:tc>
          <w:tcPr>
            <w:tcW w:w="2087" w:type="dxa"/>
            <w:tcBorders/>
            <w:shd w:fill="auto" w:val="clear"/>
            <w:vAlign w:val="bottom"/>
          </w:tcPr>
          <w:p>
            <w:pPr>
              <w:pStyle w:val="TableContents"/>
              <w:spacing w:before="0" w:after="0"/>
              <w:ind w:left="225" w:right="0" w:hanging="225"/>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2087" w:type="dxa"/>
            <w:tcBorders/>
            <w:shd w:fill="CCEEFF" w:val="clear"/>
            <w:vAlign w:val="bottom"/>
          </w:tcPr>
          <w:p>
            <w:pPr>
              <w:pStyle w:val="TableContents"/>
              <w:spacing w:before="0" w:after="0"/>
              <w:ind w:left="225" w:right="0" w:hanging="225"/>
              <w:rPr/>
            </w:pPr>
            <w:r>
              <w:rPr/>
              <w:t>Weighted-average fair value per option for options granted during the year</w:t>
            </w:r>
          </w:p>
        </w:tc>
        <w:tc>
          <w:tcPr>
            <w:tcW w:w="16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2.82</w:t>
            </w:r>
          </w:p>
        </w:tc>
        <w:tc>
          <w:tcPr>
            <w:tcW w:w="12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2.47</w:t>
            </w:r>
          </w:p>
        </w:tc>
        <w:tc>
          <w:tcPr>
            <w:tcW w:w="12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N/A</w:t>
            </w:r>
          </w:p>
        </w:tc>
        <w:tc>
          <w:tcPr>
            <w:tcW w:w="138" w:type="dxa"/>
            <w:tcBorders/>
            <w:shd w:fill="CCEEFF" w:val="clear"/>
            <w:vAlign w:val="bottom"/>
          </w:tcPr>
          <w:p>
            <w:pPr>
              <w:pStyle w:val="TableContents"/>
              <w:spacing w:before="0" w:after="283"/>
              <w:rPr/>
            </w:pPr>
            <w:r>
              <w:rPr/>
              <w:t> </w:t>
            </w:r>
          </w:p>
        </w:tc>
      </w:tr>
    </w:tbl>
    <w:p>
      <w:pPr>
        <w:pStyle w:val="TextBody"/>
        <w:spacing w:before="240" w:after="283"/>
        <w:jc w:val="left"/>
        <w:rPr>
          <w:rFonts w:ascii="Arial;Helvetica;sans-serif" w:hAnsi="Arial;Helvetica;sans-serif"/>
          <w:sz w:val="17"/>
        </w:rPr>
      </w:pPr>
      <w:r>
        <w:rPr>
          <w:rFonts w:ascii="Arial;Helvetica;sans-serif" w:hAnsi="Arial;Helvetica;sans-serif"/>
          <w:sz w:val="17"/>
        </w:rPr>
        <w:t xml:space="preserve">The following table summarizes information about stock options outstanding at December 31, 2005: </w:t>
      </w:r>
    </w:p>
    <w:tbl>
      <w:tblPr>
        <w:tblW w:w="5000" w:type="pct"/>
        <w:jc w:val="center"/>
        <w:tblInd w:w="0" w:type="dxa"/>
        <w:tblCellMar>
          <w:top w:w="0" w:type="dxa"/>
          <w:left w:w="0" w:type="dxa"/>
          <w:bottom w:w="0" w:type="dxa"/>
          <w:right w:w="0" w:type="dxa"/>
        </w:tblCellMar>
      </w:tblPr>
      <w:tblGrid>
        <w:gridCol w:w="4331"/>
        <w:gridCol w:w="333"/>
        <w:gridCol w:w="264"/>
        <w:gridCol w:w="1376"/>
        <w:gridCol w:w="264"/>
        <w:gridCol w:w="374"/>
        <w:gridCol w:w="517"/>
        <w:gridCol w:w="406"/>
        <w:gridCol w:w="539"/>
        <w:gridCol w:w="333"/>
        <w:gridCol w:w="235"/>
        <w:gridCol w:w="991"/>
        <w:gridCol w:w="242"/>
      </w:tblGrid>
      <w:tr>
        <w:trPr/>
        <w:tc>
          <w:tcPr>
            <w:tcW w:w="433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r>
      <w:tr>
        <w:trPr/>
        <w:tc>
          <w:tcPr>
            <w:tcW w:w="433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3740" w:type="dxa"/>
            <w:gridSpan w:val="7"/>
            <w:tcBorders/>
            <w:shd w:fill="auto" w:val="clear"/>
            <w:vAlign w:val="bottom"/>
          </w:tcPr>
          <w:p>
            <w:pPr>
              <w:pStyle w:val="TableContents"/>
              <w:spacing w:before="0" w:after="283"/>
              <w:jc w:val="center"/>
              <w:rPr/>
            </w:pPr>
            <w:r>
              <w:rPr/>
              <w:t> </w:t>
            </w:r>
          </w:p>
        </w:tc>
        <w:tc>
          <w:tcPr>
            <w:tcW w:w="333" w:type="dxa"/>
            <w:tcBorders/>
            <w:shd w:fill="auto" w:val="clear"/>
            <w:vAlign w:val="bottom"/>
          </w:tcPr>
          <w:p>
            <w:pPr>
              <w:pStyle w:val="TableContents"/>
              <w:spacing w:before="0" w:after="283"/>
              <w:rPr/>
            </w:pPr>
            <w:r>
              <w:rPr/>
              <w:t> </w:t>
            </w:r>
          </w:p>
        </w:tc>
        <w:tc>
          <w:tcPr>
            <w:tcW w:w="1468" w:type="dxa"/>
            <w:gridSpan w:val="3"/>
            <w:tcBorders/>
            <w:shd w:fill="auto" w:val="clear"/>
            <w:vAlign w:val="bottom"/>
          </w:tcPr>
          <w:p>
            <w:pPr>
              <w:pStyle w:val="TableContents"/>
              <w:spacing w:before="0" w:after="283"/>
              <w:jc w:val="center"/>
              <w:rPr/>
            </w:pPr>
            <w:r>
              <w:rPr/>
              <w:t>Options</w:t>
            </w:r>
          </w:p>
        </w:tc>
      </w:tr>
      <w:tr>
        <w:trPr/>
        <w:tc>
          <w:tcPr>
            <w:tcW w:w="433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3740" w:type="dxa"/>
            <w:gridSpan w:val="7"/>
            <w:tcBorders>
              <w:bottom w:val="single" w:sz="2" w:space="0" w:color="000000"/>
            </w:tcBorders>
            <w:shd w:fill="auto" w:val="clear"/>
            <w:tcMar>
              <w:bottom w:w="28" w:type="dxa"/>
            </w:tcMar>
            <w:vAlign w:val="bottom"/>
          </w:tcPr>
          <w:p>
            <w:pPr>
              <w:pStyle w:val="TableContents"/>
              <w:spacing w:before="0" w:after="283"/>
              <w:jc w:val="center"/>
              <w:rPr/>
            </w:pPr>
            <w:r>
              <w:rPr/>
              <w:t>Options Outstanding</w:t>
            </w:r>
          </w:p>
        </w:tc>
        <w:tc>
          <w:tcPr>
            <w:tcW w:w="333" w:type="dxa"/>
            <w:tcBorders/>
            <w:shd w:fill="auto" w:val="clear"/>
            <w:vAlign w:val="bottom"/>
          </w:tcPr>
          <w:p>
            <w:pPr>
              <w:pStyle w:val="TableContents"/>
              <w:spacing w:before="0" w:after="283"/>
              <w:rPr/>
            </w:pPr>
            <w:r>
              <w:rPr/>
              <w:t> </w:t>
            </w:r>
          </w:p>
        </w:tc>
        <w:tc>
          <w:tcPr>
            <w:tcW w:w="1468" w:type="dxa"/>
            <w:gridSpan w:val="3"/>
            <w:tcBorders>
              <w:bottom w:val="single" w:sz="2" w:space="0" w:color="000000"/>
            </w:tcBorders>
            <w:shd w:fill="auto" w:val="clear"/>
            <w:tcMar>
              <w:bottom w:w="28" w:type="dxa"/>
            </w:tcMar>
            <w:vAlign w:val="bottom"/>
          </w:tcPr>
          <w:p>
            <w:pPr>
              <w:pStyle w:val="TableContents"/>
              <w:spacing w:before="0" w:after="283"/>
              <w:jc w:val="center"/>
              <w:rPr/>
            </w:pPr>
            <w:r>
              <w:rPr/>
              <w:t>Exercisable</w:t>
            </w:r>
          </w:p>
        </w:tc>
      </w:tr>
      <w:tr>
        <w:trPr/>
        <w:tc>
          <w:tcPr>
            <w:tcW w:w="433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62" w:type="dxa"/>
            <w:gridSpan w:val="3"/>
            <w:tcBorders/>
            <w:shd w:fill="auto" w:val="clear"/>
            <w:vAlign w:val="bottom"/>
          </w:tcPr>
          <w:p>
            <w:pPr>
              <w:pStyle w:val="TableContents"/>
              <w:spacing w:before="0" w:after="283"/>
              <w:jc w:val="center"/>
              <w:rPr/>
            </w:pPr>
            <w:r>
              <w:rPr/>
              <w:t>Weighted- </w:t>
            </w:r>
          </w:p>
        </w:tc>
        <w:tc>
          <w:tcPr>
            <w:tcW w:w="333" w:type="dxa"/>
            <w:tcBorders/>
            <w:shd w:fill="auto" w:val="clear"/>
            <w:vAlign w:val="bottom"/>
          </w:tcPr>
          <w:p>
            <w:pPr>
              <w:pStyle w:val="TableContents"/>
              <w:spacing w:before="0" w:after="283"/>
              <w:rPr/>
            </w:pPr>
            <w:r>
              <w:rPr/>
              <w:t> </w:t>
            </w:r>
          </w:p>
        </w:tc>
        <w:tc>
          <w:tcPr>
            <w:tcW w:w="1468" w:type="dxa"/>
            <w:gridSpan w:val="3"/>
            <w:tcBorders/>
            <w:shd w:fill="auto" w:val="clear"/>
            <w:vAlign w:val="bottom"/>
          </w:tcPr>
          <w:p>
            <w:pPr>
              <w:pStyle w:val="TableContents"/>
              <w:spacing w:before="0" w:after="283"/>
              <w:jc w:val="center"/>
              <w:rPr/>
            </w:pPr>
            <w:r>
              <w:rPr/>
              <w:t> </w:t>
            </w:r>
          </w:p>
        </w:tc>
      </w:tr>
      <w:tr>
        <w:trPr/>
        <w:tc>
          <w:tcPr>
            <w:tcW w:w="433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62" w:type="dxa"/>
            <w:gridSpan w:val="3"/>
            <w:tcBorders/>
            <w:shd w:fill="auto" w:val="clear"/>
            <w:vAlign w:val="bottom"/>
          </w:tcPr>
          <w:p>
            <w:pPr>
              <w:pStyle w:val="TableContents"/>
              <w:spacing w:before="0" w:after="283"/>
              <w:jc w:val="center"/>
              <w:rPr/>
            </w:pPr>
            <w:r>
              <w:rPr/>
              <w:t>Average</w:t>
            </w:r>
          </w:p>
        </w:tc>
        <w:tc>
          <w:tcPr>
            <w:tcW w:w="333" w:type="dxa"/>
            <w:tcBorders/>
            <w:shd w:fill="auto" w:val="clear"/>
            <w:vAlign w:val="bottom"/>
          </w:tcPr>
          <w:p>
            <w:pPr>
              <w:pStyle w:val="TableContents"/>
              <w:spacing w:before="0" w:after="283"/>
              <w:rPr/>
            </w:pPr>
            <w:r>
              <w:rPr/>
              <w:t> </w:t>
            </w:r>
          </w:p>
        </w:tc>
        <w:tc>
          <w:tcPr>
            <w:tcW w:w="1468" w:type="dxa"/>
            <w:gridSpan w:val="3"/>
            <w:tcBorders/>
            <w:shd w:fill="auto" w:val="clear"/>
            <w:vAlign w:val="bottom"/>
          </w:tcPr>
          <w:p>
            <w:pPr>
              <w:pStyle w:val="TableContents"/>
              <w:spacing w:before="0" w:after="283"/>
              <w:jc w:val="center"/>
              <w:rPr/>
            </w:pPr>
            <w:r>
              <w:rPr/>
              <w:t> </w:t>
            </w:r>
          </w:p>
        </w:tc>
      </w:tr>
      <w:tr>
        <w:trPr/>
        <w:tc>
          <w:tcPr>
            <w:tcW w:w="4331"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62" w:type="dxa"/>
            <w:gridSpan w:val="3"/>
            <w:tcBorders/>
            <w:shd w:fill="auto" w:val="clear"/>
            <w:vAlign w:val="bottom"/>
          </w:tcPr>
          <w:p>
            <w:pPr>
              <w:pStyle w:val="TableContents"/>
              <w:spacing w:before="0" w:after="283"/>
              <w:jc w:val="center"/>
              <w:rPr/>
            </w:pPr>
            <w:r>
              <w:rPr/>
              <w:t>Remaining</w:t>
            </w:r>
          </w:p>
        </w:tc>
        <w:tc>
          <w:tcPr>
            <w:tcW w:w="333" w:type="dxa"/>
            <w:tcBorders/>
            <w:shd w:fill="auto" w:val="clear"/>
            <w:vAlign w:val="bottom"/>
          </w:tcPr>
          <w:p>
            <w:pPr>
              <w:pStyle w:val="TableContents"/>
              <w:spacing w:before="0" w:after="283"/>
              <w:rPr/>
            </w:pPr>
            <w:r>
              <w:rPr/>
              <w:t> </w:t>
            </w:r>
          </w:p>
        </w:tc>
        <w:tc>
          <w:tcPr>
            <w:tcW w:w="1468" w:type="dxa"/>
            <w:gridSpan w:val="3"/>
            <w:tcBorders/>
            <w:shd w:fill="auto" w:val="clear"/>
            <w:vAlign w:val="bottom"/>
          </w:tcPr>
          <w:p>
            <w:pPr>
              <w:pStyle w:val="TableContents"/>
              <w:spacing w:before="0" w:after="283"/>
              <w:jc w:val="center"/>
              <w:rPr/>
            </w:pPr>
            <w:r>
              <w:rPr/>
              <w:t> </w:t>
            </w:r>
          </w:p>
        </w:tc>
      </w:tr>
      <w:tr>
        <w:trPr/>
        <w:tc>
          <w:tcPr>
            <w:tcW w:w="4331" w:type="dxa"/>
            <w:tcBorders/>
            <w:shd w:fill="auto" w:val="clear"/>
            <w:vAlign w:val="bottom"/>
          </w:tcPr>
          <w:p>
            <w:pPr>
              <w:pStyle w:val="TableContents"/>
              <w:spacing w:before="0" w:after="283"/>
              <w:jc w:val="left"/>
              <w:rPr/>
            </w:pPr>
            <w:r>
              <w:rPr/>
              <w:t>Exercise</w:t>
            </w:r>
          </w:p>
        </w:tc>
        <w:tc>
          <w:tcPr>
            <w:tcW w:w="33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62" w:type="dxa"/>
            <w:gridSpan w:val="3"/>
            <w:tcBorders/>
            <w:shd w:fill="auto" w:val="clear"/>
            <w:vAlign w:val="bottom"/>
          </w:tcPr>
          <w:p>
            <w:pPr>
              <w:pStyle w:val="TableContents"/>
              <w:spacing w:before="0" w:after="283"/>
              <w:jc w:val="center"/>
              <w:rPr/>
            </w:pPr>
            <w:r>
              <w:rPr/>
              <w:t>Contractual</w:t>
            </w:r>
          </w:p>
        </w:tc>
        <w:tc>
          <w:tcPr>
            <w:tcW w:w="333" w:type="dxa"/>
            <w:tcBorders/>
            <w:shd w:fill="auto" w:val="clear"/>
            <w:vAlign w:val="bottom"/>
          </w:tcPr>
          <w:p>
            <w:pPr>
              <w:pStyle w:val="TableContents"/>
              <w:spacing w:before="0" w:after="283"/>
              <w:rPr/>
            </w:pPr>
            <w:r>
              <w:rPr/>
              <w:t> </w:t>
            </w:r>
          </w:p>
        </w:tc>
        <w:tc>
          <w:tcPr>
            <w:tcW w:w="1468" w:type="dxa"/>
            <w:gridSpan w:val="3"/>
            <w:tcBorders/>
            <w:shd w:fill="auto" w:val="clear"/>
            <w:vAlign w:val="bottom"/>
          </w:tcPr>
          <w:p>
            <w:pPr>
              <w:pStyle w:val="TableContents"/>
              <w:spacing w:before="0" w:after="283"/>
              <w:jc w:val="center"/>
              <w:rPr/>
            </w:pPr>
            <w:r>
              <w:rPr/>
              <w:t> </w:t>
            </w:r>
          </w:p>
        </w:tc>
      </w:tr>
      <w:tr>
        <w:trPr/>
        <w:tc>
          <w:tcPr>
            <w:tcW w:w="4331" w:type="dxa"/>
            <w:tcBorders/>
            <w:shd w:fill="auto" w:val="clear"/>
            <w:vAlign w:val="bottom"/>
          </w:tcPr>
          <w:p>
            <w:pPr>
              <w:pStyle w:val="TableContents"/>
              <w:spacing w:before="0" w:after="283"/>
              <w:jc w:val="left"/>
              <w:rPr/>
            </w:pPr>
            <w:r>
              <w:rPr/>
              <w:t>Prices</w:t>
            </w:r>
          </w:p>
        </w:tc>
        <w:tc>
          <w:tcPr>
            <w:tcW w:w="333" w:type="dxa"/>
            <w:tcBorders/>
            <w:shd w:fill="auto" w:val="clear"/>
            <w:vAlign w:val="bottom"/>
          </w:tcPr>
          <w:p>
            <w:pPr>
              <w:pStyle w:val="TableContents"/>
              <w:spacing w:before="0" w:after="283"/>
              <w:rPr/>
            </w:pPr>
            <w:r>
              <w:rPr/>
              <w:t> </w:t>
            </w:r>
          </w:p>
        </w:tc>
        <w:tc>
          <w:tcPr>
            <w:tcW w:w="1904" w:type="dxa"/>
            <w:gridSpan w:val="3"/>
            <w:tcBorders/>
            <w:shd w:fill="auto" w:val="clear"/>
            <w:vAlign w:val="bottom"/>
          </w:tcPr>
          <w:p>
            <w:pPr>
              <w:pStyle w:val="TableContents"/>
              <w:spacing w:before="0" w:after="283"/>
              <w:jc w:val="center"/>
              <w:rPr/>
            </w:pPr>
            <w:r>
              <w:rPr/>
              <w:t>Number</w:t>
            </w:r>
          </w:p>
        </w:tc>
        <w:tc>
          <w:tcPr>
            <w:tcW w:w="374" w:type="dxa"/>
            <w:tcBorders/>
            <w:shd w:fill="auto" w:val="clear"/>
            <w:vAlign w:val="bottom"/>
          </w:tcPr>
          <w:p>
            <w:pPr>
              <w:pStyle w:val="TableContents"/>
              <w:spacing w:before="0" w:after="283"/>
              <w:rPr/>
            </w:pPr>
            <w:r>
              <w:rPr/>
              <w:t> </w:t>
            </w:r>
          </w:p>
        </w:tc>
        <w:tc>
          <w:tcPr>
            <w:tcW w:w="1462" w:type="dxa"/>
            <w:gridSpan w:val="3"/>
            <w:tcBorders/>
            <w:shd w:fill="auto" w:val="clear"/>
            <w:vAlign w:val="bottom"/>
          </w:tcPr>
          <w:p>
            <w:pPr>
              <w:pStyle w:val="TableContents"/>
              <w:spacing w:before="0" w:after="283"/>
              <w:jc w:val="center"/>
              <w:rPr/>
            </w:pPr>
            <w:r>
              <w:rPr/>
              <w:t>Life</w:t>
            </w:r>
          </w:p>
        </w:tc>
        <w:tc>
          <w:tcPr>
            <w:tcW w:w="333" w:type="dxa"/>
            <w:tcBorders/>
            <w:shd w:fill="auto" w:val="clear"/>
            <w:vAlign w:val="bottom"/>
          </w:tcPr>
          <w:p>
            <w:pPr>
              <w:pStyle w:val="TableContents"/>
              <w:spacing w:before="0" w:after="283"/>
              <w:rPr/>
            </w:pPr>
            <w:r>
              <w:rPr/>
              <w:t> </w:t>
            </w:r>
          </w:p>
        </w:tc>
        <w:tc>
          <w:tcPr>
            <w:tcW w:w="1468" w:type="dxa"/>
            <w:gridSpan w:val="3"/>
            <w:tcBorders/>
            <w:shd w:fill="auto" w:val="clear"/>
            <w:vAlign w:val="bottom"/>
          </w:tcPr>
          <w:p>
            <w:pPr>
              <w:pStyle w:val="TableContents"/>
              <w:spacing w:before="0" w:after="283"/>
              <w:jc w:val="center"/>
              <w:rPr/>
            </w:pPr>
            <w:r>
              <w:rPr/>
              <w:t>Number</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331" w:type="dxa"/>
            <w:tcBorders/>
            <w:shd w:fill="CCEEFF" w:val="clear"/>
            <w:vAlign w:val="bottom"/>
          </w:tcPr>
          <w:p>
            <w:pPr>
              <w:pStyle w:val="TableContents"/>
              <w:spacing w:before="0" w:after="0"/>
              <w:ind w:left="225" w:right="0" w:hanging="225"/>
              <w:rPr/>
            </w:pPr>
            <w:r>
              <w:rPr/>
              <w:t>$14.56</w:t>
            </w:r>
          </w:p>
        </w:tc>
        <w:tc>
          <w:tcPr>
            <w:tcW w:w="33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376" w:type="dxa"/>
            <w:tcBorders/>
            <w:shd w:fill="CCEEFF" w:val="clear"/>
            <w:vAlign w:val="bottom"/>
          </w:tcPr>
          <w:p>
            <w:pPr>
              <w:pStyle w:val="TableContents"/>
              <w:spacing w:before="0" w:after="283"/>
              <w:jc w:val="right"/>
              <w:rPr/>
            </w:pPr>
            <w:r>
              <w:rPr/>
              <w:t>225,525</w:t>
            </w:r>
          </w:p>
        </w:tc>
        <w:tc>
          <w:tcPr>
            <w:tcW w:w="264"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462" w:type="dxa"/>
            <w:gridSpan w:val="3"/>
            <w:tcBorders/>
            <w:shd w:fill="CCEEFF" w:val="clear"/>
            <w:vAlign w:val="bottom"/>
          </w:tcPr>
          <w:p>
            <w:pPr>
              <w:pStyle w:val="TableContents"/>
              <w:spacing w:before="0" w:after="283"/>
              <w:jc w:val="center"/>
              <w:rPr/>
            </w:pPr>
            <w:r>
              <w:rPr/>
              <w:t>4.96 years</w:t>
            </w:r>
          </w:p>
        </w:tc>
        <w:tc>
          <w:tcPr>
            <w:tcW w:w="333"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225,525</w:t>
            </w:r>
          </w:p>
        </w:tc>
        <w:tc>
          <w:tcPr>
            <w:tcW w:w="242" w:type="dxa"/>
            <w:tcBorders/>
            <w:shd w:fill="CCEEFF" w:val="clear"/>
            <w:vAlign w:val="bottom"/>
          </w:tcPr>
          <w:p>
            <w:pPr>
              <w:pStyle w:val="TableContents"/>
              <w:spacing w:before="0" w:after="283"/>
              <w:rPr/>
            </w:pPr>
            <w:r>
              <w:rPr/>
              <w:t> </w:t>
            </w:r>
          </w:p>
        </w:tc>
      </w:tr>
      <w:tr>
        <w:trPr/>
        <w:tc>
          <w:tcPr>
            <w:tcW w:w="4331" w:type="dxa"/>
            <w:tcBorders/>
            <w:shd w:fill="auto" w:val="clear"/>
            <w:vAlign w:val="bottom"/>
          </w:tcPr>
          <w:p>
            <w:pPr>
              <w:pStyle w:val="TableContents"/>
              <w:spacing w:before="0" w:after="0"/>
              <w:ind w:left="225" w:right="0" w:hanging="225"/>
              <w:rPr/>
            </w:pPr>
            <w:r>
              <w:rPr/>
              <w:t>18.07</w:t>
            </w:r>
          </w:p>
        </w:tc>
        <w:tc>
          <w:tcPr>
            <w:tcW w:w="33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jc w:val="right"/>
              <w:rPr/>
            </w:pPr>
            <w:r>
              <w:rPr/>
              <w:t>54,000</w:t>
            </w:r>
          </w:p>
        </w:tc>
        <w:tc>
          <w:tcPr>
            <w:tcW w:w="264"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62" w:type="dxa"/>
            <w:gridSpan w:val="3"/>
            <w:tcBorders/>
            <w:shd w:fill="auto" w:val="clear"/>
            <w:vAlign w:val="bottom"/>
          </w:tcPr>
          <w:p>
            <w:pPr>
              <w:pStyle w:val="TableContents"/>
              <w:spacing w:before="0" w:after="283"/>
              <w:jc w:val="center"/>
              <w:rPr/>
            </w:pPr>
            <w:r>
              <w:rPr/>
              <w:t>2.96 years</w:t>
            </w:r>
          </w:p>
        </w:tc>
        <w:tc>
          <w:tcPr>
            <w:tcW w:w="33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54,000</w:t>
            </w:r>
          </w:p>
        </w:tc>
        <w:tc>
          <w:tcPr>
            <w:tcW w:w="242" w:type="dxa"/>
            <w:tcBorders/>
            <w:shd w:fill="auto" w:val="clear"/>
            <w:vAlign w:val="bottom"/>
          </w:tcPr>
          <w:p>
            <w:pPr>
              <w:pStyle w:val="TableContents"/>
              <w:spacing w:before="0" w:after="283"/>
              <w:rPr/>
            </w:pPr>
            <w:r>
              <w:rPr/>
              <w:t> </w:t>
            </w:r>
          </w:p>
        </w:tc>
      </w:tr>
      <w:tr>
        <w:trPr/>
        <w:tc>
          <w:tcPr>
            <w:tcW w:w="4331" w:type="dxa"/>
            <w:tcBorders/>
            <w:shd w:fill="CCEEFF" w:val="clear"/>
            <w:vAlign w:val="bottom"/>
          </w:tcPr>
          <w:p>
            <w:pPr>
              <w:pStyle w:val="TableContents"/>
              <w:spacing w:before="0" w:after="0"/>
              <w:ind w:left="225" w:right="0" w:hanging="225"/>
              <w:rPr/>
            </w:pPr>
            <w:r>
              <w:rPr/>
              <w:t>19.59</w:t>
            </w:r>
          </w:p>
        </w:tc>
        <w:tc>
          <w:tcPr>
            <w:tcW w:w="33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376" w:type="dxa"/>
            <w:tcBorders/>
            <w:shd w:fill="CCEEFF" w:val="clear"/>
            <w:vAlign w:val="bottom"/>
          </w:tcPr>
          <w:p>
            <w:pPr>
              <w:pStyle w:val="TableContents"/>
              <w:spacing w:before="0" w:after="283"/>
              <w:jc w:val="right"/>
              <w:rPr/>
            </w:pPr>
            <w:r>
              <w:rPr/>
              <w:t>292,400</w:t>
            </w:r>
          </w:p>
        </w:tc>
        <w:tc>
          <w:tcPr>
            <w:tcW w:w="264"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462" w:type="dxa"/>
            <w:gridSpan w:val="3"/>
            <w:tcBorders/>
            <w:shd w:fill="CCEEFF" w:val="clear"/>
            <w:vAlign w:val="bottom"/>
          </w:tcPr>
          <w:p>
            <w:pPr>
              <w:pStyle w:val="TableContents"/>
              <w:spacing w:before="0" w:after="283"/>
              <w:jc w:val="center"/>
              <w:rPr/>
            </w:pPr>
            <w:r>
              <w:rPr/>
              <w:t>3.70 years</w:t>
            </w:r>
          </w:p>
        </w:tc>
        <w:tc>
          <w:tcPr>
            <w:tcW w:w="333"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w:t>
            </w:r>
          </w:p>
        </w:tc>
        <w:tc>
          <w:tcPr>
            <w:tcW w:w="242" w:type="dxa"/>
            <w:tcBorders/>
            <w:shd w:fill="CCEEFF" w:val="clear"/>
            <w:vAlign w:val="bottom"/>
          </w:tcPr>
          <w:p>
            <w:pPr>
              <w:pStyle w:val="TableContents"/>
              <w:spacing w:before="0" w:after="283"/>
              <w:rPr/>
            </w:pPr>
            <w:r>
              <w:rPr/>
              <w:t> </w:t>
            </w:r>
          </w:p>
        </w:tc>
      </w:tr>
      <w:tr>
        <w:trPr/>
        <w:tc>
          <w:tcPr>
            <w:tcW w:w="4331" w:type="dxa"/>
            <w:tcBorders/>
            <w:shd w:fill="auto" w:val="clear"/>
            <w:vAlign w:val="bottom"/>
          </w:tcPr>
          <w:p>
            <w:pPr>
              <w:pStyle w:val="TableContents"/>
              <w:spacing w:before="0" w:after="0"/>
              <w:ind w:left="225" w:right="0" w:hanging="225"/>
              <w:rPr/>
            </w:pPr>
            <w:r>
              <w:rPr/>
              <w:t>19.83</w:t>
            </w:r>
          </w:p>
        </w:tc>
        <w:tc>
          <w:tcPr>
            <w:tcW w:w="33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jc w:val="right"/>
              <w:rPr/>
            </w:pPr>
            <w:r>
              <w:rPr/>
              <w:t>54,000</w:t>
            </w:r>
          </w:p>
        </w:tc>
        <w:tc>
          <w:tcPr>
            <w:tcW w:w="264"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62" w:type="dxa"/>
            <w:gridSpan w:val="3"/>
            <w:tcBorders/>
            <w:shd w:fill="auto" w:val="clear"/>
            <w:vAlign w:val="bottom"/>
          </w:tcPr>
          <w:p>
            <w:pPr>
              <w:pStyle w:val="TableContents"/>
              <w:spacing w:before="0" w:after="283"/>
              <w:jc w:val="center"/>
              <w:rPr/>
            </w:pPr>
            <w:r>
              <w:rPr/>
              <w:t>3.96 years</w:t>
            </w:r>
          </w:p>
        </w:tc>
        <w:tc>
          <w:tcPr>
            <w:tcW w:w="33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w:t>
            </w:r>
          </w:p>
        </w:tc>
        <w:tc>
          <w:tcPr>
            <w:tcW w:w="242" w:type="dxa"/>
            <w:tcBorders/>
            <w:shd w:fill="auto" w:val="clear"/>
            <w:vAlign w:val="bottom"/>
          </w:tcPr>
          <w:p>
            <w:pPr>
              <w:pStyle w:val="TableContents"/>
              <w:spacing w:before="0" w:after="283"/>
              <w:rPr/>
            </w:pPr>
            <w:r>
              <w:rPr/>
              <w:t> </w:t>
            </w:r>
          </w:p>
        </w:tc>
      </w:tr>
      <w:tr>
        <w:trPr/>
        <w:tc>
          <w:tcPr>
            <w:tcW w:w="4331" w:type="dxa"/>
            <w:tcBorders/>
            <w:shd w:fill="auto" w:val="clear"/>
            <w:vAlign w:val="bottom"/>
          </w:tcPr>
          <w:p>
            <w:pPr>
              <w:pStyle w:val="TableContents"/>
              <w:spacing w:before="0" w:after="0"/>
              <w:ind w:left="225" w:right="0" w:hanging="225"/>
              <w:rPr/>
            </w:pPr>
            <w:r>
              <w:rPr/>
              <w:t> </w:t>
            </w:r>
          </w:p>
        </w:tc>
        <w:tc>
          <w:tcPr>
            <w:tcW w:w="333"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r>
      <w:tr>
        <w:trPr/>
        <w:tc>
          <w:tcPr>
            <w:tcW w:w="4331"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rPr/>
            </w:pPr>
            <w:r>
              <w:rPr/>
              <w:t> </w:t>
            </w:r>
          </w:p>
        </w:tc>
        <w:tc>
          <w:tcPr>
            <w:tcW w:w="5541"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331" w:type="dxa"/>
            <w:tcBorders/>
            <w:shd w:fill="CCEEFF" w:val="clear"/>
            <w:vAlign w:val="bottom"/>
          </w:tcPr>
          <w:p>
            <w:pPr>
              <w:pStyle w:val="TableContents"/>
              <w:spacing w:before="0" w:after="0"/>
              <w:ind w:left="225" w:right="0" w:hanging="225"/>
              <w:rPr/>
            </w:pPr>
            <w:r>
              <w:rPr/>
              <w:t> </w:t>
            </w:r>
          </w:p>
        </w:tc>
        <w:tc>
          <w:tcPr>
            <w:tcW w:w="333"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376" w:type="dxa"/>
            <w:tcBorders/>
            <w:shd w:fill="CCEEFF" w:val="clear"/>
            <w:vAlign w:val="bottom"/>
          </w:tcPr>
          <w:p>
            <w:pPr>
              <w:pStyle w:val="TableContents"/>
              <w:spacing w:before="0" w:after="283"/>
              <w:jc w:val="right"/>
              <w:rPr/>
            </w:pPr>
            <w:r>
              <w:rPr/>
              <w:t>625,925</w:t>
            </w:r>
          </w:p>
        </w:tc>
        <w:tc>
          <w:tcPr>
            <w:tcW w:w="264"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462" w:type="dxa"/>
            <w:gridSpan w:val="3"/>
            <w:tcBorders/>
            <w:shd w:fill="CCEEFF" w:val="clear"/>
            <w:vAlign w:val="bottom"/>
          </w:tcPr>
          <w:p>
            <w:pPr>
              <w:pStyle w:val="TableContents"/>
              <w:spacing w:before="0" w:after="283"/>
              <w:jc w:val="center"/>
              <w:rPr/>
            </w:pPr>
            <w:r>
              <w:rPr/>
              <w:t>4.11 years</w:t>
            </w:r>
          </w:p>
        </w:tc>
        <w:tc>
          <w:tcPr>
            <w:tcW w:w="333"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279,525</w:t>
            </w:r>
          </w:p>
        </w:tc>
        <w:tc>
          <w:tcPr>
            <w:tcW w:w="242" w:type="dxa"/>
            <w:tcBorders/>
            <w:shd w:fill="CCEEFF" w:val="clear"/>
            <w:vAlign w:val="bottom"/>
          </w:tcPr>
          <w:p>
            <w:pPr>
              <w:pStyle w:val="TableContents"/>
              <w:spacing w:before="0" w:after="283"/>
              <w:rPr/>
            </w:pPr>
            <w:r>
              <w:rPr/>
              <w:t> </w:t>
            </w:r>
          </w:p>
        </w:tc>
      </w:tr>
      <w:tr>
        <w:trPr/>
        <w:tc>
          <w:tcPr>
            <w:tcW w:w="4331"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rPr/>
            </w:pPr>
            <w:r>
              <w:rPr/>
              <w:t> </w:t>
            </w:r>
          </w:p>
        </w:tc>
        <w:tc>
          <w:tcPr>
            <w:tcW w:w="5541"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81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u w:val="single"/>
        </w:rPr>
        <w:t>Restricted Stock Award Plan</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1993 Restricted Stock Award Plan provides for restricted stock awards of up to 675,000 shares of common stock which may be granted by the Compensation Committee of the Board of Directors to certain executive officers and key personnel of First Busey Corporation and its subsidiaries. Shares vest over a period established by the Compensation Committee at grant date and are based on the attainment of specified earnings per share and earnings growth. There were 1,500 and 3,225 shares under grant as of December 31, 2005 and 2004. </w:t>
      </w:r>
    </w:p>
    <w:tbl>
      <w:tblPr>
        <w:tblW w:w="5000" w:type="pct"/>
        <w:jc w:val="center"/>
        <w:tblInd w:w="0" w:type="dxa"/>
        <w:tblCellMar>
          <w:top w:w="0" w:type="dxa"/>
          <w:left w:w="0" w:type="dxa"/>
          <w:bottom w:w="0" w:type="dxa"/>
          <w:right w:w="0" w:type="dxa"/>
        </w:tblCellMar>
      </w:tblPr>
      <w:tblGrid>
        <w:gridCol w:w="5787"/>
        <w:gridCol w:w="447"/>
        <w:gridCol w:w="112"/>
        <w:gridCol w:w="800"/>
        <w:gridCol w:w="112"/>
        <w:gridCol w:w="447"/>
        <w:gridCol w:w="112"/>
        <w:gridCol w:w="800"/>
        <w:gridCol w:w="112"/>
        <w:gridCol w:w="447"/>
        <w:gridCol w:w="112"/>
        <w:gridCol w:w="800"/>
        <w:gridCol w:w="117"/>
      </w:tblGrid>
      <w:tr>
        <w:trPr/>
        <w:tc>
          <w:tcPr>
            <w:tcW w:w="5787"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787"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3854" w:type="dxa"/>
            <w:gridSpan w:val="10"/>
            <w:tcBorders>
              <w:bottom w:val="single" w:sz="2" w:space="0" w:color="000000"/>
            </w:tcBorders>
            <w:shd w:fill="auto" w:val="clear"/>
            <w:tcMar>
              <w:bottom w:w="28" w:type="dxa"/>
            </w:tcMar>
            <w:vAlign w:val="bottom"/>
          </w:tcPr>
          <w:p>
            <w:pPr>
              <w:pStyle w:val="TableContents"/>
              <w:spacing w:before="0" w:after="283"/>
              <w:jc w:val="center"/>
              <w:rPr/>
            </w:pPr>
            <w:r>
              <w:rPr/>
              <w:t>Number of Shares</w:t>
            </w:r>
          </w:p>
        </w:tc>
        <w:tc>
          <w:tcPr>
            <w:tcW w:w="117" w:type="dxa"/>
            <w:tcBorders/>
            <w:shd w:fill="auto" w:val="clear"/>
            <w:vAlign w:val="bottom"/>
          </w:tcPr>
          <w:p>
            <w:pPr>
              <w:pStyle w:val="TableContents"/>
              <w:spacing w:before="0" w:after="283"/>
              <w:rPr/>
            </w:pPr>
            <w:r>
              <w:rPr/>
              <w:t> </w:t>
            </w:r>
          </w:p>
        </w:tc>
      </w:tr>
      <w:tr>
        <w:trPr/>
        <w:tc>
          <w:tcPr>
            <w:tcW w:w="5787"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912" w:type="dxa"/>
            <w:gridSpan w:val="2"/>
            <w:tcBorders/>
            <w:shd w:fill="auto" w:val="clear"/>
            <w:vAlign w:val="bottom"/>
          </w:tcPr>
          <w:p>
            <w:pPr>
              <w:pStyle w:val="TableContents"/>
              <w:spacing w:before="0" w:after="283"/>
              <w:jc w:val="center"/>
              <w:rPr/>
            </w:pPr>
            <w:r>
              <w:rPr/>
              <w:t>2005</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912" w:type="dxa"/>
            <w:gridSpan w:val="2"/>
            <w:tcBorders/>
            <w:shd w:fill="auto" w:val="clear"/>
            <w:vAlign w:val="bottom"/>
          </w:tcPr>
          <w:p>
            <w:pPr>
              <w:pStyle w:val="TableContents"/>
              <w:spacing w:before="0" w:after="283"/>
              <w:jc w:val="center"/>
              <w:rPr/>
            </w:pPr>
            <w:r>
              <w:rPr/>
              <w:t>2004</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912" w:type="dxa"/>
            <w:gridSpan w:val="2"/>
            <w:tcBorders/>
            <w:shd w:fill="auto" w:val="clear"/>
            <w:vAlign w:val="bottom"/>
          </w:tcPr>
          <w:p>
            <w:pPr>
              <w:pStyle w:val="TableContents"/>
              <w:spacing w:before="0" w:after="283"/>
              <w:jc w:val="center"/>
              <w:rPr/>
            </w:pPr>
            <w:r>
              <w:rPr/>
              <w:t>2003</w:t>
            </w:r>
          </w:p>
        </w:tc>
        <w:tc>
          <w:tcPr>
            <w:tcW w:w="117" w:type="dxa"/>
            <w:tcBorders/>
            <w:shd w:fill="auto" w:val="clear"/>
            <w:vAlign w:val="bottom"/>
          </w:tcPr>
          <w:p>
            <w:pPr>
              <w:pStyle w:val="TableContents"/>
              <w:spacing w:before="0" w:after="283"/>
              <w:rPr/>
            </w:pPr>
            <w:r>
              <w:rPr/>
              <w:t> </w:t>
            </w:r>
          </w:p>
        </w:tc>
      </w:tr>
      <w:tr>
        <w:trPr/>
        <w:tc>
          <w:tcPr>
            <w:tcW w:w="5787" w:type="dxa"/>
            <w:tcBorders/>
            <w:shd w:fill="auto" w:val="clear"/>
            <w:vAlign w:val="center"/>
          </w:tcPr>
          <w:p>
            <w:pPr>
              <w:pStyle w:val="TableContents"/>
              <w:spacing w:before="0" w:after="283"/>
              <w:rPr/>
            </w:pPr>
            <w:r>
              <w:rPr/>
              <w:t> </w:t>
            </w:r>
          </w:p>
        </w:tc>
        <w:tc>
          <w:tcPr>
            <w:tcW w:w="447" w:type="dxa"/>
            <w:tcBorders/>
            <w:shd w:fill="auto" w:val="clear"/>
            <w:vAlign w:val="center"/>
          </w:tcPr>
          <w:p>
            <w:pPr>
              <w:pStyle w:val="TableContents"/>
              <w:spacing w:before="0" w:after="283"/>
              <w:rPr/>
            </w:pPr>
            <w:r>
              <w:rPr/>
              <w:t> </w:t>
            </w:r>
          </w:p>
        </w:tc>
        <w:tc>
          <w:tcPr>
            <w:tcW w:w="3971"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787" w:type="dxa"/>
            <w:tcBorders/>
            <w:shd w:fill="CCEEFF" w:val="clear"/>
            <w:vAlign w:val="bottom"/>
          </w:tcPr>
          <w:p>
            <w:pPr>
              <w:pStyle w:val="TableContents"/>
              <w:spacing w:before="0" w:after="0"/>
              <w:ind w:left="225" w:right="0" w:hanging="225"/>
              <w:rPr/>
            </w:pPr>
            <w:r>
              <w:rPr/>
              <w:t>Under restriction, beginning of year</w:t>
            </w:r>
          </w:p>
        </w:tc>
        <w:tc>
          <w:tcPr>
            <w:tcW w:w="44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3,225</w:t>
            </w:r>
          </w:p>
        </w:tc>
        <w:tc>
          <w:tcPr>
            <w:tcW w:w="112"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6,450</w:t>
            </w:r>
          </w:p>
        </w:tc>
        <w:tc>
          <w:tcPr>
            <w:tcW w:w="112"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10,425</w:t>
            </w:r>
          </w:p>
        </w:tc>
        <w:tc>
          <w:tcPr>
            <w:tcW w:w="117" w:type="dxa"/>
            <w:tcBorders/>
            <w:shd w:fill="CCEEFF" w:val="clear"/>
            <w:vAlign w:val="bottom"/>
          </w:tcPr>
          <w:p>
            <w:pPr>
              <w:pStyle w:val="TableContents"/>
              <w:spacing w:before="0" w:after="283"/>
              <w:rPr/>
            </w:pPr>
            <w:r>
              <w:rPr/>
              <w:t> </w:t>
            </w:r>
          </w:p>
        </w:tc>
      </w:tr>
      <w:tr>
        <w:trPr/>
        <w:tc>
          <w:tcPr>
            <w:tcW w:w="5787" w:type="dxa"/>
            <w:tcBorders/>
            <w:shd w:fill="auto" w:val="clear"/>
            <w:vAlign w:val="bottom"/>
          </w:tcPr>
          <w:p>
            <w:pPr>
              <w:pStyle w:val="TableContents"/>
              <w:spacing w:before="0" w:after="0"/>
              <w:ind w:left="450" w:right="0" w:hanging="225"/>
              <w:rPr/>
            </w:pPr>
            <w:r>
              <w:rPr/>
              <w:t>Granted</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r>
      <w:tr>
        <w:trPr/>
        <w:tc>
          <w:tcPr>
            <w:tcW w:w="5787" w:type="dxa"/>
            <w:tcBorders/>
            <w:shd w:fill="CCEEFF" w:val="clear"/>
            <w:vAlign w:val="bottom"/>
          </w:tcPr>
          <w:p>
            <w:pPr>
              <w:pStyle w:val="TableContents"/>
              <w:spacing w:before="0" w:after="0"/>
              <w:ind w:left="450" w:right="0" w:hanging="225"/>
              <w:rPr/>
            </w:pPr>
            <w:r>
              <w:rPr/>
              <w:t>Restrictions released</w:t>
            </w:r>
          </w:p>
        </w:tc>
        <w:tc>
          <w:tcPr>
            <w:tcW w:w="44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1,725</w:t>
            </w:r>
          </w:p>
        </w:tc>
        <w:tc>
          <w:tcPr>
            <w:tcW w:w="112"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3,225</w:t>
            </w:r>
          </w:p>
        </w:tc>
        <w:tc>
          <w:tcPr>
            <w:tcW w:w="112"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3,975</w:t>
            </w:r>
          </w:p>
        </w:tc>
        <w:tc>
          <w:tcPr>
            <w:tcW w:w="117" w:type="dxa"/>
            <w:tcBorders/>
            <w:shd w:fill="CCEEFF" w:val="clear"/>
            <w:vAlign w:val="bottom"/>
          </w:tcPr>
          <w:p>
            <w:pPr>
              <w:pStyle w:val="TableContents"/>
              <w:spacing w:before="0" w:after="283"/>
              <w:rPr/>
            </w:pPr>
            <w:r>
              <w:rPr/>
              <w:t> </w:t>
            </w:r>
          </w:p>
        </w:tc>
      </w:tr>
      <w:tr>
        <w:trPr/>
        <w:tc>
          <w:tcPr>
            <w:tcW w:w="5787" w:type="dxa"/>
            <w:tcBorders/>
            <w:shd w:fill="auto" w:val="clear"/>
            <w:vAlign w:val="bottom"/>
          </w:tcPr>
          <w:p>
            <w:pPr>
              <w:pStyle w:val="TableContents"/>
              <w:spacing w:before="0" w:after="0"/>
              <w:ind w:left="450" w:right="0" w:hanging="225"/>
              <w:rPr/>
            </w:pPr>
            <w:r>
              <w:rPr/>
              <w:t>Forfeited and reissuable</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r>
      <w:tr>
        <w:trPr/>
        <w:tc>
          <w:tcPr>
            <w:tcW w:w="5787" w:type="dxa"/>
            <w:tcBorders/>
            <w:shd w:fill="auto" w:val="clear"/>
            <w:vAlign w:val="center"/>
          </w:tcPr>
          <w:p>
            <w:pPr>
              <w:pStyle w:val="TableContents"/>
              <w:spacing w:before="0" w:after="283"/>
              <w:rPr/>
            </w:pPr>
            <w:r>
              <w:rPr/>
              <w:t> </w:t>
            </w:r>
          </w:p>
        </w:tc>
        <w:tc>
          <w:tcPr>
            <w:tcW w:w="447" w:type="dxa"/>
            <w:tcBorders/>
            <w:shd w:fill="auto" w:val="clear"/>
            <w:vAlign w:val="center"/>
          </w:tcPr>
          <w:p>
            <w:pPr>
              <w:pStyle w:val="TableContents"/>
              <w:spacing w:before="0" w:after="283"/>
              <w:rPr/>
            </w:pPr>
            <w:r>
              <w:rPr/>
              <w:t> </w:t>
            </w:r>
          </w:p>
        </w:tc>
        <w:tc>
          <w:tcPr>
            <w:tcW w:w="3971"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787" w:type="dxa"/>
            <w:tcBorders/>
            <w:shd w:fill="auto" w:val="clear"/>
            <w:vAlign w:val="bottom"/>
          </w:tcPr>
          <w:p>
            <w:pPr>
              <w:pStyle w:val="TableContents"/>
              <w:spacing w:before="0" w:after="0"/>
              <w:ind w:left="225" w:right="0" w:hanging="225"/>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787" w:type="dxa"/>
            <w:tcBorders/>
            <w:shd w:fill="CCEEFF" w:val="clear"/>
            <w:vAlign w:val="bottom"/>
          </w:tcPr>
          <w:p>
            <w:pPr>
              <w:pStyle w:val="TableContents"/>
              <w:spacing w:before="0" w:after="0"/>
              <w:ind w:left="225" w:right="0" w:hanging="225"/>
              <w:rPr/>
            </w:pPr>
            <w:r>
              <w:rPr/>
              <w:t>Under restriction, end of year</w:t>
            </w:r>
          </w:p>
        </w:tc>
        <w:tc>
          <w:tcPr>
            <w:tcW w:w="44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1,500</w:t>
            </w:r>
          </w:p>
        </w:tc>
        <w:tc>
          <w:tcPr>
            <w:tcW w:w="112"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3,225</w:t>
            </w:r>
          </w:p>
        </w:tc>
        <w:tc>
          <w:tcPr>
            <w:tcW w:w="112"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6,450</w:t>
            </w:r>
          </w:p>
        </w:tc>
        <w:tc>
          <w:tcPr>
            <w:tcW w:w="117" w:type="dxa"/>
            <w:tcBorders/>
            <w:shd w:fill="CCEEFF" w:val="clear"/>
            <w:vAlign w:val="bottom"/>
          </w:tcPr>
          <w:p>
            <w:pPr>
              <w:pStyle w:val="TableContents"/>
              <w:spacing w:before="0" w:after="283"/>
              <w:rPr/>
            </w:pPr>
            <w:r>
              <w:rPr/>
              <w:t> </w:t>
            </w:r>
          </w:p>
        </w:tc>
      </w:tr>
      <w:tr>
        <w:trPr/>
        <w:tc>
          <w:tcPr>
            <w:tcW w:w="5787" w:type="dxa"/>
            <w:tcBorders/>
            <w:shd w:fill="auto" w:val="clear"/>
            <w:vAlign w:val="center"/>
          </w:tcPr>
          <w:p>
            <w:pPr>
              <w:pStyle w:val="TableContents"/>
              <w:spacing w:before="0" w:after="283"/>
              <w:rPr/>
            </w:pPr>
            <w:r>
              <w:rPr/>
              <w:t> </w:t>
            </w:r>
          </w:p>
        </w:tc>
        <w:tc>
          <w:tcPr>
            <w:tcW w:w="447" w:type="dxa"/>
            <w:tcBorders/>
            <w:shd w:fill="auto" w:val="clear"/>
            <w:vAlign w:val="center"/>
          </w:tcPr>
          <w:p>
            <w:pPr>
              <w:pStyle w:val="TableContents"/>
              <w:spacing w:before="0" w:after="283"/>
              <w:rPr/>
            </w:pPr>
            <w:r>
              <w:rPr/>
              <w:t> </w:t>
            </w:r>
          </w:p>
        </w:tc>
        <w:tc>
          <w:tcPr>
            <w:tcW w:w="3971"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5787" w:type="dxa"/>
            <w:tcBorders/>
            <w:shd w:fill="auto" w:val="clear"/>
            <w:vAlign w:val="bottom"/>
          </w:tcPr>
          <w:p>
            <w:pPr>
              <w:pStyle w:val="TableContents"/>
              <w:spacing w:before="0" w:after="0"/>
              <w:ind w:left="225" w:right="0" w:hanging="225"/>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787" w:type="dxa"/>
            <w:tcBorders/>
            <w:shd w:fill="auto" w:val="clear"/>
            <w:vAlign w:val="bottom"/>
          </w:tcPr>
          <w:p>
            <w:pPr>
              <w:pStyle w:val="TableContents"/>
              <w:spacing w:before="0" w:after="0"/>
              <w:ind w:left="225" w:right="0" w:hanging="225"/>
              <w:rPr/>
            </w:pPr>
            <w:r>
              <w:rPr/>
              <w:t>Available to grant, end of year</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597,300</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597,300</w:t>
            </w:r>
          </w:p>
        </w:tc>
        <w:tc>
          <w:tcPr>
            <w:tcW w:w="11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597,300</w:t>
            </w:r>
          </w:p>
        </w:tc>
        <w:tc>
          <w:tcPr>
            <w:tcW w:w="117" w:type="dxa"/>
            <w:tcBorders/>
            <w:shd w:fill="auto" w:val="clear"/>
            <w:vAlign w:val="bottom"/>
          </w:tcPr>
          <w:p>
            <w:pPr>
              <w:pStyle w:val="TableContents"/>
              <w:spacing w:before="0" w:after="283"/>
              <w:rPr/>
            </w:pPr>
            <w:r>
              <w:rPr/>
              <w:t> </w:t>
            </w:r>
          </w:p>
        </w:tc>
      </w:tr>
      <w:tr>
        <w:trPr/>
        <w:tc>
          <w:tcPr>
            <w:tcW w:w="5787" w:type="dxa"/>
            <w:tcBorders/>
            <w:shd w:fill="auto" w:val="clear"/>
            <w:vAlign w:val="center"/>
          </w:tcPr>
          <w:p>
            <w:pPr>
              <w:pStyle w:val="TableContents"/>
              <w:spacing w:before="0" w:after="283"/>
              <w:rPr/>
            </w:pPr>
            <w:r>
              <w:rPr/>
              <w:t> </w:t>
            </w:r>
          </w:p>
        </w:tc>
        <w:tc>
          <w:tcPr>
            <w:tcW w:w="447" w:type="dxa"/>
            <w:tcBorders/>
            <w:shd w:fill="auto" w:val="clear"/>
            <w:vAlign w:val="center"/>
          </w:tcPr>
          <w:p>
            <w:pPr>
              <w:pStyle w:val="TableContents"/>
              <w:spacing w:before="0" w:after="283"/>
              <w:rPr/>
            </w:pPr>
            <w:r>
              <w:rPr/>
              <w:t> </w:t>
            </w:r>
          </w:p>
        </w:tc>
        <w:tc>
          <w:tcPr>
            <w:tcW w:w="3971"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Compensation expense is recognized for financial statement purposes over the period of performance. Compensation expense of $11,000, $26,000, and $55,000 was recognized for financial statement purposes during the years ended December 31, 2005, 2004, and 2003, respectively. </w:t>
      </w:r>
    </w:p>
    <w:p>
      <w:pPr>
        <w:pStyle w:val="TextBody"/>
        <w:spacing w:before="240" w:after="283"/>
        <w:jc w:val="left"/>
        <w:rPr>
          <w:rFonts w:ascii="Arial;Helvetica;sans-serif" w:hAnsi="Arial;Helvetica;sans-serif"/>
          <w:sz w:val="17"/>
        </w:rPr>
      </w:pPr>
      <w:r>
        <w:rPr>
          <w:rFonts w:ascii="Arial;Helvetica;sans-serif" w:hAnsi="Arial;Helvetica;sans-serif"/>
          <w:b/>
          <w:sz w:val="17"/>
        </w:rPr>
        <w:t>Note 17. Transactions with Directors and Executive Officers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Corporation and its subsidiaries have had, and may be expected to have in the future, banking transactions in the ordinary course of business with directors, executive officers, their immediate families and affiliated companies in which they have 10% or more beneficial ownership (commonly referred to as related parties), on the same terms, including interest rates and collateral, as those prevailing at the time for comparable transactions with others.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following is an analysis of the changes in loans to related parties during the year ended December 31, 2005: </w:t>
      </w:r>
    </w:p>
    <w:tbl>
      <w:tblPr>
        <w:tblW w:w="5000" w:type="pct"/>
        <w:jc w:val="center"/>
        <w:tblInd w:w="0" w:type="dxa"/>
        <w:tblCellMar>
          <w:top w:w="0" w:type="dxa"/>
          <w:left w:w="0" w:type="dxa"/>
          <w:bottom w:w="0" w:type="dxa"/>
          <w:right w:w="0" w:type="dxa"/>
        </w:tblCellMar>
      </w:tblPr>
      <w:tblGrid>
        <w:gridCol w:w="8710"/>
        <w:gridCol w:w="496"/>
        <w:gridCol w:w="145"/>
        <w:gridCol w:w="722"/>
        <w:gridCol w:w="132"/>
      </w:tblGrid>
      <w:tr>
        <w:trPr/>
        <w:tc>
          <w:tcPr>
            <w:tcW w:w="8710"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8710" w:type="dxa"/>
            <w:tcBorders/>
            <w:shd w:fill="CCEEFF" w:val="clear"/>
            <w:vAlign w:val="bottom"/>
          </w:tcPr>
          <w:p>
            <w:pPr>
              <w:pStyle w:val="TableContents"/>
              <w:spacing w:before="0" w:after="0"/>
              <w:ind w:left="225" w:right="0" w:hanging="225"/>
              <w:rPr/>
            </w:pPr>
            <w:r>
              <w:rPr/>
              <w:t>Balance at beginning of year</w:t>
            </w:r>
          </w:p>
        </w:tc>
        <w:tc>
          <w:tcPr>
            <w:tcW w:w="49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w:t>
            </w:r>
          </w:p>
        </w:tc>
        <w:tc>
          <w:tcPr>
            <w:tcW w:w="722" w:type="dxa"/>
            <w:tcBorders/>
            <w:shd w:fill="CCEEFF" w:val="clear"/>
            <w:vAlign w:val="bottom"/>
          </w:tcPr>
          <w:p>
            <w:pPr>
              <w:pStyle w:val="TableContents"/>
              <w:spacing w:before="0" w:after="283"/>
              <w:jc w:val="right"/>
              <w:rPr/>
            </w:pPr>
            <w:r>
              <w:rPr/>
              <w:t>14,670</w:t>
            </w:r>
          </w:p>
        </w:tc>
        <w:tc>
          <w:tcPr>
            <w:tcW w:w="132" w:type="dxa"/>
            <w:tcBorders/>
            <w:shd w:fill="CCEEFF" w:val="clear"/>
            <w:vAlign w:val="bottom"/>
          </w:tcPr>
          <w:p>
            <w:pPr>
              <w:pStyle w:val="TableContents"/>
              <w:spacing w:before="0" w:after="283"/>
              <w:rPr/>
            </w:pPr>
            <w:r>
              <w:rPr/>
              <w:t> </w:t>
            </w:r>
          </w:p>
        </w:tc>
      </w:tr>
      <w:tr>
        <w:trPr/>
        <w:tc>
          <w:tcPr>
            <w:tcW w:w="8710" w:type="dxa"/>
            <w:tcBorders/>
            <w:shd w:fill="auto" w:val="clear"/>
            <w:vAlign w:val="bottom"/>
          </w:tcPr>
          <w:p>
            <w:pPr>
              <w:pStyle w:val="TableContents"/>
              <w:spacing w:before="0" w:after="0"/>
              <w:ind w:left="225" w:right="0" w:hanging="225"/>
              <w:rPr/>
            </w:pPr>
            <w:r>
              <w:rPr/>
              <w:t>Addition due to acquisition</w:t>
            </w:r>
          </w:p>
        </w:tc>
        <w:tc>
          <w:tcPr>
            <w:tcW w:w="49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pPr>
            <w:r>
              <w:rPr/>
              <w:t>1,910</w:t>
            </w:r>
          </w:p>
        </w:tc>
        <w:tc>
          <w:tcPr>
            <w:tcW w:w="132" w:type="dxa"/>
            <w:tcBorders/>
            <w:shd w:fill="auto" w:val="clear"/>
            <w:vAlign w:val="bottom"/>
          </w:tcPr>
          <w:p>
            <w:pPr>
              <w:pStyle w:val="TableContents"/>
              <w:spacing w:before="0" w:after="283"/>
              <w:rPr/>
            </w:pPr>
            <w:r>
              <w:rPr/>
              <w:t> </w:t>
            </w:r>
          </w:p>
        </w:tc>
      </w:tr>
      <w:tr>
        <w:trPr/>
        <w:tc>
          <w:tcPr>
            <w:tcW w:w="8710" w:type="dxa"/>
            <w:tcBorders/>
            <w:shd w:fill="CCEEFF" w:val="clear"/>
            <w:vAlign w:val="bottom"/>
          </w:tcPr>
          <w:p>
            <w:pPr>
              <w:pStyle w:val="TableContents"/>
              <w:spacing w:before="0" w:after="0"/>
              <w:ind w:left="225" w:right="0" w:hanging="225"/>
              <w:rPr/>
            </w:pPr>
            <w:r>
              <w:rPr/>
              <w:t>Deletion due to retirement of directors</w:t>
            </w:r>
          </w:p>
        </w:tc>
        <w:tc>
          <w:tcPr>
            <w:tcW w:w="49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22" w:type="dxa"/>
            <w:tcBorders/>
            <w:shd w:fill="CCEEFF" w:val="clear"/>
            <w:vAlign w:val="bottom"/>
          </w:tcPr>
          <w:p>
            <w:pPr>
              <w:pStyle w:val="TableContents"/>
              <w:spacing w:before="0" w:after="283"/>
              <w:jc w:val="right"/>
              <w:rPr/>
            </w:pPr>
            <w:r>
              <w:rPr/>
              <w:t>(5,646</w:t>
            </w:r>
          </w:p>
        </w:tc>
        <w:tc>
          <w:tcPr>
            <w:tcW w:w="132" w:type="dxa"/>
            <w:tcBorders/>
            <w:shd w:fill="CCEEFF" w:val="clear"/>
            <w:vAlign w:val="bottom"/>
          </w:tcPr>
          <w:p>
            <w:pPr>
              <w:pStyle w:val="TableContents"/>
              <w:spacing w:before="0" w:after="283"/>
              <w:rPr/>
            </w:pPr>
            <w:r>
              <w:rPr/>
              <w:t>)</w:t>
            </w:r>
          </w:p>
        </w:tc>
      </w:tr>
      <w:tr>
        <w:trPr/>
        <w:tc>
          <w:tcPr>
            <w:tcW w:w="8710" w:type="dxa"/>
            <w:tcBorders/>
            <w:shd w:fill="auto" w:val="clear"/>
            <w:vAlign w:val="bottom"/>
          </w:tcPr>
          <w:p>
            <w:pPr>
              <w:pStyle w:val="TableContents"/>
              <w:spacing w:before="0" w:after="0"/>
              <w:ind w:left="225" w:right="0" w:hanging="225"/>
              <w:rPr/>
            </w:pPr>
            <w:r>
              <w:rPr/>
              <w:t>New loans</w:t>
            </w:r>
          </w:p>
        </w:tc>
        <w:tc>
          <w:tcPr>
            <w:tcW w:w="49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pPr>
            <w:r>
              <w:rPr/>
              <w:t>6,570</w:t>
            </w:r>
          </w:p>
        </w:tc>
        <w:tc>
          <w:tcPr>
            <w:tcW w:w="132" w:type="dxa"/>
            <w:tcBorders/>
            <w:shd w:fill="auto" w:val="clear"/>
            <w:vAlign w:val="bottom"/>
          </w:tcPr>
          <w:p>
            <w:pPr>
              <w:pStyle w:val="TableContents"/>
              <w:spacing w:before="0" w:after="283"/>
              <w:rPr/>
            </w:pPr>
            <w:r>
              <w:rPr/>
              <w:t> </w:t>
            </w:r>
          </w:p>
        </w:tc>
      </w:tr>
      <w:tr>
        <w:trPr/>
        <w:tc>
          <w:tcPr>
            <w:tcW w:w="8710" w:type="dxa"/>
            <w:tcBorders/>
            <w:shd w:fill="CCEEFF" w:val="clear"/>
            <w:vAlign w:val="bottom"/>
          </w:tcPr>
          <w:p>
            <w:pPr>
              <w:pStyle w:val="TableContents"/>
              <w:spacing w:before="0" w:after="0"/>
              <w:ind w:left="225" w:right="0" w:hanging="225"/>
              <w:rPr/>
            </w:pPr>
            <w:r>
              <w:rPr/>
              <w:t>Repayments</w:t>
            </w:r>
          </w:p>
        </w:tc>
        <w:tc>
          <w:tcPr>
            <w:tcW w:w="49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722" w:type="dxa"/>
            <w:tcBorders/>
            <w:shd w:fill="CCEEFF" w:val="clear"/>
            <w:vAlign w:val="bottom"/>
          </w:tcPr>
          <w:p>
            <w:pPr>
              <w:pStyle w:val="TableContents"/>
              <w:spacing w:before="0" w:after="283"/>
              <w:jc w:val="right"/>
              <w:rPr/>
            </w:pPr>
            <w:r>
              <w:rPr/>
              <w:t>(3,956</w:t>
            </w:r>
          </w:p>
        </w:tc>
        <w:tc>
          <w:tcPr>
            <w:tcW w:w="132" w:type="dxa"/>
            <w:tcBorders/>
            <w:shd w:fill="CCEEFF" w:val="clear"/>
            <w:vAlign w:val="bottom"/>
          </w:tcPr>
          <w:p>
            <w:pPr>
              <w:pStyle w:val="TableContents"/>
              <w:spacing w:before="0" w:after="283"/>
              <w:rPr/>
            </w:pPr>
            <w:r>
              <w:rPr/>
              <w:t>)</w:t>
            </w:r>
          </w:p>
        </w:tc>
      </w:tr>
      <w:tr>
        <w:trPr/>
        <w:tc>
          <w:tcPr>
            <w:tcW w:w="8710" w:type="dxa"/>
            <w:tcBorders/>
            <w:shd w:fill="auto" w:val="clear"/>
            <w:vAlign w:val="center"/>
          </w:tcPr>
          <w:p>
            <w:pPr>
              <w:pStyle w:val="TableContents"/>
              <w:spacing w:before="0" w:after="0"/>
              <w:ind w:left="225" w:right="0" w:hanging="225"/>
              <w:rPr/>
            </w:pPr>
            <w:r>
              <w:rPr/>
              <w:t> </w:t>
            </w:r>
          </w:p>
        </w:tc>
        <w:tc>
          <w:tcPr>
            <w:tcW w:w="496"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8710" w:type="dxa"/>
            <w:tcBorders/>
            <w:shd w:fill="auto" w:val="clear"/>
            <w:vAlign w:val="bottom"/>
          </w:tcPr>
          <w:p>
            <w:pPr>
              <w:pStyle w:val="TableContents"/>
              <w:spacing w:before="0" w:after="0"/>
              <w:ind w:left="225" w:right="0" w:hanging="225"/>
              <w:rPr/>
            </w:pPr>
            <w:r>
              <w:rPr/>
              <w:t>Balance at end of year</w:t>
            </w:r>
          </w:p>
        </w:tc>
        <w:tc>
          <w:tcPr>
            <w:tcW w:w="49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w:t>
            </w:r>
          </w:p>
        </w:tc>
        <w:tc>
          <w:tcPr>
            <w:tcW w:w="722" w:type="dxa"/>
            <w:tcBorders/>
            <w:shd w:fill="auto" w:val="clear"/>
            <w:vAlign w:val="bottom"/>
          </w:tcPr>
          <w:p>
            <w:pPr>
              <w:pStyle w:val="TableContents"/>
              <w:spacing w:before="0" w:after="283"/>
              <w:jc w:val="right"/>
              <w:rPr/>
            </w:pPr>
            <w:r>
              <w:rPr/>
              <w:t>13,548</w:t>
            </w:r>
          </w:p>
        </w:tc>
        <w:tc>
          <w:tcPr>
            <w:tcW w:w="132" w:type="dxa"/>
            <w:tcBorders/>
            <w:shd w:fill="auto" w:val="clear"/>
            <w:vAlign w:val="bottom"/>
          </w:tcPr>
          <w:p>
            <w:pPr>
              <w:pStyle w:val="TableContents"/>
              <w:spacing w:before="0" w:after="283"/>
              <w:rPr/>
            </w:pPr>
            <w:r>
              <w:rPr/>
              <w:t> </w:t>
            </w:r>
          </w:p>
        </w:tc>
      </w:tr>
      <w:tr>
        <w:trPr/>
        <w:tc>
          <w:tcPr>
            <w:tcW w:w="8710" w:type="dxa"/>
            <w:tcBorders/>
            <w:shd w:fill="auto" w:val="clear"/>
            <w:vAlign w:val="center"/>
          </w:tcPr>
          <w:p>
            <w:pPr>
              <w:pStyle w:val="TableContents"/>
              <w:spacing w:before="0" w:after="0"/>
              <w:ind w:left="225" w:right="0" w:hanging="225"/>
              <w:rPr/>
            </w:pPr>
            <w:r>
              <w:rPr/>
              <w:t> </w:t>
            </w:r>
          </w:p>
        </w:tc>
        <w:tc>
          <w:tcPr>
            <w:tcW w:w="496" w:type="dxa"/>
            <w:tcBorders/>
            <w:shd w:fill="auto" w:val="clear"/>
            <w:vAlign w:val="center"/>
          </w:tcPr>
          <w:p>
            <w:pPr>
              <w:pStyle w:val="TableContents"/>
              <w:spacing w:before="0" w:after="283"/>
              <w:rPr/>
            </w:pPr>
            <w:r>
              <w:rPr/>
              <w:t> </w:t>
            </w:r>
          </w:p>
        </w:tc>
        <w:tc>
          <w:tcPr>
            <w:tcW w:w="8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82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 18. Capital</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ability of the Corporation to pay cash dividends to its stockholders and to service its debt is dependent on the receipt of cash dividends from its subsidiaries. State chartered banks have certain statutory and regulatory restrictions on the amount of cash dividends they may pay. As a practical matter, dividend payments are restricted because of the desire to maintain a strong capital position in the subsidiaries.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Corporation and the Banks are subject to various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Corporations or the Banks financial statements. Under capital adequacy guidelines and the regulatory framework for prompt corrective action, the Corporation and Banks must meet specific capital guidelines that involve quantitative measures of their assets, liabilities, and certain off-balance-sheet items as calculated under regulatory accounting practices. The Corporations and the Banks capital amounts and classification are also subject to qualitative judgments by the regulators about components, risk weightings, and other factors. Prompt corrective action provisions are not applicable to bank holding companies.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Quantitative measures established by regulation to ensure capital adequacy require the Corporation and the Banks to maintain minimum amounts and ratios (set forth in the table below) of total and Tier I capital (as defined in the regulations) to risk-weighted assets (as defined), and Tier 1 capital (as defined) to average assets (as defined). Management believes, as of December 31, 2005, that the Corporation and the Banks meet all capital adequacy requirements to which they are subject.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As of December 31, 2005, the most recent notification from the federal and state regulatory agencies categorized the Banks as well-capitalized under the regulatory framework for prompt corrective action. To be categorized as well-capitalized, the Banks must maintain minimum total risk-based, Tier I risk-based, and Tier I leverage ratios as set forth in the table. There are no conditions or events since that notification that management believes have changed the Banks categories. The Corporations and the Banks actual capital amounts and ratios as of December 31, 2005 and 2004, are also presented in the table. </w:t>
      </w:r>
    </w:p>
    <w:p>
      <w:pPr>
        <w:pStyle w:val="TextBody"/>
        <w:jc w:val="center"/>
        <w:rPr>
          <w:rFonts w:ascii="Arial;Helvetica;sans-serif" w:hAnsi="Arial;Helvetica;sans-serif"/>
          <w:sz w:val="17"/>
        </w:rPr>
      </w:pPr>
      <w:r>
        <w:rPr>
          <w:rFonts w:ascii="Arial;Helvetica;sans-serif" w:hAnsi="Arial;Helvetica;sans-serif"/>
          <w:sz w:val="17"/>
        </w:rPr>
        <w:t xml:space="preserve">83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tbl>
      <w:tblPr>
        <w:tblW w:w="5000" w:type="pct"/>
        <w:jc w:val="center"/>
        <w:tblInd w:w="0" w:type="dxa"/>
        <w:tblCellMar>
          <w:top w:w="0" w:type="dxa"/>
          <w:left w:w="0" w:type="dxa"/>
          <w:bottom w:w="0" w:type="dxa"/>
          <w:right w:w="0" w:type="dxa"/>
        </w:tblCellMar>
      </w:tblPr>
      <w:tblGrid>
        <w:gridCol w:w="2239"/>
        <w:gridCol w:w="279"/>
        <w:gridCol w:w="156"/>
        <w:gridCol w:w="863"/>
        <w:gridCol w:w="93"/>
        <w:gridCol w:w="279"/>
        <w:gridCol w:w="93"/>
        <w:gridCol w:w="674"/>
        <w:gridCol w:w="216"/>
        <w:gridCol w:w="279"/>
        <w:gridCol w:w="156"/>
        <w:gridCol w:w="863"/>
        <w:gridCol w:w="93"/>
        <w:gridCol w:w="278"/>
        <w:gridCol w:w="96"/>
        <w:gridCol w:w="600"/>
        <w:gridCol w:w="216"/>
        <w:gridCol w:w="279"/>
        <w:gridCol w:w="161"/>
        <w:gridCol w:w="892"/>
        <w:gridCol w:w="95"/>
        <w:gridCol w:w="281"/>
        <w:gridCol w:w="95"/>
        <w:gridCol w:w="698"/>
        <w:gridCol w:w="231"/>
      </w:tblGrid>
      <w:tr>
        <w:trPr/>
        <w:tc>
          <w:tcPr>
            <w:tcW w:w="22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222" w:type="dxa"/>
            <w:gridSpan w:val="6"/>
            <w:tcBorders/>
            <w:shd w:fill="auto" w:val="clear"/>
            <w:vAlign w:val="bottom"/>
          </w:tcPr>
          <w:p>
            <w:pPr>
              <w:pStyle w:val="TableContents"/>
              <w:spacing w:before="0" w:after="283"/>
              <w:jc w:val="center"/>
              <w:rPr/>
            </w:pPr>
            <w:r>
              <w:rPr/>
              <w:t>Minimum</w:t>
            </w:r>
          </w:p>
        </w:tc>
        <w:tc>
          <w:tcPr>
            <w:tcW w:w="231" w:type="dxa"/>
            <w:tcBorders/>
            <w:shd w:fill="auto"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222" w:type="dxa"/>
            <w:gridSpan w:val="6"/>
            <w:tcBorders/>
            <w:shd w:fill="auto" w:val="clear"/>
            <w:vAlign w:val="bottom"/>
          </w:tcPr>
          <w:p>
            <w:pPr>
              <w:pStyle w:val="TableContents"/>
              <w:spacing w:before="0" w:after="283"/>
              <w:jc w:val="center"/>
              <w:rPr/>
            </w:pPr>
            <w:r>
              <w:rPr/>
              <w:t>To Be Well</w:t>
            </w:r>
          </w:p>
        </w:tc>
        <w:tc>
          <w:tcPr>
            <w:tcW w:w="231" w:type="dxa"/>
            <w:tcBorders/>
            <w:shd w:fill="auto"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086" w:type="dxa"/>
            <w:gridSpan w:val="6"/>
            <w:tcBorders/>
            <w:shd w:fill="auto" w:val="clear"/>
            <w:vAlign w:val="bottom"/>
          </w:tcPr>
          <w:p>
            <w:pPr>
              <w:pStyle w:val="TableContents"/>
              <w:spacing w:before="0" w:after="283"/>
              <w:jc w:val="center"/>
              <w:rPr/>
            </w:pPr>
            <w:r>
              <w:rPr/>
              <w:t>Minimum</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222" w:type="dxa"/>
            <w:gridSpan w:val="6"/>
            <w:tcBorders/>
            <w:shd w:fill="auto" w:val="clear"/>
            <w:vAlign w:val="bottom"/>
          </w:tcPr>
          <w:p>
            <w:pPr>
              <w:pStyle w:val="TableContents"/>
              <w:spacing w:before="0" w:after="283"/>
              <w:jc w:val="center"/>
              <w:rPr/>
            </w:pPr>
            <w:r>
              <w:rPr/>
              <w:t>Capitalized Under</w:t>
            </w:r>
          </w:p>
        </w:tc>
        <w:tc>
          <w:tcPr>
            <w:tcW w:w="231" w:type="dxa"/>
            <w:tcBorders/>
            <w:shd w:fill="auto"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086" w:type="dxa"/>
            <w:gridSpan w:val="6"/>
            <w:tcBorders/>
            <w:shd w:fill="auto" w:val="clear"/>
            <w:vAlign w:val="bottom"/>
          </w:tcPr>
          <w:p>
            <w:pPr>
              <w:pStyle w:val="TableContents"/>
              <w:spacing w:before="0" w:after="283"/>
              <w:jc w:val="center"/>
              <w:rPr/>
            </w:pPr>
            <w:r>
              <w:rPr/>
              <w:t>Capital</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222" w:type="dxa"/>
            <w:gridSpan w:val="6"/>
            <w:tcBorders/>
            <w:shd w:fill="auto" w:val="clear"/>
            <w:vAlign w:val="bottom"/>
          </w:tcPr>
          <w:p>
            <w:pPr>
              <w:pStyle w:val="TableContents"/>
              <w:spacing w:before="0" w:after="283"/>
              <w:jc w:val="center"/>
              <w:rPr/>
            </w:pPr>
            <w:r>
              <w:rPr/>
              <w:t>Prompt Corrective</w:t>
            </w:r>
          </w:p>
        </w:tc>
        <w:tc>
          <w:tcPr>
            <w:tcW w:w="231" w:type="dxa"/>
            <w:tcBorders/>
            <w:shd w:fill="auto"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158" w:type="dxa"/>
            <w:gridSpan w:val="6"/>
            <w:tcBorders>
              <w:bottom w:val="single" w:sz="2" w:space="0" w:color="000000"/>
            </w:tcBorders>
            <w:shd w:fill="auto" w:val="clear"/>
            <w:tcMar>
              <w:bottom w:w="28" w:type="dxa"/>
            </w:tcMar>
            <w:vAlign w:val="bottom"/>
          </w:tcPr>
          <w:p>
            <w:pPr>
              <w:pStyle w:val="TableContents"/>
              <w:spacing w:before="0" w:after="283"/>
              <w:jc w:val="center"/>
              <w:rPr/>
            </w:pPr>
            <w:r>
              <w:rPr/>
              <w:t>Actual</w:t>
            </w:r>
          </w:p>
        </w:tc>
        <w:tc>
          <w:tcPr>
            <w:tcW w:w="216" w:type="dxa"/>
            <w:tcBorders>
              <w:bottom w:val="single" w:sz="2" w:space="0" w:color="000000"/>
            </w:tcBorders>
            <w:shd w:fill="auto" w:val="clear"/>
            <w:tcMar>
              <w:bottom w:w="28" w:type="dxa"/>
            </w:tcMar>
            <w:vAlign w:val="bottom"/>
          </w:tcPr>
          <w:p>
            <w:pPr>
              <w:pStyle w:val="TableContents"/>
              <w:spacing w:before="0" w:after="283"/>
              <w:rPr/>
            </w:pPr>
            <w:r>
              <w:rPr/>
              <w:t> </w:t>
            </w:r>
          </w:p>
        </w:tc>
        <w:tc>
          <w:tcPr>
            <w:tcW w:w="279" w:type="dxa"/>
            <w:tcBorders>
              <w:bottom w:val="single" w:sz="2" w:space="0" w:color="000000"/>
            </w:tcBorders>
            <w:shd w:fill="auto" w:val="clear"/>
            <w:tcMar>
              <w:bottom w:w="28" w:type="dxa"/>
            </w:tcMar>
            <w:vAlign w:val="bottom"/>
          </w:tcPr>
          <w:p>
            <w:pPr>
              <w:pStyle w:val="TableContents"/>
              <w:spacing w:before="0" w:after="283"/>
              <w:rPr/>
            </w:pPr>
            <w:r>
              <w:rPr/>
              <w:t> </w:t>
            </w:r>
          </w:p>
        </w:tc>
        <w:tc>
          <w:tcPr>
            <w:tcW w:w="2086" w:type="dxa"/>
            <w:gridSpan w:val="6"/>
            <w:tcBorders>
              <w:bottom w:val="single" w:sz="2" w:space="0" w:color="000000"/>
            </w:tcBorders>
            <w:shd w:fill="auto" w:val="clear"/>
            <w:tcMar>
              <w:bottom w:w="28" w:type="dxa"/>
            </w:tcMar>
            <w:vAlign w:val="bottom"/>
          </w:tcPr>
          <w:p>
            <w:pPr>
              <w:pStyle w:val="TableContents"/>
              <w:spacing w:before="0" w:after="283"/>
              <w:jc w:val="center"/>
              <w:rPr/>
            </w:pPr>
            <w:r>
              <w:rPr/>
              <w:t>Requirement</w:t>
            </w:r>
          </w:p>
        </w:tc>
        <w:tc>
          <w:tcPr>
            <w:tcW w:w="216" w:type="dxa"/>
            <w:tcBorders>
              <w:bottom w:val="single" w:sz="2" w:space="0" w:color="000000"/>
            </w:tcBorders>
            <w:shd w:fill="auto" w:val="clear"/>
            <w:tcMar>
              <w:bottom w:w="28" w:type="dxa"/>
            </w:tcMar>
            <w:vAlign w:val="bottom"/>
          </w:tcPr>
          <w:p>
            <w:pPr>
              <w:pStyle w:val="TableContents"/>
              <w:spacing w:before="0" w:after="283"/>
              <w:rPr/>
            </w:pPr>
            <w:r>
              <w:rPr/>
              <w:t> </w:t>
            </w:r>
          </w:p>
        </w:tc>
        <w:tc>
          <w:tcPr>
            <w:tcW w:w="279" w:type="dxa"/>
            <w:tcBorders>
              <w:bottom w:val="single" w:sz="2" w:space="0" w:color="000000"/>
            </w:tcBorders>
            <w:shd w:fill="auto" w:val="clear"/>
            <w:tcMar>
              <w:bottom w:w="28" w:type="dxa"/>
            </w:tcMar>
            <w:vAlign w:val="bottom"/>
          </w:tcPr>
          <w:p>
            <w:pPr>
              <w:pStyle w:val="TableContents"/>
              <w:spacing w:before="0" w:after="283"/>
              <w:rPr/>
            </w:pPr>
            <w:r>
              <w:rPr/>
              <w:t> </w:t>
            </w:r>
          </w:p>
        </w:tc>
        <w:tc>
          <w:tcPr>
            <w:tcW w:w="2222" w:type="dxa"/>
            <w:gridSpan w:val="6"/>
            <w:tcBorders>
              <w:bottom w:val="single" w:sz="2" w:space="0" w:color="000000"/>
            </w:tcBorders>
            <w:shd w:fill="auto" w:val="clear"/>
            <w:tcMar>
              <w:bottom w:w="28" w:type="dxa"/>
            </w:tcMar>
            <w:vAlign w:val="bottom"/>
          </w:tcPr>
          <w:p>
            <w:pPr>
              <w:pStyle w:val="TableContents"/>
              <w:spacing w:before="0" w:after="283"/>
              <w:jc w:val="center"/>
              <w:rPr/>
            </w:pPr>
            <w:r>
              <w:rPr/>
              <w:t>Action Provisions</w:t>
            </w:r>
          </w:p>
        </w:tc>
        <w:tc>
          <w:tcPr>
            <w:tcW w:w="231"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2239" w:type="dxa"/>
            <w:tcBorders>
              <w:bottom w:val="single" w:sz="2" w:space="0" w:color="000000"/>
            </w:tcBorders>
            <w:shd w:fill="auto" w:val="clear"/>
            <w:tcMar>
              <w:bottom w:w="28" w:type="dxa"/>
            </w:tcMar>
            <w:vAlign w:val="bottom"/>
          </w:tcPr>
          <w:p>
            <w:pPr>
              <w:pStyle w:val="TableContents"/>
              <w:spacing w:before="0" w:after="283"/>
              <w:rPr/>
            </w:pPr>
            <w:r>
              <w:rPr/>
              <w:t> </w:t>
            </w:r>
          </w:p>
        </w:tc>
        <w:tc>
          <w:tcPr>
            <w:tcW w:w="279" w:type="dxa"/>
            <w:tcBorders>
              <w:bottom w:val="single" w:sz="2" w:space="0" w:color="000000"/>
            </w:tcBorders>
            <w:shd w:fill="auto" w:val="clear"/>
            <w:tcMar>
              <w:bottom w:w="28" w:type="dxa"/>
            </w:tcMar>
            <w:vAlign w:val="bottom"/>
          </w:tcPr>
          <w:p>
            <w:pPr>
              <w:pStyle w:val="TableContents"/>
              <w:spacing w:before="0" w:after="283"/>
              <w:rPr/>
            </w:pPr>
            <w:r>
              <w:rPr/>
              <w:t> </w:t>
            </w:r>
          </w:p>
        </w:tc>
        <w:tc>
          <w:tcPr>
            <w:tcW w:w="1019"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93" w:type="dxa"/>
            <w:tcBorders>
              <w:bottom w:val="single" w:sz="2" w:space="0" w:color="000000"/>
            </w:tcBorders>
            <w:shd w:fill="auto" w:val="clear"/>
            <w:tcMar>
              <w:bottom w:w="28" w:type="dxa"/>
            </w:tcMar>
            <w:vAlign w:val="bottom"/>
          </w:tcPr>
          <w:p>
            <w:pPr>
              <w:pStyle w:val="TableContents"/>
              <w:spacing w:before="0" w:after="283"/>
              <w:rPr/>
            </w:pPr>
            <w:r>
              <w:rPr/>
              <w:t> </w:t>
            </w:r>
          </w:p>
        </w:tc>
        <w:tc>
          <w:tcPr>
            <w:tcW w:w="279" w:type="dxa"/>
            <w:tcBorders>
              <w:bottom w:val="single" w:sz="2" w:space="0" w:color="000000"/>
            </w:tcBorders>
            <w:shd w:fill="auto" w:val="clear"/>
            <w:tcMar>
              <w:bottom w:w="28" w:type="dxa"/>
            </w:tcMar>
            <w:vAlign w:val="bottom"/>
          </w:tcPr>
          <w:p>
            <w:pPr>
              <w:pStyle w:val="TableContents"/>
              <w:spacing w:before="0" w:after="283"/>
              <w:rPr/>
            </w:pPr>
            <w:r>
              <w:rPr/>
              <w:t> </w:t>
            </w:r>
          </w:p>
        </w:tc>
        <w:tc>
          <w:tcPr>
            <w:tcW w:w="767" w:type="dxa"/>
            <w:gridSpan w:val="2"/>
            <w:tcBorders>
              <w:bottom w:val="single" w:sz="2" w:space="0" w:color="000000"/>
            </w:tcBorders>
            <w:shd w:fill="auto" w:val="clear"/>
            <w:tcMar>
              <w:bottom w:w="28" w:type="dxa"/>
            </w:tcMar>
            <w:vAlign w:val="bottom"/>
          </w:tcPr>
          <w:p>
            <w:pPr>
              <w:pStyle w:val="TableContents"/>
              <w:spacing w:before="0" w:after="283"/>
              <w:jc w:val="center"/>
              <w:rPr/>
            </w:pPr>
            <w:r>
              <w:rPr/>
              <w:t>Ratio</w:t>
            </w:r>
          </w:p>
        </w:tc>
        <w:tc>
          <w:tcPr>
            <w:tcW w:w="216" w:type="dxa"/>
            <w:tcBorders>
              <w:bottom w:val="single" w:sz="2" w:space="0" w:color="000000"/>
            </w:tcBorders>
            <w:shd w:fill="auto" w:val="clear"/>
            <w:tcMar>
              <w:bottom w:w="28" w:type="dxa"/>
            </w:tcMar>
            <w:vAlign w:val="bottom"/>
          </w:tcPr>
          <w:p>
            <w:pPr>
              <w:pStyle w:val="TableContents"/>
              <w:spacing w:before="0" w:after="283"/>
              <w:rPr/>
            </w:pPr>
            <w:r>
              <w:rPr/>
              <w:t> </w:t>
            </w:r>
          </w:p>
        </w:tc>
        <w:tc>
          <w:tcPr>
            <w:tcW w:w="279" w:type="dxa"/>
            <w:tcBorders>
              <w:bottom w:val="single" w:sz="2" w:space="0" w:color="000000"/>
            </w:tcBorders>
            <w:shd w:fill="auto" w:val="clear"/>
            <w:tcMar>
              <w:bottom w:w="28" w:type="dxa"/>
            </w:tcMar>
            <w:vAlign w:val="bottom"/>
          </w:tcPr>
          <w:p>
            <w:pPr>
              <w:pStyle w:val="TableContents"/>
              <w:spacing w:before="0" w:after="283"/>
              <w:rPr/>
            </w:pPr>
            <w:r>
              <w:rPr/>
              <w:t> </w:t>
            </w:r>
          </w:p>
        </w:tc>
        <w:tc>
          <w:tcPr>
            <w:tcW w:w="1019"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93" w:type="dxa"/>
            <w:tcBorders>
              <w:bottom w:val="single" w:sz="2" w:space="0" w:color="000000"/>
            </w:tcBorders>
            <w:shd w:fill="auto" w:val="clear"/>
            <w:tcMar>
              <w:bottom w:w="28" w:type="dxa"/>
            </w:tcMar>
            <w:vAlign w:val="bottom"/>
          </w:tcPr>
          <w:p>
            <w:pPr>
              <w:pStyle w:val="TableContents"/>
              <w:spacing w:before="0" w:after="283"/>
              <w:rPr/>
            </w:pPr>
            <w:r>
              <w:rPr/>
              <w:t> </w:t>
            </w:r>
          </w:p>
        </w:tc>
        <w:tc>
          <w:tcPr>
            <w:tcW w:w="278" w:type="dxa"/>
            <w:tcBorders>
              <w:bottom w:val="single" w:sz="2" w:space="0" w:color="000000"/>
            </w:tcBorders>
            <w:shd w:fill="auto" w:val="clear"/>
            <w:tcMar>
              <w:bottom w:w="28" w:type="dxa"/>
            </w:tcMar>
            <w:vAlign w:val="bottom"/>
          </w:tcPr>
          <w:p>
            <w:pPr>
              <w:pStyle w:val="TableContents"/>
              <w:spacing w:before="0" w:after="283"/>
              <w:rPr/>
            </w:pPr>
            <w:r>
              <w:rPr/>
              <w:t> </w:t>
            </w:r>
          </w:p>
        </w:tc>
        <w:tc>
          <w:tcPr>
            <w:tcW w:w="696" w:type="dxa"/>
            <w:gridSpan w:val="2"/>
            <w:tcBorders>
              <w:bottom w:val="single" w:sz="2" w:space="0" w:color="000000"/>
            </w:tcBorders>
            <w:shd w:fill="auto" w:val="clear"/>
            <w:tcMar>
              <w:bottom w:w="28" w:type="dxa"/>
            </w:tcMar>
            <w:vAlign w:val="bottom"/>
          </w:tcPr>
          <w:p>
            <w:pPr>
              <w:pStyle w:val="TableContents"/>
              <w:spacing w:before="0" w:after="283"/>
              <w:jc w:val="center"/>
              <w:rPr/>
            </w:pPr>
            <w:r>
              <w:rPr/>
              <w:t>Ratio</w:t>
            </w:r>
          </w:p>
        </w:tc>
        <w:tc>
          <w:tcPr>
            <w:tcW w:w="216" w:type="dxa"/>
            <w:tcBorders>
              <w:bottom w:val="single" w:sz="2" w:space="0" w:color="000000"/>
            </w:tcBorders>
            <w:shd w:fill="auto" w:val="clear"/>
            <w:tcMar>
              <w:bottom w:w="28" w:type="dxa"/>
            </w:tcMar>
            <w:vAlign w:val="bottom"/>
          </w:tcPr>
          <w:p>
            <w:pPr>
              <w:pStyle w:val="TableContents"/>
              <w:spacing w:before="0" w:after="283"/>
              <w:rPr/>
            </w:pPr>
            <w:r>
              <w:rPr/>
              <w:t> </w:t>
            </w:r>
          </w:p>
        </w:tc>
        <w:tc>
          <w:tcPr>
            <w:tcW w:w="279" w:type="dxa"/>
            <w:tcBorders>
              <w:bottom w:val="single" w:sz="2" w:space="0" w:color="000000"/>
            </w:tcBorders>
            <w:shd w:fill="auto" w:val="clear"/>
            <w:tcMar>
              <w:bottom w:w="28" w:type="dxa"/>
            </w:tcMar>
            <w:vAlign w:val="bottom"/>
          </w:tcPr>
          <w:p>
            <w:pPr>
              <w:pStyle w:val="TableContents"/>
              <w:spacing w:before="0" w:after="283"/>
              <w:rPr/>
            </w:pPr>
            <w:r>
              <w:rPr/>
              <w:t> </w:t>
            </w:r>
          </w:p>
        </w:tc>
        <w:tc>
          <w:tcPr>
            <w:tcW w:w="1053"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95" w:type="dxa"/>
            <w:tcBorders>
              <w:bottom w:val="single" w:sz="2" w:space="0" w:color="000000"/>
            </w:tcBorders>
            <w:shd w:fill="auto" w:val="clear"/>
            <w:tcMar>
              <w:bottom w:w="28" w:type="dxa"/>
            </w:tcMar>
            <w:vAlign w:val="bottom"/>
          </w:tcPr>
          <w:p>
            <w:pPr>
              <w:pStyle w:val="TableContents"/>
              <w:spacing w:before="0" w:after="283"/>
              <w:rPr/>
            </w:pPr>
            <w:r>
              <w:rPr/>
              <w:t> </w:t>
            </w:r>
          </w:p>
        </w:tc>
        <w:tc>
          <w:tcPr>
            <w:tcW w:w="281" w:type="dxa"/>
            <w:tcBorders>
              <w:bottom w:val="single" w:sz="2" w:space="0" w:color="000000"/>
            </w:tcBorders>
            <w:shd w:fill="auto" w:val="clear"/>
            <w:tcMar>
              <w:bottom w:w="28" w:type="dxa"/>
            </w:tcMar>
            <w:vAlign w:val="bottom"/>
          </w:tcPr>
          <w:p>
            <w:pPr>
              <w:pStyle w:val="TableContents"/>
              <w:spacing w:before="0" w:after="283"/>
              <w:rPr/>
            </w:pPr>
            <w:r>
              <w:rPr/>
              <w:t> </w:t>
            </w:r>
          </w:p>
        </w:tc>
        <w:tc>
          <w:tcPr>
            <w:tcW w:w="793" w:type="dxa"/>
            <w:gridSpan w:val="2"/>
            <w:tcBorders>
              <w:bottom w:val="single" w:sz="2" w:space="0" w:color="000000"/>
            </w:tcBorders>
            <w:shd w:fill="auto" w:val="clear"/>
            <w:tcMar>
              <w:bottom w:w="28" w:type="dxa"/>
            </w:tcMar>
            <w:vAlign w:val="bottom"/>
          </w:tcPr>
          <w:p>
            <w:pPr>
              <w:pStyle w:val="TableContents"/>
              <w:spacing w:before="0" w:after="283"/>
              <w:jc w:val="center"/>
              <w:rPr/>
            </w:pPr>
            <w:r>
              <w:rPr/>
              <w:t>Ratio</w:t>
            </w:r>
          </w:p>
        </w:tc>
        <w:tc>
          <w:tcPr>
            <w:tcW w:w="231"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456" w:type="dxa"/>
            <w:gridSpan w:val="22"/>
            <w:tcBorders/>
            <w:shd w:fill="auto" w:val="clear"/>
            <w:vAlign w:val="bottom"/>
          </w:tcPr>
          <w:p>
            <w:pPr>
              <w:pStyle w:val="TableContents"/>
              <w:spacing w:before="0" w:after="283"/>
              <w:jc w:val="center"/>
              <w:rPr/>
            </w:pPr>
            <w:r>
              <w:rPr/>
              <w:t>(Dollars in Thousands)</w:t>
            </w:r>
          </w:p>
        </w:tc>
        <w:tc>
          <w:tcPr>
            <w:tcW w:w="231" w:type="dxa"/>
            <w:tcBorders/>
            <w:shd w:fill="auto" w:val="clear"/>
            <w:vAlign w:val="bottom"/>
          </w:tcPr>
          <w:p>
            <w:pPr>
              <w:pStyle w:val="TableContents"/>
              <w:spacing w:before="0" w:after="283"/>
              <w:rPr/>
            </w:pPr>
            <w:r>
              <w:rPr/>
              <w:t> </w:t>
            </w:r>
          </w:p>
        </w:tc>
      </w:tr>
      <w:tr>
        <w:trPr/>
        <w:tc>
          <w:tcPr>
            <w:tcW w:w="2239" w:type="dxa"/>
            <w:tcBorders/>
            <w:shd w:fill="CCEEFF" w:val="clear"/>
            <w:vAlign w:val="bottom"/>
          </w:tcPr>
          <w:p>
            <w:pPr>
              <w:pStyle w:val="TableContents"/>
              <w:spacing w:before="0" w:after="0"/>
              <w:ind w:left="225" w:right="0" w:hanging="225"/>
              <w:rPr>
                <w:b/>
              </w:rPr>
            </w:pPr>
            <w:r>
              <w:rPr>
                <w:b/>
              </w:rPr>
              <w:t>As of December 31, 2005:</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0"/>
              <w:ind w:left="225" w:right="0" w:hanging="225"/>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0"/>
              <w:ind w:left="225" w:right="0" w:hanging="225"/>
              <w:rPr/>
            </w:pPr>
            <w:r>
              <w:rPr/>
              <w:t>Total Capital (to Risk Weighted Assets)</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2239" w:type="dxa"/>
            <w:tcBorders/>
            <w:shd w:fill="CCEEFF" w:val="clear"/>
            <w:vAlign w:val="bottom"/>
          </w:tcPr>
          <w:p>
            <w:pPr>
              <w:pStyle w:val="TableContents"/>
              <w:spacing w:before="0" w:after="0"/>
              <w:ind w:left="450" w:right="0" w:hanging="225"/>
              <w:rPr/>
            </w:pPr>
            <w:r>
              <w:rPr/>
              <w:t>Consolidated</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180,244</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jc w:val="left"/>
              <w:rPr/>
            </w:pPr>
            <w:r>
              <w:rPr/>
              <w:t> </w:t>
            </w:r>
          </w:p>
        </w:tc>
        <w:tc>
          <w:tcPr>
            <w:tcW w:w="674" w:type="dxa"/>
            <w:tcBorders/>
            <w:shd w:fill="CCEEFF" w:val="clear"/>
            <w:vAlign w:val="bottom"/>
          </w:tcPr>
          <w:p>
            <w:pPr>
              <w:pStyle w:val="TableContents"/>
              <w:spacing w:before="0" w:after="283"/>
              <w:jc w:val="right"/>
              <w:rPr/>
            </w:pPr>
            <w:r>
              <w:rPr/>
              <w:t>10.31</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139,915</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8.00</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N/A</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pPr>
            <w:r>
              <w:rPr/>
              <w:t>N/A</w:t>
            </w:r>
          </w:p>
        </w:tc>
        <w:tc>
          <w:tcPr>
            <w:tcW w:w="231" w:type="dxa"/>
            <w:tcBorders/>
            <w:shd w:fill="CCEEFF"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0"/>
              <w:ind w:left="450" w:right="0" w:hanging="225"/>
              <w:rPr/>
            </w:pPr>
            <w:r>
              <w:rPr/>
              <w:t>Busey Bank</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158,614</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674" w:type="dxa"/>
            <w:tcBorders/>
            <w:shd w:fill="auto" w:val="clear"/>
            <w:vAlign w:val="bottom"/>
          </w:tcPr>
          <w:p>
            <w:pPr>
              <w:pStyle w:val="TableContents"/>
              <w:spacing w:before="0" w:after="283"/>
              <w:jc w:val="right"/>
              <w:rPr/>
            </w:pPr>
            <w:r>
              <w:rPr/>
              <w:t>11.27</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112,607</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c>
          <w:tcPr>
            <w:tcW w:w="600" w:type="dxa"/>
            <w:tcBorders/>
            <w:shd w:fill="auto" w:val="clear"/>
            <w:vAlign w:val="bottom"/>
          </w:tcPr>
          <w:p>
            <w:pPr>
              <w:pStyle w:val="TableContents"/>
              <w:spacing w:before="0" w:after="283"/>
              <w:jc w:val="right"/>
              <w:rPr/>
            </w:pPr>
            <w:r>
              <w:rPr/>
              <w:t>8.00</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140,758</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10.00</w:t>
            </w:r>
          </w:p>
        </w:tc>
        <w:tc>
          <w:tcPr>
            <w:tcW w:w="231" w:type="dxa"/>
            <w:tcBorders/>
            <w:shd w:fill="auto" w:val="clear"/>
            <w:vAlign w:val="bottom"/>
          </w:tcPr>
          <w:p>
            <w:pPr>
              <w:pStyle w:val="TableContents"/>
              <w:spacing w:before="0" w:after="283"/>
              <w:rPr/>
            </w:pPr>
            <w:r>
              <w:rPr/>
              <w:t>%</w:t>
            </w:r>
          </w:p>
        </w:tc>
      </w:tr>
      <w:tr>
        <w:trPr/>
        <w:tc>
          <w:tcPr>
            <w:tcW w:w="2239" w:type="dxa"/>
            <w:tcBorders/>
            <w:shd w:fill="CCEEFF" w:val="clear"/>
            <w:vAlign w:val="bottom"/>
          </w:tcPr>
          <w:p>
            <w:pPr>
              <w:pStyle w:val="TableContents"/>
              <w:spacing w:before="0" w:after="0"/>
              <w:ind w:left="450" w:right="0" w:hanging="225"/>
              <w:rPr/>
            </w:pPr>
            <w:r>
              <w:rPr/>
              <w:t>Busey Bank Florida</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25,217</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jc w:val="left"/>
              <w:rPr/>
            </w:pPr>
            <w:r>
              <w:rPr/>
              <w:t> </w:t>
            </w:r>
          </w:p>
        </w:tc>
        <w:tc>
          <w:tcPr>
            <w:tcW w:w="674" w:type="dxa"/>
            <w:tcBorders/>
            <w:shd w:fill="CCEEFF" w:val="clear"/>
            <w:vAlign w:val="bottom"/>
          </w:tcPr>
          <w:p>
            <w:pPr>
              <w:pStyle w:val="TableContents"/>
              <w:spacing w:before="0" w:after="283"/>
              <w:jc w:val="right"/>
              <w:rPr/>
            </w:pPr>
            <w:r>
              <w:rPr/>
              <w:t>13.17</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15,320</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8.00</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19,150</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10.00</w:t>
            </w:r>
          </w:p>
        </w:tc>
        <w:tc>
          <w:tcPr>
            <w:tcW w:w="231" w:type="dxa"/>
            <w:tcBorders/>
            <w:shd w:fill="CCEEFF" w:val="clear"/>
            <w:vAlign w:val="bottom"/>
          </w:tcPr>
          <w:p>
            <w:pPr>
              <w:pStyle w:val="TableContents"/>
              <w:spacing w:before="0" w:after="283"/>
              <w:rPr/>
            </w:pPr>
            <w:r>
              <w:rPr/>
              <w:t>%</w:t>
            </w:r>
          </w:p>
        </w:tc>
      </w:tr>
      <w:tr>
        <w:trPr/>
        <w:tc>
          <w:tcPr>
            <w:tcW w:w="2239" w:type="dxa"/>
            <w:tcBorders/>
            <w:shd w:fill="auto" w:val="clear"/>
            <w:vAlign w:val="bottom"/>
          </w:tcPr>
          <w:p>
            <w:pPr>
              <w:pStyle w:val="TableContents"/>
              <w:spacing w:before="0" w:after="0"/>
              <w:ind w:left="450" w:right="0" w:hanging="225"/>
              <w:rPr/>
            </w:pPr>
            <w:r>
              <w:rPr/>
              <w:t>Tarpon Coast National Bank</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15,717</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674" w:type="dxa"/>
            <w:tcBorders/>
            <w:shd w:fill="auto" w:val="clear"/>
            <w:vAlign w:val="bottom"/>
          </w:tcPr>
          <w:p>
            <w:pPr>
              <w:pStyle w:val="TableContents"/>
              <w:spacing w:before="0" w:after="283"/>
              <w:jc w:val="right"/>
              <w:rPr/>
            </w:pPr>
            <w:r>
              <w:rPr/>
              <w:t>11.47</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10,964</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c>
          <w:tcPr>
            <w:tcW w:w="600" w:type="dxa"/>
            <w:tcBorders/>
            <w:shd w:fill="auto" w:val="clear"/>
            <w:vAlign w:val="bottom"/>
          </w:tcPr>
          <w:p>
            <w:pPr>
              <w:pStyle w:val="TableContents"/>
              <w:spacing w:before="0" w:after="283"/>
              <w:jc w:val="right"/>
              <w:rPr/>
            </w:pPr>
            <w:r>
              <w:rPr/>
              <w:t>8.00</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13,705</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10.00</w:t>
            </w:r>
          </w:p>
        </w:tc>
        <w:tc>
          <w:tcPr>
            <w:tcW w:w="231" w:type="dxa"/>
            <w:tcBorders/>
            <w:shd w:fill="auto" w:val="clear"/>
            <w:vAlign w:val="bottom"/>
          </w:tcPr>
          <w:p>
            <w:pPr>
              <w:pStyle w:val="TableContents"/>
              <w:spacing w:before="0" w:after="283"/>
              <w:rPr/>
            </w:pPr>
            <w:r>
              <w:rPr/>
              <w:t>%</w:t>
            </w:r>
          </w:p>
        </w:tc>
      </w:tr>
      <w:tr>
        <w:trPr/>
        <w:tc>
          <w:tcPr>
            <w:tcW w:w="2239" w:type="dxa"/>
            <w:tcBorders/>
            <w:shd w:fill="auto" w:val="clear"/>
            <w:vAlign w:val="bottom"/>
          </w:tcPr>
          <w:p>
            <w:pPr>
              <w:pStyle w:val="TableContents"/>
              <w:spacing w:before="0" w:after="0"/>
              <w:ind w:left="225" w:right="0" w:hanging="225"/>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2239" w:type="dxa"/>
            <w:tcBorders/>
            <w:shd w:fill="CCEEFF" w:val="clear"/>
            <w:vAlign w:val="bottom"/>
          </w:tcPr>
          <w:p>
            <w:pPr>
              <w:pStyle w:val="TableContents"/>
              <w:spacing w:before="0" w:after="0"/>
              <w:ind w:left="225" w:right="0" w:hanging="225"/>
              <w:rPr/>
            </w:pPr>
            <w:r>
              <w:rPr/>
              <w:t>Tier I Capital (to Risk Weighted Assets)</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0"/>
              <w:ind w:left="450" w:right="0" w:hanging="225"/>
              <w:rPr/>
            </w:pPr>
            <w:r>
              <w:rPr/>
              <w:t>Consolidated</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152,230</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674" w:type="dxa"/>
            <w:tcBorders/>
            <w:shd w:fill="auto" w:val="clear"/>
            <w:vAlign w:val="bottom"/>
          </w:tcPr>
          <w:p>
            <w:pPr>
              <w:pStyle w:val="TableContents"/>
              <w:spacing w:before="0" w:after="283"/>
              <w:jc w:val="right"/>
              <w:rPr/>
            </w:pPr>
            <w:r>
              <w:rPr/>
              <w:t>8.70</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69,958</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c>
          <w:tcPr>
            <w:tcW w:w="600" w:type="dxa"/>
            <w:tcBorders/>
            <w:shd w:fill="auto" w:val="clear"/>
            <w:vAlign w:val="bottom"/>
          </w:tcPr>
          <w:p>
            <w:pPr>
              <w:pStyle w:val="TableContents"/>
              <w:spacing w:before="0" w:after="283"/>
              <w:jc w:val="right"/>
              <w:rPr/>
            </w:pPr>
            <w:r>
              <w:rPr/>
              <w:t>4.00</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N/A</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pPr>
            <w:r>
              <w:rPr/>
              <w:t>N/A</w:t>
            </w:r>
          </w:p>
        </w:tc>
        <w:tc>
          <w:tcPr>
            <w:tcW w:w="231" w:type="dxa"/>
            <w:tcBorders/>
            <w:shd w:fill="auto" w:val="clear"/>
            <w:vAlign w:val="bottom"/>
          </w:tcPr>
          <w:p>
            <w:pPr>
              <w:pStyle w:val="TableContents"/>
              <w:spacing w:before="0" w:after="283"/>
              <w:rPr/>
            </w:pPr>
            <w:r>
              <w:rPr/>
              <w:t> </w:t>
            </w:r>
          </w:p>
        </w:tc>
      </w:tr>
      <w:tr>
        <w:trPr/>
        <w:tc>
          <w:tcPr>
            <w:tcW w:w="2239" w:type="dxa"/>
            <w:tcBorders/>
            <w:shd w:fill="CCEEFF" w:val="clear"/>
            <w:vAlign w:val="bottom"/>
          </w:tcPr>
          <w:p>
            <w:pPr>
              <w:pStyle w:val="TableContents"/>
              <w:spacing w:before="0" w:after="0"/>
              <w:ind w:left="450" w:right="0" w:hanging="225"/>
              <w:rPr/>
            </w:pPr>
            <w:r>
              <w:rPr/>
              <w:t>Busey Bank</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135,717</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jc w:val="left"/>
              <w:rPr/>
            </w:pPr>
            <w:r>
              <w:rPr/>
              <w:t> </w:t>
            </w:r>
          </w:p>
        </w:tc>
        <w:tc>
          <w:tcPr>
            <w:tcW w:w="674" w:type="dxa"/>
            <w:tcBorders/>
            <w:shd w:fill="CCEEFF" w:val="clear"/>
            <w:vAlign w:val="bottom"/>
          </w:tcPr>
          <w:p>
            <w:pPr>
              <w:pStyle w:val="TableContents"/>
              <w:spacing w:before="0" w:after="283"/>
              <w:jc w:val="right"/>
              <w:rPr/>
            </w:pPr>
            <w:r>
              <w:rPr/>
              <w:t>9.64</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56,304</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4.00</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84,455</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6.00</w:t>
            </w:r>
          </w:p>
        </w:tc>
        <w:tc>
          <w:tcPr>
            <w:tcW w:w="231" w:type="dxa"/>
            <w:tcBorders/>
            <w:shd w:fill="CCEEFF" w:val="clear"/>
            <w:vAlign w:val="bottom"/>
          </w:tcPr>
          <w:p>
            <w:pPr>
              <w:pStyle w:val="TableContents"/>
              <w:spacing w:before="0" w:after="283"/>
              <w:rPr/>
            </w:pPr>
            <w:r>
              <w:rPr/>
              <w:t>%</w:t>
            </w:r>
          </w:p>
        </w:tc>
      </w:tr>
      <w:tr>
        <w:trPr/>
        <w:tc>
          <w:tcPr>
            <w:tcW w:w="2239" w:type="dxa"/>
            <w:tcBorders/>
            <w:shd w:fill="auto" w:val="clear"/>
            <w:vAlign w:val="bottom"/>
          </w:tcPr>
          <w:p>
            <w:pPr>
              <w:pStyle w:val="TableContents"/>
              <w:spacing w:before="0" w:after="0"/>
              <w:ind w:left="450" w:right="0" w:hanging="225"/>
              <w:rPr/>
            </w:pPr>
            <w:r>
              <w:rPr/>
              <w:t>Busey Bank Florida</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22,808</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674" w:type="dxa"/>
            <w:tcBorders/>
            <w:shd w:fill="auto" w:val="clear"/>
            <w:vAlign w:val="bottom"/>
          </w:tcPr>
          <w:p>
            <w:pPr>
              <w:pStyle w:val="TableContents"/>
              <w:spacing w:before="0" w:after="283"/>
              <w:jc w:val="right"/>
              <w:rPr/>
            </w:pPr>
            <w:r>
              <w:rPr/>
              <w:t>11.91</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7,660</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c>
          <w:tcPr>
            <w:tcW w:w="600" w:type="dxa"/>
            <w:tcBorders/>
            <w:shd w:fill="auto" w:val="clear"/>
            <w:vAlign w:val="bottom"/>
          </w:tcPr>
          <w:p>
            <w:pPr>
              <w:pStyle w:val="TableContents"/>
              <w:spacing w:before="0" w:after="283"/>
              <w:jc w:val="right"/>
              <w:rPr/>
            </w:pPr>
            <w:r>
              <w:rPr/>
              <w:t>4.00</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11,490</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6.00</w:t>
            </w:r>
          </w:p>
        </w:tc>
        <w:tc>
          <w:tcPr>
            <w:tcW w:w="231" w:type="dxa"/>
            <w:tcBorders/>
            <w:shd w:fill="auto" w:val="clear"/>
            <w:vAlign w:val="bottom"/>
          </w:tcPr>
          <w:p>
            <w:pPr>
              <w:pStyle w:val="TableContents"/>
              <w:spacing w:before="0" w:after="283"/>
              <w:rPr/>
            </w:pPr>
            <w:r>
              <w:rPr/>
              <w:t>%</w:t>
            </w:r>
          </w:p>
        </w:tc>
      </w:tr>
      <w:tr>
        <w:trPr/>
        <w:tc>
          <w:tcPr>
            <w:tcW w:w="2239" w:type="dxa"/>
            <w:tcBorders/>
            <w:shd w:fill="CCEEFF" w:val="clear"/>
            <w:vAlign w:val="bottom"/>
          </w:tcPr>
          <w:p>
            <w:pPr>
              <w:pStyle w:val="TableContents"/>
              <w:spacing w:before="0" w:after="0"/>
              <w:ind w:left="450" w:right="0" w:hanging="225"/>
              <w:rPr/>
            </w:pPr>
            <w:r>
              <w:rPr/>
              <w:t>Tarpon Coast National Bank</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14,509</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jc w:val="left"/>
              <w:rPr/>
            </w:pPr>
            <w:r>
              <w:rPr/>
              <w:t> </w:t>
            </w:r>
          </w:p>
        </w:tc>
        <w:tc>
          <w:tcPr>
            <w:tcW w:w="674" w:type="dxa"/>
            <w:tcBorders/>
            <w:shd w:fill="CCEEFF" w:val="clear"/>
            <w:vAlign w:val="bottom"/>
          </w:tcPr>
          <w:p>
            <w:pPr>
              <w:pStyle w:val="TableContents"/>
              <w:spacing w:before="0" w:after="283"/>
              <w:jc w:val="right"/>
              <w:rPr/>
            </w:pPr>
            <w:r>
              <w:rPr/>
              <w:t>10.59</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5,482</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4.00</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8,223</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6.00</w:t>
            </w:r>
          </w:p>
        </w:tc>
        <w:tc>
          <w:tcPr>
            <w:tcW w:w="231" w:type="dxa"/>
            <w:tcBorders/>
            <w:shd w:fill="CCEEFF" w:val="clear"/>
            <w:vAlign w:val="bottom"/>
          </w:tcPr>
          <w:p>
            <w:pPr>
              <w:pStyle w:val="TableContents"/>
              <w:spacing w:before="0" w:after="283"/>
              <w:rPr/>
            </w:pPr>
            <w:r>
              <w:rPr/>
              <w:t>%</w:t>
            </w:r>
          </w:p>
        </w:tc>
      </w:tr>
      <w:tr>
        <w:trPr/>
        <w:tc>
          <w:tcPr>
            <w:tcW w:w="2239" w:type="dxa"/>
            <w:tcBorders/>
            <w:shd w:fill="auto" w:val="clear"/>
            <w:vAlign w:val="bottom"/>
          </w:tcPr>
          <w:p>
            <w:pPr>
              <w:pStyle w:val="TableContents"/>
              <w:spacing w:before="0" w:after="0"/>
              <w:ind w:left="225" w:right="0" w:hanging="225"/>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0"/>
              <w:ind w:left="225" w:right="0" w:hanging="225"/>
              <w:rPr/>
            </w:pPr>
            <w:r>
              <w:rPr/>
              <w:t>Tier I Capital (to Average Assets)</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2239" w:type="dxa"/>
            <w:tcBorders/>
            <w:shd w:fill="CCEEFF" w:val="clear"/>
            <w:vAlign w:val="bottom"/>
          </w:tcPr>
          <w:p>
            <w:pPr>
              <w:pStyle w:val="TableContents"/>
              <w:spacing w:before="0" w:after="0"/>
              <w:ind w:left="450" w:right="0" w:hanging="225"/>
              <w:rPr/>
            </w:pPr>
            <w:r>
              <w:rPr/>
              <w:t>Consolidated</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152,230</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jc w:val="left"/>
              <w:rPr/>
            </w:pPr>
            <w:r>
              <w:rPr/>
              <w:t> </w:t>
            </w:r>
          </w:p>
        </w:tc>
        <w:tc>
          <w:tcPr>
            <w:tcW w:w="674" w:type="dxa"/>
            <w:tcBorders/>
            <w:shd w:fill="CCEEFF" w:val="clear"/>
            <w:vAlign w:val="bottom"/>
          </w:tcPr>
          <w:p>
            <w:pPr>
              <w:pStyle w:val="TableContents"/>
              <w:spacing w:before="0" w:after="283"/>
              <w:jc w:val="right"/>
              <w:rPr/>
            </w:pPr>
            <w:r>
              <w:rPr/>
              <w:t>6.93</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87,911</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4.00</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N/A</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pPr>
            <w:r>
              <w:rPr/>
              <w:t>N/A</w:t>
            </w:r>
          </w:p>
        </w:tc>
        <w:tc>
          <w:tcPr>
            <w:tcW w:w="231" w:type="dxa"/>
            <w:tcBorders/>
            <w:shd w:fill="CCEEFF"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0"/>
              <w:ind w:left="450" w:right="0" w:hanging="225"/>
              <w:rPr/>
            </w:pPr>
            <w:r>
              <w:rPr/>
              <w:t>Busey Bank</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135,717</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674" w:type="dxa"/>
            <w:tcBorders/>
            <w:shd w:fill="auto" w:val="clear"/>
            <w:vAlign w:val="bottom"/>
          </w:tcPr>
          <w:p>
            <w:pPr>
              <w:pStyle w:val="TableContents"/>
              <w:spacing w:before="0" w:after="283"/>
              <w:jc w:val="right"/>
              <w:rPr/>
            </w:pPr>
            <w:r>
              <w:rPr/>
              <w:t>7.56</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78,401</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c>
          <w:tcPr>
            <w:tcW w:w="600" w:type="dxa"/>
            <w:tcBorders/>
            <w:shd w:fill="auto" w:val="clear"/>
            <w:vAlign w:val="bottom"/>
          </w:tcPr>
          <w:p>
            <w:pPr>
              <w:pStyle w:val="TableContents"/>
              <w:spacing w:before="0" w:after="283"/>
              <w:jc w:val="right"/>
              <w:rPr/>
            </w:pPr>
            <w:r>
              <w:rPr/>
              <w:t>4.00</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98,001</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5.00</w:t>
            </w:r>
          </w:p>
        </w:tc>
        <w:tc>
          <w:tcPr>
            <w:tcW w:w="231" w:type="dxa"/>
            <w:tcBorders/>
            <w:shd w:fill="auto" w:val="clear"/>
            <w:vAlign w:val="bottom"/>
          </w:tcPr>
          <w:p>
            <w:pPr>
              <w:pStyle w:val="TableContents"/>
              <w:spacing w:before="0" w:after="283"/>
              <w:rPr/>
            </w:pPr>
            <w:r>
              <w:rPr/>
              <w:t>%</w:t>
            </w:r>
          </w:p>
        </w:tc>
      </w:tr>
      <w:tr>
        <w:trPr/>
        <w:tc>
          <w:tcPr>
            <w:tcW w:w="2239" w:type="dxa"/>
            <w:tcBorders/>
            <w:shd w:fill="CCEEFF" w:val="clear"/>
            <w:vAlign w:val="bottom"/>
          </w:tcPr>
          <w:p>
            <w:pPr>
              <w:pStyle w:val="TableContents"/>
              <w:spacing w:before="0" w:after="0"/>
              <w:ind w:left="450" w:right="0" w:hanging="225"/>
              <w:rPr/>
            </w:pPr>
            <w:r>
              <w:rPr/>
              <w:t>Busey Bank Florida</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22,808</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jc w:val="left"/>
              <w:rPr/>
            </w:pPr>
            <w:r>
              <w:rPr/>
              <w:t> </w:t>
            </w:r>
          </w:p>
        </w:tc>
        <w:tc>
          <w:tcPr>
            <w:tcW w:w="674" w:type="dxa"/>
            <w:tcBorders/>
            <w:shd w:fill="CCEEFF" w:val="clear"/>
            <w:vAlign w:val="bottom"/>
          </w:tcPr>
          <w:p>
            <w:pPr>
              <w:pStyle w:val="TableContents"/>
              <w:spacing w:before="0" w:after="283"/>
              <w:jc w:val="right"/>
              <w:rPr/>
            </w:pPr>
            <w:r>
              <w:rPr/>
              <w:t>9.36</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10,659</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4.00</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13,324</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5.00</w:t>
            </w:r>
          </w:p>
        </w:tc>
        <w:tc>
          <w:tcPr>
            <w:tcW w:w="231" w:type="dxa"/>
            <w:tcBorders/>
            <w:shd w:fill="CCEEFF" w:val="clear"/>
            <w:vAlign w:val="bottom"/>
          </w:tcPr>
          <w:p>
            <w:pPr>
              <w:pStyle w:val="TableContents"/>
              <w:spacing w:before="0" w:after="283"/>
              <w:rPr/>
            </w:pPr>
            <w:r>
              <w:rPr/>
              <w:t>%</w:t>
            </w:r>
          </w:p>
        </w:tc>
      </w:tr>
      <w:tr>
        <w:trPr/>
        <w:tc>
          <w:tcPr>
            <w:tcW w:w="2239" w:type="dxa"/>
            <w:tcBorders/>
            <w:shd w:fill="auto" w:val="clear"/>
            <w:vAlign w:val="bottom"/>
          </w:tcPr>
          <w:p>
            <w:pPr>
              <w:pStyle w:val="TableContents"/>
              <w:spacing w:before="0" w:after="0"/>
              <w:ind w:left="450" w:right="0" w:hanging="225"/>
              <w:rPr/>
            </w:pPr>
            <w:r>
              <w:rPr/>
              <w:t>Tarpon Coast National Bank</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14,509</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674" w:type="dxa"/>
            <w:tcBorders/>
            <w:shd w:fill="auto" w:val="clear"/>
            <w:vAlign w:val="bottom"/>
          </w:tcPr>
          <w:p>
            <w:pPr>
              <w:pStyle w:val="TableContents"/>
              <w:spacing w:before="0" w:after="283"/>
              <w:jc w:val="right"/>
              <w:rPr/>
            </w:pPr>
            <w:r>
              <w:rPr/>
              <w:t>9.58</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7,534</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c>
          <w:tcPr>
            <w:tcW w:w="600" w:type="dxa"/>
            <w:tcBorders/>
            <w:shd w:fill="auto" w:val="clear"/>
            <w:vAlign w:val="bottom"/>
          </w:tcPr>
          <w:p>
            <w:pPr>
              <w:pStyle w:val="TableContents"/>
              <w:spacing w:before="0" w:after="283"/>
              <w:jc w:val="right"/>
              <w:rPr/>
            </w:pPr>
            <w:r>
              <w:rPr/>
              <w:t>4.00</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9,418</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5.00</w:t>
            </w:r>
          </w:p>
        </w:tc>
        <w:tc>
          <w:tcPr>
            <w:tcW w:w="231" w:type="dxa"/>
            <w:tcBorders/>
            <w:shd w:fill="auto" w:val="clear"/>
            <w:vAlign w:val="bottom"/>
          </w:tcPr>
          <w:p>
            <w:pPr>
              <w:pStyle w:val="TableContents"/>
              <w:spacing w:before="0" w:after="283"/>
              <w:rPr/>
            </w:pPr>
            <w:r>
              <w:rPr/>
              <w:t>%</w:t>
            </w:r>
          </w:p>
        </w:tc>
      </w:tr>
      <w:tr>
        <w:trPr/>
        <w:tc>
          <w:tcPr>
            <w:tcW w:w="2239" w:type="dxa"/>
            <w:tcBorders/>
            <w:shd w:fill="auto" w:val="clear"/>
            <w:vAlign w:val="bottom"/>
          </w:tcPr>
          <w:p>
            <w:pPr>
              <w:pStyle w:val="TableContents"/>
              <w:spacing w:before="0" w:after="0"/>
              <w:ind w:left="225" w:right="0" w:hanging="225"/>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2239" w:type="dxa"/>
            <w:tcBorders/>
            <w:shd w:fill="CCEEFF" w:val="clear"/>
            <w:vAlign w:val="bottom"/>
          </w:tcPr>
          <w:p>
            <w:pPr>
              <w:pStyle w:val="TableContents"/>
              <w:spacing w:before="0" w:after="0"/>
              <w:ind w:left="225" w:right="0" w:hanging="225"/>
              <w:rPr>
                <w:b/>
              </w:rPr>
            </w:pPr>
            <w:r>
              <w:rPr>
                <w:b/>
              </w:rPr>
              <w:t>As of December 31, 2004:</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0"/>
              <w:ind w:left="225" w:right="0" w:hanging="225"/>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0"/>
              <w:ind w:left="225" w:right="0" w:hanging="225"/>
              <w:rPr/>
            </w:pPr>
            <w:r>
              <w:rPr/>
              <w:t>Total Capital (to Risk Weighted Assets)</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2239" w:type="dxa"/>
            <w:tcBorders/>
            <w:shd w:fill="CCEEFF" w:val="clear"/>
            <w:vAlign w:val="bottom"/>
          </w:tcPr>
          <w:p>
            <w:pPr>
              <w:pStyle w:val="TableContents"/>
              <w:spacing w:before="0" w:after="0"/>
              <w:ind w:left="450" w:right="0" w:hanging="225"/>
              <w:rPr/>
            </w:pPr>
            <w:r>
              <w:rPr/>
              <w:t>Consolidated</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157,328</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jc w:val="left"/>
              <w:rPr/>
            </w:pPr>
            <w:r>
              <w:rPr/>
              <w:t> </w:t>
            </w:r>
          </w:p>
        </w:tc>
        <w:tc>
          <w:tcPr>
            <w:tcW w:w="674" w:type="dxa"/>
            <w:tcBorders/>
            <w:shd w:fill="CCEEFF" w:val="clear"/>
            <w:vAlign w:val="bottom"/>
          </w:tcPr>
          <w:p>
            <w:pPr>
              <w:pStyle w:val="TableContents"/>
              <w:spacing w:before="0" w:after="283"/>
              <w:jc w:val="right"/>
              <w:rPr/>
            </w:pPr>
            <w:r>
              <w:rPr/>
              <w:t>10.92</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115,292</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8.00</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N/A</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pPr>
            <w:r>
              <w:rPr/>
              <w:t>N/A</w:t>
            </w:r>
          </w:p>
        </w:tc>
        <w:tc>
          <w:tcPr>
            <w:tcW w:w="231" w:type="dxa"/>
            <w:tcBorders/>
            <w:shd w:fill="CCEEFF"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0"/>
              <w:ind w:left="450" w:right="0" w:hanging="225"/>
              <w:rPr/>
            </w:pPr>
            <w:r>
              <w:rPr/>
              <w:t>Busey Bank</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128,706</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674" w:type="dxa"/>
            <w:tcBorders/>
            <w:shd w:fill="auto" w:val="clear"/>
            <w:vAlign w:val="bottom"/>
          </w:tcPr>
          <w:p>
            <w:pPr>
              <w:pStyle w:val="TableContents"/>
              <w:spacing w:before="0" w:after="283"/>
              <w:jc w:val="right"/>
              <w:rPr/>
            </w:pPr>
            <w:r>
              <w:rPr/>
              <w:t>11.24</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91,580</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c>
          <w:tcPr>
            <w:tcW w:w="600" w:type="dxa"/>
            <w:tcBorders/>
            <w:shd w:fill="auto" w:val="clear"/>
            <w:vAlign w:val="bottom"/>
          </w:tcPr>
          <w:p>
            <w:pPr>
              <w:pStyle w:val="TableContents"/>
              <w:spacing w:before="0" w:after="283"/>
              <w:jc w:val="right"/>
              <w:rPr/>
            </w:pPr>
            <w:r>
              <w:rPr/>
              <w:t>8.00</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114,475</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10.00</w:t>
            </w:r>
          </w:p>
        </w:tc>
        <w:tc>
          <w:tcPr>
            <w:tcW w:w="231" w:type="dxa"/>
            <w:tcBorders/>
            <w:shd w:fill="auto" w:val="clear"/>
            <w:vAlign w:val="bottom"/>
          </w:tcPr>
          <w:p>
            <w:pPr>
              <w:pStyle w:val="TableContents"/>
              <w:spacing w:before="0" w:after="283"/>
              <w:rPr/>
            </w:pPr>
            <w:r>
              <w:rPr/>
              <w:t>%</w:t>
            </w:r>
          </w:p>
        </w:tc>
      </w:tr>
      <w:tr>
        <w:trPr/>
        <w:tc>
          <w:tcPr>
            <w:tcW w:w="2239" w:type="dxa"/>
            <w:tcBorders/>
            <w:shd w:fill="CCEEFF" w:val="clear"/>
            <w:vAlign w:val="bottom"/>
          </w:tcPr>
          <w:p>
            <w:pPr>
              <w:pStyle w:val="TableContents"/>
              <w:spacing w:before="0" w:after="0"/>
              <w:ind w:left="450" w:right="0" w:hanging="225"/>
              <w:rPr/>
            </w:pPr>
            <w:r>
              <w:rPr/>
              <w:t>Busey Bank Florida</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15,133</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jc w:val="left"/>
              <w:rPr/>
            </w:pPr>
            <w:r>
              <w:rPr/>
              <w:t> </w:t>
            </w:r>
          </w:p>
        </w:tc>
        <w:tc>
          <w:tcPr>
            <w:tcW w:w="674" w:type="dxa"/>
            <w:tcBorders/>
            <w:shd w:fill="CCEEFF" w:val="clear"/>
            <w:vAlign w:val="bottom"/>
          </w:tcPr>
          <w:p>
            <w:pPr>
              <w:pStyle w:val="TableContents"/>
              <w:spacing w:before="0" w:after="283"/>
              <w:jc w:val="right"/>
              <w:rPr/>
            </w:pPr>
            <w:r>
              <w:rPr/>
              <w:t>11.56</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10,473</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8.00</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13,091</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10.00</w:t>
            </w:r>
          </w:p>
        </w:tc>
        <w:tc>
          <w:tcPr>
            <w:tcW w:w="231" w:type="dxa"/>
            <w:tcBorders/>
            <w:shd w:fill="CCEEFF" w:val="clear"/>
            <w:vAlign w:val="bottom"/>
          </w:tcPr>
          <w:p>
            <w:pPr>
              <w:pStyle w:val="TableContents"/>
              <w:spacing w:before="0" w:after="283"/>
              <w:rPr/>
            </w:pPr>
            <w:r>
              <w:rPr/>
              <w:t>%</w:t>
            </w:r>
          </w:p>
        </w:tc>
      </w:tr>
      <w:tr>
        <w:trPr/>
        <w:tc>
          <w:tcPr>
            <w:tcW w:w="2239" w:type="dxa"/>
            <w:tcBorders/>
            <w:shd w:fill="auto" w:val="clear"/>
            <w:vAlign w:val="bottom"/>
          </w:tcPr>
          <w:p>
            <w:pPr>
              <w:pStyle w:val="TableContents"/>
              <w:spacing w:before="0" w:after="0"/>
              <w:ind w:left="450" w:right="0" w:hanging="225"/>
              <w:rPr/>
            </w:pPr>
            <w:r>
              <w:rPr/>
              <w:t>First Capital Bank</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17,827</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674" w:type="dxa"/>
            <w:tcBorders/>
            <w:shd w:fill="auto" w:val="clear"/>
            <w:vAlign w:val="bottom"/>
          </w:tcPr>
          <w:p>
            <w:pPr>
              <w:pStyle w:val="TableContents"/>
              <w:spacing w:before="0" w:after="283"/>
              <w:jc w:val="right"/>
              <w:rPr/>
            </w:pPr>
            <w:r>
              <w:rPr/>
              <w:t>11.96</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11,926</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c>
          <w:tcPr>
            <w:tcW w:w="600" w:type="dxa"/>
            <w:tcBorders/>
            <w:shd w:fill="auto" w:val="clear"/>
            <w:vAlign w:val="bottom"/>
          </w:tcPr>
          <w:p>
            <w:pPr>
              <w:pStyle w:val="TableContents"/>
              <w:spacing w:before="0" w:after="283"/>
              <w:jc w:val="right"/>
              <w:rPr/>
            </w:pPr>
            <w:r>
              <w:rPr/>
              <w:t>8.00</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14,908</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10.00</w:t>
            </w:r>
          </w:p>
        </w:tc>
        <w:tc>
          <w:tcPr>
            <w:tcW w:w="231" w:type="dxa"/>
            <w:tcBorders/>
            <w:shd w:fill="auto" w:val="clear"/>
            <w:vAlign w:val="bottom"/>
          </w:tcPr>
          <w:p>
            <w:pPr>
              <w:pStyle w:val="TableContents"/>
              <w:spacing w:before="0" w:after="283"/>
              <w:rPr/>
            </w:pPr>
            <w:r>
              <w:rPr/>
              <w:t>%</w:t>
            </w:r>
          </w:p>
        </w:tc>
      </w:tr>
      <w:tr>
        <w:trPr/>
        <w:tc>
          <w:tcPr>
            <w:tcW w:w="2239" w:type="dxa"/>
            <w:tcBorders/>
            <w:shd w:fill="auto" w:val="clear"/>
            <w:vAlign w:val="bottom"/>
          </w:tcPr>
          <w:p>
            <w:pPr>
              <w:pStyle w:val="TableContents"/>
              <w:spacing w:before="0" w:after="0"/>
              <w:ind w:left="225" w:right="0" w:hanging="225"/>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2239" w:type="dxa"/>
            <w:tcBorders/>
            <w:shd w:fill="CCEEFF" w:val="clear"/>
            <w:vAlign w:val="bottom"/>
          </w:tcPr>
          <w:p>
            <w:pPr>
              <w:pStyle w:val="TableContents"/>
              <w:spacing w:before="0" w:after="0"/>
              <w:ind w:left="225" w:right="0" w:hanging="225"/>
              <w:rPr/>
            </w:pPr>
            <w:r>
              <w:rPr/>
              <w:t>Tier I Capital (to Risk Weighted Assets)</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0"/>
              <w:ind w:left="450" w:right="0" w:hanging="225"/>
              <w:rPr/>
            </w:pPr>
            <w:r>
              <w:rPr/>
              <w:t>Consolidated</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133,122</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674" w:type="dxa"/>
            <w:tcBorders/>
            <w:shd w:fill="auto" w:val="clear"/>
            <w:vAlign w:val="bottom"/>
          </w:tcPr>
          <w:p>
            <w:pPr>
              <w:pStyle w:val="TableContents"/>
              <w:spacing w:before="0" w:after="283"/>
              <w:jc w:val="right"/>
              <w:rPr/>
            </w:pPr>
            <w:r>
              <w:rPr/>
              <w:t>9.24</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57,646</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c>
          <w:tcPr>
            <w:tcW w:w="600" w:type="dxa"/>
            <w:tcBorders/>
            <w:shd w:fill="auto" w:val="clear"/>
            <w:vAlign w:val="bottom"/>
          </w:tcPr>
          <w:p>
            <w:pPr>
              <w:pStyle w:val="TableContents"/>
              <w:spacing w:before="0" w:after="283"/>
              <w:jc w:val="right"/>
              <w:rPr/>
            </w:pPr>
            <w:r>
              <w:rPr/>
              <w:t>4.00</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N/A</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pPr>
            <w:r>
              <w:rPr/>
              <w:t>N/A</w:t>
            </w:r>
          </w:p>
        </w:tc>
        <w:tc>
          <w:tcPr>
            <w:tcW w:w="231" w:type="dxa"/>
            <w:tcBorders/>
            <w:shd w:fill="auto" w:val="clear"/>
            <w:vAlign w:val="bottom"/>
          </w:tcPr>
          <w:p>
            <w:pPr>
              <w:pStyle w:val="TableContents"/>
              <w:spacing w:before="0" w:after="283"/>
              <w:rPr/>
            </w:pPr>
            <w:r>
              <w:rPr/>
              <w:t> </w:t>
            </w:r>
          </w:p>
        </w:tc>
      </w:tr>
      <w:tr>
        <w:trPr/>
        <w:tc>
          <w:tcPr>
            <w:tcW w:w="2239" w:type="dxa"/>
            <w:tcBorders/>
            <w:shd w:fill="CCEEFF" w:val="clear"/>
            <w:vAlign w:val="bottom"/>
          </w:tcPr>
          <w:p>
            <w:pPr>
              <w:pStyle w:val="TableContents"/>
              <w:spacing w:before="0" w:after="0"/>
              <w:ind w:left="450" w:right="0" w:hanging="225"/>
              <w:rPr/>
            </w:pPr>
            <w:r>
              <w:rPr/>
              <w:t>Busey Bank</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108,992</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jc w:val="left"/>
              <w:rPr/>
            </w:pPr>
            <w:r>
              <w:rPr/>
              <w:t> </w:t>
            </w:r>
          </w:p>
        </w:tc>
        <w:tc>
          <w:tcPr>
            <w:tcW w:w="674" w:type="dxa"/>
            <w:tcBorders/>
            <w:shd w:fill="CCEEFF" w:val="clear"/>
            <w:vAlign w:val="bottom"/>
          </w:tcPr>
          <w:p>
            <w:pPr>
              <w:pStyle w:val="TableContents"/>
              <w:spacing w:before="0" w:after="283"/>
              <w:jc w:val="right"/>
              <w:rPr/>
            </w:pPr>
            <w:r>
              <w:rPr/>
              <w:t>9.52</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45,790</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4.00</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68,685</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6.00</w:t>
            </w:r>
          </w:p>
        </w:tc>
        <w:tc>
          <w:tcPr>
            <w:tcW w:w="231" w:type="dxa"/>
            <w:tcBorders/>
            <w:shd w:fill="CCEEFF" w:val="clear"/>
            <w:vAlign w:val="bottom"/>
          </w:tcPr>
          <w:p>
            <w:pPr>
              <w:pStyle w:val="TableContents"/>
              <w:spacing w:before="0" w:after="283"/>
              <w:rPr/>
            </w:pPr>
            <w:r>
              <w:rPr/>
              <w:t>%</w:t>
            </w:r>
          </w:p>
        </w:tc>
      </w:tr>
      <w:tr>
        <w:trPr/>
        <w:tc>
          <w:tcPr>
            <w:tcW w:w="2239" w:type="dxa"/>
            <w:tcBorders/>
            <w:shd w:fill="auto" w:val="clear"/>
            <w:vAlign w:val="bottom"/>
          </w:tcPr>
          <w:p>
            <w:pPr>
              <w:pStyle w:val="TableContents"/>
              <w:spacing w:before="0" w:after="0"/>
              <w:ind w:left="450" w:right="0" w:hanging="225"/>
              <w:rPr/>
            </w:pPr>
            <w:r>
              <w:rPr/>
              <w:t>Busey Bank Florida</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13,495</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674" w:type="dxa"/>
            <w:tcBorders/>
            <w:shd w:fill="auto" w:val="clear"/>
            <w:vAlign w:val="bottom"/>
          </w:tcPr>
          <w:p>
            <w:pPr>
              <w:pStyle w:val="TableContents"/>
              <w:spacing w:before="0" w:after="283"/>
              <w:jc w:val="right"/>
              <w:rPr/>
            </w:pPr>
            <w:r>
              <w:rPr/>
              <w:t>10.31</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5,237</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c>
          <w:tcPr>
            <w:tcW w:w="600" w:type="dxa"/>
            <w:tcBorders/>
            <w:shd w:fill="auto" w:val="clear"/>
            <w:vAlign w:val="bottom"/>
          </w:tcPr>
          <w:p>
            <w:pPr>
              <w:pStyle w:val="TableContents"/>
              <w:spacing w:before="0" w:after="283"/>
              <w:jc w:val="right"/>
              <w:rPr/>
            </w:pPr>
            <w:r>
              <w:rPr/>
              <w:t>4.00</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7,855</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6.00</w:t>
            </w:r>
          </w:p>
        </w:tc>
        <w:tc>
          <w:tcPr>
            <w:tcW w:w="231" w:type="dxa"/>
            <w:tcBorders/>
            <w:shd w:fill="auto" w:val="clear"/>
            <w:vAlign w:val="bottom"/>
          </w:tcPr>
          <w:p>
            <w:pPr>
              <w:pStyle w:val="TableContents"/>
              <w:spacing w:before="0" w:after="283"/>
              <w:rPr/>
            </w:pPr>
            <w:r>
              <w:rPr/>
              <w:t>%</w:t>
            </w:r>
          </w:p>
        </w:tc>
      </w:tr>
      <w:tr>
        <w:trPr/>
        <w:tc>
          <w:tcPr>
            <w:tcW w:w="2239" w:type="dxa"/>
            <w:tcBorders/>
            <w:shd w:fill="CCEEFF" w:val="clear"/>
            <w:vAlign w:val="bottom"/>
          </w:tcPr>
          <w:p>
            <w:pPr>
              <w:pStyle w:val="TableContents"/>
              <w:spacing w:before="0" w:after="0"/>
              <w:ind w:left="450" w:right="0" w:hanging="225"/>
              <w:rPr/>
            </w:pPr>
            <w:r>
              <w:rPr/>
              <w:t>First Capital Bank</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15,960</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jc w:val="left"/>
              <w:rPr/>
            </w:pPr>
            <w:r>
              <w:rPr/>
              <w:t> </w:t>
            </w:r>
          </w:p>
        </w:tc>
        <w:tc>
          <w:tcPr>
            <w:tcW w:w="674" w:type="dxa"/>
            <w:tcBorders/>
            <w:shd w:fill="CCEEFF" w:val="clear"/>
            <w:vAlign w:val="bottom"/>
          </w:tcPr>
          <w:p>
            <w:pPr>
              <w:pStyle w:val="TableContents"/>
              <w:spacing w:before="0" w:after="283"/>
              <w:jc w:val="right"/>
              <w:rPr/>
            </w:pPr>
            <w:r>
              <w:rPr/>
              <w:t>10.71</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5,963</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4.00</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8,945</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6.00</w:t>
            </w:r>
          </w:p>
        </w:tc>
        <w:tc>
          <w:tcPr>
            <w:tcW w:w="231" w:type="dxa"/>
            <w:tcBorders/>
            <w:shd w:fill="CCEEFF" w:val="clear"/>
            <w:vAlign w:val="bottom"/>
          </w:tcPr>
          <w:p>
            <w:pPr>
              <w:pStyle w:val="TableContents"/>
              <w:spacing w:before="0" w:after="283"/>
              <w:rPr/>
            </w:pPr>
            <w:r>
              <w:rPr/>
              <w:t>%</w:t>
            </w:r>
          </w:p>
        </w:tc>
      </w:tr>
      <w:tr>
        <w:trPr/>
        <w:tc>
          <w:tcPr>
            <w:tcW w:w="2239" w:type="dxa"/>
            <w:tcBorders/>
            <w:shd w:fill="auto" w:val="clear"/>
            <w:vAlign w:val="bottom"/>
          </w:tcPr>
          <w:p>
            <w:pPr>
              <w:pStyle w:val="TableContents"/>
              <w:spacing w:before="0" w:after="0"/>
              <w:ind w:left="225" w:right="0" w:hanging="225"/>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0"/>
              <w:ind w:left="225" w:right="0" w:hanging="225"/>
              <w:rPr/>
            </w:pPr>
            <w:r>
              <w:rPr/>
              <w:t>Tier I Capital (to Average Assets)</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2239" w:type="dxa"/>
            <w:tcBorders/>
            <w:shd w:fill="CCEEFF" w:val="clear"/>
            <w:vAlign w:val="bottom"/>
          </w:tcPr>
          <w:p>
            <w:pPr>
              <w:pStyle w:val="TableContents"/>
              <w:spacing w:before="0" w:after="0"/>
              <w:ind w:left="450" w:right="0" w:hanging="225"/>
              <w:rPr/>
            </w:pPr>
            <w:r>
              <w:rPr/>
              <w:t>Consolidated</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133,122</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jc w:val="left"/>
              <w:rPr/>
            </w:pPr>
            <w:r>
              <w:rPr/>
              <w:t> </w:t>
            </w:r>
          </w:p>
        </w:tc>
        <w:tc>
          <w:tcPr>
            <w:tcW w:w="674" w:type="dxa"/>
            <w:tcBorders/>
            <w:shd w:fill="CCEEFF" w:val="clear"/>
            <w:vAlign w:val="bottom"/>
          </w:tcPr>
          <w:p>
            <w:pPr>
              <w:pStyle w:val="TableContents"/>
              <w:spacing w:before="0" w:after="283"/>
              <w:jc w:val="right"/>
              <w:rPr/>
            </w:pPr>
            <w:r>
              <w:rPr/>
              <w:t>6.88</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77,382</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4.00</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N/A</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pPr>
            <w:r>
              <w:rPr/>
              <w:t>N/A</w:t>
            </w:r>
          </w:p>
        </w:tc>
        <w:tc>
          <w:tcPr>
            <w:tcW w:w="231" w:type="dxa"/>
            <w:tcBorders/>
            <w:shd w:fill="CCEEFF" w:val="clear"/>
            <w:vAlign w:val="bottom"/>
          </w:tcPr>
          <w:p>
            <w:pPr>
              <w:pStyle w:val="TableContents"/>
              <w:spacing w:before="0" w:after="283"/>
              <w:rPr/>
            </w:pPr>
            <w:r>
              <w:rPr/>
              <w:t> </w:t>
            </w:r>
          </w:p>
        </w:tc>
      </w:tr>
      <w:tr>
        <w:trPr/>
        <w:tc>
          <w:tcPr>
            <w:tcW w:w="2239" w:type="dxa"/>
            <w:tcBorders/>
            <w:shd w:fill="auto" w:val="clear"/>
            <w:vAlign w:val="bottom"/>
          </w:tcPr>
          <w:p>
            <w:pPr>
              <w:pStyle w:val="TableContents"/>
              <w:spacing w:before="0" w:after="0"/>
              <w:ind w:left="450" w:right="0" w:hanging="225"/>
              <w:rPr/>
            </w:pPr>
            <w:r>
              <w:rPr/>
              <w:t>Busey Bank</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108,992</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674" w:type="dxa"/>
            <w:tcBorders/>
            <w:shd w:fill="auto" w:val="clear"/>
            <w:vAlign w:val="bottom"/>
          </w:tcPr>
          <w:p>
            <w:pPr>
              <w:pStyle w:val="TableContents"/>
              <w:spacing w:before="0" w:after="283"/>
              <w:jc w:val="right"/>
              <w:rPr/>
            </w:pPr>
            <w:r>
              <w:rPr/>
              <w:t>7.15</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60,945</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c>
          <w:tcPr>
            <w:tcW w:w="600" w:type="dxa"/>
            <w:tcBorders/>
            <w:shd w:fill="auto" w:val="clear"/>
            <w:vAlign w:val="bottom"/>
          </w:tcPr>
          <w:p>
            <w:pPr>
              <w:pStyle w:val="TableContents"/>
              <w:spacing w:before="0" w:after="283"/>
              <w:jc w:val="right"/>
              <w:rPr/>
            </w:pPr>
            <w:r>
              <w:rPr/>
              <w:t>4.00</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76,181</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5.00</w:t>
            </w:r>
          </w:p>
        </w:tc>
        <w:tc>
          <w:tcPr>
            <w:tcW w:w="231" w:type="dxa"/>
            <w:tcBorders/>
            <w:shd w:fill="auto" w:val="clear"/>
            <w:vAlign w:val="bottom"/>
          </w:tcPr>
          <w:p>
            <w:pPr>
              <w:pStyle w:val="TableContents"/>
              <w:spacing w:before="0" w:after="283"/>
              <w:rPr/>
            </w:pPr>
            <w:r>
              <w:rPr/>
              <w:t>%</w:t>
            </w:r>
          </w:p>
        </w:tc>
      </w:tr>
      <w:tr>
        <w:trPr/>
        <w:tc>
          <w:tcPr>
            <w:tcW w:w="2239" w:type="dxa"/>
            <w:tcBorders/>
            <w:shd w:fill="CCEEFF" w:val="clear"/>
            <w:vAlign w:val="bottom"/>
          </w:tcPr>
          <w:p>
            <w:pPr>
              <w:pStyle w:val="TableContents"/>
              <w:spacing w:before="0" w:after="0"/>
              <w:ind w:left="450" w:right="0" w:hanging="225"/>
              <w:rPr/>
            </w:pPr>
            <w:r>
              <w:rPr/>
              <w:t>Busey Bank Florida</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13,495</w:t>
            </w:r>
          </w:p>
        </w:tc>
        <w:tc>
          <w:tcPr>
            <w:tcW w:w="9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jc w:val="left"/>
              <w:rPr/>
            </w:pPr>
            <w:r>
              <w:rPr/>
              <w:t> </w:t>
            </w:r>
          </w:p>
        </w:tc>
        <w:tc>
          <w:tcPr>
            <w:tcW w:w="674" w:type="dxa"/>
            <w:tcBorders/>
            <w:shd w:fill="CCEEFF" w:val="clear"/>
            <w:vAlign w:val="bottom"/>
          </w:tcPr>
          <w:p>
            <w:pPr>
              <w:pStyle w:val="TableContents"/>
              <w:spacing w:before="0" w:after="283"/>
              <w:jc w:val="right"/>
              <w:rPr/>
            </w:pPr>
            <w:r>
              <w:rPr/>
              <w:t>8.06</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6,694</w:t>
            </w:r>
          </w:p>
        </w:tc>
        <w:tc>
          <w:tcPr>
            <w:tcW w:w="93"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right"/>
              <w:rPr/>
            </w:pPr>
            <w:r>
              <w:rPr/>
              <w:t>4.00</w:t>
            </w:r>
          </w:p>
        </w:tc>
        <w:tc>
          <w:tcPr>
            <w:tcW w:w="216" w:type="dxa"/>
            <w:tcBorders/>
            <w:shd w:fill="CCEEFF" w:val="clear"/>
            <w:vAlign w:val="bottom"/>
          </w:tcPr>
          <w:p>
            <w:pPr>
              <w:pStyle w:val="TableContents"/>
              <w:spacing w:before="0" w:after="283"/>
              <w:rPr/>
            </w:pPr>
            <w:r>
              <w:rPr/>
              <w:t>%</w:t>
            </w:r>
          </w:p>
        </w:tc>
        <w:tc>
          <w:tcPr>
            <w:tcW w:w="27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8,368</w:t>
            </w:r>
          </w:p>
        </w:tc>
        <w:tc>
          <w:tcPr>
            <w:tcW w:w="9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5.00</w:t>
            </w:r>
          </w:p>
        </w:tc>
        <w:tc>
          <w:tcPr>
            <w:tcW w:w="231" w:type="dxa"/>
            <w:tcBorders/>
            <w:shd w:fill="CCEEFF" w:val="clear"/>
            <w:vAlign w:val="bottom"/>
          </w:tcPr>
          <w:p>
            <w:pPr>
              <w:pStyle w:val="TableContents"/>
              <w:spacing w:before="0" w:after="283"/>
              <w:rPr/>
            </w:pPr>
            <w:r>
              <w:rPr/>
              <w:t>%</w:t>
            </w:r>
          </w:p>
        </w:tc>
      </w:tr>
      <w:tr>
        <w:trPr/>
        <w:tc>
          <w:tcPr>
            <w:tcW w:w="2239" w:type="dxa"/>
            <w:tcBorders/>
            <w:shd w:fill="auto" w:val="clear"/>
            <w:vAlign w:val="bottom"/>
          </w:tcPr>
          <w:p>
            <w:pPr>
              <w:pStyle w:val="TableContents"/>
              <w:spacing w:before="0" w:after="0"/>
              <w:ind w:left="450" w:right="0" w:hanging="225"/>
              <w:rPr/>
            </w:pPr>
            <w:r>
              <w:rPr/>
              <w:t>First Capital Bank</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15,960</w:t>
            </w:r>
          </w:p>
        </w:tc>
        <w:tc>
          <w:tcPr>
            <w:tcW w:w="9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674" w:type="dxa"/>
            <w:tcBorders/>
            <w:shd w:fill="auto" w:val="clear"/>
            <w:vAlign w:val="bottom"/>
          </w:tcPr>
          <w:p>
            <w:pPr>
              <w:pStyle w:val="TableContents"/>
              <w:spacing w:before="0" w:after="283"/>
              <w:jc w:val="right"/>
              <w:rPr/>
            </w:pPr>
            <w:r>
              <w:rPr/>
              <w:t>6.91</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9,233</w:t>
            </w:r>
          </w:p>
        </w:tc>
        <w:tc>
          <w:tcPr>
            <w:tcW w:w="93"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left"/>
              <w:rPr/>
            </w:pPr>
            <w:r>
              <w:rPr/>
              <w:t> </w:t>
            </w:r>
          </w:p>
        </w:tc>
        <w:tc>
          <w:tcPr>
            <w:tcW w:w="600" w:type="dxa"/>
            <w:tcBorders/>
            <w:shd w:fill="auto" w:val="clear"/>
            <w:vAlign w:val="bottom"/>
          </w:tcPr>
          <w:p>
            <w:pPr>
              <w:pStyle w:val="TableContents"/>
              <w:spacing w:before="0" w:after="283"/>
              <w:jc w:val="right"/>
              <w:rPr/>
            </w:pPr>
            <w:r>
              <w:rPr/>
              <w:t>4.00</w:t>
            </w:r>
          </w:p>
        </w:tc>
        <w:tc>
          <w:tcPr>
            <w:tcW w:w="216"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11,541</w:t>
            </w:r>
          </w:p>
        </w:tc>
        <w:tc>
          <w:tcPr>
            <w:tcW w:w="9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5.00</w:t>
            </w:r>
          </w:p>
        </w:tc>
        <w:tc>
          <w:tcPr>
            <w:tcW w:w="231" w:type="dxa"/>
            <w:tcBorders/>
            <w:shd w:fill="auto" w:val="clear"/>
            <w:vAlign w:val="bottom"/>
          </w:tcPr>
          <w:p>
            <w:pPr>
              <w:pStyle w:val="TableContents"/>
              <w:spacing w:before="0" w:after="283"/>
              <w:rPr/>
            </w:pPr>
            <w:r>
              <w:rPr/>
              <w:t>%</w:t>
            </w:r>
          </w:p>
        </w:tc>
      </w:tr>
    </w:tbl>
    <w:p>
      <w:pPr>
        <w:pStyle w:val="TextBody"/>
        <w:jc w:val="center"/>
        <w:rPr>
          <w:rFonts w:ascii="Arial;Helvetica;sans-serif" w:hAnsi="Arial;Helvetica;sans-serif"/>
          <w:sz w:val="17"/>
        </w:rPr>
      </w:pPr>
      <w:r>
        <w:rPr>
          <w:rFonts w:ascii="Arial;Helvetica;sans-serif" w:hAnsi="Arial;Helvetica;sans-serif"/>
          <w:sz w:val="17"/>
        </w:rPr>
        <w:t xml:space="preserve">84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 19. Commitments, Contingencies and Credit Risk</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Corporation and its subsidiaries are parties to legal actions which arise in the normal course of their business activities. In the opinion of management, the ultimate resolution of these matters is not expected to have a material effect on the financial position or the results of operations of the Corporation and its subsidiaries.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As of December 31, 2005, Busey Bank had entered into contractual commitments for the construction of a new branch location in Normal, Illinois. Busey Bank Florida had entered into separate contractual commitments for the construction of a new branch location in Cape Coral, Florida. Total commitment for these two projects is approximately $4,129,000. As of December 31, 2005, $2,232,000 remains outstanding under these contracts. Both projects are expected to be completed during the first quarter of 2006.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Corporation and its subsidiaries are parties to credit 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Corporation and its subsidiaries exposure to credit loss is represented by the contractual amount of those commitments. The Corporation and its subsidiaries use the same credit policies in making commitments and conditional obligations as it does for on-balance-sheet instruments.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 summary of the contractual amount of the Corporations exposure to off-balance-sheet risk follows: </w:t>
      </w:r>
    </w:p>
    <w:tbl>
      <w:tblPr>
        <w:tblW w:w="5000" w:type="pct"/>
        <w:jc w:val="center"/>
        <w:tblInd w:w="0" w:type="dxa"/>
        <w:tblCellMar>
          <w:top w:w="0" w:type="dxa"/>
          <w:left w:w="0" w:type="dxa"/>
          <w:bottom w:w="0" w:type="dxa"/>
          <w:right w:w="0" w:type="dxa"/>
        </w:tblCellMar>
      </w:tblPr>
      <w:tblGrid>
        <w:gridCol w:w="7137"/>
        <w:gridCol w:w="463"/>
        <w:gridCol w:w="151"/>
        <w:gridCol w:w="804"/>
        <w:gridCol w:w="114"/>
        <w:gridCol w:w="463"/>
        <w:gridCol w:w="151"/>
        <w:gridCol w:w="804"/>
        <w:gridCol w:w="118"/>
      </w:tblGrid>
      <w:tr>
        <w:trPr/>
        <w:tc>
          <w:tcPr>
            <w:tcW w:w="7137"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137"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2605" w:type="dxa"/>
            <w:gridSpan w:val="7"/>
            <w:tcBorders>
              <w:bottom w:val="single" w:sz="2" w:space="0" w:color="000000"/>
            </w:tcBorders>
            <w:shd w:fill="auto" w:val="clear"/>
            <w:tcMar>
              <w:bottom w:w="28" w:type="dxa"/>
            </w:tcMar>
            <w:vAlign w:val="bottom"/>
          </w:tcPr>
          <w:p>
            <w:pPr>
              <w:pStyle w:val="TableContents"/>
              <w:spacing w:before="0" w:after="283"/>
              <w:jc w:val="center"/>
              <w:rPr/>
            </w:pPr>
            <w:r>
              <w:rPr/>
              <w:t>December 31,</w:t>
            </w:r>
          </w:p>
        </w:tc>
      </w:tr>
      <w:tr>
        <w:trPr/>
        <w:tc>
          <w:tcPr>
            <w:tcW w:w="7137"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069" w:type="dxa"/>
            <w:gridSpan w:val="3"/>
            <w:tcBorders/>
            <w:shd w:fill="auto" w:val="clear"/>
            <w:vAlign w:val="bottom"/>
          </w:tcPr>
          <w:p>
            <w:pPr>
              <w:pStyle w:val="TableContents"/>
              <w:spacing w:before="0" w:after="283"/>
              <w:jc w:val="center"/>
              <w:rPr/>
            </w:pPr>
            <w:r>
              <w:rPr/>
              <w:t>2005</w:t>
            </w:r>
          </w:p>
        </w:tc>
        <w:tc>
          <w:tcPr>
            <w:tcW w:w="463" w:type="dxa"/>
            <w:tcBorders/>
            <w:shd w:fill="auto" w:val="clear"/>
            <w:vAlign w:val="bottom"/>
          </w:tcPr>
          <w:p>
            <w:pPr>
              <w:pStyle w:val="TableContents"/>
              <w:spacing w:before="0" w:after="283"/>
              <w:rPr/>
            </w:pPr>
            <w:r>
              <w:rPr/>
              <w:t> </w:t>
            </w:r>
          </w:p>
        </w:tc>
        <w:tc>
          <w:tcPr>
            <w:tcW w:w="1073" w:type="dxa"/>
            <w:gridSpan w:val="3"/>
            <w:tcBorders/>
            <w:shd w:fill="auto" w:val="clear"/>
            <w:vAlign w:val="bottom"/>
          </w:tcPr>
          <w:p>
            <w:pPr>
              <w:pStyle w:val="TableContents"/>
              <w:spacing w:before="0" w:after="283"/>
              <w:jc w:val="center"/>
              <w:rPr/>
            </w:pPr>
            <w:r>
              <w:rPr/>
              <w:t>2004</w:t>
            </w:r>
          </w:p>
        </w:tc>
      </w:tr>
      <w:tr>
        <w:trPr/>
        <w:tc>
          <w:tcPr>
            <w:tcW w:w="7137"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2605"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37"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2605" w:type="dxa"/>
            <w:gridSpan w:val="7"/>
            <w:tcBorders/>
            <w:shd w:fill="auto" w:val="clear"/>
            <w:vAlign w:val="bottom"/>
          </w:tcPr>
          <w:p>
            <w:pPr>
              <w:pStyle w:val="TableContents"/>
              <w:spacing w:before="0" w:after="283"/>
              <w:jc w:val="center"/>
              <w:rPr/>
            </w:pPr>
            <w:r>
              <w:rPr/>
              <w:t>(Dollars in thousands)</w:t>
            </w:r>
          </w:p>
        </w:tc>
      </w:tr>
      <w:tr>
        <w:trPr/>
        <w:tc>
          <w:tcPr>
            <w:tcW w:w="7137" w:type="dxa"/>
            <w:tcBorders/>
            <w:shd w:fill="CCEEFF" w:val="clear"/>
            <w:vAlign w:val="bottom"/>
          </w:tcPr>
          <w:p>
            <w:pPr>
              <w:pStyle w:val="TableContents"/>
              <w:spacing w:before="0" w:after="283"/>
              <w:rPr/>
            </w:pPr>
            <w:r>
              <w:rPr/>
              <w:t>Financial instruments whose contract amounts represent credit risk:</w:t>
            </w:r>
          </w:p>
        </w:tc>
        <w:tc>
          <w:tcPr>
            <w:tcW w:w="463" w:type="dxa"/>
            <w:tcBorders/>
            <w:shd w:fill="CCEEFF" w:val="clear"/>
            <w:vAlign w:val="bottom"/>
          </w:tcPr>
          <w:p>
            <w:pPr>
              <w:pStyle w:val="TableContents"/>
              <w:spacing w:before="0" w:after="283"/>
              <w:rPr/>
            </w:pPr>
            <w:r>
              <w:rPr/>
              <w:t> </w:t>
            </w:r>
          </w:p>
        </w:tc>
        <w:tc>
          <w:tcPr>
            <w:tcW w:w="2605" w:type="dxa"/>
            <w:gridSpan w:val="7"/>
            <w:tcBorders/>
            <w:shd w:fill="CCEEFF" w:val="clear"/>
            <w:vAlign w:val="bottom"/>
          </w:tcPr>
          <w:p>
            <w:pPr>
              <w:pStyle w:val="TableContents"/>
              <w:spacing w:before="0" w:after="283"/>
              <w:jc w:val="center"/>
              <w:rPr/>
            </w:pPr>
            <w:r>
              <w:rPr/>
              <w:t> </w:t>
            </w:r>
          </w:p>
        </w:tc>
      </w:tr>
      <w:tr>
        <w:trPr/>
        <w:tc>
          <w:tcPr>
            <w:tcW w:w="7137" w:type="dxa"/>
            <w:tcBorders/>
            <w:shd w:fill="auto" w:val="clear"/>
            <w:vAlign w:val="bottom"/>
          </w:tcPr>
          <w:p>
            <w:pPr>
              <w:pStyle w:val="TableContents"/>
              <w:spacing w:before="0" w:after="0"/>
              <w:ind w:left="225" w:right="0" w:hanging="225"/>
              <w:rPr/>
            </w:pPr>
            <w:r>
              <w:rPr/>
              <w:t>Commitments to extend credit</w:t>
            </w:r>
          </w:p>
        </w:tc>
        <w:tc>
          <w:tcPr>
            <w:tcW w:w="4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right"/>
              <w:rPr/>
            </w:pPr>
            <w:r>
              <w:rPr/>
              <w:t>$</w:t>
            </w:r>
          </w:p>
        </w:tc>
        <w:tc>
          <w:tcPr>
            <w:tcW w:w="804" w:type="dxa"/>
            <w:tcBorders/>
            <w:shd w:fill="auto" w:val="clear"/>
            <w:vAlign w:val="bottom"/>
          </w:tcPr>
          <w:p>
            <w:pPr>
              <w:pStyle w:val="TableContents"/>
              <w:spacing w:before="0" w:after="283"/>
              <w:jc w:val="right"/>
              <w:rPr/>
            </w:pPr>
            <w:r>
              <w:rPr/>
              <w:t>559,847</w:t>
            </w:r>
          </w:p>
        </w:tc>
        <w:tc>
          <w:tcPr>
            <w:tcW w:w="114"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right"/>
              <w:rPr/>
            </w:pPr>
            <w:r>
              <w:rPr/>
              <w:t>$</w:t>
            </w:r>
          </w:p>
        </w:tc>
        <w:tc>
          <w:tcPr>
            <w:tcW w:w="804" w:type="dxa"/>
            <w:tcBorders/>
            <w:shd w:fill="auto" w:val="clear"/>
            <w:vAlign w:val="bottom"/>
          </w:tcPr>
          <w:p>
            <w:pPr>
              <w:pStyle w:val="TableContents"/>
              <w:spacing w:before="0" w:after="283"/>
              <w:jc w:val="right"/>
              <w:rPr/>
            </w:pPr>
            <w:r>
              <w:rPr/>
              <w:t>413,679</w:t>
            </w:r>
          </w:p>
        </w:tc>
        <w:tc>
          <w:tcPr>
            <w:tcW w:w="118" w:type="dxa"/>
            <w:tcBorders/>
            <w:shd w:fill="auto" w:val="clear"/>
            <w:vAlign w:val="bottom"/>
          </w:tcPr>
          <w:p>
            <w:pPr>
              <w:pStyle w:val="TableContents"/>
              <w:spacing w:before="0" w:after="283"/>
              <w:rPr/>
            </w:pPr>
            <w:r>
              <w:rPr/>
              <w:t> </w:t>
            </w:r>
          </w:p>
        </w:tc>
      </w:tr>
      <w:tr>
        <w:trPr/>
        <w:tc>
          <w:tcPr>
            <w:tcW w:w="7137" w:type="dxa"/>
            <w:tcBorders/>
            <w:shd w:fill="CCEEFF" w:val="clear"/>
            <w:vAlign w:val="bottom"/>
          </w:tcPr>
          <w:p>
            <w:pPr>
              <w:pStyle w:val="TableContents"/>
              <w:spacing w:before="0" w:after="0"/>
              <w:ind w:left="225" w:right="0" w:hanging="225"/>
              <w:rPr/>
            </w:pPr>
            <w:r>
              <w:rPr/>
              <w:t>Standby letters of credit</w:t>
            </w:r>
          </w:p>
        </w:tc>
        <w:tc>
          <w:tcPr>
            <w:tcW w:w="46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12,567</w:t>
            </w:r>
          </w:p>
        </w:tc>
        <w:tc>
          <w:tcPr>
            <w:tcW w:w="114"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12,507</w:t>
            </w:r>
          </w:p>
        </w:tc>
        <w:tc>
          <w:tcPr>
            <w:tcW w:w="118" w:type="dxa"/>
            <w:tcBorders/>
            <w:shd w:fill="CCEEFF" w:val="clear"/>
            <w:vAlign w:val="bottom"/>
          </w:tcPr>
          <w:p>
            <w:pPr>
              <w:pStyle w:val="TableContents"/>
              <w:spacing w:before="0" w:after="283"/>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 amount of collateral obtained, if it is deemed necessary by the Corporation upon extension of credit, is based on managements credit evaluation of the customer.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Standby letters of credit are conditional commitments issued by the Corporation to guarantee the performance of a customer to a third 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Corporation holds collateral, which may include accounts receivable, inventory, property and equipment, income producing properties, supporting those commitments if deemed necessary. In the event the customer does not perform in accordance with the terms of the agreement with the third party, the corporation would be required to fund the commitment. </w:t>
      </w:r>
    </w:p>
    <w:p>
      <w:pPr>
        <w:pStyle w:val="TextBody"/>
        <w:jc w:val="center"/>
        <w:rPr>
          <w:rFonts w:ascii="Arial;Helvetica;sans-serif" w:hAnsi="Arial;Helvetica;sans-serif"/>
          <w:sz w:val="17"/>
        </w:rPr>
      </w:pPr>
      <w:r>
        <w:rPr>
          <w:rFonts w:ascii="Arial;Helvetica;sans-serif" w:hAnsi="Arial;Helvetica;sans-serif"/>
          <w:sz w:val="17"/>
        </w:rPr>
        <w:t xml:space="preserve">85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maximum potential amount of future payments the Corporation could be required to make is represented by the contractual amount shown in the summary above. If the commitment is funded, the Corporation would be entitled to seek recovery from the customer. At December 31, 2005 and 2004, no amounts have been recorded as liabilities for the corporations potential obligations under these guarantees.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As of December 31, 2005, the Corporation has no futures, forwards, swaps or option contracts, or other financial instruments with similar characteristics with the exception of rate lock commitments on mortgage loans to be held for sale.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Lease Commitments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At December 31, 2005, the Corporation was obligated under noncancelable operating leases for office space and other commitments. Rent expense under operating leases, included in net occupancy expense of premises, was approximately $1,041,000, $992,000, and $790,000 the years ended December 31, 2005, 2004 and 2003, respectively.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projected minimum rental payments under the terms of the leases at December 31, 2005, in thousands, are as follows: </w:t>
      </w:r>
    </w:p>
    <w:tbl>
      <w:tblPr>
        <w:tblW w:w="5000" w:type="pct"/>
        <w:jc w:val="center"/>
        <w:tblInd w:w="0" w:type="dxa"/>
        <w:tblCellMar>
          <w:top w:w="0" w:type="dxa"/>
          <w:left w:w="0" w:type="dxa"/>
          <w:bottom w:w="0" w:type="dxa"/>
          <w:right w:w="0" w:type="dxa"/>
        </w:tblCellMar>
      </w:tblPr>
      <w:tblGrid>
        <w:gridCol w:w="8773"/>
        <w:gridCol w:w="503"/>
        <w:gridCol w:w="142"/>
        <w:gridCol w:w="668"/>
        <w:gridCol w:w="119"/>
      </w:tblGrid>
      <w:tr>
        <w:trPr/>
        <w:tc>
          <w:tcPr>
            <w:tcW w:w="8773"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8773" w:type="dxa"/>
            <w:tcBorders/>
            <w:shd w:fill="CCEEFF" w:val="clear"/>
            <w:vAlign w:val="bottom"/>
          </w:tcPr>
          <w:p>
            <w:pPr>
              <w:pStyle w:val="TableContents"/>
              <w:spacing w:before="0" w:after="0"/>
              <w:ind w:left="225" w:right="0" w:hanging="225"/>
              <w:rPr/>
            </w:pPr>
            <w:r>
              <w:rPr/>
              <w:t>2006</w:t>
            </w:r>
          </w:p>
        </w:tc>
        <w:tc>
          <w:tcPr>
            <w:tcW w:w="5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668" w:type="dxa"/>
            <w:tcBorders/>
            <w:shd w:fill="CCEEFF" w:val="clear"/>
            <w:vAlign w:val="bottom"/>
          </w:tcPr>
          <w:p>
            <w:pPr>
              <w:pStyle w:val="TableContents"/>
              <w:spacing w:before="0" w:after="283"/>
              <w:jc w:val="right"/>
              <w:rPr/>
            </w:pPr>
            <w:r>
              <w:rPr/>
              <w:t>1,007</w:t>
            </w:r>
          </w:p>
        </w:tc>
        <w:tc>
          <w:tcPr>
            <w:tcW w:w="119" w:type="dxa"/>
            <w:tcBorders/>
            <w:shd w:fill="CCEEFF" w:val="clear"/>
            <w:vAlign w:val="bottom"/>
          </w:tcPr>
          <w:p>
            <w:pPr>
              <w:pStyle w:val="TableContents"/>
              <w:spacing w:before="0" w:after="283"/>
              <w:rPr/>
            </w:pPr>
            <w:r>
              <w:rPr/>
              <w:t> </w:t>
            </w:r>
          </w:p>
        </w:tc>
      </w:tr>
      <w:tr>
        <w:trPr/>
        <w:tc>
          <w:tcPr>
            <w:tcW w:w="8773" w:type="dxa"/>
            <w:tcBorders/>
            <w:shd w:fill="auto" w:val="clear"/>
            <w:vAlign w:val="bottom"/>
          </w:tcPr>
          <w:p>
            <w:pPr>
              <w:pStyle w:val="TableContents"/>
              <w:spacing w:before="0" w:after="0"/>
              <w:ind w:left="225" w:right="0" w:hanging="225"/>
              <w:rPr/>
            </w:pPr>
            <w:r>
              <w:rPr/>
              <w:t>2007</w:t>
            </w:r>
          </w:p>
        </w:tc>
        <w:tc>
          <w:tcPr>
            <w:tcW w:w="5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911</w:t>
            </w:r>
          </w:p>
        </w:tc>
        <w:tc>
          <w:tcPr>
            <w:tcW w:w="119" w:type="dxa"/>
            <w:tcBorders/>
            <w:shd w:fill="auto" w:val="clear"/>
            <w:vAlign w:val="bottom"/>
          </w:tcPr>
          <w:p>
            <w:pPr>
              <w:pStyle w:val="TableContents"/>
              <w:spacing w:before="0" w:after="283"/>
              <w:rPr/>
            </w:pPr>
            <w:r>
              <w:rPr/>
              <w:t> </w:t>
            </w:r>
          </w:p>
        </w:tc>
      </w:tr>
      <w:tr>
        <w:trPr/>
        <w:tc>
          <w:tcPr>
            <w:tcW w:w="8773" w:type="dxa"/>
            <w:tcBorders/>
            <w:shd w:fill="CCEEFF" w:val="clear"/>
            <w:vAlign w:val="bottom"/>
          </w:tcPr>
          <w:p>
            <w:pPr>
              <w:pStyle w:val="TableContents"/>
              <w:spacing w:before="0" w:after="0"/>
              <w:ind w:left="225" w:right="0" w:hanging="225"/>
              <w:rPr/>
            </w:pPr>
            <w:r>
              <w:rPr/>
              <w:t>2008</w:t>
            </w:r>
          </w:p>
        </w:tc>
        <w:tc>
          <w:tcPr>
            <w:tcW w:w="5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705</w:t>
            </w:r>
          </w:p>
        </w:tc>
        <w:tc>
          <w:tcPr>
            <w:tcW w:w="119" w:type="dxa"/>
            <w:tcBorders/>
            <w:shd w:fill="CCEEFF" w:val="clear"/>
            <w:vAlign w:val="bottom"/>
          </w:tcPr>
          <w:p>
            <w:pPr>
              <w:pStyle w:val="TableContents"/>
              <w:spacing w:before="0" w:after="283"/>
              <w:rPr/>
            </w:pPr>
            <w:r>
              <w:rPr/>
              <w:t> </w:t>
            </w:r>
          </w:p>
        </w:tc>
      </w:tr>
      <w:tr>
        <w:trPr/>
        <w:tc>
          <w:tcPr>
            <w:tcW w:w="8773" w:type="dxa"/>
            <w:tcBorders/>
            <w:shd w:fill="auto" w:val="clear"/>
            <w:vAlign w:val="bottom"/>
          </w:tcPr>
          <w:p>
            <w:pPr>
              <w:pStyle w:val="TableContents"/>
              <w:spacing w:before="0" w:after="0"/>
              <w:ind w:left="225" w:right="0" w:hanging="225"/>
              <w:rPr/>
            </w:pPr>
            <w:r>
              <w:rPr/>
              <w:t>2009</w:t>
            </w:r>
          </w:p>
        </w:tc>
        <w:tc>
          <w:tcPr>
            <w:tcW w:w="5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210</w:t>
            </w:r>
          </w:p>
        </w:tc>
        <w:tc>
          <w:tcPr>
            <w:tcW w:w="119" w:type="dxa"/>
            <w:tcBorders/>
            <w:shd w:fill="auto" w:val="clear"/>
            <w:vAlign w:val="bottom"/>
          </w:tcPr>
          <w:p>
            <w:pPr>
              <w:pStyle w:val="TableContents"/>
              <w:spacing w:before="0" w:after="283"/>
              <w:rPr/>
            </w:pPr>
            <w:r>
              <w:rPr/>
              <w:t> </w:t>
            </w:r>
          </w:p>
        </w:tc>
      </w:tr>
      <w:tr>
        <w:trPr/>
        <w:tc>
          <w:tcPr>
            <w:tcW w:w="8773" w:type="dxa"/>
            <w:tcBorders/>
            <w:shd w:fill="CCEEFF" w:val="clear"/>
            <w:vAlign w:val="bottom"/>
          </w:tcPr>
          <w:p>
            <w:pPr>
              <w:pStyle w:val="TableContents"/>
              <w:spacing w:before="0" w:after="0"/>
              <w:ind w:left="225" w:right="0" w:hanging="225"/>
              <w:rPr/>
            </w:pPr>
            <w:r>
              <w:rPr/>
              <w:t>2010</w:t>
            </w:r>
          </w:p>
        </w:tc>
        <w:tc>
          <w:tcPr>
            <w:tcW w:w="5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127</w:t>
            </w:r>
          </w:p>
        </w:tc>
        <w:tc>
          <w:tcPr>
            <w:tcW w:w="119" w:type="dxa"/>
            <w:tcBorders/>
            <w:shd w:fill="CCEEFF" w:val="clear"/>
            <w:vAlign w:val="bottom"/>
          </w:tcPr>
          <w:p>
            <w:pPr>
              <w:pStyle w:val="TableContents"/>
              <w:spacing w:before="0" w:after="283"/>
              <w:rPr/>
            </w:pPr>
            <w:r>
              <w:rPr/>
              <w:t> </w:t>
            </w:r>
          </w:p>
        </w:tc>
      </w:tr>
      <w:tr>
        <w:trPr/>
        <w:tc>
          <w:tcPr>
            <w:tcW w:w="8773" w:type="dxa"/>
            <w:tcBorders/>
            <w:shd w:fill="auto" w:val="clear"/>
            <w:vAlign w:val="bottom"/>
          </w:tcPr>
          <w:p>
            <w:pPr>
              <w:pStyle w:val="TableContents"/>
              <w:spacing w:before="0" w:after="0"/>
              <w:ind w:left="225" w:right="0" w:hanging="225"/>
              <w:rPr/>
            </w:pPr>
            <w:r>
              <w:rPr/>
              <w:t>Thereafter</w:t>
            </w:r>
          </w:p>
        </w:tc>
        <w:tc>
          <w:tcPr>
            <w:tcW w:w="5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153</w:t>
            </w:r>
          </w:p>
        </w:tc>
        <w:tc>
          <w:tcPr>
            <w:tcW w:w="119" w:type="dxa"/>
            <w:tcBorders/>
            <w:shd w:fill="auto" w:val="clear"/>
            <w:vAlign w:val="bottom"/>
          </w:tcPr>
          <w:p>
            <w:pPr>
              <w:pStyle w:val="TableContents"/>
              <w:spacing w:before="0" w:after="283"/>
              <w:rPr/>
            </w:pPr>
            <w:r>
              <w:rPr/>
              <w:t> </w:t>
            </w:r>
          </w:p>
        </w:tc>
      </w:tr>
      <w:tr>
        <w:trPr/>
        <w:tc>
          <w:tcPr>
            <w:tcW w:w="8773" w:type="dxa"/>
            <w:tcBorders/>
            <w:shd w:fill="auto" w:val="clear"/>
            <w:vAlign w:val="center"/>
          </w:tcPr>
          <w:p>
            <w:pPr>
              <w:pStyle w:val="TableContents"/>
              <w:spacing w:before="0" w:after="0"/>
              <w:ind w:left="225" w:right="0" w:hanging="225"/>
              <w:rPr/>
            </w:pPr>
            <w:r>
              <w:rPr/>
              <w:t> </w:t>
            </w:r>
          </w:p>
        </w:tc>
        <w:tc>
          <w:tcPr>
            <w:tcW w:w="503" w:type="dxa"/>
            <w:tcBorders/>
            <w:shd w:fill="auto" w:val="clear"/>
            <w:vAlign w:val="center"/>
          </w:tcPr>
          <w:p>
            <w:pPr>
              <w:pStyle w:val="TableContents"/>
              <w:spacing w:before="0" w:after="283"/>
              <w:rPr/>
            </w:pPr>
            <w:r>
              <w:rPr/>
              <w:t> </w:t>
            </w:r>
          </w:p>
        </w:tc>
        <w:tc>
          <w:tcPr>
            <w:tcW w:w="8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8773" w:type="dxa"/>
            <w:tcBorders/>
            <w:shd w:fill="CCEEFF" w:val="clear"/>
            <w:vAlign w:val="bottom"/>
          </w:tcPr>
          <w:p>
            <w:pPr>
              <w:pStyle w:val="TableContents"/>
              <w:spacing w:before="0" w:after="0"/>
              <w:ind w:left="225" w:right="0" w:hanging="225"/>
              <w:rPr/>
            </w:pPr>
            <w:r>
              <w:rPr/>
              <w:t> </w:t>
            </w:r>
          </w:p>
        </w:tc>
        <w:tc>
          <w:tcPr>
            <w:tcW w:w="5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668" w:type="dxa"/>
            <w:tcBorders/>
            <w:shd w:fill="CCEEFF" w:val="clear"/>
            <w:vAlign w:val="bottom"/>
          </w:tcPr>
          <w:p>
            <w:pPr>
              <w:pStyle w:val="TableContents"/>
              <w:spacing w:before="0" w:after="283"/>
              <w:jc w:val="right"/>
              <w:rPr/>
            </w:pPr>
            <w:r>
              <w:rPr/>
              <w:t>3,113</w:t>
            </w:r>
          </w:p>
        </w:tc>
        <w:tc>
          <w:tcPr>
            <w:tcW w:w="119" w:type="dxa"/>
            <w:tcBorders/>
            <w:shd w:fill="CCEEFF" w:val="clear"/>
            <w:vAlign w:val="bottom"/>
          </w:tcPr>
          <w:p>
            <w:pPr>
              <w:pStyle w:val="TableContents"/>
              <w:spacing w:before="0" w:after="283"/>
              <w:rPr/>
            </w:pPr>
            <w:r>
              <w:rPr/>
              <w:t> </w:t>
            </w:r>
          </w:p>
        </w:tc>
      </w:tr>
      <w:tr>
        <w:trPr/>
        <w:tc>
          <w:tcPr>
            <w:tcW w:w="8773" w:type="dxa"/>
            <w:tcBorders/>
            <w:shd w:fill="auto" w:val="clear"/>
            <w:vAlign w:val="center"/>
          </w:tcPr>
          <w:p>
            <w:pPr>
              <w:pStyle w:val="TableContents"/>
              <w:spacing w:before="0" w:after="0"/>
              <w:ind w:left="225" w:right="0" w:hanging="225"/>
              <w:rPr/>
            </w:pPr>
            <w:r>
              <w:rPr/>
              <w:t> </w:t>
            </w:r>
          </w:p>
        </w:tc>
        <w:tc>
          <w:tcPr>
            <w:tcW w:w="503" w:type="dxa"/>
            <w:tcBorders/>
            <w:shd w:fill="auto" w:val="clear"/>
            <w:vAlign w:val="center"/>
          </w:tcPr>
          <w:p>
            <w:pPr>
              <w:pStyle w:val="TableContents"/>
              <w:spacing w:before="0" w:after="283"/>
              <w:rPr/>
            </w:pPr>
            <w:r>
              <w:rPr/>
              <w:t> </w:t>
            </w:r>
          </w:p>
        </w:tc>
        <w:tc>
          <w:tcPr>
            <w:tcW w:w="8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spacing w:before="240" w:after="283"/>
        <w:jc w:val="left"/>
        <w:rPr>
          <w:rFonts w:ascii="Arial;Helvetica;sans-serif" w:hAnsi="Arial;Helvetica;sans-serif"/>
          <w:sz w:val="17"/>
        </w:rPr>
      </w:pPr>
      <w:r>
        <w:rPr>
          <w:rFonts w:ascii="Arial;Helvetica;sans-serif" w:hAnsi="Arial;Helvetica;sans-serif"/>
          <w:b/>
          <w:sz w:val="17"/>
        </w:rPr>
        <w:t>Note 20. Disclosures about Fair Value of Financial Instruments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fair value of a financial instrument is the current amount that would be exchanged between willing parties, other than in a forced liquidation. Fair value is best determined based upon quoted market prices. However, in many instances, there are no quoted market prices for the Corporations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 SFAS 107 excludes certain financial instruments and all non-financial instruments from its disclosure requirements. Accordingly, the aggregate fair value amounts presented may not necessarily represent the underlying fair value of the Corporation.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Cash and cash equivalents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carrying amounts reported in the balance sheet for cash and due from banks and federal funds sold approximate those assets fair values.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Securities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For securities available for sale, fair values are based on quoted market prices or dealer quotes, where available. If a quoted market price is not available, fair value is estimated using quoted market prices for similar securities. The carrying amount of accrued interest receivable approximates fair value. </w:t>
      </w:r>
    </w:p>
    <w:p>
      <w:pPr>
        <w:pStyle w:val="TextBody"/>
        <w:jc w:val="center"/>
        <w:rPr>
          <w:rFonts w:ascii="Arial;Helvetica;sans-serif" w:hAnsi="Arial;Helvetica;sans-serif"/>
          <w:sz w:val="17"/>
        </w:rPr>
      </w:pPr>
      <w:r>
        <w:rPr>
          <w:rFonts w:ascii="Arial;Helvetica;sans-serif" w:hAnsi="Arial;Helvetica;sans-serif"/>
          <w:sz w:val="17"/>
        </w:rPr>
        <w:t xml:space="preserve">86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u w:val="single"/>
        </w:rPr>
        <w:t>Mortgage loans held for sale</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Fair value of mortgage loans held for sale are based on commitments on hand from investors or prevailing market prices.</w:t>
        <w:br/>
        <w:t xml:space="preserve">Fair values for on-balance-sheet commitments to originate loans held for sale are based on fees currently charged to enter into similar agreements, and for fixed-rate commitments also consider the difference between current levels of interest rates and the committed rates. The fair value of interest-rate lock commitments are considered immaterial. </w:t>
      </w:r>
    </w:p>
    <w:p>
      <w:pPr>
        <w:pStyle w:val="TextBody"/>
        <w:spacing w:before="120" w:after="283"/>
        <w:jc w:val="left"/>
        <w:rPr>
          <w:rFonts w:ascii="Arial;Helvetica;sans-serif" w:hAnsi="Arial;Helvetica;sans-serif"/>
          <w:sz w:val="17"/>
        </w:rPr>
      </w:pPr>
      <w:r>
        <w:rPr>
          <w:rFonts w:ascii="Arial;Helvetica;sans-serif" w:hAnsi="Arial;Helvetica;sans-serif"/>
          <w:sz w:val="17"/>
          <w:u w:val="single"/>
        </w:rPr>
        <w:t>Loans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For variable rate loans that reprice frequently with no significant change in credit risk, fair values are based on carrying amount. For certain homogeneous categories of loans, such as some residential mortgages, fair value is estimated using the quoted market prices for similar loans or securities backed by similar loans, adjusted for differences in loan characteristics. The fair value of other types of loans is estimated by discounting the future cash flows using the current rates at which similar loans would be made to borrowers with similar credit ratings and for the same remaining maturities. Fair values for nonperforming loans are estimated using discounted cash flow analysis or underlying collateral values, when applicable. The carrying amount of accrued interest receivable approximates fair value.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Deposits and securities sold under agreements to repurchase</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fair value of demand deposits, savings accounts, interest-bearing transaction accounts, and certain money market deposits is defined as the amount payable on demand at the reporting date. The fair value of fixed-maturity certificates of deposit is estimated using a discounted cash flow calculation that applies interest rates currently offered for deposits of similar remaining maturities. The carrying amounts reported in the balance sheet for securities sold under agreements to repurchase approximate those assets fair values. The carrying amount of accrued interest payable approximates fair value.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Short-term borrowings and long-term debt</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Rates currently available to the Corporation for debt with similar terms and remaining maturities are used to estimate fair value of existing debt. The carrying amount of accrued interest payable approximates fair value.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Junior subordinated debt owed to unconsolidated trusts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Fair values are based upon quoted market prices or dealer quotes. For variable rate instruments, fair values are based on carrying values. The carrying amount of accrued interest payable approximates fair value. </w:t>
      </w:r>
    </w:p>
    <w:p>
      <w:pPr>
        <w:pStyle w:val="TextBody"/>
        <w:spacing w:before="240" w:after="283"/>
        <w:jc w:val="left"/>
        <w:rPr>
          <w:rFonts w:ascii="Arial;Helvetica;sans-serif" w:hAnsi="Arial;Helvetica;sans-serif"/>
          <w:sz w:val="17"/>
        </w:rPr>
      </w:pPr>
      <w:r>
        <w:rPr>
          <w:rFonts w:ascii="Arial;Helvetica;sans-serif" w:hAnsi="Arial;Helvetica;sans-serif"/>
          <w:sz w:val="17"/>
          <w:u w:val="single"/>
        </w:rPr>
        <w:t>Commitments to extend credit and standby letters of credit</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fair value of commitments is estimated using the fees currently charged to enter into similar agreements, taking into account the remaining terms of the agreements and the present creditworthiness of the counterparties. For fixed-rate loan commitments, fair value also considers the difference between current levels of interest rates and the committed rates. The fair value of letters of credit is based on fees currently charged for similar agreements or on the estimated cost to terminate them or otherwise settle the obligations with the counterparties at the reporting date. As of December 31, 2005 and 2004, these items are immaterial. </w:t>
      </w:r>
    </w:p>
    <w:p>
      <w:pPr>
        <w:pStyle w:val="TextBody"/>
        <w:jc w:val="center"/>
        <w:rPr>
          <w:rFonts w:ascii="Arial;Helvetica;sans-serif" w:hAnsi="Arial;Helvetica;sans-serif"/>
          <w:sz w:val="17"/>
        </w:rPr>
      </w:pPr>
      <w:r>
        <w:rPr>
          <w:rFonts w:ascii="Arial;Helvetica;sans-serif" w:hAnsi="Arial;Helvetica;sans-serif"/>
          <w:sz w:val="17"/>
        </w:rPr>
        <w:t xml:space="preserve">87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estimated fair values of the Corporations financial instruments are as follows: </w:t>
      </w:r>
    </w:p>
    <w:tbl>
      <w:tblPr>
        <w:tblW w:w="5000" w:type="pct"/>
        <w:jc w:val="center"/>
        <w:tblInd w:w="0" w:type="dxa"/>
        <w:tblCellMar>
          <w:top w:w="0" w:type="dxa"/>
          <w:left w:w="0" w:type="dxa"/>
          <w:bottom w:w="0" w:type="dxa"/>
          <w:right w:w="0" w:type="dxa"/>
        </w:tblCellMar>
      </w:tblPr>
      <w:tblGrid>
        <w:gridCol w:w="3897"/>
        <w:gridCol w:w="334"/>
        <w:gridCol w:w="157"/>
        <w:gridCol w:w="984"/>
        <w:gridCol w:w="100"/>
        <w:gridCol w:w="334"/>
        <w:gridCol w:w="157"/>
        <w:gridCol w:w="984"/>
        <w:gridCol w:w="100"/>
        <w:gridCol w:w="334"/>
        <w:gridCol w:w="157"/>
        <w:gridCol w:w="984"/>
        <w:gridCol w:w="100"/>
        <w:gridCol w:w="334"/>
        <w:gridCol w:w="157"/>
        <w:gridCol w:w="984"/>
        <w:gridCol w:w="108"/>
      </w:tblGrid>
      <w:tr>
        <w:trPr/>
        <w:tc>
          <w:tcPr>
            <w:tcW w:w="389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389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241" w:type="dxa"/>
            <w:gridSpan w:val="3"/>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334" w:type="dxa"/>
            <w:tcBorders>
              <w:bottom w:val="single" w:sz="2" w:space="0" w:color="000000"/>
            </w:tcBorders>
            <w:shd w:fill="auto" w:val="clear"/>
            <w:tcMar>
              <w:bottom w:w="28" w:type="dxa"/>
            </w:tcMar>
            <w:vAlign w:val="bottom"/>
          </w:tcPr>
          <w:p>
            <w:pPr>
              <w:pStyle w:val="TableContents"/>
              <w:spacing w:before="0" w:after="283"/>
              <w:rPr/>
            </w:pPr>
            <w:r>
              <w:rPr/>
              <w:t> </w:t>
            </w:r>
          </w:p>
        </w:tc>
        <w:tc>
          <w:tcPr>
            <w:tcW w:w="157" w:type="dxa"/>
            <w:tcBorders>
              <w:bottom w:val="single" w:sz="2" w:space="0" w:color="000000"/>
            </w:tcBorders>
            <w:shd w:fill="auto" w:val="clear"/>
            <w:tcMar>
              <w:bottom w:w="28" w:type="dxa"/>
            </w:tcMar>
            <w:vAlign w:val="bottom"/>
          </w:tcPr>
          <w:p>
            <w:pPr>
              <w:pStyle w:val="TableContents"/>
              <w:spacing w:before="0" w:after="283"/>
              <w:rPr/>
            </w:pPr>
            <w:r>
              <w:rPr/>
              <w:t> </w:t>
            </w:r>
          </w:p>
        </w:tc>
        <w:tc>
          <w:tcPr>
            <w:tcW w:w="984" w:type="dxa"/>
            <w:tcBorders>
              <w:bottom w:val="single" w:sz="2" w:space="0" w:color="000000"/>
            </w:tcBorders>
            <w:shd w:fill="auto" w:val="clear"/>
            <w:tcMar>
              <w:bottom w:w="28" w:type="dxa"/>
            </w:tcMar>
            <w:vAlign w:val="bottom"/>
          </w:tcPr>
          <w:p>
            <w:pPr>
              <w:pStyle w:val="TableContents"/>
              <w:spacing w:before="0" w:after="283"/>
              <w:rPr/>
            </w:pPr>
            <w:r>
              <w:rPr/>
              <w:t> </w:t>
            </w:r>
          </w:p>
        </w:tc>
        <w:tc>
          <w:tcPr>
            <w:tcW w:w="100" w:type="dxa"/>
            <w:tcBorders>
              <w:bottom w:val="single" w:sz="2" w:space="0" w:color="000000"/>
            </w:tcBorders>
            <w:shd w:fill="auto" w:val="clear"/>
            <w:tcMar>
              <w:bottom w:w="28" w:type="dxa"/>
            </w:tcMar>
            <w:vAlign w:val="bottom"/>
          </w:tcPr>
          <w:p>
            <w:pPr>
              <w:pStyle w:val="TableContents"/>
              <w:spacing w:before="0" w:after="283"/>
              <w:rPr/>
            </w:pPr>
            <w:r>
              <w:rPr/>
              <w:t> </w:t>
            </w:r>
          </w:p>
        </w:tc>
        <w:tc>
          <w:tcPr>
            <w:tcW w:w="334" w:type="dxa"/>
            <w:tcBorders>
              <w:bottom w:val="single" w:sz="2" w:space="0" w:color="000000"/>
            </w:tcBorders>
            <w:shd w:fill="auto" w:val="clear"/>
            <w:tcMar>
              <w:bottom w:w="28" w:type="dxa"/>
            </w:tcMar>
            <w:vAlign w:val="bottom"/>
          </w:tcPr>
          <w:p>
            <w:pPr>
              <w:pStyle w:val="TableContents"/>
              <w:spacing w:before="0" w:after="283"/>
              <w:rPr/>
            </w:pPr>
            <w:r>
              <w:rPr/>
              <w:t> </w:t>
            </w:r>
          </w:p>
        </w:tc>
        <w:tc>
          <w:tcPr>
            <w:tcW w:w="1241" w:type="dxa"/>
            <w:gridSpan w:val="3"/>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334" w:type="dxa"/>
            <w:tcBorders>
              <w:bottom w:val="single" w:sz="2" w:space="0" w:color="000000"/>
            </w:tcBorders>
            <w:shd w:fill="auto" w:val="clear"/>
            <w:tcMar>
              <w:bottom w:w="28" w:type="dxa"/>
            </w:tcMar>
            <w:vAlign w:val="bottom"/>
          </w:tcPr>
          <w:p>
            <w:pPr>
              <w:pStyle w:val="TableContents"/>
              <w:spacing w:before="0" w:after="283"/>
              <w:rPr/>
            </w:pPr>
            <w:r>
              <w:rPr/>
              <w:t> </w:t>
            </w:r>
          </w:p>
        </w:tc>
        <w:tc>
          <w:tcPr>
            <w:tcW w:w="1249" w:type="dxa"/>
            <w:gridSpan w:val="3"/>
            <w:tcBorders>
              <w:bottom w:val="single" w:sz="2" w:space="0" w:color="000000"/>
            </w:tcBorders>
            <w:shd w:fill="auto" w:val="clear"/>
            <w:tcMar>
              <w:bottom w:w="28" w:type="dxa"/>
            </w:tcMar>
            <w:vAlign w:val="bottom"/>
          </w:tcPr>
          <w:p>
            <w:pPr>
              <w:pStyle w:val="TableContents"/>
              <w:spacing w:before="0" w:after="283"/>
              <w:jc w:val="center"/>
              <w:rPr/>
            </w:pPr>
            <w:r>
              <w:rPr/>
              <w:t> </w:t>
            </w:r>
          </w:p>
        </w:tc>
      </w:tr>
      <w:tr>
        <w:trPr/>
        <w:tc>
          <w:tcPr>
            <w:tcW w:w="389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241" w:type="dxa"/>
            <w:gridSpan w:val="3"/>
            <w:tcBorders/>
            <w:shd w:fill="auto" w:val="clear"/>
            <w:vAlign w:val="bottom"/>
          </w:tcPr>
          <w:p>
            <w:pPr>
              <w:pStyle w:val="TableContents"/>
              <w:spacing w:before="0" w:after="283"/>
              <w:jc w:val="center"/>
              <w:rPr/>
            </w:pPr>
            <w:r>
              <w:rPr/>
              <w:t>Carrying</w:t>
            </w:r>
          </w:p>
        </w:tc>
        <w:tc>
          <w:tcPr>
            <w:tcW w:w="334" w:type="dxa"/>
            <w:tcBorders/>
            <w:shd w:fill="auto" w:val="clear"/>
            <w:vAlign w:val="bottom"/>
          </w:tcPr>
          <w:p>
            <w:pPr>
              <w:pStyle w:val="TableContents"/>
              <w:spacing w:before="0" w:after="283"/>
              <w:rPr/>
            </w:pPr>
            <w:r>
              <w:rPr/>
              <w:t> </w:t>
            </w:r>
          </w:p>
        </w:tc>
        <w:tc>
          <w:tcPr>
            <w:tcW w:w="1241" w:type="dxa"/>
            <w:gridSpan w:val="3"/>
            <w:tcBorders/>
            <w:shd w:fill="auto" w:val="clear"/>
            <w:vAlign w:val="bottom"/>
          </w:tcPr>
          <w:p>
            <w:pPr>
              <w:pStyle w:val="TableContents"/>
              <w:spacing w:before="0" w:after="283"/>
              <w:jc w:val="center"/>
              <w:rPr/>
            </w:pPr>
            <w:r>
              <w:rPr/>
              <w:t>Fair</w:t>
            </w:r>
          </w:p>
        </w:tc>
        <w:tc>
          <w:tcPr>
            <w:tcW w:w="334" w:type="dxa"/>
            <w:tcBorders/>
            <w:shd w:fill="auto" w:val="clear"/>
            <w:vAlign w:val="bottom"/>
          </w:tcPr>
          <w:p>
            <w:pPr>
              <w:pStyle w:val="TableContents"/>
              <w:spacing w:before="0" w:after="283"/>
              <w:rPr/>
            </w:pPr>
            <w:r>
              <w:rPr/>
              <w:t> </w:t>
            </w:r>
          </w:p>
        </w:tc>
        <w:tc>
          <w:tcPr>
            <w:tcW w:w="1241" w:type="dxa"/>
            <w:gridSpan w:val="3"/>
            <w:tcBorders/>
            <w:shd w:fill="auto" w:val="clear"/>
            <w:vAlign w:val="bottom"/>
          </w:tcPr>
          <w:p>
            <w:pPr>
              <w:pStyle w:val="TableContents"/>
              <w:spacing w:before="0" w:after="283"/>
              <w:jc w:val="center"/>
              <w:rPr/>
            </w:pPr>
            <w:r>
              <w:rPr/>
              <w:t>Carrying</w:t>
            </w:r>
          </w:p>
        </w:tc>
        <w:tc>
          <w:tcPr>
            <w:tcW w:w="334" w:type="dxa"/>
            <w:tcBorders/>
            <w:shd w:fill="auto" w:val="clear"/>
            <w:vAlign w:val="bottom"/>
          </w:tcPr>
          <w:p>
            <w:pPr>
              <w:pStyle w:val="TableContents"/>
              <w:spacing w:before="0" w:after="283"/>
              <w:rPr/>
            </w:pPr>
            <w:r>
              <w:rPr/>
              <w:t> </w:t>
            </w:r>
          </w:p>
        </w:tc>
        <w:tc>
          <w:tcPr>
            <w:tcW w:w="1249" w:type="dxa"/>
            <w:gridSpan w:val="3"/>
            <w:tcBorders/>
            <w:shd w:fill="auto" w:val="clear"/>
            <w:vAlign w:val="bottom"/>
          </w:tcPr>
          <w:p>
            <w:pPr>
              <w:pStyle w:val="TableContents"/>
              <w:spacing w:before="0" w:after="283"/>
              <w:jc w:val="center"/>
              <w:rPr/>
            </w:pPr>
            <w:r>
              <w:rPr/>
              <w:t>Fair</w:t>
            </w:r>
          </w:p>
        </w:tc>
      </w:tr>
      <w:tr>
        <w:trPr/>
        <w:tc>
          <w:tcPr>
            <w:tcW w:w="389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241" w:type="dxa"/>
            <w:gridSpan w:val="3"/>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334" w:type="dxa"/>
            <w:tcBorders>
              <w:bottom w:val="single" w:sz="2" w:space="0" w:color="000000"/>
            </w:tcBorders>
            <w:shd w:fill="auto" w:val="clear"/>
            <w:tcMar>
              <w:bottom w:w="28" w:type="dxa"/>
            </w:tcMar>
            <w:vAlign w:val="bottom"/>
          </w:tcPr>
          <w:p>
            <w:pPr>
              <w:pStyle w:val="TableContents"/>
              <w:spacing w:before="0" w:after="283"/>
              <w:rPr/>
            </w:pPr>
            <w:r>
              <w:rPr/>
              <w:t> </w:t>
            </w:r>
          </w:p>
        </w:tc>
        <w:tc>
          <w:tcPr>
            <w:tcW w:w="1241" w:type="dxa"/>
            <w:gridSpan w:val="3"/>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334" w:type="dxa"/>
            <w:tcBorders>
              <w:bottom w:val="single" w:sz="2" w:space="0" w:color="000000"/>
            </w:tcBorders>
            <w:shd w:fill="auto" w:val="clear"/>
            <w:tcMar>
              <w:bottom w:w="28" w:type="dxa"/>
            </w:tcMar>
            <w:vAlign w:val="bottom"/>
          </w:tcPr>
          <w:p>
            <w:pPr>
              <w:pStyle w:val="TableContents"/>
              <w:spacing w:before="0" w:after="283"/>
              <w:rPr/>
            </w:pPr>
            <w:r>
              <w:rPr/>
              <w:t> </w:t>
            </w:r>
          </w:p>
        </w:tc>
        <w:tc>
          <w:tcPr>
            <w:tcW w:w="1241" w:type="dxa"/>
            <w:gridSpan w:val="3"/>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334" w:type="dxa"/>
            <w:tcBorders>
              <w:bottom w:val="single" w:sz="2" w:space="0" w:color="000000"/>
            </w:tcBorders>
            <w:shd w:fill="auto" w:val="clear"/>
            <w:tcMar>
              <w:bottom w:w="28" w:type="dxa"/>
            </w:tcMar>
            <w:vAlign w:val="bottom"/>
          </w:tcPr>
          <w:p>
            <w:pPr>
              <w:pStyle w:val="TableContents"/>
              <w:spacing w:before="0" w:after="283"/>
              <w:rPr/>
            </w:pPr>
            <w:r>
              <w:rPr/>
              <w:t> </w:t>
            </w:r>
          </w:p>
        </w:tc>
        <w:tc>
          <w:tcPr>
            <w:tcW w:w="1249" w:type="dxa"/>
            <w:gridSpan w:val="3"/>
            <w:tcBorders>
              <w:bottom w:val="single" w:sz="2" w:space="0" w:color="000000"/>
            </w:tcBorders>
            <w:shd w:fill="auto" w:val="clear"/>
            <w:tcMar>
              <w:bottom w:w="28" w:type="dxa"/>
            </w:tcMar>
            <w:vAlign w:val="bottom"/>
          </w:tcPr>
          <w:p>
            <w:pPr>
              <w:pStyle w:val="TableContents"/>
              <w:spacing w:before="0" w:after="283"/>
              <w:jc w:val="center"/>
              <w:rPr/>
            </w:pPr>
            <w:r>
              <w:rPr/>
              <w:t>Value</w:t>
            </w:r>
          </w:p>
        </w:tc>
      </w:tr>
      <w:tr>
        <w:trPr/>
        <w:tc>
          <w:tcPr>
            <w:tcW w:w="389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816" w:type="dxa"/>
            <w:gridSpan w:val="7"/>
            <w:tcBorders/>
            <w:shd w:fill="auto" w:val="clear"/>
            <w:vAlign w:val="bottom"/>
          </w:tcPr>
          <w:p>
            <w:pPr>
              <w:pStyle w:val="TableContents"/>
              <w:spacing w:before="0" w:after="283"/>
              <w:jc w:val="center"/>
              <w:rPr/>
            </w:pPr>
            <w:r>
              <w:rPr/>
              <w:t>(Dollars in thousands)</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3897" w:type="dxa"/>
            <w:tcBorders/>
            <w:shd w:fill="CCEEFF" w:val="clear"/>
            <w:vAlign w:val="bottom"/>
          </w:tcPr>
          <w:p>
            <w:pPr>
              <w:pStyle w:val="TableContents"/>
              <w:spacing w:before="0" w:after="0"/>
              <w:ind w:left="225" w:right="0" w:hanging="225"/>
              <w:rPr/>
            </w:pPr>
            <w:r>
              <w:rPr/>
              <w:t>Financial assets:</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r>
      <w:tr>
        <w:trPr/>
        <w:tc>
          <w:tcPr>
            <w:tcW w:w="3897" w:type="dxa"/>
            <w:tcBorders/>
            <w:shd w:fill="auto" w:val="clear"/>
            <w:vAlign w:val="bottom"/>
          </w:tcPr>
          <w:p>
            <w:pPr>
              <w:pStyle w:val="TableContents"/>
              <w:spacing w:before="0" w:after="0"/>
              <w:ind w:left="450" w:right="0" w:hanging="225"/>
              <w:rPr/>
            </w:pPr>
            <w:r>
              <w:rPr/>
              <w:t>Cash and cash equivalents</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right"/>
              <w:rPr/>
            </w:pPr>
            <w:r>
              <w:rPr/>
              <w:t>$</w:t>
            </w:r>
          </w:p>
        </w:tc>
        <w:tc>
          <w:tcPr>
            <w:tcW w:w="984" w:type="dxa"/>
            <w:tcBorders/>
            <w:shd w:fill="auto" w:val="clear"/>
            <w:vAlign w:val="bottom"/>
          </w:tcPr>
          <w:p>
            <w:pPr>
              <w:pStyle w:val="TableContents"/>
              <w:spacing w:before="0" w:after="283"/>
              <w:jc w:val="right"/>
              <w:rPr/>
            </w:pPr>
            <w:r>
              <w:rPr/>
              <w:t>60,957</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right"/>
              <w:rPr/>
            </w:pPr>
            <w:r>
              <w:rPr/>
              <w:t>$</w:t>
            </w:r>
          </w:p>
        </w:tc>
        <w:tc>
          <w:tcPr>
            <w:tcW w:w="984" w:type="dxa"/>
            <w:tcBorders/>
            <w:shd w:fill="auto" w:val="clear"/>
            <w:vAlign w:val="bottom"/>
          </w:tcPr>
          <w:p>
            <w:pPr>
              <w:pStyle w:val="TableContents"/>
              <w:spacing w:before="0" w:after="283"/>
              <w:jc w:val="right"/>
              <w:rPr/>
            </w:pPr>
            <w:r>
              <w:rPr/>
              <w:t>60,957</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right"/>
              <w:rPr/>
            </w:pPr>
            <w:r>
              <w:rPr/>
              <w:t>$</w:t>
            </w:r>
          </w:p>
        </w:tc>
        <w:tc>
          <w:tcPr>
            <w:tcW w:w="984" w:type="dxa"/>
            <w:tcBorders/>
            <w:shd w:fill="auto" w:val="clear"/>
            <w:vAlign w:val="bottom"/>
          </w:tcPr>
          <w:p>
            <w:pPr>
              <w:pStyle w:val="TableContents"/>
              <w:spacing w:before="0" w:after="283"/>
              <w:jc w:val="right"/>
              <w:rPr/>
            </w:pPr>
            <w:r>
              <w:rPr/>
              <w:t>47,991</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right"/>
              <w:rPr/>
            </w:pPr>
            <w:r>
              <w:rPr/>
              <w:t>$</w:t>
            </w:r>
          </w:p>
        </w:tc>
        <w:tc>
          <w:tcPr>
            <w:tcW w:w="984" w:type="dxa"/>
            <w:tcBorders/>
            <w:shd w:fill="auto" w:val="clear"/>
            <w:vAlign w:val="bottom"/>
          </w:tcPr>
          <w:p>
            <w:pPr>
              <w:pStyle w:val="TableContents"/>
              <w:spacing w:before="0" w:after="283"/>
              <w:jc w:val="right"/>
              <w:rPr/>
            </w:pPr>
            <w:r>
              <w:rPr/>
              <w:t>47,991</w:t>
            </w:r>
          </w:p>
        </w:tc>
        <w:tc>
          <w:tcPr>
            <w:tcW w:w="108" w:type="dxa"/>
            <w:tcBorders/>
            <w:shd w:fill="auto" w:val="clear"/>
            <w:vAlign w:val="bottom"/>
          </w:tcPr>
          <w:p>
            <w:pPr>
              <w:pStyle w:val="TableContents"/>
              <w:spacing w:before="0" w:after="283"/>
              <w:rPr/>
            </w:pPr>
            <w:r>
              <w:rPr/>
              <w:t> </w:t>
            </w:r>
          </w:p>
        </w:tc>
      </w:tr>
      <w:tr>
        <w:trPr/>
        <w:tc>
          <w:tcPr>
            <w:tcW w:w="3897" w:type="dxa"/>
            <w:tcBorders/>
            <w:shd w:fill="CCEEFF" w:val="clear"/>
            <w:vAlign w:val="bottom"/>
          </w:tcPr>
          <w:p>
            <w:pPr>
              <w:pStyle w:val="TableContents"/>
              <w:spacing w:before="0" w:after="0"/>
              <w:ind w:left="450" w:right="0" w:hanging="225"/>
              <w:rPr/>
            </w:pPr>
            <w:r>
              <w:rPr/>
              <w:t>Federal funds sold</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2,300</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2,300</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3,100</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3,100</w:t>
            </w:r>
          </w:p>
        </w:tc>
        <w:tc>
          <w:tcPr>
            <w:tcW w:w="108" w:type="dxa"/>
            <w:tcBorders/>
            <w:shd w:fill="CCEEFF" w:val="clear"/>
            <w:vAlign w:val="bottom"/>
          </w:tcPr>
          <w:p>
            <w:pPr>
              <w:pStyle w:val="TableContents"/>
              <w:spacing w:before="0" w:after="283"/>
              <w:rPr/>
            </w:pPr>
            <w:r>
              <w:rPr/>
              <w:t> </w:t>
            </w:r>
          </w:p>
        </w:tc>
      </w:tr>
      <w:tr>
        <w:trPr/>
        <w:tc>
          <w:tcPr>
            <w:tcW w:w="3897" w:type="dxa"/>
            <w:tcBorders/>
            <w:shd w:fill="auto" w:val="clear"/>
            <w:vAlign w:val="bottom"/>
          </w:tcPr>
          <w:p>
            <w:pPr>
              <w:pStyle w:val="TableContents"/>
              <w:spacing w:before="0" w:after="0"/>
              <w:ind w:left="450" w:right="0" w:hanging="225"/>
              <w:rPr/>
            </w:pPr>
            <w:r>
              <w:rPr/>
              <w:t>Securities</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331,237</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331,237</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352,256</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352,256</w:t>
            </w:r>
          </w:p>
        </w:tc>
        <w:tc>
          <w:tcPr>
            <w:tcW w:w="108" w:type="dxa"/>
            <w:tcBorders/>
            <w:shd w:fill="auto" w:val="clear"/>
            <w:vAlign w:val="bottom"/>
          </w:tcPr>
          <w:p>
            <w:pPr>
              <w:pStyle w:val="TableContents"/>
              <w:spacing w:before="0" w:after="283"/>
              <w:rPr/>
            </w:pPr>
            <w:r>
              <w:rPr/>
              <w:t> </w:t>
            </w:r>
          </w:p>
        </w:tc>
      </w:tr>
      <w:tr>
        <w:trPr/>
        <w:tc>
          <w:tcPr>
            <w:tcW w:w="3897" w:type="dxa"/>
            <w:tcBorders/>
            <w:shd w:fill="CCEEFF" w:val="clear"/>
            <w:vAlign w:val="bottom"/>
          </w:tcPr>
          <w:p>
            <w:pPr>
              <w:pStyle w:val="TableContents"/>
              <w:spacing w:before="0" w:after="0"/>
              <w:ind w:left="450" w:right="0" w:hanging="225"/>
              <w:rPr/>
            </w:pPr>
            <w:r>
              <w:rPr/>
              <w:t>Loans, net</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1,725,972</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1,717,381</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1,456,683</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1,463,112</w:t>
            </w:r>
          </w:p>
        </w:tc>
        <w:tc>
          <w:tcPr>
            <w:tcW w:w="108" w:type="dxa"/>
            <w:tcBorders/>
            <w:shd w:fill="CCEEFF" w:val="clear"/>
            <w:vAlign w:val="bottom"/>
          </w:tcPr>
          <w:p>
            <w:pPr>
              <w:pStyle w:val="TableContents"/>
              <w:spacing w:before="0" w:after="283"/>
              <w:rPr/>
            </w:pPr>
            <w:r>
              <w:rPr/>
              <w:t> </w:t>
            </w:r>
          </w:p>
        </w:tc>
      </w:tr>
      <w:tr>
        <w:trPr/>
        <w:tc>
          <w:tcPr>
            <w:tcW w:w="3897" w:type="dxa"/>
            <w:tcBorders/>
            <w:shd w:fill="auto" w:val="clear"/>
            <w:vAlign w:val="bottom"/>
          </w:tcPr>
          <w:p>
            <w:pPr>
              <w:pStyle w:val="TableContents"/>
              <w:spacing w:before="0" w:after="0"/>
              <w:ind w:left="450" w:right="0" w:hanging="225"/>
              <w:rPr/>
            </w:pPr>
            <w:r>
              <w:rPr/>
              <w:t>Accrued interest receivable</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11,618</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11,618</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8,566</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8,566</w:t>
            </w:r>
          </w:p>
        </w:tc>
        <w:tc>
          <w:tcPr>
            <w:tcW w:w="108" w:type="dxa"/>
            <w:tcBorders/>
            <w:shd w:fill="auto" w:val="clear"/>
            <w:vAlign w:val="bottom"/>
          </w:tcPr>
          <w:p>
            <w:pPr>
              <w:pStyle w:val="TableContents"/>
              <w:spacing w:before="0" w:after="283"/>
              <w:rPr/>
            </w:pPr>
            <w:r>
              <w:rPr/>
              <w:t> </w:t>
            </w:r>
          </w:p>
        </w:tc>
      </w:tr>
      <w:tr>
        <w:trPr/>
        <w:tc>
          <w:tcPr>
            <w:tcW w:w="3897" w:type="dxa"/>
            <w:tcBorders/>
            <w:shd w:fill="auto" w:val="clear"/>
            <w:vAlign w:val="bottom"/>
          </w:tcPr>
          <w:p>
            <w:pPr>
              <w:pStyle w:val="TableContents"/>
              <w:spacing w:before="0" w:after="0"/>
              <w:ind w:left="225" w:right="0" w:hanging="225"/>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3897" w:type="dxa"/>
            <w:tcBorders/>
            <w:shd w:fill="CCEEFF" w:val="clear"/>
            <w:vAlign w:val="bottom"/>
          </w:tcPr>
          <w:p>
            <w:pPr>
              <w:pStyle w:val="TableContents"/>
              <w:spacing w:before="0" w:after="0"/>
              <w:ind w:left="225" w:right="0" w:hanging="225"/>
              <w:rPr/>
            </w:pPr>
            <w:r>
              <w:rPr/>
              <w:t>Financial liabilities:</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r>
      <w:tr>
        <w:trPr/>
        <w:tc>
          <w:tcPr>
            <w:tcW w:w="3897" w:type="dxa"/>
            <w:tcBorders/>
            <w:shd w:fill="auto" w:val="clear"/>
            <w:vAlign w:val="bottom"/>
          </w:tcPr>
          <w:p>
            <w:pPr>
              <w:pStyle w:val="TableContents"/>
              <w:spacing w:before="0" w:after="0"/>
              <w:ind w:left="450" w:right="0" w:hanging="225"/>
              <w:rPr/>
            </w:pPr>
            <w:r>
              <w:rPr/>
              <w:t>Deposits</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1,809,399</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1,804,208</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1,558,822</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1,559,370</w:t>
            </w:r>
          </w:p>
        </w:tc>
        <w:tc>
          <w:tcPr>
            <w:tcW w:w="108" w:type="dxa"/>
            <w:tcBorders/>
            <w:shd w:fill="auto" w:val="clear"/>
            <w:vAlign w:val="bottom"/>
          </w:tcPr>
          <w:p>
            <w:pPr>
              <w:pStyle w:val="TableContents"/>
              <w:spacing w:before="0" w:after="283"/>
              <w:rPr/>
            </w:pPr>
            <w:r>
              <w:rPr/>
              <w:t> </w:t>
            </w:r>
          </w:p>
        </w:tc>
      </w:tr>
      <w:tr>
        <w:trPr/>
        <w:tc>
          <w:tcPr>
            <w:tcW w:w="3897" w:type="dxa"/>
            <w:tcBorders/>
            <w:shd w:fill="CCEEFF" w:val="clear"/>
            <w:vAlign w:val="bottom"/>
          </w:tcPr>
          <w:p>
            <w:pPr>
              <w:pStyle w:val="TableContents"/>
              <w:spacing w:before="0" w:after="0"/>
              <w:ind w:left="450" w:right="0" w:hanging="225"/>
              <w:rPr/>
            </w:pPr>
            <w:r>
              <w:rPr/>
              <w:t>Federal funds purchased and securities sold under agreements to repurchase</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50,113</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50,113</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41,558</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41,558</w:t>
            </w:r>
          </w:p>
        </w:tc>
        <w:tc>
          <w:tcPr>
            <w:tcW w:w="108" w:type="dxa"/>
            <w:tcBorders/>
            <w:shd w:fill="CCEEFF" w:val="clear"/>
            <w:vAlign w:val="bottom"/>
          </w:tcPr>
          <w:p>
            <w:pPr>
              <w:pStyle w:val="TableContents"/>
              <w:spacing w:before="0" w:after="283"/>
              <w:rPr/>
            </w:pPr>
            <w:r>
              <w:rPr/>
              <w:t> </w:t>
            </w:r>
          </w:p>
        </w:tc>
      </w:tr>
      <w:tr>
        <w:trPr/>
        <w:tc>
          <w:tcPr>
            <w:tcW w:w="3897" w:type="dxa"/>
            <w:tcBorders/>
            <w:shd w:fill="auto" w:val="clear"/>
            <w:vAlign w:val="bottom"/>
          </w:tcPr>
          <w:p>
            <w:pPr>
              <w:pStyle w:val="TableContents"/>
              <w:spacing w:before="0" w:after="0"/>
              <w:ind w:left="450" w:right="0" w:hanging="225"/>
              <w:rPr/>
            </w:pPr>
            <w:r>
              <w:rPr/>
              <w:t>Short-term borrowings</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11,250</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11,250</w:t>
            </w:r>
          </w:p>
        </w:tc>
        <w:tc>
          <w:tcPr>
            <w:tcW w:w="108" w:type="dxa"/>
            <w:tcBorders/>
            <w:shd w:fill="auto" w:val="clear"/>
            <w:vAlign w:val="bottom"/>
          </w:tcPr>
          <w:p>
            <w:pPr>
              <w:pStyle w:val="TableContents"/>
              <w:spacing w:before="0" w:after="283"/>
              <w:rPr/>
            </w:pPr>
            <w:r>
              <w:rPr/>
              <w:t> </w:t>
            </w:r>
          </w:p>
        </w:tc>
      </w:tr>
      <w:tr>
        <w:trPr/>
        <w:tc>
          <w:tcPr>
            <w:tcW w:w="3897" w:type="dxa"/>
            <w:tcBorders/>
            <w:shd w:fill="CCEEFF" w:val="clear"/>
            <w:vAlign w:val="bottom"/>
          </w:tcPr>
          <w:p>
            <w:pPr>
              <w:pStyle w:val="TableContents"/>
              <w:spacing w:before="0" w:after="0"/>
              <w:ind w:left="450" w:right="0" w:hanging="225"/>
              <w:rPr/>
            </w:pPr>
            <w:r>
              <w:rPr/>
              <w:t>Long-term debt</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169,883</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168,073</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165,374</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165,928</w:t>
            </w:r>
          </w:p>
        </w:tc>
        <w:tc>
          <w:tcPr>
            <w:tcW w:w="108" w:type="dxa"/>
            <w:tcBorders/>
            <w:shd w:fill="CCEEFF" w:val="clear"/>
            <w:vAlign w:val="bottom"/>
          </w:tcPr>
          <w:p>
            <w:pPr>
              <w:pStyle w:val="TableContents"/>
              <w:spacing w:before="0" w:after="283"/>
              <w:rPr/>
            </w:pPr>
            <w:r>
              <w:rPr/>
              <w:t> </w:t>
            </w:r>
          </w:p>
        </w:tc>
      </w:tr>
      <w:tr>
        <w:trPr/>
        <w:tc>
          <w:tcPr>
            <w:tcW w:w="3897" w:type="dxa"/>
            <w:tcBorders/>
            <w:shd w:fill="auto" w:val="clear"/>
            <w:vAlign w:val="bottom"/>
          </w:tcPr>
          <w:p>
            <w:pPr>
              <w:pStyle w:val="TableContents"/>
              <w:spacing w:before="0" w:after="0"/>
              <w:ind w:left="450" w:right="0" w:hanging="225"/>
              <w:rPr/>
            </w:pPr>
            <w:r>
              <w:rPr/>
              <w:t>Junior subordinated debt owed to unconsolidated trusts</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50,000</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50,625</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40,000</w:t>
            </w:r>
          </w:p>
        </w:tc>
        <w:tc>
          <w:tcPr>
            <w:tcW w:w="10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42,550</w:t>
            </w:r>
          </w:p>
        </w:tc>
        <w:tc>
          <w:tcPr>
            <w:tcW w:w="108" w:type="dxa"/>
            <w:tcBorders/>
            <w:shd w:fill="auto" w:val="clear"/>
            <w:vAlign w:val="bottom"/>
          </w:tcPr>
          <w:p>
            <w:pPr>
              <w:pStyle w:val="TableContents"/>
              <w:spacing w:before="0" w:after="283"/>
              <w:rPr/>
            </w:pPr>
            <w:r>
              <w:rPr/>
              <w:t> </w:t>
            </w:r>
          </w:p>
        </w:tc>
      </w:tr>
      <w:tr>
        <w:trPr/>
        <w:tc>
          <w:tcPr>
            <w:tcW w:w="3897" w:type="dxa"/>
            <w:tcBorders/>
            <w:shd w:fill="CCEEFF" w:val="clear"/>
            <w:vAlign w:val="bottom"/>
          </w:tcPr>
          <w:p>
            <w:pPr>
              <w:pStyle w:val="TableContents"/>
              <w:spacing w:before="0" w:after="0"/>
              <w:ind w:left="450" w:right="0" w:hanging="225"/>
              <w:rPr/>
            </w:pPr>
            <w:r>
              <w:rPr/>
              <w:t>Accrued interest payable</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5,988</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5,988</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3,799</w:t>
            </w:r>
          </w:p>
        </w:tc>
        <w:tc>
          <w:tcPr>
            <w:tcW w:w="10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3,799</w:t>
            </w:r>
          </w:p>
        </w:tc>
        <w:tc>
          <w:tcPr>
            <w:tcW w:w="108" w:type="dxa"/>
            <w:tcBorders/>
            <w:shd w:fill="CCEEFF" w:val="clear"/>
            <w:vAlign w:val="bottom"/>
          </w:tcPr>
          <w:p>
            <w:pPr>
              <w:pStyle w:val="TableContents"/>
              <w:spacing w:before="0" w:after="283"/>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 addition, other assets and liabilities of the Corporation that are not defined as financial instruments are not included in the above disclosures, such as property and equipment. Also, nonfinancial instruments typically not recognized in financial statements nevertheless may have value but are not included in the above disclosures. These include, among other items, the estimated earnings power of core deposit accounts, the earnings potential of loan servicing rights, the earnings potential of the trust operations, the trained work force, customer goodwill and similar items. </w:t>
      </w:r>
    </w:p>
    <w:p>
      <w:pPr>
        <w:pStyle w:val="TextBody"/>
        <w:spacing w:before="240" w:after="283"/>
        <w:jc w:val="left"/>
        <w:rPr>
          <w:rFonts w:ascii="Arial;Helvetica;sans-serif" w:hAnsi="Arial;Helvetica;sans-serif"/>
          <w:sz w:val="17"/>
        </w:rPr>
      </w:pPr>
      <w:r>
        <w:rPr>
          <w:rFonts w:ascii="Arial;Helvetica;sans-serif" w:hAnsi="Arial;Helvetica;sans-serif"/>
          <w:b/>
          <w:sz w:val="17"/>
        </w:rPr>
        <w:t>Note 21. Reportable Segments and Related Information</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First Busey Corporation has four reportable segments, Busey Bank, Busey Bank Florida, Tarpon Coast National Bank, and Busey Investment Group. Busey Bank provides a full range of banking services to individual and corporate customers through its branch network in Champaign, McLean, Peoria, Tazewell, and Ford Counties in Illinois, through its branch in Indianapolis, Indiana, and through its loan production office in Fort Myers, Florida. Busey Bank Florida provides a full range of banking services to individual and corporate customers in Fort Myers and Cape Coral, Florida. Tarpon Coast National Bank provides a full range of banking services to individuals and commercial customers in Charlotte and Sarasota Counties in Southwest Florida.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First Capital Bank, acquired by First Busey Corporation on June 1, 2004, merged into Busey Bank on May 20, 2005. Prior to this merger, First Capital Bank was a separate reportable segment providing a full range of banking services to individual and corporate customers in Peoria and Pekin, Illinois. Following the merger, the assets and operating results of the Peoria and Pekin markets are included in Busey Bank. Segment information for the period ended September 30, 2004, has been restated to reflect the combination of Busey Bank and First Capital Bank.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In prior periods, First Busey has reported First Busey Trust &amp; Investment Co. as a separate segment. Over time, the three subsidiaries of Busey Investment Group have converged and are now directed by a common management team in a similar operating style, share similar marketing strategies, and share common office locations. Likewise, the financial results of these three subsidiaries are reviewed and monitored on a consolidated basis. Therefore, management of First Busey Corporation has identified Busey Investment Group as the more appropriate reportable segment. The Corporations four reportable segments are strategic business units that are separately managed as they offer different products and services and have different marketing strategies. </w:t>
      </w:r>
    </w:p>
    <w:p>
      <w:pPr>
        <w:pStyle w:val="TextBody"/>
        <w:jc w:val="center"/>
        <w:rPr>
          <w:rFonts w:ascii="Arial;Helvetica;sans-serif" w:hAnsi="Arial;Helvetica;sans-serif"/>
          <w:sz w:val="17"/>
        </w:rPr>
      </w:pPr>
      <w:r>
        <w:rPr>
          <w:rFonts w:ascii="Arial;Helvetica;sans-serif" w:hAnsi="Arial;Helvetica;sans-serif"/>
          <w:sz w:val="17"/>
        </w:rPr>
        <w:t xml:space="preserve">88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segment financial information provided below has been derived from the internal profitability reporting system used by management to monitor and manage the financial performance of the Corporation. The accounting policies of the four segments are the same as those described in the summary of significant accounting policies in the annual report. The Corporation accounts for intersegment revenue and transfers at current market value.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following summarized information relates to the Corporations reportable segments: </w:t>
      </w:r>
    </w:p>
    <w:tbl>
      <w:tblPr>
        <w:tblW w:w="5000" w:type="pct"/>
        <w:jc w:val="center"/>
        <w:tblInd w:w="0" w:type="dxa"/>
        <w:tblCellMar>
          <w:top w:w="0" w:type="dxa"/>
          <w:left w:w="0" w:type="dxa"/>
          <w:bottom w:w="0" w:type="dxa"/>
          <w:right w:w="0" w:type="dxa"/>
        </w:tblCellMar>
      </w:tblPr>
      <w:tblGrid>
        <w:gridCol w:w="5797"/>
        <w:gridCol w:w="450"/>
        <w:gridCol w:w="113"/>
        <w:gridCol w:w="813"/>
        <w:gridCol w:w="130"/>
        <w:gridCol w:w="450"/>
        <w:gridCol w:w="113"/>
        <w:gridCol w:w="754"/>
        <w:gridCol w:w="129"/>
        <w:gridCol w:w="450"/>
        <w:gridCol w:w="113"/>
        <w:gridCol w:w="754"/>
        <w:gridCol w:w="139"/>
      </w:tblGrid>
      <w:tr>
        <w:trPr/>
        <w:tc>
          <w:tcPr>
            <w:tcW w:w="579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819" w:type="dxa"/>
            <w:gridSpan w:val="10"/>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139" w:type="dxa"/>
            <w:tcBorders/>
            <w:shd w:fill="auto"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92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86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86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139" w:type="dxa"/>
            <w:tcBorders/>
            <w:shd w:fill="auto"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819" w:type="dxa"/>
            <w:gridSpan w:val="10"/>
            <w:tcBorders/>
            <w:shd w:fill="auto" w:val="clear"/>
            <w:vAlign w:val="bottom"/>
          </w:tcPr>
          <w:p>
            <w:pPr>
              <w:pStyle w:val="TableContents"/>
              <w:spacing w:before="0" w:after="283"/>
              <w:jc w:val="center"/>
              <w:rPr/>
            </w:pPr>
            <w:r>
              <w:rPr/>
              <w:t>(Dollars in thousands)</w:t>
            </w:r>
          </w:p>
        </w:tc>
        <w:tc>
          <w:tcPr>
            <w:tcW w:w="139" w:type="dxa"/>
            <w:tcBorders/>
            <w:shd w:fill="auto" w:val="clear"/>
            <w:vAlign w:val="bottom"/>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225" w:right="0" w:hanging="225"/>
              <w:rPr/>
            </w:pPr>
            <w:r>
              <w:rPr/>
              <w:t>Interest Income:</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0"/>
              <w:ind w:left="450" w:right="0" w:hanging="225"/>
              <w:rPr/>
            </w:pPr>
            <w:r>
              <w:rPr/>
              <w:t>Busey Bank</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96,571</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77,165</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68,869</w:t>
            </w:r>
          </w:p>
        </w:tc>
        <w:tc>
          <w:tcPr>
            <w:tcW w:w="139" w:type="dxa"/>
            <w:tcBorders/>
            <w:shd w:fill="auto" w:val="clear"/>
            <w:vAlign w:val="bottom"/>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450" w:right="0" w:hanging="225"/>
              <w:rPr/>
            </w:pPr>
            <w:r>
              <w:rPr/>
              <w:t>Busey Bank Florida</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16,015</w:t>
            </w:r>
          </w:p>
        </w:tc>
        <w:tc>
          <w:tcPr>
            <w:tcW w:w="13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8,475</w:t>
            </w:r>
          </w:p>
        </w:tc>
        <w:tc>
          <w:tcPr>
            <w:tcW w:w="129"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4,716</w:t>
            </w:r>
          </w:p>
        </w:tc>
        <w:tc>
          <w:tcPr>
            <w:tcW w:w="139" w:type="dxa"/>
            <w:tcBorders/>
            <w:shd w:fill="CCEEFF"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0"/>
              <w:ind w:left="450" w:right="0" w:hanging="225"/>
              <w:rPr/>
            </w:pPr>
            <w:r>
              <w:rPr/>
              <w:t>Tarpon Coast Bancorp</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3,544</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w:t>
            </w:r>
          </w:p>
        </w:tc>
        <w:tc>
          <w:tcPr>
            <w:tcW w:w="139" w:type="dxa"/>
            <w:tcBorders/>
            <w:shd w:fill="auto" w:val="clear"/>
            <w:vAlign w:val="bottom"/>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450" w:right="0" w:hanging="225"/>
              <w:rPr/>
            </w:pPr>
            <w:r>
              <w:rPr/>
              <w:t>Busey Investment Group</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184</w:t>
            </w:r>
          </w:p>
        </w:tc>
        <w:tc>
          <w:tcPr>
            <w:tcW w:w="13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147</w:t>
            </w:r>
          </w:p>
        </w:tc>
        <w:tc>
          <w:tcPr>
            <w:tcW w:w="129"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150</w:t>
            </w:r>
          </w:p>
        </w:tc>
        <w:tc>
          <w:tcPr>
            <w:tcW w:w="139" w:type="dxa"/>
            <w:tcBorders/>
            <w:shd w:fill="CCEEFF"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0"/>
              <w:ind w:left="450" w:right="0" w:hanging="225"/>
              <w:rPr/>
            </w:pPr>
            <w:r>
              <w:rPr/>
              <w:t>All Other</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813" w:type="dxa"/>
            <w:tcBorders/>
            <w:shd w:fill="auto" w:val="clear"/>
            <w:vAlign w:val="bottom"/>
          </w:tcPr>
          <w:p>
            <w:pPr>
              <w:pStyle w:val="TableContents"/>
              <w:spacing w:before="0" w:after="283"/>
              <w:jc w:val="right"/>
              <w:rPr/>
            </w:pPr>
            <w:r>
              <w:rPr/>
              <w:t>(10</w:t>
            </w:r>
          </w:p>
        </w:tc>
        <w:tc>
          <w:tcPr>
            <w:tcW w:w="130"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132</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114</w:t>
            </w:r>
          </w:p>
        </w:tc>
        <w:tc>
          <w:tcPr>
            <w:tcW w:w="139" w:type="dxa"/>
            <w:tcBorders/>
            <w:shd w:fill="auto" w:val="clear"/>
            <w:vAlign w:val="bottom"/>
          </w:tcPr>
          <w:p>
            <w:pPr>
              <w:pStyle w:val="TableContents"/>
              <w:spacing w:before="0" w:after="283"/>
              <w:rPr/>
            </w:pPr>
            <w:r>
              <w:rPr/>
              <w:t> </w:t>
            </w:r>
          </w:p>
        </w:tc>
      </w:tr>
      <w:tr>
        <w:trPr/>
        <w:tc>
          <w:tcPr>
            <w:tcW w:w="5797"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675" w:right="0" w:hanging="225"/>
              <w:rPr/>
            </w:pPr>
            <w:r>
              <w:rPr/>
              <w:t>Total Interest Income</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116,304</w:t>
            </w:r>
          </w:p>
        </w:tc>
        <w:tc>
          <w:tcPr>
            <w:tcW w:w="13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85,919</w:t>
            </w:r>
          </w:p>
        </w:tc>
        <w:tc>
          <w:tcPr>
            <w:tcW w:w="129"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73,849</w:t>
            </w:r>
          </w:p>
        </w:tc>
        <w:tc>
          <w:tcPr>
            <w:tcW w:w="139" w:type="dxa"/>
            <w:tcBorders/>
            <w:shd w:fill="CCEEFF" w:val="clear"/>
            <w:vAlign w:val="bottom"/>
          </w:tcPr>
          <w:p>
            <w:pPr>
              <w:pStyle w:val="TableContents"/>
              <w:spacing w:before="0" w:after="283"/>
              <w:rPr/>
            </w:pPr>
            <w:r>
              <w:rPr/>
              <w:t> </w:t>
            </w:r>
          </w:p>
        </w:tc>
      </w:tr>
      <w:tr>
        <w:trPr/>
        <w:tc>
          <w:tcPr>
            <w:tcW w:w="5797"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5797" w:type="dxa"/>
            <w:tcBorders/>
            <w:shd w:fill="auto" w:val="clear"/>
            <w:vAlign w:val="bottom"/>
          </w:tcPr>
          <w:p>
            <w:pPr>
              <w:pStyle w:val="TableContents"/>
              <w:spacing w:before="0" w:after="0"/>
              <w:ind w:left="225" w:right="0" w:hanging="225"/>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0"/>
              <w:ind w:left="225" w:right="0" w:hanging="225"/>
              <w:rPr/>
            </w:pPr>
            <w:r>
              <w:rPr/>
              <w:t>Interest Expense:</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450" w:right="0" w:hanging="225"/>
              <w:rPr/>
            </w:pPr>
            <w:r>
              <w:rPr/>
              <w:t>Busey Bank</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34,299</w:t>
            </w:r>
          </w:p>
        </w:tc>
        <w:tc>
          <w:tcPr>
            <w:tcW w:w="13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24,068</w:t>
            </w:r>
          </w:p>
        </w:tc>
        <w:tc>
          <w:tcPr>
            <w:tcW w:w="129"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21,229</w:t>
            </w:r>
          </w:p>
        </w:tc>
        <w:tc>
          <w:tcPr>
            <w:tcW w:w="139" w:type="dxa"/>
            <w:tcBorders/>
            <w:shd w:fill="CCEEFF"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0"/>
              <w:ind w:left="450" w:right="0" w:hanging="225"/>
              <w:rPr/>
            </w:pPr>
            <w:r>
              <w:rPr/>
              <w:t>Busey Bank Florida</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5,505</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2,744</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2,126</w:t>
            </w:r>
          </w:p>
        </w:tc>
        <w:tc>
          <w:tcPr>
            <w:tcW w:w="139" w:type="dxa"/>
            <w:tcBorders/>
            <w:shd w:fill="auto" w:val="clear"/>
            <w:vAlign w:val="bottom"/>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450" w:right="0" w:hanging="225"/>
              <w:rPr/>
            </w:pPr>
            <w:r>
              <w:rPr/>
              <w:t>Tarpon Coast Bancorp</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747</w:t>
            </w:r>
          </w:p>
        </w:tc>
        <w:tc>
          <w:tcPr>
            <w:tcW w:w="13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w:t>
            </w:r>
          </w:p>
        </w:tc>
        <w:tc>
          <w:tcPr>
            <w:tcW w:w="139" w:type="dxa"/>
            <w:tcBorders/>
            <w:shd w:fill="CCEEFF"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0"/>
              <w:ind w:left="450" w:right="0" w:hanging="225"/>
              <w:rPr/>
            </w:pPr>
            <w:r>
              <w:rPr/>
              <w:t>Busey Investment Group</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w:t>
            </w:r>
          </w:p>
        </w:tc>
        <w:tc>
          <w:tcPr>
            <w:tcW w:w="139" w:type="dxa"/>
            <w:tcBorders/>
            <w:shd w:fill="auto" w:val="clear"/>
            <w:vAlign w:val="bottom"/>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450" w:right="0" w:hanging="225"/>
              <w:rPr/>
            </w:pPr>
            <w:r>
              <w:rPr/>
              <w:t>All Other</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4,791</w:t>
            </w:r>
          </w:p>
        </w:tc>
        <w:tc>
          <w:tcPr>
            <w:tcW w:w="13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3,229</w:t>
            </w:r>
          </w:p>
        </w:tc>
        <w:tc>
          <w:tcPr>
            <w:tcW w:w="129"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2,263</w:t>
            </w:r>
          </w:p>
        </w:tc>
        <w:tc>
          <w:tcPr>
            <w:tcW w:w="139" w:type="dxa"/>
            <w:tcBorders/>
            <w:shd w:fill="CCEEFF" w:val="clear"/>
            <w:vAlign w:val="bottom"/>
          </w:tcPr>
          <w:p>
            <w:pPr>
              <w:pStyle w:val="TableContents"/>
              <w:spacing w:before="0" w:after="283"/>
              <w:rPr/>
            </w:pPr>
            <w:r>
              <w:rPr/>
              <w:t> </w:t>
            </w:r>
          </w:p>
        </w:tc>
      </w:tr>
      <w:tr>
        <w:trPr/>
        <w:tc>
          <w:tcPr>
            <w:tcW w:w="5797"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5797" w:type="dxa"/>
            <w:tcBorders/>
            <w:shd w:fill="auto" w:val="clear"/>
            <w:vAlign w:val="bottom"/>
          </w:tcPr>
          <w:p>
            <w:pPr>
              <w:pStyle w:val="TableContents"/>
              <w:spacing w:before="0" w:after="0"/>
              <w:ind w:left="675" w:right="0" w:hanging="225"/>
              <w:rPr/>
            </w:pPr>
            <w:r>
              <w:rPr/>
              <w:t>Total Interest Expense</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45,342</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30,041</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25,618</w:t>
            </w:r>
          </w:p>
        </w:tc>
        <w:tc>
          <w:tcPr>
            <w:tcW w:w="139" w:type="dxa"/>
            <w:tcBorders/>
            <w:shd w:fill="auto" w:val="clear"/>
            <w:vAlign w:val="bottom"/>
          </w:tcPr>
          <w:p>
            <w:pPr>
              <w:pStyle w:val="TableContents"/>
              <w:spacing w:before="0" w:after="283"/>
              <w:rPr/>
            </w:pPr>
            <w:r>
              <w:rPr/>
              <w:t> </w:t>
            </w:r>
          </w:p>
        </w:tc>
      </w:tr>
      <w:tr>
        <w:trPr/>
        <w:tc>
          <w:tcPr>
            <w:tcW w:w="5797"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5797" w:type="dxa"/>
            <w:tcBorders/>
            <w:shd w:fill="auto" w:val="clear"/>
            <w:vAlign w:val="bottom"/>
          </w:tcPr>
          <w:p>
            <w:pPr>
              <w:pStyle w:val="TableContents"/>
              <w:spacing w:before="0" w:after="0"/>
              <w:ind w:left="225" w:right="0" w:hanging="225"/>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225" w:right="0" w:hanging="225"/>
              <w:rPr/>
            </w:pPr>
            <w:r>
              <w:rPr/>
              <w:t>Other Income:</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0"/>
              <w:ind w:left="450" w:right="0" w:hanging="225"/>
              <w:rPr/>
            </w:pPr>
            <w:r>
              <w:rPr/>
              <w:t>Busey Bank</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15,253</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16,228</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17,996</w:t>
            </w:r>
          </w:p>
        </w:tc>
        <w:tc>
          <w:tcPr>
            <w:tcW w:w="139" w:type="dxa"/>
            <w:tcBorders/>
            <w:shd w:fill="auto" w:val="clear"/>
            <w:vAlign w:val="bottom"/>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450" w:right="0" w:hanging="225"/>
              <w:rPr/>
            </w:pPr>
            <w:r>
              <w:rPr/>
              <w:t>Busey Bank Florida</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672</w:t>
            </w:r>
          </w:p>
        </w:tc>
        <w:tc>
          <w:tcPr>
            <w:tcW w:w="13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504</w:t>
            </w:r>
          </w:p>
        </w:tc>
        <w:tc>
          <w:tcPr>
            <w:tcW w:w="129"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552</w:t>
            </w:r>
          </w:p>
        </w:tc>
        <w:tc>
          <w:tcPr>
            <w:tcW w:w="139" w:type="dxa"/>
            <w:tcBorders/>
            <w:shd w:fill="CCEEFF"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0"/>
              <w:ind w:left="450" w:right="0" w:hanging="225"/>
              <w:rPr/>
            </w:pPr>
            <w:r>
              <w:rPr/>
              <w:t>Tarpon Coast Bancorp</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553</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w:t>
            </w:r>
          </w:p>
        </w:tc>
        <w:tc>
          <w:tcPr>
            <w:tcW w:w="139" w:type="dxa"/>
            <w:tcBorders/>
            <w:shd w:fill="auto" w:val="clear"/>
            <w:vAlign w:val="bottom"/>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450" w:right="0" w:hanging="225"/>
              <w:rPr/>
            </w:pPr>
            <w:r>
              <w:rPr/>
              <w:t>Busey Investment Group</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7,490</w:t>
            </w:r>
          </w:p>
        </w:tc>
        <w:tc>
          <w:tcPr>
            <w:tcW w:w="13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7,310</w:t>
            </w:r>
          </w:p>
        </w:tc>
        <w:tc>
          <w:tcPr>
            <w:tcW w:w="129"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6,531</w:t>
            </w:r>
          </w:p>
        </w:tc>
        <w:tc>
          <w:tcPr>
            <w:tcW w:w="139" w:type="dxa"/>
            <w:tcBorders/>
            <w:shd w:fill="CCEEFF"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0"/>
              <w:ind w:left="450" w:right="0" w:hanging="225"/>
              <w:rPr/>
            </w:pPr>
            <w:r>
              <w:rPr/>
              <w:t>All Other</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813" w:type="dxa"/>
            <w:tcBorders/>
            <w:shd w:fill="auto" w:val="clear"/>
            <w:vAlign w:val="bottom"/>
          </w:tcPr>
          <w:p>
            <w:pPr>
              <w:pStyle w:val="TableContents"/>
              <w:spacing w:before="0" w:after="283"/>
              <w:jc w:val="right"/>
              <w:rPr/>
            </w:pPr>
            <w:r>
              <w:rPr/>
              <w:t>(431</w:t>
            </w:r>
          </w:p>
        </w:tc>
        <w:tc>
          <w:tcPr>
            <w:tcW w:w="130"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(252</w:t>
            </w:r>
          </w:p>
        </w:tc>
        <w:tc>
          <w:tcPr>
            <w:tcW w:w="129"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(394</w:t>
            </w:r>
          </w:p>
        </w:tc>
        <w:tc>
          <w:tcPr>
            <w:tcW w:w="139" w:type="dxa"/>
            <w:tcBorders/>
            <w:shd w:fill="auto" w:val="clear"/>
            <w:vAlign w:val="bottom"/>
          </w:tcPr>
          <w:p>
            <w:pPr>
              <w:pStyle w:val="TableContents"/>
              <w:spacing w:before="0" w:after="283"/>
              <w:rPr/>
            </w:pPr>
            <w:r>
              <w:rPr/>
              <w:t>)</w:t>
            </w:r>
          </w:p>
        </w:tc>
      </w:tr>
      <w:tr>
        <w:trPr/>
        <w:tc>
          <w:tcPr>
            <w:tcW w:w="5797"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675" w:right="0" w:hanging="225"/>
              <w:rPr/>
            </w:pPr>
            <w:r>
              <w:rPr/>
              <w:t>Total Other Income</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23,537</w:t>
            </w:r>
          </w:p>
        </w:tc>
        <w:tc>
          <w:tcPr>
            <w:tcW w:w="13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23,790</w:t>
            </w:r>
          </w:p>
        </w:tc>
        <w:tc>
          <w:tcPr>
            <w:tcW w:w="129"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24,685</w:t>
            </w:r>
          </w:p>
        </w:tc>
        <w:tc>
          <w:tcPr>
            <w:tcW w:w="139" w:type="dxa"/>
            <w:tcBorders/>
            <w:shd w:fill="CCEEFF" w:val="clear"/>
            <w:vAlign w:val="bottom"/>
          </w:tcPr>
          <w:p>
            <w:pPr>
              <w:pStyle w:val="TableContents"/>
              <w:spacing w:before="0" w:after="283"/>
              <w:rPr/>
            </w:pPr>
            <w:r>
              <w:rPr/>
              <w:t> </w:t>
            </w:r>
          </w:p>
        </w:tc>
      </w:tr>
      <w:tr>
        <w:trPr/>
        <w:tc>
          <w:tcPr>
            <w:tcW w:w="5797"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5797" w:type="dxa"/>
            <w:tcBorders/>
            <w:shd w:fill="auto" w:val="clear"/>
            <w:vAlign w:val="bottom"/>
          </w:tcPr>
          <w:p>
            <w:pPr>
              <w:pStyle w:val="TableContents"/>
              <w:spacing w:before="0" w:after="0"/>
              <w:ind w:left="225" w:right="0" w:hanging="225"/>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0"/>
              <w:ind w:left="225" w:right="0" w:hanging="225"/>
              <w:rPr/>
            </w:pPr>
            <w:r>
              <w:rPr/>
              <w:t>Net Income:</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450" w:right="0" w:hanging="225"/>
              <w:rPr/>
            </w:pPr>
            <w:r>
              <w:rPr/>
              <w:t>Busey Bank</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24,985</w:t>
            </w:r>
          </w:p>
        </w:tc>
        <w:tc>
          <w:tcPr>
            <w:tcW w:w="13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21,853</w:t>
            </w:r>
          </w:p>
        </w:tc>
        <w:tc>
          <w:tcPr>
            <w:tcW w:w="129"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19,758</w:t>
            </w:r>
          </w:p>
        </w:tc>
        <w:tc>
          <w:tcPr>
            <w:tcW w:w="139" w:type="dxa"/>
            <w:tcBorders/>
            <w:shd w:fill="CCEEFF"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0"/>
              <w:ind w:left="450" w:right="0" w:hanging="225"/>
              <w:rPr/>
            </w:pPr>
            <w:r>
              <w:rPr/>
              <w:t>Busey Bank Florida</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3,302</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1,573</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287</w:t>
            </w:r>
          </w:p>
        </w:tc>
        <w:tc>
          <w:tcPr>
            <w:tcW w:w="139" w:type="dxa"/>
            <w:tcBorders/>
            <w:shd w:fill="auto" w:val="clear"/>
            <w:vAlign w:val="bottom"/>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450" w:right="0" w:hanging="225"/>
              <w:rPr/>
            </w:pPr>
            <w:r>
              <w:rPr/>
              <w:t>Tarpon Coast Bancorp</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469</w:t>
            </w:r>
          </w:p>
        </w:tc>
        <w:tc>
          <w:tcPr>
            <w:tcW w:w="13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w:t>
            </w:r>
          </w:p>
        </w:tc>
        <w:tc>
          <w:tcPr>
            <w:tcW w:w="139" w:type="dxa"/>
            <w:tcBorders/>
            <w:shd w:fill="CCEEFF"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0"/>
              <w:ind w:left="450" w:right="0" w:hanging="225"/>
              <w:rPr/>
            </w:pPr>
            <w:r>
              <w:rPr/>
              <w:t>Busey Investment Group</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2,141</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1,989</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1,620</w:t>
            </w:r>
          </w:p>
        </w:tc>
        <w:tc>
          <w:tcPr>
            <w:tcW w:w="139" w:type="dxa"/>
            <w:tcBorders/>
            <w:shd w:fill="auto" w:val="clear"/>
            <w:vAlign w:val="bottom"/>
          </w:tcPr>
          <w:p>
            <w:pPr>
              <w:pStyle w:val="TableContents"/>
              <w:spacing w:before="0" w:after="283"/>
              <w:rPr/>
            </w:pPr>
            <w:r>
              <w:rPr/>
              <w:t> </w:t>
            </w:r>
          </w:p>
        </w:tc>
      </w:tr>
      <w:tr>
        <w:trPr/>
        <w:tc>
          <w:tcPr>
            <w:tcW w:w="5797" w:type="dxa"/>
            <w:tcBorders/>
            <w:shd w:fill="CCEEFF" w:val="clear"/>
            <w:vAlign w:val="bottom"/>
          </w:tcPr>
          <w:p>
            <w:pPr>
              <w:pStyle w:val="TableContents"/>
              <w:spacing w:before="0" w:after="0"/>
              <w:ind w:left="450" w:right="0" w:hanging="225"/>
              <w:rPr/>
            </w:pPr>
            <w:r>
              <w:rPr/>
              <w:t>All Other</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813" w:type="dxa"/>
            <w:tcBorders/>
            <w:shd w:fill="CCEEFF" w:val="clear"/>
            <w:vAlign w:val="bottom"/>
          </w:tcPr>
          <w:p>
            <w:pPr>
              <w:pStyle w:val="TableContents"/>
              <w:spacing w:before="0" w:after="283"/>
              <w:jc w:val="right"/>
              <w:rPr/>
            </w:pPr>
            <w:r>
              <w:rPr/>
              <w:t>(3,963</w:t>
            </w:r>
          </w:p>
        </w:tc>
        <w:tc>
          <w:tcPr>
            <w:tcW w:w="130" w:type="dxa"/>
            <w:tcBorders/>
            <w:shd w:fill="CCEEFF" w:val="clear"/>
            <w:vAlign w:val="bottom"/>
          </w:tcPr>
          <w:p>
            <w:pPr>
              <w:pStyle w:val="TableContents"/>
              <w:spacing w:before="0" w:after="283"/>
              <w:rPr/>
            </w:pPr>
            <w:r>
              <w:rPr/>
              <w:t>)</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(2,961</w:t>
            </w:r>
          </w:p>
        </w:tc>
        <w:tc>
          <w:tcPr>
            <w:tcW w:w="129" w:type="dxa"/>
            <w:tcBorders/>
            <w:shd w:fill="CCEEFF" w:val="clear"/>
            <w:vAlign w:val="bottom"/>
          </w:tcPr>
          <w:p>
            <w:pPr>
              <w:pStyle w:val="TableContents"/>
              <w:spacing w:before="0" w:after="283"/>
              <w:rPr/>
            </w:pPr>
            <w:r>
              <w:rPr/>
              <w:t>)</w:t>
            </w:r>
          </w:p>
        </w:tc>
        <w:tc>
          <w:tcPr>
            <w:tcW w:w="450"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(1,801</w:t>
            </w:r>
          </w:p>
        </w:tc>
        <w:tc>
          <w:tcPr>
            <w:tcW w:w="139" w:type="dxa"/>
            <w:tcBorders/>
            <w:shd w:fill="CCEEFF" w:val="clear"/>
            <w:vAlign w:val="bottom"/>
          </w:tcPr>
          <w:p>
            <w:pPr>
              <w:pStyle w:val="TableContents"/>
              <w:spacing w:before="0" w:after="283"/>
              <w:rPr/>
            </w:pPr>
            <w:r>
              <w:rPr/>
              <w:t>)</w:t>
            </w:r>
          </w:p>
        </w:tc>
      </w:tr>
      <w:tr>
        <w:trPr/>
        <w:tc>
          <w:tcPr>
            <w:tcW w:w="5797"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5797" w:type="dxa"/>
            <w:tcBorders/>
            <w:shd w:fill="auto" w:val="clear"/>
            <w:vAlign w:val="bottom"/>
          </w:tcPr>
          <w:p>
            <w:pPr>
              <w:pStyle w:val="TableContents"/>
              <w:spacing w:before="0" w:after="0"/>
              <w:ind w:left="675" w:right="0" w:hanging="225"/>
              <w:rPr/>
            </w:pPr>
            <w:r>
              <w:rPr/>
              <w:t>Total Net Income</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26,934</w:t>
            </w:r>
          </w:p>
        </w:tc>
        <w:tc>
          <w:tcPr>
            <w:tcW w:w="13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22,454</w:t>
            </w:r>
          </w:p>
        </w:tc>
        <w:tc>
          <w:tcPr>
            <w:tcW w:w="129"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19,864</w:t>
            </w:r>
          </w:p>
        </w:tc>
        <w:tc>
          <w:tcPr>
            <w:tcW w:w="139" w:type="dxa"/>
            <w:tcBorders/>
            <w:shd w:fill="auto" w:val="clear"/>
            <w:vAlign w:val="bottom"/>
          </w:tcPr>
          <w:p>
            <w:pPr>
              <w:pStyle w:val="TableContents"/>
              <w:spacing w:before="0" w:after="283"/>
              <w:rPr/>
            </w:pPr>
            <w:r>
              <w:rPr/>
              <w:t> </w:t>
            </w:r>
          </w:p>
        </w:tc>
      </w:tr>
      <w:tr>
        <w:trPr/>
        <w:tc>
          <w:tcPr>
            <w:tcW w:w="5797"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89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tbl>
      <w:tblPr>
        <w:tblW w:w="5000" w:type="pct"/>
        <w:jc w:val="center"/>
        <w:tblInd w:w="0" w:type="dxa"/>
        <w:tblCellMar>
          <w:top w:w="0" w:type="dxa"/>
          <w:left w:w="0" w:type="dxa"/>
          <w:bottom w:w="0" w:type="dxa"/>
          <w:right w:w="0" w:type="dxa"/>
        </w:tblCellMar>
      </w:tblPr>
      <w:tblGrid>
        <w:gridCol w:w="5323"/>
        <w:gridCol w:w="412"/>
        <w:gridCol w:w="112"/>
        <w:gridCol w:w="982"/>
        <w:gridCol w:w="133"/>
        <w:gridCol w:w="412"/>
        <w:gridCol w:w="112"/>
        <w:gridCol w:w="982"/>
        <w:gridCol w:w="112"/>
        <w:gridCol w:w="412"/>
        <w:gridCol w:w="112"/>
        <w:gridCol w:w="982"/>
        <w:gridCol w:w="119"/>
      </w:tblGrid>
      <w:tr>
        <w:trPr/>
        <w:tc>
          <w:tcPr>
            <w:tcW w:w="532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532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4351" w:type="dxa"/>
            <w:gridSpan w:val="10"/>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119" w:type="dxa"/>
            <w:tcBorders/>
            <w:shd w:fill="auto" w:val="clear"/>
            <w:vAlign w:val="bottom"/>
          </w:tcPr>
          <w:p>
            <w:pPr>
              <w:pStyle w:val="TableContents"/>
              <w:spacing w:before="0" w:after="283"/>
              <w:rPr/>
            </w:pPr>
            <w:r>
              <w:rPr/>
              <w:t> </w:t>
            </w:r>
          </w:p>
        </w:tc>
      </w:tr>
      <w:tr>
        <w:trPr/>
        <w:tc>
          <w:tcPr>
            <w:tcW w:w="532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0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3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0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0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119" w:type="dxa"/>
            <w:tcBorders/>
            <w:shd w:fill="auto" w:val="clear"/>
            <w:vAlign w:val="bottom"/>
          </w:tcPr>
          <w:p>
            <w:pPr>
              <w:pStyle w:val="TableContents"/>
              <w:spacing w:before="0" w:after="283"/>
              <w:rPr/>
            </w:pPr>
            <w:r>
              <w:rPr/>
              <w:t> </w:t>
            </w:r>
          </w:p>
        </w:tc>
      </w:tr>
      <w:tr>
        <w:trPr/>
        <w:tc>
          <w:tcPr>
            <w:tcW w:w="532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4351" w:type="dxa"/>
            <w:gridSpan w:val="10"/>
            <w:tcBorders/>
            <w:shd w:fill="auto" w:val="clear"/>
            <w:vAlign w:val="bottom"/>
          </w:tcPr>
          <w:p>
            <w:pPr>
              <w:pStyle w:val="TableContents"/>
              <w:spacing w:before="0" w:after="283"/>
              <w:jc w:val="center"/>
              <w:rPr/>
            </w:pPr>
            <w:r>
              <w:rPr/>
              <w:t>(Dollars in thousands)</w:t>
            </w:r>
          </w:p>
        </w:tc>
        <w:tc>
          <w:tcPr>
            <w:tcW w:w="119" w:type="dxa"/>
            <w:tcBorders/>
            <w:shd w:fill="auto" w:val="clear"/>
            <w:vAlign w:val="bottom"/>
          </w:tcPr>
          <w:p>
            <w:pPr>
              <w:pStyle w:val="TableContents"/>
              <w:spacing w:before="0" w:after="283"/>
              <w:rPr/>
            </w:pPr>
            <w:r>
              <w:rPr/>
              <w:t> </w:t>
            </w:r>
          </w:p>
        </w:tc>
      </w:tr>
      <w:tr>
        <w:trPr/>
        <w:tc>
          <w:tcPr>
            <w:tcW w:w="5323" w:type="dxa"/>
            <w:tcBorders/>
            <w:shd w:fill="CCEEFF" w:val="clear"/>
            <w:vAlign w:val="bottom"/>
          </w:tcPr>
          <w:p>
            <w:pPr>
              <w:pStyle w:val="TableContents"/>
              <w:spacing w:before="0" w:after="0"/>
              <w:ind w:left="225" w:right="0" w:hanging="225"/>
              <w:rPr/>
            </w:pPr>
            <w:r>
              <w:rPr/>
              <w:t>Goodwill:</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r>
      <w:tr>
        <w:trPr/>
        <w:tc>
          <w:tcPr>
            <w:tcW w:w="5323" w:type="dxa"/>
            <w:tcBorders/>
            <w:shd w:fill="auto" w:val="clear"/>
            <w:vAlign w:val="bottom"/>
          </w:tcPr>
          <w:p>
            <w:pPr>
              <w:pStyle w:val="TableContents"/>
              <w:spacing w:before="0" w:after="0"/>
              <w:ind w:left="450" w:right="0" w:hanging="225"/>
              <w:rPr/>
            </w:pPr>
            <w:r>
              <w:rPr/>
              <w:t>Busey Bank</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30,237</w:t>
            </w:r>
          </w:p>
        </w:tc>
        <w:tc>
          <w:tcPr>
            <w:tcW w:w="13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30,237</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5,832</w:t>
            </w:r>
          </w:p>
        </w:tc>
        <w:tc>
          <w:tcPr>
            <w:tcW w:w="119" w:type="dxa"/>
            <w:tcBorders/>
            <w:shd w:fill="auto" w:val="clear"/>
            <w:vAlign w:val="bottom"/>
          </w:tcPr>
          <w:p>
            <w:pPr>
              <w:pStyle w:val="TableContents"/>
              <w:spacing w:before="0" w:after="283"/>
              <w:rPr/>
            </w:pPr>
            <w:r>
              <w:rPr/>
              <w:t> </w:t>
            </w:r>
          </w:p>
        </w:tc>
      </w:tr>
      <w:tr>
        <w:trPr/>
        <w:tc>
          <w:tcPr>
            <w:tcW w:w="5323" w:type="dxa"/>
            <w:tcBorders/>
            <w:shd w:fill="CCEEFF" w:val="clear"/>
            <w:vAlign w:val="bottom"/>
          </w:tcPr>
          <w:p>
            <w:pPr>
              <w:pStyle w:val="TableContents"/>
              <w:spacing w:before="0" w:after="0"/>
              <w:ind w:left="450" w:right="0" w:hanging="225"/>
              <w:rPr/>
            </w:pPr>
            <w:r>
              <w:rPr/>
              <w:t>Busey Bank Florida</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r>
      <w:tr>
        <w:trPr/>
        <w:tc>
          <w:tcPr>
            <w:tcW w:w="5323" w:type="dxa"/>
            <w:tcBorders/>
            <w:shd w:fill="auto" w:val="clear"/>
            <w:vAlign w:val="bottom"/>
          </w:tcPr>
          <w:p>
            <w:pPr>
              <w:pStyle w:val="TableContents"/>
              <w:spacing w:before="0" w:after="0"/>
              <w:ind w:left="450" w:right="0" w:hanging="225"/>
              <w:rPr/>
            </w:pPr>
            <w:r>
              <w:rPr/>
              <w:t>Tarpon Coast Bancorp</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22,317</w:t>
            </w:r>
          </w:p>
        </w:tc>
        <w:tc>
          <w:tcPr>
            <w:tcW w:w="13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w:t>
            </w:r>
          </w:p>
        </w:tc>
        <w:tc>
          <w:tcPr>
            <w:tcW w:w="119" w:type="dxa"/>
            <w:tcBorders/>
            <w:shd w:fill="auto" w:val="clear"/>
            <w:vAlign w:val="bottom"/>
          </w:tcPr>
          <w:p>
            <w:pPr>
              <w:pStyle w:val="TableContents"/>
              <w:spacing w:before="0" w:after="283"/>
              <w:rPr/>
            </w:pPr>
            <w:r>
              <w:rPr/>
              <w:t> </w:t>
            </w:r>
          </w:p>
        </w:tc>
      </w:tr>
      <w:tr>
        <w:trPr/>
        <w:tc>
          <w:tcPr>
            <w:tcW w:w="5323" w:type="dxa"/>
            <w:tcBorders/>
            <w:shd w:fill="CCEEFF" w:val="clear"/>
            <w:vAlign w:val="bottom"/>
          </w:tcPr>
          <w:p>
            <w:pPr>
              <w:pStyle w:val="TableContents"/>
              <w:spacing w:before="0" w:after="0"/>
              <w:ind w:left="450" w:right="0" w:hanging="225"/>
              <w:rPr/>
            </w:pPr>
            <w:r>
              <w:rPr/>
              <w:t>Busey Investment Group</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r>
      <w:tr>
        <w:trPr/>
        <w:tc>
          <w:tcPr>
            <w:tcW w:w="5323" w:type="dxa"/>
            <w:tcBorders/>
            <w:shd w:fill="auto" w:val="clear"/>
            <w:vAlign w:val="bottom"/>
          </w:tcPr>
          <w:p>
            <w:pPr>
              <w:pStyle w:val="TableContents"/>
              <w:spacing w:before="0" w:after="0"/>
              <w:ind w:left="450" w:right="0" w:hanging="225"/>
              <w:rPr/>
            </w:pPr>
            <w:r>
              <w:rPr/>
              <w:t>All Other</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1,548</w:t>
            </w:r>
          </w:p>
        </w:tc>
        <w:tc>
          <w:tcPr>
            <w:tcW w:w="13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1,548</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1,548</w:t>
            </w:r>
          </w:p>
        </w:tc>
        <w:tc>
          <w:tcPr>
            <w:tcW w:w="119" w:type="dxa"/>
            <w:tcBorders/>
            <w:shd w:fill="auto" w:val="clear"/>
            <w:vAlign w:val="bottom"/>
          </w:tcPr>
          <w:p>
            <w:pPr>
              <w:pStyle w:val="TableContents"/>
              <w:spacing w:before="0" w:after="283"/>
              <w:rPr/>
            </w:pPr>
            <w:r>
              <w:rPr/>
              <w:t> </w:t>
            </w:r>
          </w:p>
        </w:tc>
      </w:tr>
      <w:tr>
        <w:trPr/>
        <w:tc>
          <w:tcPr>
            <w:tcW w:w="5323" w:type="dxa"/>
            <w:tcBorders/>
            <w:shd w:fill="auto" w:val="clear"/>
            <w:vAlign w:val="center"/>
          </w:tcPr>
          <w:p>
            <w:pPr>
              <w:pStyle w:val="TableContents"/>
              <w:spacing w:before="0" w:after="0"/>
              <w:ind w:left="450" w:right="0" w:hanging="225"/>
              <w:rPr/>
            </w:pPr>
            <w:r>
              <w:rPr/>
              <w:t> </w:t>
            </w:r>
          </w:p>
        </w:tc>
        <w:tc>
          <w:tcPr>
            <w:tcW w:w="412"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5323" w:type="dxa"/>
            <w:tcBorders/>
            <w:shd w:fill="CCEEFF" w:val="clear"/>
            <w:vAlign w:val="bottom"/>
          </w:tcPr>
          <w:p>
            <w:pPr>
              <w:pStyle w:val="TableContents"/>
              <w:spacing w:before="0" w:after="0"/>
              <w:ind w:left="675" w:right="0" w:hanging="225"/>
              <w:rPr/>
            </w:pPr>
            <w:r>
              <w:rPr/>
              <w:t>Total Goodwill</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54,102</w:t>
            </w:r>
          </w:p>
        </w:tc>
        <w:tc>
          <w:tcPr>
            <w:tcW w:w="133"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31,785</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7,380</w:t>
            </w:r>
          </w:p>
        </w:tc>
        <w:tc>
          <w:tcPr>
            <w:tcW w:w="119" w:type="dxa"/>
            <w:tcBorders/>
            <w:shd w:fill="CCEEFF" w:val="clear"/>
            <w:vAlign w:val="bottom"/>
          </w:tcPr>
          <w:p>
            <w:pPr>
              <w:pStyle w:val="TableContents"/>
              <w:spacing w:before="0" w:after="283"/>
              <w:rPr/>
            </w:pPr>
            <w:r>
              <w:rPr/>
              <w:t> </w:t>
            </w:r>
          </w:p>
        </w:tc>
      </w:tr>
      <w:tr>
        <w:trPr/>
        <w:tc>
          <w:tcPr>
            <w:tcW w:w="5323" w:type="dxa"/>
            <w:tcBorders/>
            <w:shd w:fill="auto" w:val="clear"/>
            <w:vAlign w:val="center"/>
          </w:tcPr>
          <w:p>
            <w:pPr>
              <w:pStyle w:val="TableContents"/>
              <w:spacing w:before="0" w:after="0"/>
              <w:ind w:left="450" w:right="0" w:hanging="225"/>
              <w:rPr/>
            </w:pPr>
            <w:r>
              <w:rPr/>
              <w:t> </w:t>
            </w:r>
          </w:p>
        </w:tc>
        <w:tc>
          <w:tcPr>
            <w:tcW w:w="412"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5323" w:type="dxa"/>
            <w:tcBorders/>
            <w:shd w:fill="auto" w:val="clear"/>
            <w:vAlign w:val="bottom"/>
          </w:tcPr>
          <w:p>
            <w:pPr>
              <w:pStyle w:val="TableContents"/>
              <w:spacing w:before="0" w:after="0"/>
              <w:ind w:left="225" w:right="0" w:hanging="225"/>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5323" w:type="dxa"/>
            <w:tcBorders/>
            <w:shd w:fill="auto" w:val="clear"/>
            <w:vAlign w:val="bottom"/>
          </w:tcPr>
          <w:p>
            <w:pPr>
              <w:pStyle w:val="TableContents"/>
              <w:spacing w:before="0" w:after="0"/>
              <w:ind w:left="225" w:right="0" w:hanging="225"/>
              <w:rPr/>
            </w:pPr>
            <w:r>
              <w:rPr/>
              <w:t>Assets:</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5323" w:type="dxa"/>
            <w:tcBorders/>
            <w:shd w:fill="CCEEFF" w:val="clear"/>
            <w:vAlign w:val="bottom"/>
          </w:tcPr>
          <w:p>
            <w:pPr>
              <w:pStyle w:val="TableContents"/>
              <w:spacing w:before="0" w:after="0"/>
              <w:ind w:left="450" w:right="0" w:hanging="225"/>
              <w:rPr/>
            </w:pPr>
            <w:r>
              <w:rPr/>
              <w:t>Busey Bank</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1,840,102</w:t>
            </w:r>
          </w:p>
        </w:tc>
        <w:tc>
          <w:tcPr>
            <w:tcW w:w="133"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1,773,223</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1,394,354</w:t>
            </w:r>
          </w:p>
        </w:tc>
        <w:tc>
          <w:tcPr>
            <w:tcW w:w="119" w:type="dxa"/>
            <w:tcBorders/>
            <w:shd w:fill="CCEEFF" w:val="clear"/>
            <w:vAlign w:val="bottom"/>
          </w:tcPr>
          <w:p>
            <w:pPr>
              <w:pStyle w:val="TableContents"/>
              <w:spacing w:before="0" w:after="283"/>
              <w:rPr/>
            </w:pPr>
            <w:r>
              <w:rPr/>
              <w:t> </w:t>
            </w:r>
          </w:p>
        </w:tc>
      </w:tr>
      <w:tr>
        <w:trPr/>
        <w:tc>
          <w:tcPr>
            <w:tcW w:w="5323" w:type="dxa"/>
            <w:tcBorders/>
            <w:shd w:fill="auto" w:val="clear"/>
            <w:vAlign w:val="bottom"/>
          </w:tcPr>
          <w:p>
            <w:pPr>
              <w:pStyle w:val="TableContents"/>
              <w:spacing w:before="0" w:after="0"/>
              <w:ind w:left="450" w:right="0" w:hanging="225"/>
              <w:rPr/>
            </w:pPr>
            <w:r>
              <w:rPr/>
              <w:t>Busey Bank Florida</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245,660</w:t>
            </w:r>
          </w:p>
        </w:tc>
        <w:tc>
          <w:tcPr>
            <w:tcW w:w="13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175,778</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113,441</w:t>
            </w:r>
          </w:p>
        </w:tc>
        <w:tc>
          <w:tcPr>
            <w:tcW w:w="119" w:type="dxa"/>
            <w:tcBorders/>
            <w:shd w:fill="auto" w:val="clear"/>
            <w:vAlign w:val="bottom"/>
          </w:tcPr>
          <w:p>
            <w:pPr>
              <w:pStyle w:val="TableContents"/>
              <w:spacing w:before="0" w:after="283"/>
              <w:rPr/>
            </w:pPr>
            <w:r>
              <w:rPr/>
              <w:t> </w:t>
            </w:r>
          </w:p>
        </w:tc>
      </w:tr>
      <w:tr>
        <w:trPr/>
        <w:tc>
          <w:tcPr>
            <w:tcW w:w="5323" w:type="dxa"/>
            <w:tcBorders/>
            <w:shd w:fill="CCEEFF" w:val="clear"/>
            <w:vAlign w:val="bottom"/>
          </w:tcPr>
          <w:p>
            <w:pPr>
              <w:pStyle w:val="TableContents"/>
              <w:spacing w:before="0" w:after="0"/>
              <w:ind w:left="450" w:right="0" w:hanging="225"/>
              <w:rPr/>
            </w:pPr>
            <w:r>
              <w:rPr/>
              <w:t>Tarpon Coast Bancorp</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177,046</w:t>
            </w:r>
          </w:p>
        </w:tc>
        <w:tc>
          <w:tcPr>
            <w:tcW w:w="133"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r>
      <w:tr>
        <w:trPr/>
        <w:tc>
          <w:tcPr>
            <w:tcW w:w="5323" w:type="dxa"/>
            <w:tcBorders/>
            <w:shd w:fill="auto" w:val="clear"/>
            <w:vAlign w:val="bottom"/>
          </w:tcPr>
          <w:p>
            <w:pPr>
              <w:pStyle w:val="TableContents"/>
              <w:spacing w:before="0" w:after="0"/>
              <w:ind w:left="450" w:right="0" w:hanging="225"/>
              <w:rPr/>
            </w:pPr>
            <w:r>
              <w:rPr/>
              <w:t>Busey Investment Group</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6,849</w:t>
            </w:r>
          </w:p>
        </w:tc>
        <w:tc>
          <w:tcPr>
            <w:tcW w:w="13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6,053</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5,265</w:t>
            </w:r>
          </w:p>
        </w:tc>
        <w:tc>
          <w:tcPr>
            <w:tcW w:w="119" w:type="dxa"/>
            <w:tcBorders/>
            <w:shd w:fill="auto" w:val="clear"/>
            <w:vAlign w:val="bottom"/>
          </w:tcPr>
          <w:p>
            <w:pPr>
              <w:pStyle w:val="TableContents"/>
              <w:spacing w:before="0" w:after="283"/>
              <w:rPr/>
            </w:pPr>
            <w:r>
              <w:rPr/>
              <w:t> </w:t>
            </w:r>
          </w:p>
        </w:tc>
      </w:tr>
      <w:tr>
        <w:trPr/>
        <w:tc>
          <w:tcPr>
            <w:tcW w:w="5323" w:type="dxa"/>
            <w:tcBorders/>
            <w:shd w:fill="CCEEFF" w:val="clear"/>
            <w:vAlign w:val="bottom"/>
          </w:tcPr>
          <w:p>
            <w:pPr>
              <w:pStyle w:val="TableContents"/>
              <w:spacing w:before="0" w:after="0"/>
              <w:ind w:left="450" w:right="0" w:hanging="225"/>
              <w:rPr/>
            </w:pPr>
            <w:r>
              <w:rPr/>
              <w:t>All Other</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(6,235</w:t>
            </w:r>
          </w:p>
        </w:tc>
        <w:tc>
          <w:tcPr>
            <w:tcW w:w="133" w:type="dxa"/>
            <w:tcBorders/>
            <w:shd w:fill="CCEEFF" w:val="clear"/>
            <w:vAlign w:val="bottom"/>
          </w:tcPr>
          <w:p>
            <w:pPr>
              <w:pStyle w:val="TableContents"/>
              <w:spacing w:before="0" w:after="283"/>
              <w:rPr/>
            </w:pPr>
            <w:r>
              <w:rPr/>
              <w:t>)</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9,387</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9,024</w:t>
            </w:r>
          </w:p>
        </w:tc>
        <w:tc>
          <w:tcPr>
            <w:tcW w:w="119" w:type="dxa"/>
            <w:tcBorders/>
            <w:shd w:fill="CCEEFF" w:val="clear"/>
            <w:vAlign w:val="bottom"/>
          </w:tcPr>
          <w:p>
            <w:pPr>
              <w:pStyle w:val="TableContents"/>
              <w:spacing w:before="0" w:after="283"/>
              <w:rPr/>
            </w:pPr>
            <w:r>
              <w:rPr/>
              <w:t> </w:t>
            </w:r>
          </w:p>
        </w:tc>
      </w:tr>
      <w:tr>
        <w:trPr/>
        <w:tc>
          <w:tcPr>
            <w:tcW w:w="5323" w:type="dxa"/>
            <w:tcBorders/>
            <w:shd w:fill="auto" w:val="clear"/>
            <w:vAlign w:val="center"/>
          </w:tcPr>
          <w:p>
            <w:pPr>
              <w:pStyle w:val="TableContents"/>
              <w:spacing w:before="0" w:after="0"/>
              <w:ind w:left="450" w:right="0" w:hanging="225"/>
              <w:rPr/>
            </w:pPr>
            <w:r>
              <w:rPr/>
              <w:t> </w:t>
            </w:r>
          </w:p>
        </w:tc>
        <w:tc>
          <w:tcPr>
            <w:tcW w:w="412"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5323" w:type="dxa"/>
            <w:tcBorders/>
            <w:shd w:fill="auto" w:val="clear"/>
            <w:vAlign w:val="bottom"/>
          </w:tcPr>
          <w:p>
            <w:pPr>
              <w:pStyle w:val="TableContents"/>
              <w:spacing w:before="0" w:after="0"/>
              <w:ind w:left="675" w:right="0" w:hanging="225"/>
              <w:rPr/>
            </w:pPr>
            <w:r>
              <w:rPr/>
              <w:t>Total Assets</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2,263,422</w:t>
            </w:r>
          </w:p>
        </w:tc>
        <w:tc>
          <w:tcPr>
            <w:tcW w:w="133"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1,964,441</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1,522,084</w:t>
            </w:r>
          </w:p>
        </w:tc>
        <w:tc>
          <w:tcPr>
            <w:tcW w:w="119" w:type="dxa"/>
            <w:tcBorders/>
            <w:shd w:fill="auto" w:val="clear"/>
            <w:vAlign w:val="bottom"/>
          </w:tcPr>
          <w:p>
            <w:pPr>
              <w:pStyle w:val="TableContents"/>
              <w:spacing w:before="0" w:after="283"/>
              <w:rPr/>
            </w:pPr>
            <w:r>
              <w:rPr/>
              <w:t> </w:t>
            </w:r>
          </w:p>
        </w:tc>
      </w:tr>
      <w:tr>
        <w:trPr/>
        <w:tc>
          <w:tcPr>
            <w:tcW w:w="5323" w:type="dxa"/>
            <w:tcBorders/>
            <w:shd w:fill="auto" w:val="clear"/>
            <w:vAlign w:val="center"/>
          </w:tcPr>
          <w:p>
            <w:pPr>
              <w:pStyle w:val="TableContents"/>
              <w:spacing w:before="0" w:after="0"/>
              <w:ind w:left="450" w:right="0" w:hanging="225"/>
              <w:rPr/>
            </w:pPr>
            <w:r>
              <w:rPr/>
              <w:t> </w:t>
            </w:r>
          </w:p>
        </w:tc>
        <w:tc>
          <w:tcPr>
            <w:tcW w:w="412"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0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90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 22. Parent Company Only Financial Information</w:t>
      </w:r>
      <w:r>
        <w:rPr>
          <w:rFonts w:ascii="Arial;Helvetica;sans-serif" w:hAnsi="Arial;Helvetica;sans-serif"/>
          <w:sz w:val="17"/>
        </w:rPr>
        <w:t xml:space="preserve"> </w:t>
      </w:r>
    </w:p>
    <w:p>
      <w:pPr>
        <w:pStyle w:val="TextBody"/>
        <w:spacing w:before="120" w:after="283"/>
        <w:jc w:val="left"/>
        <w:rPr/>
      </w:pPr>
      <w:r>
        <w:rPr/>
        <w:t>     </w:t>
      </w:r>
      <w:r>
        <w:rPr>
          <w:rFonts w:ascii="Arial;Helvetica;sans-serif" w:hAnsi="Arial;Helvetica;sans-serif"/>
          <w:sz w:val="17"/>
        </w:rPr>
        <w:t xml:space="preserve">Condensed financial data for First Busey Corporation is presented below. </w:t>
      </w:r>
    </w:p>
    <w:p>
      <w:pPr>
        <w:pStyle w:val="TextBody"/>
        <w:spacing w:before="360" w:after="283"/>
        <w:jc w:val="center"/>
        <w:rPr>
          <w:rFonts w:ascii="Arial;Helvetica;sans-serif" w:hAnsi="Arial;Helvetica;sans-serif"/>
          <w:sz w:val="17"/>
        </w:rPr>
      </w:pPr>
      <w:r>
        <w:rPr>
          <w:rFonts w:ascii="Arial;Helvetica;sans-serif" w:hAnsi="Arial;Helvetica;sans-serif"/>
          <w:sz w:val="17"/>
        </w:rPr>
        <w:t xml:space="preserve">BALANCE SHEETS </w:t>
      </w:r>
    </w:p>
    <w:tbl>
      <w:tblPr>
        <w:tblW w:w="5000" w:type="pct"/>
        <w:jc w:val="center"/>
        <w:tblInd w:w="0" w:type="dxa"/>
        <w:tblCellMar>
          <w:top w:w="0" w:type="dxa"/>
          <w:left w:w="0" w:type="dxa"/>
          <w:bottom w:w="0" w:type="dxa"/>
          <w:right w:w="0" w:type="dxa"/>
        </w:tblCellMar>
      </w:tblPr>
      <w:tblGrid>
        <w:gridCol w:w="7101"/>
        <w:gridCol w:w="432"/>
        <w:gridCol w:w="155"/>
        <w:gridCol w:w="831"/>
        <w:gridCol w:w="131"/>
        <w:gridCol w:w="433"/>
        <w:gridCol w:w="155"/>
        <w:gridCol w:w="833"/>
        <w:gridCol w:w="134"/>
      </w:tblGrid>
      <w:tr>
        <w:trPr/>
        <w:tc>
          <w:tcPr>
            <w:tcW w:w="710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710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2538" w:type="dxa"/>
            <w:gridSpan w:val="6"/>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134" w:type="dxa"/>
            <w:tcBorders/>
            <w:shd w:fill="auto" w:val="clear"/>
            <w:vAlign w:val="bottom"/>
          </w:tcPr>
          <w:p>
            <w:pPr>
              <w:pStyle w:val="TableContents"/>
              <w:spacing w:before="0" w:after="283"/>
              <w:rPr/>
            </w:pPr>
            <w:r>
              <w:rPr/>
              <w:t> </w:t>
            </w:r>
          </w:p>
        </w:tc>
      </w:tr>
      <w:tr>
        <w:trPr/>
        <w:tc>
          <w:tcPr>
            <w:tcW w:w="710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98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34" w:type="dxa"/>
            <w:tcBorders/>
            <w:shd w:fill="auto" w:val="clear"/>
            <w:vAlign w:val="bottom"/>
          </w:tcPr>
          <w:p>
            <w:pPr>
              <w:pStyle w:val="TableContents"/>
              <w:spacing w:before="0" w:after="283"/>
              <w:rPr/>
            </w:pPr>
            <w:r>
              <w:rPr/>
              <w:t> </w:t>
            </w:r>
          </w:p>
        </w:tc>
      </w:tr>
      <w:tr>
        <w:trPr/>
        <w:tc>
          <w:tcPr>
            <w:tcW w:w="7101" w:type="dxa"/>
            <w:tcBorders/>
            <w:shd w:fill="auto" w:val="clear"/>
            <w:vAlign w:val="bottom"/>
          </w:tcPr>
          <w:p>
            <w:pPr>
              <w:pStyle w:val="TableContents"/>
              <w:spacing w:before="0" w:after="283"/>
              <w:jc w:val="left"/>
              <w:rPr/>
            </w:pPr>
            <w:r>
              <w:rPr/>
              <w:t> </w:t>
            </w:r>
          </w:p>
        </w:tc>
        <w:tc>
          <w:tcPr>
            <w:tcW w:w="432" w:type="dxa"/>
            <w:tcBorders/>
            <w:shd w:fill="auto" w:val="clear"/>
            <w:vAlign w:val="bottom"/>
          </w:tcPr>
          <w:p>
            <w:pPr>
              <w:pStyle w:val="TableContents"/>
              <w:spacing w:before="0" w:after="283"/>
              <w:rPr/>
            </w:pPr>
            <w:r>
              <w:rPr/>
              <w:t> </w:t>
            </w:r>
          </w:p>
        </w:tc>
        <w:tc>
          <w:tcPr>
            <w:tcW w:w="2538" w:type="dxa"/>
            <w:gridSpan w:val="6"/>
            <w:tcBorders/>
            <w:shd w:fill="auto" w:val="clear"/>
            <w:vAlign w:val="bottom"/>
          </w:tcPr>
          <w:p>
            <w:pPr>
              <w:pStyle w:val="TableContents"/>
              <w:spacing w:before="0" w:after="283"/>
              <w:jc w:val="center"/>
              <w:rPr/>
            </w:pPr>
            <w:r>
              <w:rPr/>
              <w:t>(Dollars in thousands)</w:t>
            </w:r>
          </w:p>
        </w:tc>
        <w:tc>
          <w:tcPr>
            <w:tcW w:w="134" w:type="dxa"/>
            <w:tcBorders/>
            <w:shd w:fill="auto" w:val="clear"/>
            <w:vAlign w:val="bottom"/>
          </w:tcPr>
          <w:p>
            <w:pPr>
              <w:pStyle w:val="TableContents"/>
              <w:spacing w:before="0" w:after="283"/>
              <w:rPr/>
            </w:pPr>
            <w:r>
              <w:rPr/>
              <w:t> </w:t>
            </w:r>
          </w:p>
        </w:tc>
      </w:tr>
      <w:tr>
        <w:trPr/>
        <w:tc>
          <w:tcPr>
            <w:tcW w:w="7101" w:type="dxa"/>
            <w:tcBorders/>
            <w:shd w:fill="CCEEFF" w:val="clear"/>
            <w:vAlign w:val="bottom"/>
          </w:tcPr>
          <w:p>
            <w:pPr>
              <w:pStyle w:val="TableContents"/>
              <w:spacing w:before="0" w:after="283"/>
              <w:jc w:val="left"/>
              <w:rPr/>
            </w:pPr>
            <w:r>
              <w:rPr/>
              <w:t>ASSETS</w:t>
            </w:r>
          </w:p>
        </w:tc>
        <w:tc>
          <w:tcPr>
            <w:tcW w:w="432" w:type="dxa"/>
            <w:tcBorders/>
            <w:shd w:fill="CCEEFF" w:val="clear"/>
            <w:vAlign w:val="bottom"/>
          </w:tcPr>
          <w:p>
            <w:pPr>
              <w:pStyle w:val="TableContents"/>
              <w:spacing w:before="0" w:after="283"/>
              <w:rPr/>
            </w:pPr>
            <w:r>
              <w:rPr/>
              <w:t> </w:t>
            </w:r>
          </w:p>
        </w:tc>
        <w:tc>
          <w:tcPr>
            <w:tcW w:w="2538" w:type="dxa"/>
            <w:gridSpan w:val="6"/>
            <w:tcBorders/>
            <w:shd w:fill="CCEEFF" w:val="clear"/>
            <w:vAlign w:val="bottom"/>
          </w:tcPr>
          <w:p>
            <w:pPr>
              <w:pStyle w:val="TableContents"/>
              <w:spacing w:before="0" w:after="283"/>
              <w:jc w:val="center"/>
              <w:rPr/>
            </w:pPr>
            <w:r>
              <w:rPr/>
              <w:t> </w:t>
            </w:r>
          </w:p>
        </w:tc>
        <w:tc>
          <w:tcPr>
            <w:tcW w:w="134" w:type="dxa"/>
            <w:tcBorders/>
            <w:shd w:fill="CCEEFF" w:val="clear"/>
            <w:vAlign w:val="bottom"/>
          </w:tcPr>
          <w:p>
            <w:pPr>
              <w:pStyle w:val="TableContents"/>
              <w:spacing w:before="0" w:after="283"/>
              <w:rPr/>
            </w:pPr>
            <w:r>
              <w:rPr/>
              <w:t> </w:t>
            </w:r>
          </w:p>
        </w:tc>
      </w:tr>
      <w:tr>
        <w:trPr/>
        <w:tc>
          <w:tcPr>
            <w:tcW w:w="7101" w:type="dxa"/>
            <w:tcBorders/>
            <w:shd w:fill="auto" w:val="clear"/>
            <w:vAlign w:val="bottom"/>
          </w:tcPr>
          <w:p>
            <w:pPr>
              <w:pStyle w:val="TableContents"/>
              <w:spacing w:before="0" w:after="0"/>
              <w:ind w:left="225" w:right="0" w:hanging="225"/>
              <w:rPr/>
            </w:pPr>
            <w:r>
              <w:rPr/>
              <w:t>Cash and due from subsidiary bank</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31" w:type="dxa"/>
            <w:tcBorders/>
            <w:shd w:fill="auto" w:val="clear"/>
            <w:vAlign w:val="bottom"/>
          </w:tcPr>
          <w:p>
            <w:pPr>
              <w:pStyle w:val="TableContents"/>
              <w:spacing w:before="0" w:after="283"/>
              <w:jc w:val="right"/>
              <w:rPr/>
            </w:pPr>
            <w:r>
              <w:rPr/>
              <w:t>3,628</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7,376</w:t>
            </w:r>
          </w:p>
        </w:tc>
        <w:tc>
          <w:tcPr>
            <w:tcW w:w="134" w:type="dxa"/>
            <w:tcBorders/>
            <w:shd w:fill="auto" w:val="clear"/>
            <w:vAlign w:val="bottom"/>
          </w:tcPr>
          <w:p>
            <w:pPr>
              <w:pStyle w:val="TableContents"/>
              <w:spacing w:before="0" w:after="283"/>
              <w:rPr/>
            </w:pPr>
            <w:r>
              <w:rPr/>
              <w:t> </w:t>
            </w:r>
          </w:p>
        </w:tc>
      </w:tr>
      <w:tr>
        <w:trPr/>
        <w:tc>
          <w:tcPr>
            <w:tcW w:w="7101" w:type="dxa"/>
            <w:tcBorders/>
            <w:shd w:fill="CCEEFF" w:val="clear"/>
            <w:vAlign w:val="bottom"/>
          </w:tcPr>
          <w:p>
            <w:pPr>
              <w:pStyle w:val="TableContents"/>
              <w:spacing w:before="0" w:after="0"/>
              <w:ind w:left="225" w:right="0" w:hanging="225"/>
              <w:rPr/>
            </w:pPr>
            <w:r>
              <w:rPr/>
              <w:t>Securities available for sale</w:t>
            </w:r>
          </w:p>
        </w:tc>
        <w:tc>
          <w:tcPr>
            <w:tcW w:w="43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2,917</w:t>
            </w:r>
          </w:p>
        </w:tc>
        <w:tc>
          <w:tcPr>
            <w:tcW w:w="131"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2,766</w:t>
            </w:r>
          </w:p>
        </w:tc>
        <w:tc>
          <w:tcPr>
            <w:tcW w:w="134" w:type="dxa"/>
            <w:tcBorders/>
            <w:shd w:fill="CCEEFF" w:val="clear"/>
            <w:vAlign w:val="bottom"/>
          </w:tcPr>
          <w:p>
            <w:pPr>
              <w:pStyle w:val="TableContents"/>
              <w:spacing w:before="0" w:after="283"/>
              <w:rPr/>
            </w:pPr>
            <w:r>
              <w:rPr/>
              <w:t> </w:t>
            </w:r>
          </w:p>
        </w:tc>
      </w:tr>
      <w:tr>
        <w:trPr/>
        <w:tc>
          <w:tcPr>
            <w:tcW w:w="7101" w:type="dxa"/>
            <w:tcBorders/>
            <w:shd w:fill="auto" w:val="clear"/>
            <w:vAlign w:val="bottom"/>
          </w:tcPr>
          <w:p>
            <w:pPr>
              <w:pStyle w:val="TableContents"/>
              <w:spacing w:before="0" w:after="0"/>
              <w:ind w:left="225" w:right="0" w:hanging="225"/>
              <w:rPr/>
            </w:pPr>
            <w:r>
              <w:rPr/>
              <w:t>Loans</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pPr>
            <w:r>
              <w:rPr/>
              <w:t>3,292</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2,585</w:t>
            </w:r>
          </w:p>
        </w:tc>
        <w:tc>
          <w:tcPr>
            <w:tcW w:w="134" w:type="dxa"/>
            <w:tcBorders/>
            <w:shd w:fill="auto" w:val="clear"/>
            <w:vAlign w:val="bottom"/>
          </w:tcPr>
          <w:p>
            <w:pPr>
              <w:pStyle w:val="TableContents"/>
              <w:spacing w:before="0" w:after="283"/>
              <w:rPr/>
            </w:pPr>
            <w:r>
              <w:rPr/>
              <w:t> </w:t>
            </w:r>
          </w:p>
        </w:tc>
      </w:tr>
      <w:tr>
        <w:trPr/>
        <w:tc>
          <w:tcPr>
            <w:tcW w:w="7101" w:type="dxa"/>
            <w:tcBorders/>
            <w:shd w:fill="CCEEFF" w:val="clear"/>
            <w:vAlign w:val="bottom"/>
          </w:tcPr>
          <w:p>
            <w:pPr>
              <w:pStyle w:val="TableContents"/>
              <w:spacing w:before="0" w:after="0"/>
              <w:ind w:left="225" w:right="0" w:hanging="225"/>
              <w:rPr/>
            </w:pPr>
            <w:r>
              <w:rPr/>
              <w:t>Investments in subsidiaries:</w:t>
            </w:r>
          </w:p>
        </w:tc>
        <w:tc>
          <w:tcPr>
            <w:tcW w:w="43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r>
      <w:tr>
        <w:trPr/>
        <w:tc>
          <w:tcPr>
            <w:tcW w:w="7101" w:type="dxa"/>
            <w:tcBorders/>
            <w:shd w:fill="auto" w:val="clear"/>
            <w:vAlign w:val="bottom"/>
          </w:tcPr>
          <w:p>
            <w:pPr>
              <w:pStyle w:val="TableContents"/>
              <w:spacing w:before="0" w:after="0"/>
              <w:ind w:left="450" w:right="0" w:hanging="225"/>
              <w:rPr/>
            </w:pPr>
            <w:r>
              <w:rPr/>
              <w:t>Bank</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pPr>
            <w:r>
              <w:rPr/>
              <w:t>237,113</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180,916</w:t>
            </w:r>
          </w:p>
        </w:tc>
        <w:tc>
          <w:tcPr>
            <w:tcW w:w="134" w:type="dxa"/>
            <w:tcBorders/>
            <w:shd w:fill="auto" w:val="clear"/>
            <w:vAlign w:val="bottom"/>
          </w:tcPr>
          <w:p>
            <w:pPr>
              <w:pStyle w:val="TableContents"/>
              <w:spacing w:before="0" w:after="283"/>
              <w:rPr/>
            </w:pPr>
            <w:r>
              <w:rPr/>
              <w:t> </w:t>
            </w:r>
          </w:p>
        </w:tc>
      </w:tr>
      <w:tr>
        <w:trPr/>
        <w:tc>
          <w:tcPr>
            <w:tcW w:w="7101" w:type="dxa"/>
            <w:tcBorders/>
            <w:shd w:fill="CCEEFF" w:val="clear"/>
            <w:vAlign w:val="bottom"/>
          </w:tcPr>
          <w:p>
            <w:pPr>
              <w:pStyle w:val="TableContents"/>
              <w:spacing w:before="0" w:after="0"/>
              <w:ind w:left="450" w:right="0" w:hanging="225"/>
              <w:rPr/>
            </w:pPr>
            <w:r>
              <w:rPr/>
              <w:t>Non-bank</w:t>
            </w:r>
          </w:p>
        </w:tc>
        <w:tc>
          <w:tcPr>
            <w:tcW w:w="43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10,976</w:t>
            </w:r>
          </w:p>
        </w:tc>
        <w:tc>
          <w:tcPr>
            <w:tcW w:w="131"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11,011</w:t>
            </w:r>
          </w:p>
        </w:tc>
        <w:tc>
          <w:tcPr>
            <w:tcW w:w="134" w:type="dxa"/>
            <w:tcBorders/>
            <w:shd w:fill="CCEEFF" w:val="clear"/>
            <w:vAlign w:val="bottom"/>
          </w:tcPr>
          <w:p>
            <w:pPr>
              <w:pStyle w:val="TableContents"/>
              <w:spacing w:before="0" w:after="283"/>
              <w:rPr/>
            </w:pPr>
            <w:r>
              <w:rPr/>
              <w:t> </w:t>
            </w:r>
          </w:p>
        </w:tc>
      </w:tr>
      <w:tr>
        <w:trPr/>
        <w:tc>
          <w:tcPr>
            <w:tcW w:w="7101" w:type="dxa"/>
            <w:tcBorders/>
            <w:shd w:fill="auto" w:val="clear"/>
            <w:vAlign w:val="bottom"/>
          </w:tcPr>
          <w:p>
            <w:pPr>
              <w:pStyle w:val="TableContents"/>
              <w:spacing w:before="0" w:after="0"/>
              <w:ind w:left="225" w:right="0" w:hanging="225"/>
              <w:rPr/>
            </w:pPr>
            <w:r>
              <w:rPr/>
              <w:t>Premises and equipment, net</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pPr>
            <w:r>
              <w:rPr/>
              <w:t>435</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118</w:t>
            </w:r>
          </w:p>
        </w:tc>
        <w:tc>
          <w:tcPr>
            <w:tcW w:w="134" w:type="dxa"/>
            <w:tcBorders/>
            <w:shd w:fill="auto" w:val="clear"/>
            <w:vAlign w:val="bottom"/>
          </w:tcPr>
          <w:p>
            <w:pPr>
              <w:pStyle w:val="TableContents"/>
              <w:spacing w:before="0" w:after="283"/>
              <w:rPr/>
            </w:pPr>
            <w:r>
              <w:rPr/>
              <w:t> </w:t>
            </w:r>
          </w:p>
        </w:tc>
      </w:tr>
      <w:tr>
        <w:trPr/>
        <w:tc>
          <w:tcPr>
            <w:tcW w:w="7101" w:type="dxa"/>
            <w:tcBorders/>
            <w:shd w:fill="CCEEFF" w:val="clear"/>
            <w:vAlign w:val="bottom"/>
          </w:tcPr>
          <w:p>
            <w:pPr>
              <w:pStyle w:val="TableContents"/>
              <w:spacing w:before="0" w:after="0"/>
              <w:ind w:left="225" w:right="0" w:hanging="225"/>
              <w:rPr/>
            </w:pPr>
            <w:r>
              <w:rPr/>
              <w:t>Goodwill</w:t>
            </w:r>
          </w:p>
        </w:tc>
        <w:tc>
          <w:tcPr>
            <w:tcW w:w="43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1,548</w:t>
            </w:r>
          </w:p>
        </w:tc>
        <w:tc>
          <w:tcPr>
            <w:tcW w:w="131"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1,548</w:t>
            </w:r>
          </w:p>
        </w:tc>
        <w:tc>
          <w:tcPr>
            <w:tcW w:w="134" w:type="dxa"/>
            <w:tcBorders/>
            <w:shd w:fill="CCEEFF" w:val="clear"/>
            <w:vAlign w:val="bottom"/>
          </w:tcPr>
          <w:p>
            <w:pPr>
              <w:pStyle w:val="TableContents"/>
              <w:spacing w:before="0" w:after="283"/>
              <w:rPr/>
            </w:pPr>
            <w:r>
              <w:rPr/>
              <w:t> </w:t>
            </w:r>
          </w:p>
        </w:tc>
      </w:tr>
      <w:tr>
        <w:trPr/>
        <w:tc>
          <w:tcPr>
            <w:tcW w:w="7101" w:type="dxa"/>
            <w:tcBorders/>
            <w:shd w:fill="auto" w:val="clear"/>
            <w:vAlign w:val="bottom"/>
          </w:tcPr>
          <w:p>
            <w:pPr>
              <w:pStyle w:val="TableContents"/>
              <w:spacing w:before="0" w:after="0"/>
              <w:ind w:left="225" w:right="0" w:hanging="225"/>
              <w:rPr/>
            </w:pPr>
            <w:r>
              <w:rPr/>
              <w:t>Other assets</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pPr>
            <w:r>
              <w:rPr/>
              <w:t>6,999</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6,512</w:t>
            </w:r>
          </w:p>
        </w:tc>
        <w:tc>
          <w:tcPr>
            <w:tcW w:w="134" w:type="dxa"/>
            <w:tcBorders/>
            <w:shd w:fill="auto" w:val="clear"/>
            <w:vAlign w:val="bottom"/>
          </w:tcPr>
          <w:p>
            <w:pPr>
              <w:pStyle w:val="TableContents"/>
              <w:spacing w:before="0" w:after="283"/>
              <w:rPr/>
            </w:pPr>
            <w:r>
              <w:rPr/>
              <w:t> </w:t>
            </w:r>
          </w:p>
        </w:tc>
      </w:tr>
      <w:tr>
        <w:trPr/>
        <w:tc>
          <w:tcPr>
            <w:tcW w:w="7101"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267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01" w:type="dxa"/>
            <w:tcBorders/>
            <w:shd w:fill="CCEEFF" w:val="clear"/>
            <w:vAlign w:val="bottom"/>
          </w:tcPr>
          <w:p>
            <w:pPr>
              <w:pStyle w:val="TableContents"/>
              <w:spacing w:before="0" w:after="0"/>
              <w:ind w:left="675" w:right="0" w:hanging="225"/>
              <w:rPr>
                <w:b/>
              </w:rPr>
            </w:pPr>
            <w:r>
              <w:rPr>
                <w:b/>
              </w:rPr>
              <w:t>Total assets</w:t>
            </w:r>
          </w:p>
        </w:tc>
        <w:tc>
          <w:tcPr>
            <w:tcW w:w="43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31" w:type="dxa"/>
            <w:tcBorders/>
            <w:shd w:fill="CCEEFF" w:val="clear"/>
            <w:vAlign w:val="bottom"/>
          </w:tcPr>
          <w:p>
            <w:pPr>
              <w:pStyle w:val="TableContents"/>
              <w:spacing w:before="0" w:after="283"/>
              <w:jc w:val="right"/>
              <w:rPr/>
            </w:pPr>
            <w:r>
              <w:rPr/>
              <w:t>266,908</w:t>
            </w:r>
          </w:p>
        </w:tc>
        <w:tc>
          <w:tcPr>
            <w:tcW w:w="131"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212,832</w:t>
            </w:r>
          </w:p>
        </w:tc>
        <w:tc>
          <w:tcPr>
            <w:tcW w:w="134" w:type="dxa"/>
            <w:tcBorders/>
            <w:shd w:fill="CCEEFF" w:val="clear"/>
            <w:vAlign w:val="bottom"/>
          </w:tcPr>
          <w:p>
            <w:pPr>
              <w:pStyle w:val="TableContents"/>
              <w:spacing w:before="0" w:after="283"/>
              <w:rPr/>
            </w:pPr>
            <w:r>
              <w:rPr/>
              <w:t> </w:t>
            </w:r>
          </w:p>
        </w:tc>
      </w:tr>
      <w:tr>
        <w:trPr/>
        <w:tc>
          <w:tcPr>
            <w:tcW w:w="7101"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2672"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7101"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7101" w:type="dxa"/>
            <w:tcBorders/>
            <w:shd w:fill="auto" w:val="clear"/>
            <w:vAlign w:val="bottom"/>
          </w:tcPr>
          <w:p>
            <w:pPr>
              <w:pStyle w:val="TableContents"/>
              <w:spacing w:before="0" w:after="0"/>
              <w:ind w:left="225" w:right="0" w:hanging="225"/>
              <w:rPr/>
            </w:pPr>
            <w:r>
              <w:rPr/>
              <w:t xml:space="preserve">LIABILITIES AND STOCKHOLDERS EQUITY </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7101" w:type="dxa"/>
            <w:tcBorders/>
            <w:shd w:fill="CCEEFF" w:val="clear"/>
            <w:vAlign w:val="bottom"/>
          </w:tcPr>
          <w:p>
            <w:pPr>
              <w:pStyle w:val="TableContents"/>
              <w:spacing w:before="0" w:after="0"/>
              <w:ind w:left="225" w:right="0" w:hanging="225"/>
              <w:rPr/>
            </w:pPr>
            <w:r>
              <w:rPr/>
              <w:t>Liabilities:</w:t>
            </w:r>
          </w:p>
        </w:tc>
        <w:tc>
          <w:tcPr>
            <w:tcW w:w="43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r>
      <w:tr>
        <w:trPr/>
        <w:tc>
          <w:tcPr>
            <w:tcW w:w="7101" w:type="dxa"/>
            <w:tcBorders/>
            <w:shd w:fill="auto" w:val="clear"/>
            <w:vAlign w:val="bottom"/>
          </w:tcPr>
          <w:p>
            <w:pPr>
              <w:pStyle w:val="TableContents"/>
              <w:spacing w:before="0" w:after="0"/>
              <w:ind w:left="450" w:right="0" w:hanging="225"/>
              <w:rPr/>
            </w:pPr>
            <w:r>
              <w:rPr/>
              <w:t>Long-term debt</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31" w:type="dxa"/>
            <w:tcBorders/>
            <w:shd w:fill="auto" w:val="clear"/>
            <w:vAlign w:val="bottom"/>
          </w:tcPr>
          <w:p>
            <w:pPr>
              <w:pStyle w:val="TableContents"/>
              <w:spacing w:before="0" w:after="283"/>
              <w:jc w:val="right"/>
              <w:rPr/>
            </w:pPr>
            <w:r>
              <w:rPr/>
              <w:t>42,000</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30,000</w:t>
            </w:r>
          </w:p>
        </w:tc>
        <w:tc>
          <w:tcPr>
            <w:tcW w:w="134" w:type="dxa"/>
            <w:tcBorders/>
            <w:shd w:fill="auto" w:val="clear"/>
            <w:vAlign w:val="bottom"/>
          </w:tcPr>
          <w:p>
            <w:pPr>
              <w:pStyle w:val="TableContents"/>
              <w:spacing w:before="0" w:after="283"/>
              <w:rPr/>
            </w:pPr>
            <w:r>
              <w:rPr/>
              <w:t> </w:t>
            </w:r>
          </w:p>
        </w:tc>
      </w:tr>
      <w:tr>
        <w:trPr/>
        <w:tc>
          <w:tcPr>
            <w:tcW w:w="7101" w:type="dxa"/>
            <w:tcBorders/>
            <w:shd w:fill="CCEEFF" w:val="clear"/>
            <w:vAlign w:val="bottom"/>
          </w:tcPr>
          <w:p>
            <w:pPr>
              <w:pStyle w:val="TableContents"/>
              <w:spacing w:before="0" w:after="0"/>
              <w:ind w:left="450" w:right="0" w:hanging="225"/>
              <w:rPr/>
            </w:pPr>
            <w:r>
              <w:rPr/>
              <w:t>Long-term ESOP debt</w:t>
            </w:r>
          </w:p>
        </w:tc>
        <w:tc>
          <w:tcPr>
            <w:tcW w:w="43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2,058</w:t>
            </w:r>
          </w:p>
        </w:tc>
        <w:tc>
          <w:tcPr>
            <w:tcW w:w="131"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2,456</w:t>
            </w:r>
          </w:p>
        </w:tc>
        <w:tc>
          <w:tcPr>
            <w:tcW w:w="134" w:type="dxa"/>
            <w:tcBorders/>
            <w:shd w:fill="CCEEFF" w:val="clear"/>
            <w:vAlign w:val="bottom"/>
          </w:tcPr>
          <w:p>
            <w:pPr>
              <w:pStyle w:val="TableContents"/>
              <w:spacing w:before="0" w:after="283"/>
              <w:rPr/>
            </w:pPr>
            <w:r>
              <w:rPr/>
              <w:t> </w:t>
            </w:r>
          </w:p>
        </w:tc>
      </w:tr>
      <w:tr>
        <w:trPr/>
        <w:tc>
          <w:tcPr>
            <w:tcW w:w="7101" w:type="dxa"/>
            <w:tcBorders/>
            <w:shd w:fill="auto" w:val="clear"/>
            <w:vAlign w:val="bottom"/>
          </w:tcPr>
          <w:p>
            <w:pPr>
              <w:pStyle w:val="TableContents"/>
              <w:spacing w:before="0" w:after="0"/>
              <w:ind w:left="450" w:right="0" w:hanging="225"/>
              <w:rPr/>
            </w:pPr>
            <w:r>
              <w:rPr/>
              <w:t>Junior subordinated debentures due to unconsolidated trusts</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pPr>
            <w:r>
              <w:rPr/>
              <w:t>50,000</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40,000</w:t>
            </w:r>
          </w:p>
        </w:tc>
        <w:tc>
          <w:tcPr>
            <w:tcW w:w="134" w:type="dxa"/>
            <w:tcBorders/>
            <w:shd w:fill="auto" w:val="clear"/>
            <w:vAlign w:val="bottom"/>
          </w:tcPr>
          <w:p>
            <w:pPr>
              <w:pStyle w:val="TableContents"/>
              <w:spacing w:before="0" w:after="283"/>
              <w:rPr/>
            </w:pPr>
            <w:r>
              <w:rPr/>
              <w:t> </w:t>
            </w:r>
          </w:p>
        </w:tc>
      </w:tr>
      <w:tr>
        <w:trPr/>
        <w:tc>
          <w:tcPr>
            <w:tcW w:w="7101" w:type="dxa"/>
            <w:tcBorders/>
            <w:shd w:fill="CCEEFF" w:val="clear"/>
            <w:vAlign w:val="bottom"/>
          </w:tcPr>
          <w:p>
            <w:pPr>
              <w:pStyle w:val="TableContents"/>
              <w:spacing w:before="0" w:after="0"/>
              <w:ind w:left="450" w:right="0" w:hanging="225"/>
              <w:rPr/>
            </w:pPr>
            <w:r>
              <w:rPr/>
              <w:t>Other liabilities</w:t>
            </w:r>
          </w:p>
        </w:tc>
        <w:tc>
          <w:tcPr>
            <w:tcW w:w="43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3,136</w:t>
            </w:r>
          </w:p>
        </w:tc>
        <w:tc>
          <w:tcPr>
            <w:tcW w:w="131"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1,504</w:t>
            </w:r>
          </w:p>
        </w:tc>
        <w:tc>
          <w:tcPr>
            <w:tcW w:w="134" w:type="dxa"/>
            <w:tcBorders/>
            <w:shd w:fill="CCEEFF" w:val="clear"/>
            <w:vAlign w:val="bottom"/>
          </w:tcPr>
          <w:p>
            <w:pPr>
              <w:pStyle w:val="TableContents"/>
              <w:spacing w:before="0" w:after="283"/>
              <w:rPr/>
            </w:pPr>
            <w:r>
              <w:rPr/>
              <w:t> </w:t>
            </w:r>
          </w:p>
        </w:tc>
      </w:tr>
      <w:tr>
        <w:trPr/>
        <w:tc>
          <w:tcPr>
            <w:tcW w:w="7101"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267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01" w:type="dxa"/>
            <w:tcBorders/>
            <w:shd w:fill="auto" w:val="clear"/>
            <w:vAlign w:val="bottom"/>
          </w:tcPr>
          <w:p>
            <w:pPr>
              <w:pStyle w:val="TableContents"/>
              <w:spacing w:before="0" w:after="0"/>
              <w:ind w:left="675" w:right="0" w:hanging="225"/>
              <w:rPr>
                <w:b/>
              </w:rPr>
            </w:pPr>
            <w:r>
              <w:rPr>
                <w:b/>
              </w:rPr>
              <w:t>Total liabilities</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pPr>
            <w:r>
              <w:rPr/>
              <w:t>97,194</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73,960</w:t>
            </w:r>
          </w:p>
        </w:tc>
        <w:tc>
          <w:tcPr>
            <w:tcW w:w="134" w:type="dxa"/>
            <w:tcBorders/>
            <w:shd w:fill="auto" w:val="clear"/>
            <w:vAlign w:val="bottom"/>
          </w:tcPr>
          <w:p>
            <w:pPr>
              <w:pStyle w:val="TableContents"/>
              <w:spacing w:before="0" w:after="283"/>
              <w:rPr/>
            </w:pPr>
            <w:r>
              <w:rPr/>
              <w:t> </w:t>
            </w:r>
          </w:p>
        </w:tc>
      </w:tr>
      <w:tr>
        <w:trPr/>
        <w:tc>
          <w:tcPr>
            <w:tcW w:w="7101"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267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01" w:type="dxa"/>
            <w:tcBorders/>
            <w:shd w:fill="auto" w:val="clear"/>
            <w:vAlign w:val="bottom"/>
          </w:tcPr>
          <w:p>
            <w:pPr>
              <w:pStyle w:val="TableContents"/>
              <w:spacing w:before="0" w:after="0"/>
              <w:ind w:left="225" w:right="0" w:hanging="225"/>
              <w:rPr/>
            </w:pPr>
            <w:r>
              <w:rPr/>
              <w:t> </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7101" w:type="dxa"/>
            <w:tcBorders/>
            <w:shd w:fill="CCEEFF" w:val="clear"/>
            <w:vAlign w:val="bottom"/>
          </w:tcPr>
          <w:p>
            <w:pPr>
              <w:pStyle w:val="TableContents"/>
              <w:spacing w:before="0" w:after="0"/>
              <w:ind w:left="225" w:right="0" w:hanging="225"/>
              <w:rPr/>
            </w:pPr>
            <w:r>
              <w:rPr/>
              <w:t>Stockholders equity before unearned ESOP shares and deferred compensation for restricted stock awards</w:t>
            </w:r>
          </w:p>
        </w:tc>
        <w:tc>
          <w:tcPr>
            <w:tcW w:w="43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171,776</w:t>
            </w:r>
          </w:p>
        </w:tc>
        <w:tc>
          <w:tcPr>
            <w:tcW w:w="131"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141,343</w:t>
            </w:r>
          </w:p>
        </w:tc>
        <w:tc>
          <w:tcPr>
            <w:tcW w:w="134" w:type="dxa"/>
            <w:tcBorders/>
            <w:shd w:fill="CCEEFF" w:val="clear"/>
            <w:vAlign w:val="bottom"/>
          </w:tcPr>
          <w:p>
            <w:pPr>
              <w:pStyle w:val="TableContents"/>
              <w:spacing w:before="0" w:after="283"/>
              <w:rPr/>
            </w:pPr>
            <w:r>
              <w:rPr/>
              <w:t> </w:t>
            </w:r>
          </w:p>
        </w:tc>
      </w:tr>
      <w:tr>
        <w:trPr/>
        <w:tc>
          <w:tcPr>
            <w:tcW w:w="7101" w:type="dxa"/>
            <w:tcBorders/>
            <w:shd w:fill="auto" w:val="clear"/>
            <w:vAlign w:val="bottom"/>
          </w:tcPr>
          <w:p>
            <w:pPr>
              <w:pStyle w:val="TableContents"/>
              <w:spacing w:before="0" w:after="0"/>
              <w:ind w:left="225" w:right="0" w:hanging="225"/>
              <w:rPr/>
            </w:pPr>
            <w:r>
              <w:rPr/>
              <w:t>Unearned ESOP shares and deferred compensation for restricted stock awards</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31" w:type="dxa"/>
            <w:tcBorders/>
            <w:shd w:fill="auto" w:val="clear"/>
            <w:vAlign w:val="bottom"/>
          </w:tcPr>
          <w:p>
            <w:pPr>
              <w:pStyle w:val="TableContents"/>
              <w:spacing w:before="0" w:after="283"/>
              <w:jc w:val="right"/>
              <w:rPr/>
            </w:pPr>
            <w:r>
              <w:rPr/>
              <w:t>(2,062</w:t>
            </w:r>
          </w:p>
        </w:tc>
        <w:tc>
          <w:tcPr>
            <w:tcW w:w="131" w:type="dxa"/>
            <w:tcBorders/>
            <w:shd w:fill="auto" w:val="clear"/>
            <w:vAlign w:val="bottom"/>
          </w:tcPr>
          <w:p>
            <w:pPr>
              <w:pStyle w:val="TableContents"/>
              <w:spacing w:before="0" w:after="283"/>
              <w:rPr/>
            </w:pPr>
            <w:r>
              <w:rPr/>
              <w:t>)</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33" w:type="dxa"/>
            <w:tcBorders/>
            <w:shd w:fill="auto" w:val="clear"/>
            <w:vAlign w:val="bottom"/>
          </w:tcPr>
          <w:p>
            <w:pPr>
              <w:pStyle w:val="TableContents"/>
              <w:spacing w:before="0" w:after="283"/>
              <w:jc w:val="right"/>
              <w:rPr/>
            </w:pPr>
            <w:r>
              <w:rPr/>
              <w:t>(2,471</w:t>
            </w:r>
          </w:p>
        </w:tc>
        <w:tc>
          <w:tcPr>
            <w:tcW w:w="134" w:type="dxa"/>
            <w:tcBorders/>
            <w:shd w:fill="auto" w:val="clear"/>
            <w:vAlign w:val="bottom"/>
          </w:tcPr>
          <w:p>
            <w:pPr>
              <w:pStyle w:val="TableContents"/>
              <w:spacing w:before="0" w:after="283"/>
              <w:rPr/>
            </w:pPr>
            <w:r>
              <w:rPr/>
              <w:t>)</w:t>
            </w:r>
          </w:p>
        </w:tc>
      </w:tr>
      <w:tr>
        <w:trPr/>
        <w:tc>
          <w:tcPr>
            <w:tcW w:w="7101"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267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01" w:type="dxa"/>
            <w:tcBorders/>
            <w:shd w:fill="CCEEFF" w:val="clear"/>
            <w:vAlign w:val="bottom"/>
          </w:tcPr>
          <w:p>
            <w:pPr>
              <w:pStyle w:val="TableContents"/>
              <w:spacing w:before="0" w:after="0"/>
              <w:ind w:left="675" w:right="0" w:hanging="225"/>
              <w:rPr>
                <w:b/>
              </w:rPr>
            </w:pPr>
            <w:r>
              <w:rPr>
                <w:b/>
              </w:rPr>
              <w:t>Total stockholders equity</w:t>
            </w:r>
          </w:p>
        </w:tc>
        <w:tc>
          <w:tcPr>
            <w:tcW w:w="43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169,714</w:t>
            </w:r>
          </w:p>
        </w:tc>
        <w:tc>
          <w:tcPr>
            <w:tcW w:w="131"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138,872</w:t>
            </w:r>
          </w:p>
        </w:tc>
        <w:tc>
          <w:tcPr>
            <w:tcW w:w="134" w:type="dxa"/>
            <w:tcBorders/>
            <w:shd w:fill="CCEEFF" w:val="clear"/>
            <w:vAlign w:val="bottom"/>
          </w:tcPr>
          <w:p>
            <w:pPr>
              <w:pStyle w:val="TableContents"/>
              <w:spacing w:before="0" w:after="283"/>
              <w:rPr/>
            </w:pPr>
            <w:r>
              <w:rPr/>
              <w:t> </w:t>
            </w:r>
          </w:p>
        </w:tc>
      </w:tr>
      <w:tr>
        <w:trPr/>
        <w:tc>
          <w:tcPr>
            <w:tcW w:w="7101"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2672"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01" w:type="dxa"/>
            <w:tcBorders/>
            <w:shd w:fill="auto" w:val="clear"/>
            <w:vAlign w:val="bottom"/>
          </w:tcPr>
          <w:p>
            <w:pPr>
              <w:pStyle w:val="TableContents"/>
              <w:spacing w:before="0" w:after="0"/>
              <w:ind w:left="675" w:right="0" w:hanging="225"/>
              <w:rPr>
                <w:b/>
              </w:rPr>
            </w:pPr>
            <w:r>
              <w:rPr>
                <w:b/>
              </w:rPr>
              <w:t>Total liabilities and stockholders equity</w:t>
            </w:r>
          </w:p>
        </w:tc>
        <w:tc>
          <w:tcPr>
            <w:tcW w:w="43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31" w:type="dxa"/>
            <w:tcBorders/>
            <w:shd w:fill="auto" w:val="clear"/>
            <w:vAlign w:val="bottom"/>
          </w:tcPr>
          <w:p>
            <w:pPr>
              <w:pStyle w:val="TableContents"/>
              <w:spacing w:before="0" w:after="283"/>
              <w:jc w:val="right"/>
              <w:rPr/>
            </w:pPr>
            <w:r>
              <w:rPr/>
              <w:t>266,908</w:t>
            </w:r>
          </w:p>
        </w:tc>
        <w:tc>
          <w:tcPr>
            <w:tcW w:w="1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212,832</w:t>
            </w:r>
          </w:p>
        </w:tc>
        <w:tc>
          <w:tcPr>
            <w:tcW w:w="134" w:type="dxa"/>
            <w:tcBorders/>
            <w:shd w:fill="auto" w:val="clear"/>
            <w:vAlign w:val="bottom"/>
          </w:tcPr>
          <w:p>
            <w:pPr>
              <w:pStyle w:val="TableContents"/>
              <w:spacing w:before="0" w:after="283"/>
              <w:rPr/>
            </w:pPr>
            <w:r>
              <w:rPr/>
              <w:t> </w:t>
            </w:r>
          </w:p>
        </w:tc>
      </w:tr>
      <w:tr>
        <w:trPr/>
        <w:tc>
          <w:tcPr>
            <w:tcW w:w="7101"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2672"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91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360" w:after="283"/>
        <w:jc w:val="center"/>
        <w:rPr>
          <w:rFonts w:ascii="Arial;Helvetica;sans-serif" w:hAnsi="Arial;Helvetica;sans-serif"/>
          <w:sz w:val="17"/>
        </w:rPr>
      </w:pPr>
      <w:r>
        <w:rPr>
          <w:rFonts w:ascii="Arial;Helvetica;sans-serif" w:hAnsi="Arial;Helvetica;sans-serif"/>
          <w:sz w:val="17"/>
        </w:rPr>
        <w:t xml:space="preserve">STATEMENTS OF INCOME </w:t>
      </w:r>
    </w:p>
    <w:tbl>
      <w:tblPr>
        <w:tblW w:w="5000" w:type="pct"/>
        <w:jc w:val="center"/>
        <w:tblInd w:w="0" w:type="dxa"/>
        <w:tblCellMar>
          <w:top w:w="0" w:type="dxa"/>
          <w:left w:w="0" w:type="dxa"/>
          <w:bottom w:w="0" w:type="dxa"/>
          <w:right w:w="0" w:type="dxa"/>
        </w:tblCellMar>
      </w:tblPr>
      <w:tblGrid>
        <w:gridCol w:w="5967"/>
        <w:gridCol w:w="453"/>
        <w:gridCol w:w="141"/>
        <w:gridCol w:w="703"/>
        <w:gridCol w:w="123"/>
        <w:gridCol w:w="453"/>
        <w:gridCol w:w="141"/>
        <w:gridCol w:w="703"/>
        <w:gridCol w:w="109"/>
        <w:gridCol w:w="453"/>
        <w:gridCol w:w="141"/>
        <w:gridCol w:w="703"/>
        <w:gridCol w:w="115"/>
      </w:tblGrid>
      <w:tr>
        <w:trPr/>
        <w:tc>
          <w:tcPr>
            <w:tcW w:w="5967"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967"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3670"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December 31,</w:t>
            </w:r>
          </w:p>
        </w:tc>
        <w:tc>
          <w:tcPr>
            <w:tcW w:w="115" w:type="dxa"/>
            <w:tcBorders/>
            <w:shd w:fill="auto" w:val="clear"/>
            <w:vAlign w:val="bottom"/>
          </w:tcPr>
          <w:p>
            <w:pPr>
              <w:pStyle w:val="TableContents"/>
              <w:spacing w:before="0" w:after="283"/>
              <w:rPr/>
            </w:pPr>
            <w:r>
              <w:rPr/>
              <w:t> </w:t>
            </w:r>
          </w:p>
        </w:tc>
      </w:tr>
      <w:tr>
        <w:trPr/>
        <w:tc>
          <w:tcPr>
            <w:tcW w:w="5967"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84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84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84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115" w:type="dxa"/>
            <w:tcBorders/>
            <w:shd w:fill="auto" w:val="clear"/>
            <w:vAlign w:val="bottom"/>
          </w:tcPr>
          <w:p>
            <w:pPr>
              <w:pStyle w:val="TableContents"/>
              <w:spacing w:before="0" w:after="283"/>
              <w:rPr/>
            </w:pPr>
            <w:r>
              <w:rPr/>
              <w:t> </w:t>
            </w:r>
          </w:p>
        </w:tc>
      </w:tr>
      <w:tr>
        <w:trPr/>
        <w:tc>
          <w:tcPr>
            <w:tcW w:w="5967"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3670" w:type="dxa"/>
            <w:gridSpan w:val="10"/>
            <w:tcBorders/>
            <w:shd w:fill="auto" w:val="clear"/>
            <w:vAlign w:val="bottom"/>
          </w:tcPr>
          <w:p>
            <w:pPr>
              <w:pStyle w:val="TableContents"/>
              <w:spacing w:before="0" w:after="283"/>
              <w:jc w:val="center"/>
              <w:rPr/>
            </w:pPr>
            <w:r>
              <w:rPr/>
              <w:t>(Dollars in thousands)</w:t>
            </w:r>
          </w:p>
        </w:tc>
        <w:tc>
          <w:tcPr>
            <w:tcW w:w="115" w:type="dxa"/>
            <w:tcBorders/>
            <w:shd w:fill="auto" w:val="clear"/>
            <w:vAlign w:val="bottom"/>
          </w:tcPr>
          <w:p>
            <w:pPr>
              <w:pStyle w:val="TableContents"/>
              <w:spacing w:before="0" w:after="283"/>
              <w:rPr/>
            </w:pPr>
            <w:r>
              <w:rPr/>
              <w:t> </w:t>
            </w:r>
          </w:p>
        </w:tc>
      </w:tr>
      <w:tr>
        <w:trPr/>
        <w:tc>
          <w:tcPr>
            <w:tcW w:w="5967" w:type="dxa"/>
            <w:tcBorders/>
            <w:shd w:fill="CCEEFF" w:val="clear"/>
            <w:vAlign w:val="bottom"/>
          </w:tcPr>
          <w:p>
            <w:pPr>
              <w:pStyle w:val="TableContents"/>
              <w:spacing w:before="0" w:after="0"/>
              <w:ind w:left="225" w:right="0" w:hanging="225"/>
              <w:rPr/>
            </w:pPr>
            <w:r>
              <w:rPr/>
              <w:t>Operating income:</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967" w:type="dxa"/>
            <w:tcBorders/>
            <w:shd w:fill="auto" w:val="clear"/>
            <w:vAlign w:val="bottom"/>
          </w:tcPr>
          <w:p>
            <w:pPr>
              <w:pStyle w:val="TableContents"/>
              <w:spacing w:before="0" w:after="0"/>
              <w:ind w:left="225" w:right="0" w:hanging="225"/>
              <w:rPr/>
            </w:pPr>
            <w:r>
              <w:rPr/>
              <w:t>Dividends from subsidiaries:</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967" w:type="dxa"/>
            <w:tcBorders/>
            <w:shd w:fill="CCEEFF" w:val="clear"/>
            <w:vAlign w:val="bottom"/>
          </w:tcPr>
          <w:p>
            <w:pPr>
              <w:pStyle w:val="TableContents"/>
              <w:spacing w:before="0" w:after="0"/>
              <w:ind w:left="450" w:right="0" w:hanging="225"/>
              <w:rPr/>
            </w:pPr>
            <w:r>
              <w:rPr/>
              <w:t>Bank</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15,000</w:t>
            </w:r>
          </w:p>
        </w:tc>
        <w:tc>
          <w:tcPr>
            <w:tcW w:w="123"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12,600</w:t>
            </w:r>
          </w:p>
        </w:tc>
        <w:tc>
          <w:tcPr>
            <w:tcW w:w="10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12,000</w:t>
            </w:r>
          </w:p>
        </w:tc>
        <w:tc>
          <w:tcPr>
            <w:tcW w:w="115" w:type="dxa"/>
            <w:tcBorders/>
            <w:shd w:fill="CCEEFF" w:val="clear"/>
            <w:vAlign w:val="bottom"/>
          </w:tcPr>
          <w:p>
            <w:pPr>
              <w:pStyle w:val="TableContents"/>
              <w:spacing w:before="0" w:after="283"/>
              <w:rPr/>
            </w:pPr>
            <w:r>
              <w:rPr/>
              <w:t> </w:t>
            </w:r>
          </w:p>
        </w:tc>
      </w:tr>
      <w:tr>
        <w:trPr/>
        <w:tc>
          <w:tcPr>
            <w:tcW w:w="5967" w:type="dxa"/>
            <w:tcBorders/>
            <w:shd w:fill="auto" w:val="clear"/>
            <w:vAlign w:val="bottom"/>
          </w:tcPr>
          <w:p>
            <w:pPr>
              <w:pStyle w:val="TableContents"/>
              <w:spacing w:before="0" w:after="0"/>
              <w:ind w:left="450" w:right="0" w:hanging="225"/>
              <w:rPr/>
            </w:pPr>
            <w:r>
              <w:rPr/>
              <w:t>Non-bank</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2,100</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1,000</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1,500</w:t>
            </w:r>
          </w:p>
        </w:tc>
        <w:tc>
          <w:tcPr>
            <w:tcW w:w="115" w:type="dxa"/>
            <w:tcBorders/>
            <w:shd w:fill="auto" w:val="clear"/>
            <w:vAlign w:val="bottom"/>
          </w:tcPr>
          <w:p>
            <w:pPr>
              <w:pStyle w:val="TableContents"/>
              <w:spacing w:before="0" w:after="283"/>
              <w:rPr/>
            </w:pPr>
            <w:r>
              <w:rPr/>
              <w:t> </w:t>
            </w:r>
          </w:p>
        </w:tc>
      </w:tr>
      <w:tr>
        <w:trPr/>
        <w:tc>
          <w:tcPr>
            <w:tcW w:w="5967" w:type="dxa"/>
            <w:tcBorders/>
            <w:shd w:fill="CCEEFF" w:val="clear"/>
            <w:vAlign w:val="bottom"/>
          </w:tcPr>
          <w:p>
            <w:pPr>
              <w:pStyle w:val="TableContents"/>
              <w:spacing w:before="0" w:after="0"/>
              <w:ind w:left="225" w:right="0" w:hanging="225"/>
              <w:rPr/>
            </w:pPr>
            <w:r>
              <w:rPr/>
              <w:t>Interest and dividend income</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221</w:t>
            </w:r>
          </w:p>
        </w:tc>
        <w:tc>
          <w:tcPr>
            <w:tcW w:w="123"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199</w:t>
            </w:r>
          </w:p>
        </w:tc>
        <w:tc>
          <w:tcPr>
            <w:tcW w:w="10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154</w:t>
            </w:r>
          </w:p>
        </w:tc>
        <w:tc>
          <w:tcPr>
            <w:tcW w:w="115" w:type="dxa"/>
            <w:tcBorders/>
            <w:shd w:fill="CCEEFF" w:val="clear"/>
            <w:vAlign w:val="bottom"/>
          </w:tcPr>
          <w:p>
            <w:pPr>
              <w:pStyle w:val="TableContents"/>
              <w:spacing w:before="0" w:after="283"/>
              <w:rPr/>
            </w:pPr>
            <w:r>
              <w:rPr/>
              <w:t> </w:t>
            </w:r>
          </w:p>
        </w:tc>
      </w:tr>
      <w:tr>
        <w:trPr/>
        <w:tc>
          <w:tcPr>
            <w:tcW w:w="5967" w:type="dxa"/>
            <w:tcBorders/>
            <w:shd w:fill="auto" w:val="clear"/>
            <w:vAlign w:val="bottom"/>
          </w:tcPr>
          <w:p>
            <w:pPr>
              <w:pStyle w:val="TableContents"/>
              <w:spacing w:before="0" w:after="0"/>
              <w:ind w:left="225" w:right="0" w:hanging="225"/>
              <w:rPr/>
            </w:pPr>
            <w:r>
              <w:rPr/>
              <w:t>Other income</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1,437</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1,275</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1,101</w:t>
            </w:r>
          </w:p>
        </w:tc>
        <w:tc>
          <w:tcPr>
            <w:tcW w:w="115" w:type="dxa"/>
            <w:tcBorders/>
            <w:shd w:fill="auto" w:val="clear"/>
            <w:vAlign w:val="bottom"/>
          </w:tcPr>
          <w:p>
            <w:pPr>
              <w:pStyle w:val="TableContents"/>
              <w:spacing w:before="0" w:after="283"/>
              <w:rPr/>
            </w:pPr>
            <w:r>
              <w:rPr/>
              <w:t> </w:t>
            </w:r>
          </w:p>
        </w:tc>
      </w:tr>
      <w:tr>
        <w:trPr/>
        <w:tc>
          <w:tcPr>
            <w:tcW w:w="5967"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378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967" w:type="dxa"/>
            <w:tcBorders/>
            <w:shd w:fill="CCEEFF" w:val="clear"/>
            <w:vAlign w:val="bottom"/>
          </w:tcPr>
          <w:p>
            <w:pPr>
              <w:pStyle w:val="TableContents"/>
              <w:spacing w:before="0" w:after="0"/>
              <w:ind w:left="675" w:right="0" w:hanging="225"/>
              <w:rPr>
                <w:b/>
              </w:rPr>
            </w:pPr>
            <w:r>
              <w:rPr>
                <w:b/>
              </w:rPr>
              <w:t>Total operating income</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18,758</w:t>
            </w:r>
          </w:p>
        </w:tc>
        <w:tc>
          <w:tcPr>
            <w:tcW w:w="123"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15,074</w:t>
            </w:r>
          </w:p>
        </w:tc>
        <w:tc>
          <w:tcPr>
            <w:tcW w:w="10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14,755</w:t>
            </w:r>
          </w:p>
        </w:tc>
        <w:tc>
          <w:tcPr>
            <w:tcW w:w="115" w:type="dxa"/>
            <w:tcBorders/>
            <w:shd w:fill="CCEEFF" w:val="clear"/>
            <w:vAlign w:val="bottom"/>
          </w:tcPr>
          <w:p>
            <w:pPr>
              <w:pStyle w:val="TableContents"/>
              <w:spacing w:before="0" w:after="283"/>
              <w:rPr/>
            </w:pPr>
            <w:r>
              <w:rPr/>
              <w:t> </w:t>
            </w:r>
          </w:p>
        </w:tc>
      </w:tr>
      <w:tr>
        <w:trPr/>
        <w:tc>
          <w:tcPr>
            <w:tcW w:w="5967"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378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967" w:type="dxa"/>
            <w:tcBorders/>
            <w:shd w:fill="auto" w:val="clear"/>
            <w:vAlign w:val="bottom"/>
          </w:tcPr>
          <w:p>
            <w:pPr>
              <w:pStyle w:val="TableContents"/>
              <w:spacing w:before="0" w:after="0"/>
              <w:ind w:left="225" w:right="0" w:hanging="225"/>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967" w:type="dxa"/>
            <w:tcBorders/>
            <w:shd w:fill="auto" w:val="clear"/>
            <w:vAlign w:val="bottom"/>
          </w:tcPr>
          <w:p>
            <w:pPr>
              <w:pStyle w:val="TableContents"/>
              <w:spacing w:before="0" w:after="0"/>
              <w:ind w:left="225" w:right="0" w:hanging="225"/>
              <w:rPr/>
            </w:pPr>
            <w:r>
              <w:rPr/>
              <w:t>Expenses:</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967" w:type="dxa"/>
            <w:tcBorders/>
            <w:shd w:fill="CCEEFF" w:val="clear"/>
            <w:vAlign w:val="bottom"/>
          </w:tcPr>
          <w:p>
            <w:pPr>
              <w:pStyle w:val="TableContents"/>
              <w:spacing w:before="0" w:after="0"/>
              <w:ind w:left="450" w:right="0" w:hanging="225"/>
              <w:rPr/>
            </w:pPr>
            <w:r>
              <w:rPr/>
              <w:t>Salaries and employee benefits</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2,766</w:t>
            </w:r>
          </w:p>
        </w:tc>
        <w:tc>
          <w:tcPr>
            <w:tcW w:w="123"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1,838</w:t>
            </w:r>
          </w:p>
        </w:tc>
        <w:tc>
          <w:tcPr>
            <w:tcW w:w="10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1,633</w:t>
            </w:r>
          </w:p>
        </w:tc>
        <w:tc>
          <w:tcPr>
            <w:tcW w:w="115" w:type="dxa"/>
            <w:tcBorders/>
            <w:shd w:fill="CCEEFF" w:val="clear"/>
            <w:vAlign w:val="bottom"/>
          </w:tcPr>
          <w:p>
            <w:pPr>
              <w:pStyle w:val="TableContents"/>
              <w:spacing w:before="0" w:after="283"/>
              <w:rPr/>
            </w:pPr>
            <w:r>
              <w:rPr/>
              <w:t> </w:t>
            </w:r>
          </w:p>
        </w:tc>
      </w:tr>
      <w:tr>
        <w:trPr/>
        <w:tc>
          <w:tcPr>
            <w:tcW w:w="5967" w:type="dxa"/>
            <w:tcBorders/>
            <w:shd w:fill="auto" w:val="clear"/>
            <w:vAlign w:val="bottom"/>
          </w:tcPr>
          <w:p>
            <w:pPr>
              <w:pStyle w:val="TableContents"/>
              <w:spacing w:before="0" w:after="0"/>
              <w:ind w:left="450" w:right="0" w:hanging="225"/>
              <w:rPr/>
            </w:pPr>
            <w:r>
              <w:rPr/>
              <w:t>Interest expense</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4,995</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3,305</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2,303</w:t>
            </w:r>
          </w:p>
        </w:tc>
        <w:tc>
          <w:tcPr>
            <w:tcW w:w="115" w:type="dxa"/>
            <w:tcBorders/>
            <w:shd w:fill="auto" w:val="clear"/>
            <w:vAlign w:val="bottom"/>
          </w:tcPr>
          <w:p>
            <w:pPr>
              <w:pStyle w:val="TableContents"/>
              <w:spacing w:before="0" w:after="283"/>
              <w:rPr/>
            </w:pPr>
            <w:r>
              <w:rPr/>
              <w:t> </w:t>
            </w:r>
          </w:p>
        </w:tc>
      </w:tr>
      <w:tr>
        <w:trPr/>
        <w:tc>
          <w:tcPr>
            <w:tcW w:w="5967" w:type="dxa"/>
            <w:tcBorders/>
            <w:shd w:fill="CCEEFF" w:val="clear"/>
            <w:vAlign w:val="bottom"/>
          </w:tcPr>
          <w:p>
            <w:pPr>
              <w:pStyle w:val="TableContents"/>
              <w:spacing w:before="0" w:after="0"/>
              <w:ind w:left="450" w:right="0" w:hanging="225"/>
              <w:rPr/>
            </w:pPr>
            <w:r>
              <w:rPr/>
              <w:t>Operating expense</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1,493</w:t>
            </w:r>
          </w:p>
        </w:tc>
        <w:tc>
          <w:tcPr>
            <w:tcW w:w="123"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952</w:t>
            </w:r>
          </w:p>
        </w:tc>
        <w:tc>
          <w:tcPr>
            <w:tcW w:w="10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882</w:t>
            </w:r>
          </w:p>
        </w:tc>
        <w:tc>
          <w:tcPr>
            <w:tcW w:w="115" w:type="dxa"/>
            <w:tcBorders/>
            <w:shd w:fill="CCEEFF" w:val="clear"/>
            <w:vAlign w:val="bottom"/>
          </w:tcPr>
          <w:p>
            <w:pPr>
              <w:pStyle w:val="TableContents"/>
              <w:spacing w:before="0" w:after="283"/>
              <w:rPr/>
            </w:pPr>
            <w:r>
              <w:rPr/>
              <w:t> </w:t>
            </w:r>
          </w:p>
        </w:tc>
      </w:tr>
      <w:tr>
        <w:trPr/>
        <w:tc>
          <w:tcPr>
            <w:tcW w:w="5967"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378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967" w:type="dxa"/>
            <w:tcBorders/>
            <w:shd w:fill="auto" w:val="clear"/>
            <w:vAlign w:val="bottom"/>
          </w:tcPr>
          <w:p>
            <w:pPr>
              <w:pStyle w:val="TableContents"/>
              <w:spacing w:before="0" w:after="0"/>
              <w:ind w:left="675" w:right="0" w:hanging="225"/>
              <w:rPr>
                <w:b/>
              </w:rPr>
            </w:pPr>
            <w:r>
              <w:rPr>
                <w:b/>
              </w:rPr>
              <w:t>Total expenses</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9,254</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6,095</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4,818</w:t>
            </w:r>
          </w:p>
        </w:tc>
        <w:tc>
          <w:tcPr>
            <w:tcW w:w="115" w:type="dxa"/>
            <w:tcBorders/>
            <w:shd w:fill="auto" w:val="clear"/>
            <w:vAlign w:val="bottom"/>
          </w:tcPr>
          <w:p>
            <w:pPr>
              <w:pStyle w:val="TableContents"/>
              <w:spacing w:before="0" w:after="283"/>
              <w:rPr/>
            </w:pPr>
            <w:r>
              <w:rPr/>
              <w:t> </w:t>
            </w:r>
          </w:p>
        </w:tc>
      </w:tr>
      <w:tr>
        <w:trPr/>
        <w:tc>
          <w:tcPr>
            <w:tcW w:w="5967"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378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967" w:type="dxa"/>
            <w:tcBorders/>
            <w:shd w:fill="auto" w:val="clear"/>
            <w:vAlign w:val="bottom"/>
          </w:tcPr>
          <w:p>
            <w:pPr>
              <w:pStyle w:val="TableContents"/>
              <w:spacing w:before="0" w:after="0"/>
              <w:ind w:left="225" w:right="0" w:hanging="225"/>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967" w:type="dxa"/>
            <w:tcBorders/>
            <w:shd w:fill="CCEEFF" w:val="clear"/>
            <w:vAlign w:val="bottom"/>
          </w:tcPr>
          <w:p>
            <w:pPr>
              <w:pStyle w:val="TableContents"/>
              <w:spacing w:before="0" w:after="0"/>
              <w:ind w:left="675" w:right="0" w:hanging="225"/>
              <w:rPr>
                <w:b/>
              </w:rPr>
            </w:pPr>
            <w:r>
              <w:rPr>
                <w:b/>
              </w:rPr>
              <w:t>Income before income tax benefit and equity in undistributed income of subsidiaries</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9,504</w:t>
            </w:r>
          </w:p>
        </w:tc>
        <w:tc>
          <w:tcPr>
            <w:tcW w:w="123"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8,979</w:t>
            </w:r>
          </w:p>
        </w:tc>
        <w:tc>
          <w:tcPr>
            <w:tcW w:w="10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9,937</w:t>
            </w:r>
          </w:p>
        </w:tc>
        <w:tc>
          <w:tcPr>
            <w:tcW w:w="115" w:type="dxa"/>
            <w:tcBorders/>
            <w:shd w:fill="CCEEFF" w:val="clear"/>
            <w:vAlign w:val="bottom"/>
          </w:tcPr>
          <w:p>
            <w:pPr>
              <w:pStyle w:val="TableContents"/>
              <w:spacing w:before="0" w:after="283"/>
              <w:rPr/>
            </w:pPr>
            <w:r>
              <w:rPr/>
              <w:t> </w:t>
            </w:r>
          </w:p>
        </w:tc>
      </w:tr>
      <w:tr>
        <w:trPr/>
        <w:tc>
          <w:tcPr>
            <w:tcW w:w="5967" w:type="dxa"/>
            <w:tcBorders/>
            <w:shd w:fill="auto" w:val="clear"/>
            <w:vAlign w:val="bottom"/>
          </w:tcPr>
          <w:p>
            <w:pPr>
              <w:pStyle w:val="TableContents"/>
              <w:spacing w:before="0" w:after="0"/>
              <w:ind w:left="225" w:right="0" w:hanging="225"/>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967" w:type="dxa"/>
            <w:tcBorders/>
            <w:shd w:fill="auto" w:val="clear"/>
            <w:vAlign w:val="bottom"/>
          </w:tcPr>
          <w:p>
            <w:pPr>
              <w:pStyle w:val="TableContents"/>
              <w:spacing w:before="0" w:after="0"/>
              <w:ind w:left="225" w:right="0" w:hanging="225"/>
              <w:rPr/>
            </w:pPr>
            <w:r>
              <w:rPr/>
              <w:t>Income tax benefit</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3,710</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2,225</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1,723</w:t>
            </w:r>
          </w:p>
        </w:tc>
        <w:tc>
          <w:tcPr>
            <w:tcW w:w="115" w:type="dxa"/>
            <w:tcBorders/>
            <w:shd w:fill="auto" w:val="clear"/>
            <w:vAlign w:val="bottom"/>
          </w:tcPr>
          <w:p>
            <w:pPr>
              <w:pStyle w:val="TableContents"/>
              <w:spacing w:before="0" w:after="283"/>
              <w:rPr/>
            </w:pPr>
            <w:r>
              <w:rPr/>
              <w:t> </w:t>
            </w:r>
          </w:p>
        </w:tc>
      </w:tr>
      <w:tr>
        <w:trPr/>
        <w:tc>
          <w:tcPr>
            <w:tcW w:w="5967"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378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967" w:type="dxa"/>
            <w:tcBorders/>
            <w:shd w:fill="auto" w:val="clear"/>
            <w:vAlign w:val="bottom"/>
          </w:tcPr>
          <w:p>
            <w:pPr>
              <w:pStyle w:val="TableContents"/>
              <w:spacing w:before="0" w:after="0"/>
              <w:ind w:left="225" w:right="0" w:hanging="225"/>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967" w:type="dxa"/>
            <w:tcBorders/>
            <w:shd w:fill="CCEEFF" w:val="clear"/>
            <w:vAlign w:val="bottom"/>
          </w:tcPr>
          <w:p>
            <w:pPr>
              <w:pStyle w:val="TableContents"/>
              <w:spacing w:before="0" w:after="0"/>
              <w:ind w:left="675" w:right="0" w:hanging="225"/>
              <w:rPr>
                <w:b/>
              </w:rPr>
            </w:pPr>
            <w:r>
              <w:rPr>
                <w:b/>
              </w:rPr>
              <w:t>Income before equity in undistributed income of subsidiaries</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13,214</w:t>
            </w:r>
          </w:p>
        </w:tc>
        <w:tc>
          <w:tcPr>
            <w:tcW w:w="123"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11,204</w:t>
            </w:r>
          </w:p>
        </w:tc>
        <w:tc>
          <w:tcPr>
            <w:tcW w:w="10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11,660</w:t>
            </w:r>
          </w:p>
        </w:tc>
        <w:tc>
          <w:tcPr>
            <w:tcW w:w="115" w:type="dxa"/>
            <w:tcBorders/>
            <w:shd w:fill="CCEEFF" w:val="clear"/>
            <w:vAlign w:val="bottom"/>
          </w:tcPr>
          <w:p>
            <w:pPr>
              <w:pStyle w:val="TableContents"/>
              <w:spacing w:before="0" w:after="283"/>
              <w:rPr/>
            </w:pPr>
            <w:r>
              <w:rPr/>
              <w:t> </w:t>
            </w:r>
          </w:p>
        </w:tc>
      </w:tr>
      <w:tr>
        <w:trPr/>
        <w:tc>
          <w:tcPr>
            <w:tcW w:w="5967" w:type="dxa"/>
            <w:tcBorders/>
            <w:shd w:fill="auto" w:val="clear"/>
            <w:vAlign w:val="bottom"/>
          </w:tcPr>
          <w:p>
            <w:pPr>
              <w:pStyle w:val="TableContents"/>
              <w:spacing w:before="0" w:after="0"/>
              <w:ind w:left="225" w:right="0" w:hanging="225"/>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967" w:type="dxa"/>
            <w:tcBorders/>
            <w:shd w:fill="auto" w:val="clear"/>
            <w:vAlign w:val="bottom"/>
          </w:tcPr>
          <w:p>
            <w:pPr>
              <w:pStyle w:val="TableContents"/>
              <w:spacing w:before="0" w:after="0"/>
              <w:ind w:left="225" w:right="0" w:hanging="225"/>
              <w:rPr/>
            </w:pPr>
            <w:r>
              <w:rPr/>
              <w:t>Equity in undistributed income of subsidiaries:</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967" w:type="dxa"/>
            <w:tcBorders/>
            <w:shd w:fill="CCEEFF" w:val="clear"/>
            <w:vAlign w:val="bottom"/>
          </w:tcPr>
          <w:p>
            <w:pPr>
              <w:pStyle w:val="TableContents"/>
              <w:spacing w:before="0" w:after="0"/>
              <w:ind w:left="450" w:right="0" w:hanging="225"/>
              <w:rPr/>
            </w:pPr>
            <w:r>
              <w:rPr/>
              <w:t>Bank</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13,756</w:t>
            </w:r>
          </w:p>
        </w:tc>
        <w:tc>
          <w:tcPr>
            <w:tcW w:w="123"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10,826</w:t>
            </w:r>
          </w:p>
        </w:tc>
        <w:tc>
          <w:tcPr>
            <w:tcW w:w="10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8,044</w:t>
            </w:r>
          </w:p>
        </w:tc>
        <w:tc>
          <w:tcPr>
            <w:tcW w:w="115" w:type="dxa"/>
            <w:tcBorders/>
            <w:shd w:fill="CCEEFF" w:val="clear"/>
            <w:vAlign w:val="bottom"/>
          </w:tcPr>
          <w:p>
            <w:pPr>
              <w:pStyle w:val="TableContents"/>
              <w:spacing w:before="0" w:after="283"/>
              <w:rPr/>
            </w:pPr>
            <w:r>
              <w:rPr/>
              <w:t> </w:t>
            </w:r>
          </w:p>
        </w:tc>
      </w:tr>
      <w:tr>
        <w:trPr/>
        <w:tc>
          <w:tcPr>
            <w:tcW w:w="5967" w:type="dxa"/>
            <w:tcBorders/>
            <w:shd w:fill="auto" w:val="clear"/>
            <w:vAlign w:val="bottom"/>
          </w:tcPr>
          <w:p>
            <w:pPr>
              <w:pStyle w:val="TableContents"/>
              <w:spacing w:before="0" w:after="0"/>
              <w:ind w:left="450" w:right="0" w:hanging="225"/>
              <w:rPr/>
            </w:pPr>
            <w:r>
              <w:rPr/>
              <w:t>Non-bank</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703" w:type="dxa"/>
            <w:tcBorders/>
            <w:shd w:fill="auto" w:val="clear"/>
            <w:vAlign w:val="bottom"/>
          </w:tcPr>
          <w:p>
            <w:pPr>
              <w:pStyle w:val="TableContents"/>
              <w:spacing w:before="0" w:after="283"/>
              <w:jc w:val="right"/>
              <w:rPr/>
            </w:pPr>
            <w:r>
              <w:rPr/>
              <w:t>(36</w:t>
            </w:r>
          </w:p>
        </w:tc>
        <w:tc>
          <w:tcPr>
            <w:tcW w:w="123" w:type="dxa"/>
            <w:tcBorders/>
            <w:shd w:fill="auto" w:val="clear"/>
            <w:vAlign w:val="bottom"/>
          </w:tcPr>
          <w:p>
            <w:pPr>
              <w:pStyle w:val="TableContents"/>
              <w:spacing w:before="0" w:after="283"/>
              <w:rPr/>
            </w:pPr>
            <w:r>
              <w:rPr/>
              <w:t>)</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424</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160</w:t>
            </w:r>
          </w:p>
        </w:tc>
        <w:tc>
          <w:tcPr>
            <w:tcW w:w="115" w:type="dxa"/>
            <w:tcBorders/>
            <w:shd w:fill="auto" w:val="clear"/>
            <w:vAlign w:val="bottom"/>
          </w:tcPr>
          <w:p>
            <w:pPr>
              <w:pStyle w:val="TableContents"/>
              <w:spacing w:before="0" w:after="283"/>
              <w:rPr/>
            </w:pPr>
            <w:r>
              <w:rPr/>
              <w:t> </w:t>
            </w:r>
          </w:p>
        </w:tc>
      </w:tr>
      <w:tr>
        <w:trPr/>
        <w:tc>
          <w:tcPr>
            <w:tcW w:w="5967"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378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967" w:type="dxa"/>
            <w:tcBorders/>
            <w:shd w:fill="auto" w:val="clear"/>
            <w:vAlign w:val="bottom"/>
          </w:tcPr>
          <w:p>
            <w:pPr>
              <w:pStyle w:val="TableContents"/>
              <w:spacing w:before="0" w:after="0"/>
              <w:ind w:left="225" w:right="0" w:hanging="225"/>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967" w:type="dxa"/>
            <w:tcBorders/>
            <w:shd w:fill="CCEEFF" w:val="clear"/>
            <w:vAlign w:val="bottom"/>
          </w:tcPr>
          <w:p>
            <w:pPr>
              <w:pStyle w:val="TableContents"/>
              <w:spacing w:before="0" w:after="0"/>
              <w:ind w:left="675" w:right="0" w:hanging="225"/>
              <w:rPr>
                <w:b/>
              </w:rPr>
            </w:pPr>
            <w:r>
              <w:rPr>
                <w:b/>
              </w:rPr>
              <w:t>Net income</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26,934</w:t>
            </w:r>
          </w:p>
        </w:tc>
        <w:tc>
          <w:tcPr>
            <w:tcW w:w="123"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22,454</w:t>
            </w:r>
          </w:p>
        </w:tc>
        <w:tc>
          <w:tcPr>
            <w:tcW w:w="10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3" w:type="dxa"/>
            <w:tcBorders/>
            <w:shd w:fill="CCEEFF" w:val="clear"/>
            <w:vAlign w:val="bottom"/>
          </w:tcPr>
          <w:p>
            <w:pPr>
              <w:pStyle w:val="TableContents"/>
              <w:spacing w:before="0" w:after="283"/>
              <w:jc w:val="right"/>
              <w:rPr/>
            </w:pPr>
            <w:r>
              <w:rPr/>
              <w:t>19,864</w:t>
            </w:r>
          </w:p>
        </w:tc>
        <w:tc>
          <w:tcPr>
            <w:tcW w:w="115" w:type="dxa"/>
            <w:tcBorders/>
            <w:shd w:fill="CCEEFF" w:val="clear"/>
            <w:vAlign w:val="bottom"/>
          </w:tcPr>
          <w:p>
            <w:pPr>
              <w:pStyle w:val="TableContents"/>
              <w:spacing w:before="0" w:after="283"/>
              <w:rPr/>
            </w:pPr>
            <w:r>
              <w:rPr/>
              <w:t> </w:t>
            </w:r>
          </w:p>
        </w:tc>
      </w:tr>
      <w:tr>
        <w:trPr/>
        <w:tc>
          <w:tcPr>
            <w:tcW w:w="5967"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3785"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92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360" w:after="283"/>
        <w:jc w:val="center"/>
        <w:rPr>
          <w:rFonts w:ascii="Arial;Helvetica;sans-serif" w:hAnsi="Arial;Helvetica;sans-serif"/>
          <w:sz w:val="17"/>
        </w:rPr>
      </w:pPr>
      <w:r>
        <w:rPr>
          <w:rFonts w:ascii="Arial;Helvetica;sans-serif" w:hAnsi="Arial;Helvetica;sans-serif"/>
          <w:sz w:val="17"/>
        </w:rPr>
        <w:t xml:space="preserve">STATEMENTS OF CASH FLOWS </w:t>
      </w:r>
    </w:p>
    <w:tbl>
      <w:tblPr>
        <w:tblW w:w="5000" w:type="pct"/>
        <w:jc w:val="center"/>
        <w:tblInd w:w="0" w:type="dxa"/>
        <w:tblCellMar>
          <w:top w:w="0" w:type="dxa"/>
          <w:left w:w="0" w:type="dxa"/>
          <w:bottom w:w="0" w:type="dxa"/>
          <w:right w:w="0" w:type="dxa"/>
        </w:tblCellMar>
      </w:tblPr>
      <w:tblGrid>
        <w:gridCol w:w="5822"/>
        <w:gridCol w:w="438"/>
        <w:gridCol w:w="146"/>
        <w:gridCol w:w="760"/>
        <w:gridCol w:w="126"/>
        <w:gridCol w:w="438"/>
        <w:gridCol w:w="146"/>
        <w:gridCol w:w="760"/>
        <w:gridCol w:w="126"/>
        <w:gridCol w:w="438"/>
        <w:gridCol w:w="146"/>
        <w:gridCol w:w="726"/>
        <w:gridCol w:w="133"/>
      </w:tblGrid>
      <w:tr>
        <w:trPr/>
        <w:tc>
          <w:tcPr>
            <w:tcW w:w="582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3812"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December 31,</w:t>
            </w:r>
          </w:p>
        </w:tc>
        <w:tc>
          <w:tcPr>
            <w:tcW w:w="133" w:type="dxa"/>
            <w:tcBorders/>
            <w:shd w:fill="auto"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90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26" w:type="dxa"/>
            <w:tcBorders>
              <w:bottom w:val="single" w:sz="2" w:space="0" w:color="000000"/>
            </w:tcBorders>
            <w:shd w:fill="auto" w:val="clear"/>
            <w:tcMar>
              <w:bottom w:w="28" w:type="dxa"/>
            </w:tcMar>
            <w:vAlign w:val="bottom"/>
          </w:tcPr>
          <w:p>
            <w:pPr>
              <w:pStyle w:val="TableContents"/>
              <w:spacing w:before="0" w:after="283"/>
              <w:rPr/>
            </w:pPr>
            <w:r>
              <w:rPr/>
              <w:t> </w:t>
            </w:r>
          </w:p>
        </w:tc>
        <w:tc>
          <w:tcPr>
            <w:tcW w:w="438" w:type="dxa"/>
            <w:tcBorders>
              <w:bottom w:val="single" w:sz="2" w:space="0" w:color="000000"/>
            </w:tcBorders>
            <w:shd w:fill="auto" w:val="clear"/>
            <w:tcMar>
              <w:bottom w:w="28" w:type="dxa"/>
            </w:tcMar>
            <w:vAlign w:val="bottom"/>
          </w:tcPr>
          <w:p>
            <w:pPr>
              <w:pStyle w:val="TableContents"/>
              <w:spacing w:before="0" w:after="283"/>
              <w:rPr/>
            </w:pPr>
            <w:r>
              <w:rPr/>
              <w:t> </w:t>
            </w:r>
          </w:p>
        </w:tc>
        <w:tc>
          <w:tcPr>
            <w:tcW w:w="90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26" w:type="dxa"/>
            <w:tcBorders>
              <w:bottom w:val="single" w:sz="2" w:space="0" w:color="000000"/>
            </w:tcBorders>
            <w:shd w:fill="auto" w:val="clear"/>
            <w:tcMar>
              <w:bottom w:w="28" w:type="dxa"/>
            </w:tcMar>
            <w:vAlign w:val="bottom"/>
          </w:tcPr>
          <w:p>
            <w:pPr>
              <w:pStyle w:val="TableContents"/>
              <w:spacing w:before="0" w:after="283"/>
              <w:rPr/>
            </w:pPr>
            <w:r>
              <w:rPr/>
              <w:t> </w:t>
            </w:r>
          </w:p>
        </w:tc>
        <w:tc>
          <w:tcPr>
            <w:tcW w:w="438" w:type="dxa"/>
            <w:tcBorders>
              <w:bottom w:val="single" w:sz="2" w:space="0" w:color="000000"/>
            </w:tcBorders>
            <w:shd w:fill="auto" w:val="clear"/>
            <w:tcMar>
              <w:bottom w:w="28" w:type="dxa"/>
            </w:tcMar>
            <w:vAlign w:val="bottom"/>
          </w:tcPr>
          <w:p>
            <w:pPr>
              <w:pStyle w:val="TableContents"/>
              <w:spacing w:before="0" w:after="283"/>
              <w:rPr/>
            </w:pPr>
            <w:r>
              <w:rPr/>
              <w:t> </w:t>
            </w:r>
          </w:p>
        </w:tc>
        <w:tc>
          <w:tcPr>
            <w:tcW w:w="87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133"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3812" w:type="dxa"/>
            <w:gridSpan w:val="10"/>
            <w:tcBorders/>
            <w:shd w:fill="auto" w:val="clear"/>
            <w:vAlign w:val="bottom"/>
          </w:tcPr>
          <w:p>
            <w:pPr>
              <w:pStyle w:val="TableContents"/>
              <w:spacing w:before="0" w:after="283"/>
              <w:jc w:val="center"/>
              <w:rPr/>
            </w:pPr>
            <w:r>
              <w:rPr/>
              <w:t>(Dollars in thousands)</w:t>
            </w:r>
          </w:p>
        </w:tc>
        <w:tc>
          <w:tcPr>
            <w:tcW w:w="133" w:type="dxa"/>
            <w:tcBorders/>
            <w:shd w:fill="auto" w:val="clear"/>
            <w:vAlign w:val="bottom"/>
          </w:tcPr>
          <w:p>
            <w:pPr>
              <w:pStyle w:val="TableContents"/>
              <w:spacing w:before="0" w:after="283"/>
              <w:rPr/>
            </w:pPr>
            <w:r>
              <w:rPr/>
              <w:t> </w:t>
            </w:r>
          </w:p>
        </w:tc>
      </w:tr>
      <w:tr>
        <w:trPr/>
        <w:tc>
          <w:tcPr>
            <w:tcW w:w="5822" w:type="dxa"/>
            <w:tcBorders/>
            <w:shd w:fill="CCEEFF" w:val="clear"/>
            <w:vAlign w:val="bottom"/>
          </w:tcPr>
          <w:p>
            <w:pPr>
              <w:pStyle w:val="TableContents"/>
              <w:spacing w:before="0" w:after="0"/>
              <w:ind w:left="225" w:right="0" w:hanging="225"/>
              <w:rPr/>
            </w:pPr>
            <w:r>
              <w:rPr/>
              <w:t>Cash Flows from Operating Activities</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450" w:right="0" w:hanging="225"/>
              <w:rPr/>
            </w:pPr>
            <w:r>
              <w:rPr/>
              <w:t>Net income</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26,934</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22,454</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26" w:type="dxa"/>
            <w:tcBorders/>
            <w:shd w:fill="auto" w:val="clear"/>
            <w:vAlign w:val="bottom"/>
          </w:tcPr>
          <w:p>
            <w:pPr>
              <w:pStyle w:val="TableContents"/>
              <w:spacing w:before="0" w:after="283"/>
              <w:jc w:val="right"/>
              <w:rPr/>
            </w:pPr>
            <w:r>
              <w:rPr/>
              <w:t>19,864</w:t>
            </w:r>
          </w:p>
        </w:tc>
        <w:tc>
          <w:tcPr>
            <w:tcW w:w="133" w:type="dxa"/>
            <w:tcBorders/>
            <w:shd w:fill="auto" w:val="clear"/>
            <w:vAlign w:val="bottom"/>
          </w:tcPr>
          <w:p>
            <w:pPr>
              <w:pStyle w:val="TableContents"/>
              <w:spacing w:before="0" w:after="283"/>
              <w:rPr/>
            </w:pPr>
            <w:r>
              <w:rPr/>
              <w:t> </w:t>
            </w:r>
          </w:p>
        </w:tc>
      </w:tr>
      <w:tr>
        <w:trPr/>
        <w:tc>
          <w:tcPr>
            <w:tcW w:w="5822"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900" w:right="0" w:hanging="225"/>
              <w:rPr/>
            </w:pPr>
            <w:r>
              <w:rPr/>
              <w:t>Depreciation and amortization</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137</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72</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63</w:t>
            </w:r>
          </w:p>
        </w:tc>
        <w:tc>
          <w:tcPr>
            <w:tcW w:w="133" w:type="dxa"/>
            <w:tcBorders/>
            <w:shd w:fill="auto" w:val="clear"/>
            <w:vAlign w:val="bottom"/>
          </w:tcPr>
          <w:p>
            <w:pPr>
              <w:pStyle w:val="TableContents"/>
              <w:spacing w:before="0" w:after="283"/>
              <w:rPr/>
            </w:pPr>
            <w:r>
              <w:rPr/>
              <w:t> </w:t>
            </w:r>
          </w:p>
        </w:tc>
      </w:tr>
      <w:tr>
        <w:trPr/>
        <w:tc>
          <w:tcPr>
            <w:tcW w:w="5822" w:type="dxa"/>
            <w:tcBorders/>
            <w:shd w:fill="CCEEFF" w:val="clear"/>
            <w:vAlign w:val="bottom"/>
          </w:tcPr>
          <w:p>
            <w:pPr>
              <w:pStyle w:val="TableContents"/>
              <w:spacing w:before="0" w:after="0"/>
              <w:ind w:left="900" w:right="0" w:hanging="225"/>
              <w:rPr/>
            </w:pPr>
            <w:r>
              <w:rPr/>
              <w:t>Equity in undistributed net income of subsidiaries</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(13,720</w:t>
            </w:r>
          </w:p>
        </w:tc>
        <w:tc>
          <w:tcPr>
            <w:tcW w:w="126" w:type="dxa"/>
            <w:tcBorders/>
            <w:shd w:fill="CCEEFF" w:val="clear"/>
            <w:vAlign w:val="bottom"/>
          </w:tcPr>
          <w:p>
            <w:pPr>
              <w:pStyle w:val="TableContents"/>
              <w:spacing w:before="0" w:after="283"/>
              <w:rPr/>
            </w:pPr>
            <w:r>
              <w:rPr/>
              <w: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(11,250</w:t>
            </w:r>
          </w:p>
        </w:tc>
        <w:tc>
          <w:tcPr>
            <w:tcW w:w="126" w:type="dxa"/>
            <w:tcBorders/>
            <w:shd w:fill="CCEEFF" w:val="clear"/>
            <w:vAlign w:val="bottom"/>
          </w:tcPr>
          <w:p>
            <w:pPr>
              <w:pStyle w:val="TableContents"/>
              <w:spacing w:before="0" w:after="283"/>
              <w:rPr/>
            </w:pPr>
            <w:r>
              <w:rPr/>
              <w: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26" w:type="dxa"/>
            <w:tcBorders/>
            <w:shd w:fill="CCEEFF" w:val="clear"/>
            <w:vAlign w:val="bottom"/>
          </w:tcPr>
          <w:p>
            <w:pPr>
              <w:pStyle w:val="TableContents"/>
              <w:spacing w:before="0" w:after="283"/>
              <w:jc w:val="right"/>
              <w:rPr/>
            </w:pPr>
            <w:r>
              <w:rPr/>
              <w:t>(8,204</w:t>
            </w:r>
          </w:p>
        </w:tc>
        <w:tc>
          <w:tcPr>
            <w:tcW w:w="133" w:type="dxa"/>
            <w:tcBorders/>
            <w:shd w:fill="CCEEFF" w:val="clear"/>
            <w:vAlign w:val="bottom"/>
          </w:tcPr>
          <w:p>
            <w:pPr>
              <w:pStyle w:val="TableContents"/>
              <w:spacing w:before="0" w:after="283"/>
              <w:rPr/>
            </w:pPr>
            <w:r>
              <w:rPr/>
              <w:t>)</w:t>
            </w:r>
          </w:p>
        </w:tc>
      </w:tr>
      <w:tr>
        <w:trPr/>
        <w:tc>
          <w:tcPr>
            <w:tcW w:w="5822" w:type="dxa"/>
            <w:tcBorders/>
            <w:shd w:fill="auto" w:val="clear"/>
            <w:vAlign w:val="bottom"/>
          </w:tcPr>
          <w:p>
            <w:pPr>
              <w:pStyle w:val="TableContents"/>
              <w:spacing w:before="0" w:after="0"/>
              <w:ind w:left="900" w:right="0" w:hanging="225"/>
              <w:rPr/>
            </w:pPr>
            <w:r>
              <w:rPr/>
              <w:t>Stock-based compensation</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11</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26</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55</w:t>
            </w:r>
          </w:p>
        </w:tc>
        <w:tc>
          <w:tcPr>
            <w:tcW w:w="133" w:type="dxa"/>
            <w:tcBorders/>
            <w:shd w:fill="auto" w:val="clear"/>
            <w:vAlign w:val="bottom"/>
          </w:tcPr>
          <w:p>
            <w:pPr>
              <w:pStyle w:val="TableContents"/>
              <w:spacing w:before="0" w:after="283"/>
              <w:rPr/>
            </w:pPr>
            <w:r>
              <w:rPr/>
              <w:t> </w:t>
            </w:r>
          </w:p>
        </w:tc>
      </w:tr>
      <w:tr>
        <w:trPr/>
        <w:tc>
          <w:tcPr>
            <w:tcW w:w="5822" w:type="dxa"/>
            <w:tcBorders/>
            <w:shd w:fill="CCEEFF" w:val="clear"/>
            <w:vAlign w:val="bottom"/>
          </w:tcPr>
          <w:p>
            <w:pPr>
              <w:pStyle w:val="TableContents"/>
              <w:spacing w:before="0" w:after="0"/>
              <w:ind w:left="900" w:right="0" w:hanging="225"/>
              <w:rPr/>
            </w:pPr>
            <w:r>
              <w:rPr/>
              <w:t>Fair value adjustment on employee stock ownership plan shares allocated</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125</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102</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59</w:t>
            </w:r>
          </w:p>
        </w:tc>
        <w:tc>
          <w:tcPr>
            <w:tcW w:w="133" w:type="dxa"/>
            <w:tcBorders/>
            <w:shd w:fill="CCEEFF"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900" w:right="0" w:hanging="225"/>
              <w:rPr/>
            </w:pPr>
            <w:r>
              <w:rPr/>
              <w:t>Security gains, net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(164</w:t>
            </w:r>
          </w:p>
        </w:tc>
        <w:tc>
          <w:tcPr>
            <w:tcW w:w="126"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26" w:type="dxa"/>
            <w:tcBorders/>
            <w:shd w:fill="auto" w:val="clear"/>
            <w:vAlign w:val="bottom"/>
          </w:tcPr>
          <w:p>
            <w:pPr>
              <w:pStyle w:val="TableContents"/>
              <w:spacing w:before="0" w:after="283"/>
              <w:jc w:val="right"/>
              <w:rPr/>
            </w:pPr>
            <w:r>
              <w:rPr/>
              <w:t>(93</w:t>
            </w:r>
          </w:p>
        </w:tc>
        <w:tc>
          <w:tcPr>
            <w:tcW w:w="133" w:type="dxa"/>
            <w:tcBorders/>
            <w:shd w:fill="auto" w:val="clear"/>
            <w:vAlign w:val="bottom"/>
          </w:tcPr>
          <w:p>
            <w:pPr>
              <w:pStyle w:val="TableContents"/>
              <w:spacing w:before="0" w:after="283"/>
              <w:rPr/>
            </w:pPr>
            <w:r>
              <w:rPr/>
              <w:t>)</w:t>
            </w:r>
          </w:p>
        </w:tc>
      </w:tr>
      <w:tr>
        <w:trPr/>
        <w:tc>
          <w:tcPr>
            <w:tcW w:w="5822" w:type="dxa"/>
            <w:tcBorders/>
            <w:shd w:fill="CCEEFF" w:val="clear"/>
            <w:vAlign w:val="bottom"/>
          </w:tcPr>
          <w:p>
            <w:pPr>
              <w:pStyle w:val="TableContents"/>
              <w:spacing w:before="0" w:after="0"/>
              <w:ind w:left="900" w:right="0" w:hanging="225"/>
              <w:rPr/>
            </w:pPr>
            <w:r>
              <w:rPr/>
              <w:t>Gain on disposal of premises and equipment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(1</w:t>
            </w:r>
          </w:p>
        </w:tc>
        <w:tc>
          <w:tcPr>
            <w:tcW w:w="126" w:type="dxa"/>
            <w:tcBorders/>
            <w:shd w:fill="CCEEFF" w:val="clear"/>
            <w:vAlign w:val="bottom"/>
          </w:tcPr>
          <w:p>
            <w:pPr>
              <w:pStyle w:val="TableContents"/>
              <w:spacing w:before="0" w:after="283"/>
              <w:rPr/>
            </w:pPr>
            <w:r>
              <w:rPr/>
              <w: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900" w:right="0" w:hanging="225"/>
              <w:rPr/>
            </w:pPr>
            <w:r>
              <w:rPr/>
              <w:t>Changes in assets and liabilities:</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22" w:type="dxa"/>
            <w:tcBorders/>
            <w:shd w:fill="CCEEFF" w:val="clear"/>
            <w:vAlign w:val="bottom"/>
          </w:tcPr>
          <w:p>
            <w:pPr>
              <w:pStyle w:val="TableContents"/>
              <w:spacing w:before="0" w:after="0"/>
              <w:ind w:left="1125" w:right="0" w:hanging="225"/>
              <w:rPr/>
            </w:pPr>
            <w:r>
              <w:rPr/>
              <w:t>(Increase) decrease in other assets</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(539</w:t>
            </w:r>
          </w:p>
        </w:tc>
        <w:tc>
          <w:tcPr>
            <w:tcW w:w="126" w:type="dxa"/>
            <w:tcBorders/>
            <w:shd w:fill="CCEEFF" w:val="clear"/>
            <w:vAlign w:val="bottom"/>
          </w:tcPr>
          <w:p>
            <w:pPr>
              <w:pStyle w:val="TableContents"/>
              <w:spacing w:before="0" w:after="283"/>
              <w:rPr/>
            </w:pPr>
            <w:r>
              <w:rPr/>
              <w: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(4,222</w:t>
            </w:r>
          </w:p>
        </w:tc>
        <w:tc>
          <w:tcPr>
            <w:tcW w:w="126" w:type="dxa"/>
            <w:tcBorders/>
            <w:shd w:fill="CCEEFF" w:val="clear"/>
            <w:vAlign w:val="bottom"/>
          </w:tcPr>
          <w:p>
            <w:pPr>
              <w:pStyle w:val="TableContents"/>
              <w:spacing w:before="0" w:after="283"/>
              <w:rPr/>
            </w:pPr>
            <w:r>
              <w:rPr/>
              <w: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46</w:t>
            </w:r>
          </w:p>
        </w:tc>
        <w:tc>
          <w:tcPr>
            <w:tcW w:w="133" w:type="dxa"/>
            <w:tcBorders/>
            <w:shd w:fill="CCEEFF"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1125" w:right="0" w:hanging="225"/>
              <w:rPr/>
            </w:pPr>
            <w:r>
              <w:rPr/>
              <w:t>Increase (decrease) in other liabilities</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1,632</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1,309</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26" w:type="dxa"/>
            <w:tcBorders/>
            <w:shd w:fill="auto" w:val="clear"/>
            <w:vAlign w:val="bottom"/>
          </w:tcPr>
          <w:p>
            <w:pPr>
              <w:pStyle w:val="TableContents"/>
              <w:spacing w:before="0" w:after="283"/>
              <w:jc w:val="right"/>
              <w:rPr/>
            </w:pPr>
            <w:r>
              <w:rPr/>
              <w:t>(57</w:t>
            </w:r>
          </w:p>
        </w:tc>
        <w:tc>
          <w:tcPr>
            <w:tcW w:w="133" w:type="dxa"/>
            <w:tcBorders/>
            <w:shd w:fill="auto" w:val="clear"/>
            <w:vAlign w:val="bottom"/>
          </w:tcPr>
          <w:p>
            <w:pPr>
              <w:pStyle w:val="TableContents"/>
              <w:spacing w:before="0" w:after="283"/>
              <w:rPr/>
            </w:pPr>
            <w:r>
              <w:rPr/>
              <w:t>)</w:t>
            </w:r>
          </w:p>
        </w:tc>
      </w:tr>
      <w:tr>
        <w:trPr/>
        <w:tc>
          <w:tcPr>
            <w:tcW w:w="5822"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394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822" w:type="dxa"/>
            <w:tcBorders/>
            <w:shd w:fill="auto" w:val="clear"/>
            <w:vAlign w:val="bottom"/>
          </w:tcPr>
          <w:p>
            <w:pPr>
              <w:pStyle w:val="TableContents"/>
              <w:spacing w:before="0" w:after="0"/>
              <w:ind w:left="225" w:right="0" w:hanging="225"/>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22" w:type="dxa"/>
            <w:tcBorders/>
            <w:shd w:fill="CCEEFF" w:val="clear"/>
            <w:vAlign w:val="bottom"/>
          </w:tcPr>
          <w:p>
            <w:pPr>
              <w:pStyle w:val="TableContents"/>
              <w:spacing w:before="0" w:after="0"/>
              <w:ind w:left="1350" w:right="0" w:hanging="225"/>
              <w:rPr>
                <w:b/>
              </w:rPr>
            </w:pPr>
            <w:r>
              <w:rPr>
                <w:b/>
              </w:rPr>
              <w:t>Net cash provided by operating activities</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14,579</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8,327</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11,733</w:t>
            </w:r>
          </w:p>
        </w:tc>
        <w:tc>
          <w:tcPr>
            <w:tcW w:w="133" w:type="dxa"/>
            <w:tcBorders/>
            <w:shd w:fill="CCEEFF" w:val="clear"/>
            <w:vAlign w:val="bottom"/>
          </w:tcPr>
          <w:p>
            <w:pPr>
              <w:pStyle w:val="TableContents"/>
              <w:spacing w:before="0" w:after="283"/>
              <w:rPr/>
            </w:pPr>
            <w:r>
              <w:rPr/>
              <w:t> </w:t>
            </w:r>
          </w:p>
        </w:tc>
      </w:tr>
      <w:tr>
        <w:trPr/>
        <w:tc>
          <w:tcPr>
            <w:tcW w:w="5822"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394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822" w:type="dxa"/>
            <w:tcBorders/>
            <w:shd w:fill="auto" w:val="clear"/>
            <w:vAlign w:val="bottom"/>
          </w:tcPr>
          <w:p>
            <w:pPr>
              <w:pStyle w:val="TableContents"/>
              <w:spacing w:before="0" w:after="0"/>
              <w:ind w:left="225" w:right="0" w:hanging="225"/>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225" w:right="0" w:hanging="225"/>
              <w:rPr/>
            </w:pPr>
            <w:r>
              <w:rPr/>
              <w:t>Cash Flows from Investing Activities</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22" w:type="dxa"/>
            <w:tcBorders/>
            <w:shd w:fill="CCEEFF" w:val="clear"/>
            <w:vAlign w:val="bottom"/>
          </w:tcPr>
          <w:p>
            <w:pPr>
              <w:pStyle w:val="TableContents"/>
              <w:spacing w:before="0" w:after="0"/>
              <w:ind w:left="450" w:right="0" w:hanging="225"/>
              <w:rPr/>
            </w:pPr>
            <w:r>
              <w:rPr/>
              <w:t>Proceeds from sales of securities available for sale</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80</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575</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3,770</w:t>
            </w:r>
          </w:p>
        </w:tc>
        <w:tc>
          <w:tcPr>
            <w:tcW w:w="133" w:type="dxa"/>
            <w:tcBorders/>
            <w:shd w:fill="CCEEFF"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450" w:right="0" w:hanging="225"/>
              <w:rPr/>
            </w:pPr>
            <w:r>
              <w:rPr/>
              <w:t>Purchases of securities available for sale</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(100</w:t>
            </w:r>
          </w:p>
        </w:tc>
        <w:tc>
          <w:tcPr>
            <w:tcW w:w="126"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(194</w:t>
            </w:r>
          </w:p>
        </w:tc>
        <w:tc>
          <w:tcPr>
            <w:tcW w:w="126"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26" w:type="dxa"/>
            <w:tcBorders/>
            <w:shd w:fill="auto" w:val="clear"/>
            <w:vAlign w:val="bottom"/>
          </w:tcPr>
          <w:p>
            <w:pPr>
              <w:pStyle w:val="TableContents"/>
              <w:spacing w:before="0" w:after="283"/>
              <w:jc w:val="right"/>
              <w:rPr/>
            </w:pPr>
            <w:r>
              <w:rPr/>
              <w:t>(3,718</w:t>
            </w:r>
          </w:p>
        </w:tc>
        <w:tc>
          <w:tcPr>
            <w:tcW w:w="133" w:type="dxa"/>
            <w:tcBorders/>
            <w:shd w:fill="auto" w:val="clear"/>
            <w:vAlign w:val="bottom"/>
          </w:tcPr>
          <w:p>
            <w:pPr>
              <w:pStyle w:val="TableContents"/>
              <w:spacing w:before="0" w:after="283"/>
              <w:rPr/>
            </w:pPr>
            <w:r>
              <w:rPr/>
              <w:t>)</w:t>
            </w:r>
          </w:p>
        </w:tc>
      </w:tr>
      <w:tr>
        <w:trPr/>
        <w:tc>
          <w:tcPr>
            <w:tcW w:w="5822" w:type="dxa"/>
            <w:tcBorders/>
            <w:shd w:fill="CCEEFF" w:val="clear"/>
            <w:vAlign w:val="bottom"/>
          </w:tcPr>
          <w:p>
            <w:pPr>
              <w:pStyle w:val="TableContents"/>
              <w:spacing w:before="0" w:after="0"/>
              <w:ind w:left="450" w:right="0" w:hanging="225"/>
              <w:rPr/>
            </w:pPr>
            <w:r>
              <w:rPr/>
              <w:t>Increase in loans</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(707</w:t>
            </w:r>
          </w:p>
        </w:tc>
        <w:tc>
          <w:tcPr>
            <w:tcW w:w="126" w:type="dxa"/>
            <w:tcBorders/>
            <w:shd w:fill="CCEEFF" w:val="clear"/>
            <w:vAlign w:val="bottom"/>
          </w:tcPr>
          <w:p>
            <w:pPr>
              <w:pStyle w:val="TableContents"/>
              <w:spacing w:before="0" w:after="283"/>
              <w:rPr/>
            </w:pPr>
            <w:r>
              <w:rPr/>
              <w: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(112</w:t>
            </w:r>
          </w:p>
        </w:tc>
        <w:tc>
          <w:tcPr>
            <w:tcW w:w="126" w:type="dxa"/>
            <w:tcBorders/>
            <w:shd w:fill="CCEEFF" w:val="clear"/>
            <w:vAlign w:val="bottom"/>
          </w:tcPr>
          <w:p>
            <w:pPr>
              <w:pStyle w:val="TableContents"/>
              <w:spacing w:before="0" w:after="283"/>
              <w:rPr/>
            </w:pPr>
            <w:r>
              <w:rPr/>
              <w: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26" w:type="dxa"/>
            <w:tcBorders/>
            <w:shd w:fill="CCEEFF" w:val="clear"/>
            <w:vAlign w:val="bottom"/>
          </w:tcPr>
          <w:p>
            <w:pPr>
              <w:pStyle w:val="TableContents"/>
              <w:spacing w:before="0" w:after="283"/>
              <w:jc w:val="right"/>
              <w:rPr/>
            </w:pPr>
            <w:r>
              <w:rPr/>
              <w:t>(335</w:t>
            </w:r>
          </w:p>
        </w:tc>
        <w:tc>
          <w:tcPr>
            <w:tcW w:w="133" w:type="dxa"/>
            <w:tcBorders/>
            <w:shd w:fill="CCEEFF" w:val="clear"/>
            <w:vAlign w:val="bottom"/>
          </w:tcPr>
          <w:p>
            <w:pPr>
              <w:pStyle w:val="TableContents"/>
              <w:spacing w:before="0" w:after="283"/>
              <w:rPr/>
            </w:pPr>
            <w:r>
              <w:rPr/>
              <w:t>)</w:t>
            </w:r>
          </w:p>
        </w:tc>
      </w:tr>
      <w:tr>
        <w:trPr/>
        <w:tc>
          <w:tcPr>
            <w:tcW w:w="5822" w:type="dxa"/>
            <w:tcBorders/>
            <w:shd w:fill="auto" w:val="clear"/>
            <w:vAlign w:val="bottom"/>
          </w:tcPr>
          <w:p>
            <w:pPr>
              <w:pStyle w:val="TableContents"/>
              <w:spacing w:before="0" w:after="0"/>
              <w:ind w:left="450" w:right="0" w:hanging="225"/>
              <w:rPr/>
            </w:pPr>
            <w:r>
              <w:rPr/>
              <w:t>Proceeds from sales of premises and equipment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45</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r>
      <w:tr>
        <w:trPr/>
        <w:tc>
          <w:tcPr>
            <w:tcW w:w="5822" w:type="dxa"/>
            <w:tcBorders/>
            <w:shd w:fill="CCEEFF" w:val="clear"/>
            <w:vAlign w:val="bottom"/>
          </w:tcPr>
          <w:p>
            <w:pPr>
              <w:pStyle w:val="TableContents"/>
              <w:spacing w:before="0" w:after="0"/>
              <w:ind w:left="450" w:right="0" w:hanging="225"/>
              <w:rPr/>
            </w:pPr>
            <w:r>
              <w:rPr/>
              <w:t>Purchases of premises and equipment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(498</w:t>
            </w:r>
          </w:p>
        </w:tc>
        <w:tc>
          <w:tcPr>
            <w:tcW w:w="126" w:type="dxa"/>
            <w:tcBorders/>
            <w:shd w:fill="CCEEFF" w:val="clear"/>
            <w:vAlign w:val="bottom"/>
          </w:tcPr>
          <w:p>
            <w:pPr>
              <w:pStyle w:val="TableContents"/>
              <w:spacing w:before="0" w:after="283"/>
              <w:rPr/>
            </w:pPr>
            <w:r>
              <w:rPr/>
              <w: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(89</w:t>
            </w:r>
          </w:p>
        </w:tc>
        <w:tc>
          <w:tcPr>
            <w:tcW w:w="126" w:type="dxa"/>
            <w:tcBorders/>
            <w:shd w:fill="CCEEFF" w:val="clear"/>
            <w:vAlign w:val="bottom"/>
          </w:tcPr>
          <w:p>
            <w:pPr>
              <w:pStyle w:val="TableContents"/>
              <w:spacing w:before="0" w:after="283"/>
              <w:rPr/>
            </w:pPr>
            <w:r>
              <w:rPr/>
              <w: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26" w:type="dxa"/>
            <w:tcBorders/>
            <w:shd w:fill="CCEEFF" w:val="clear"/>
            <w:vAlign w:val="bottom"/>
          </w:tcPr>
          <w:p>
            <w:pPr>
              <w:pStyle w:val="TableContents"/>
              <w:spacing w:before="0" w:after="283"/>
              <w:jc w:val="right"/>
              <w:rPr/>
            </w:pPr>
            <w:r>
              <w:rPr/>
              <w:t>(36</w:t>
            </w:r>
          </w:p>
        </w:tc>
        <w:tc>
          <w:tcPr>
            <w:tcW w:w="133" w:type="dxa"/>
            <w:tcBorders/>
            <w:shd w:fill="CCEEFF" w:val="clear"/>
            <w:vAlign w:val="bottom"/>
          </w:tcPr>
          <w:p>
            <w:pPr>
              <w:pStyle w:val="TableContents"/>
              <w:spacing w:before="0" w:after="283"/>
              <w:rPr/>
            </w:pPr>
            <w:r>
              <w:rPr/>
              <w:t>)</w:t>
            </w:r>
          </w:p>
        </w:tc>
      </w:tr>
      <w:tr>
        <w:trPr/>
        <w:tc>
          <w:tcPr>
            <w:tcW w:w="5822" w:type="dxa"/>
            <w:tcBorders/>
            <w:shd w:fill="auto" w:val="clear"/>
            <w:vAlign w:val="bottom"/>
          </w:tcPr>
          <w:p>
            <w:pPr>
              <w:pStyle w:val="TableContents"/>
              <w:spacing w:before="0" w:after="0"/>
              <w:ind w:left="450" w:right="0" w:hanging="225"/>
              <w:rPr/>
            </w:pPr>
            <w:r>
              <w:rPr/>
              <w:t>Capital contribution to subsidiary</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(27,631</w:t>
            </w:r>
          </w:p>
        </w:tc>
        <w:tc>
          <w:tcPr>
            <w:tcW w:w="126"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(42,366</w:t>
            </w:r>
          </w:p>
        </w:tc>
        <w:tc>
          <w:tcPr>
            <w:tcW w:w="126"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r>
      <w:tr>
        <w:trPr/>
        <w:tc>
          <w:tcPr>
            <w:tcW w:w="5822"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394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822" w:type="dxa"/>
            <w:tcBorders/>
            <w:shd w:fill="auto" w:val="clear"/>
            <w:vAlign w:val="bottom"/>
          </w:tcPr>
          <w:p>
            <w:pPr>
              <w:pStyle w:val="TableContents"/>
              <w:spacing w:before="0" w:after="0"/>
              <w:ind w:left="225" w:right="0" w:hanging="225"/>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22" w:type="dxa"/>
            <w:tcBorders/>
            <w:shd w:fill="CCEEFF" w:val="clear"/>
            <w:vAlign w:val="bottom"/>
          </w:tcPr>
          <w:p>
            <w:pPr>
              <w:pStyle w:val="TableContents"/>
              <w:spacing w:before="0" w:after="0"/>
              <w:ind w:left="1350" w:right="0" w:hanging="225"/>
              <w:rPr>
                <w:b/>
              </w:rPr>
            </w:pPr>
            <w:r>
              <w:rPr>
                <w:b/>
              </w:rPr>
              <w:t>Net cash used in investing activities</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(28,811</w:t>
            </w:r>
          </w:p>
        </w:tc>
        <w:tc>
          <w:tcPr>
            <w:tcW w:w="126" w:type="dxa"/>
            <w:tcBorders/>
            <w:shd w:fill="CCEEFF" w:val="clear"/>
            <w:vAlign w:val="bottom"/>
          </w:tcPr>
          <w:p>
            <w:pPr>
              <w:pStyle w:val="TableContents"/>
              <w:spacing w:before="0" w:after="283"/>
              <w:rPr/>
            </w:pPr>
            <w:r>
              <w:rPr/>
              <w: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60" w:type="dxa"/>
            <w:tcBorders/>
            <w:shd w:fill="CCEEFF" w:val="clear"/>
            <w:vAlign w:val="bottom"/>
          </w:tcPr>
          <w:p>
            <w:pPr>
              <w:pStyle w:val="TableContents"/>
              <w:spacing w:before="0" w:after="283"/>
              <w:jc w:val="right"/>
              <w:rPr/>
            </w:pPr>
            <w:r>
              <w:rPr/>
              <w:t>(42,186</w:t>
            </w:r>
          </w:p>
        </w:tc>
        <w:tc>
          <w:tcPr>
            <w:tcW w:w="126" w:type="dxa"/>
            <w:tcBorders/>
            <w:shd w:fill="CCEEFF" w:val="clear"/>
            <w:vAlign w:val="bottom"/>
          </w:tcPr>
          <w:p>
            <w:pPr>
              <w:pStyle w:val="TableContents"/>
              <w:spacing w:before="0" w:after="283"/>
              <w:rPr/>
            </w:pPr>
            <w:r>
              <w:rPr/>
              <w: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26" w:type="dxa"/>
            <w:tcBorders/>
            <w:shd w:fill="CCEEFF" w:val="clear"/>
            <w:vAlign w:val="bottom"/>
          </w:tcPr>
          <w:p>
            <w:pPr>
              <w:pStyle w:val="TableContents"/>
              <w:spacing w:before="0" w:after="283"/>
              <w:jc w:val="right"/>
              <w:rPr/>
            </w:pPr>
            <w:r>
              <w:rPr/>
              <w:t>(319</w:t>
            </w:r>
          </w:p>
        </w:tc>
        <w:tc>
          <w:tcPr>
            <w:tcW w:w="133" w:type="dxa"/>
            <w:tcBorders/>
            <w:shd w:fill="CCEEFF" w:val="clear"/>
            <w:vAlign w:val="bottom"/>
          </w:tcPr>
          <w:p>
            <w:pPr>
              <w:pStyle w:val="TableContents"/>
              <w:spacing w:before="0" w:after="283"/>
              <w:rPr/>
            </w:pPr>
            <w:r>
              <w:rPr/>
              <w:t>)</w:t>
            </w:r>
          </w:p>
        </w:tc>
      </w:tr>
      <w:tr>
        <w:trPr/>
        <w:tc>
          <w:tcPr>
            <w:tcW w:w="5822"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394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822" w:type="dxa"/>
            <w:tcBorders/>
            <w:shd w:fill="auto" w:val="clear"/>
            <w:vAlign w:val="bottom"/>
          </w:tcPr>
          <w:p>
            <w:pPr>
              <w:pStyle w:val="TableContents"/>
              <w:spacing w:before="0" w:after="0"/>
              <w:ind w:left="225" w:right="0" w:hanging="225"/>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225" w:right="0" w:hanging="225"/>
              <w:rPr/>
            </w:pPr>
            <w:r>
              <w:rPr/>
              <w:t>Cash Flows from Financing Activities</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22" w:type="dxa"/>
            <w:tcBorders/>
            <w:shd w:fill="CCEEFF" w:val="clear"/>
            <w:vAlign w:val="bottom"/>
          </w:tcPr>
          <w:p>
            <w:pPr>
              <w:pStyle w:val="TableContents"/>
              <w:spacing w:before="0" w:after="0"/>
              <w:ind w:left="450" w:right="0" w:hanging="225"/>
              <w:rPr/>
            </w:pPr>
            <w:r>
              <w:rPr/>
              <w:t>Proceeds from short-term borrowings</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3,000</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450" w:right="0" w:hanging="225"/>
              <w:rPr/>
            </w:pPr>
            <w:r>
              <w:rPr/>
              <w:t>Principal payments on short-term borrowings</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(3,000</w:t>
            </w:r>
          </w:p>
        </w:tc>
        <w:tc>
          <w:tcPr>
            <w:tcW w:w="126"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r>
      <w:tr>
        <w:trPr/>
        <w:tc>
          <w:tcPr>
            <w:tcW w:w="5822" w:type="dxa"/>
            <w:tcBorders/>
            <w:shd w:fill="CCEEFF" w:val="clear"/>
            <w:vAlign w:val="bottom"/>
          </w:tcPr>
          <w:p>
            <w:pPr>
              <w:pStyle w:val="TableContents"/>
              <w:spacing w:before="0" w:after="0"/>
              <w:ind w:left="450" w:right="0" w:hanging="225"/>
              <w:rPr/>
            </w:pPr>
            <w:r>
              <w:rPr/>
              <w:t>Proceeds from issuance of long-term debt</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21,000</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42,000</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450" w:right="0" w:hanging="225"/>
              <w:rPr/>
            </w:pPr>
            <w:r>
              <w:rPr/>
              <w:t>Principal payments on long-term debt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(9,000</w:t>
            </w:r>
          </w:p>
        </w:tc>
        <w:tc>
          <w:tcPr>
            <w:tcW w:w="126"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(12,000</w:t>
            </w:r>
          </w:p>
        </w:tc>
        <w:tc>
          <w:tcPr>
            <w:tcW w:w="126"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r>
      <w:tr>
        <w:trPr/>
        <w:tc>
          <w:tcPr>
            <w:tcW w:w="5822" w:type="dxa"/>
            <w:tcBorders/>
            <w:shd w:fill="CCEEFF" w:val="clear"/>
            <w:vAlign w:val="bottom"/>
          </w:tcPr>
          <w:p>
            <w:pPr>
              <w:pStyle w:val="TableContents"/>
              <w:spacing w:before="0" w:after="0"/>
              <w:ind w:left="450" w:right="0" w:hanging="225"/>
              <w:rPr/>
            </w:pPr>
            <w:r>
              <w:rPr/>
              <w:t>Proceeds from issuance of junior subordinated debentures due to unconsolidated trusts</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10,000</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15,000</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450" w:right="0" w:hanging="225"/>
              <w:rPr/>
            </w:pPr>
            <w:r>
              <w:rPr/>
              <w:t>Purchases of treasury stock</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(3,235</w:t>
            </w:r>
          </w:p>
        </w:tc>
        <w:tc>
          <w:tcPr>
            <w:tcW w:w="126"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(2,264</w:t>
            </w:r>
          </w:p>
        </w:tc>
        <w:tc>
          <w:tcPr>
            <w:tcW w:w="126"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26" w:type="dxa"/>
            <w:tcBorders/>
            <w:shd w:fill="auto" w:val="clear"/>
            <w:vAlign w:val="bottom"/>
          </w:tcPr>
          <w:p>
            <w:pPr>
              <w:pStyle w:val="TableContents"/>
              <w:spacing w:before="0" w:after="283"/>
              <w:jc w:val="right"/>
              <w:rPr/>
            </w:pPr>
            <w:r>
              <w:rPr/>
              <w:t>(4,079</w:t>
            </w:r>
          </w:p>
        </w:tc>
        <w:tc>
          <w:tcPr>
            <w:tcW w:w="133" w:type="dxa"/>
            <w:tcBorders/>
            <w:shd w:fill="auto" w:val="clear"/>
            <w:vAlign w:val="bottom"/>
          </w:tcPr>
          <w:p>
            <w:pPr>
              <w:pStyle w:val="TableContents"/>
              <w:spacing w:before="0" w:after="283"/>
              <w:rPr/>
            </w:pPr>
            <w:r>
              <w:rPr/>
              <w:t>)</w:t>
            </w:r>
          </w:p>
        </w:tc>
      </w:tr>
      <w:tr>
        <w:trPr/>
        <w:tc>
          <w:tcPr>
            <w:tcW w:w="5822" w:type="dxa"/>
            <w:tcBorders/>
            <w:shd w:fill="CCEEFF" w:val="clear"/>
            <w:vAlign w:val="bottom"/>
          </w:tcPr>
          <w:p>
            <w:pPr>
              <w:pStyle w:val="TableContents"/>
              <w:spacing w:before="0" w:after="0"/>
              <w:ind w:left="450" w:right="0" w:hanging="225"/>
              <w:rPr/>
            </w:pPr>
            <w:r>
              <w:rPr/>
              <w:t>Proceeds from sales of treasury stock</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3,283</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3,384</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5,509</w:t>
            </w:r>
          </w:p>
        </w:tc>
        <w:tc>
          <w:tcPr>
            <w:tcW w:w="133" w:type="dxa"/>
            <w:tcBorders/>
            <w:shd w:fill="CCEEFF"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450" w:right="0" w:hanging="225"/>
              <w:rPr/>
            </w:pPr>
            <w:r>
              <w:rPr/>
              <w:t>Cash dividends paid</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(11,564</w:t>
            </w:r>
          </w:p>
        </w:tc>
        <w:tc>
          <w:tcPr>
            <w:tcW w:w="126"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(10,383</w:t>
            </w:r>
          </w:p>
        </w:tc>
        <w:tc>
          <w:tcPr>
            <w:tcW w:w="126"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26" w:type="dxa"/>
            <w:tcBorders/>
            <w:shd w:fill="auto" w:val="clear"/>
            <w:vAlign w:val="bottom"/>
          </w:tcPr>
          <w:p>
            <w:pPr>
              <w:pStyle w:val="TableContents"/>
              <w:spacing w:before="0" w:after="283"/>
              <w:jc w:val="right"/>
              <w:rPr/>
            </w:pPr>
            <w:r>
              <w:rPr/>
              <w:t>(9,215</w:t>
            </w:r>
          </w:p>
        </w:tc>
        <w:tc>
          <w:tcPr>
            <w:tcW w:w="133" w:type="dxa"/>
            <w:tcBorders/>
            <w:shd w:fill="auto" w:val="clear"/>
            <w:vAlign w:val="bottom"/>
          </w:tcPr>
          <w:p>
            <w:pPr>
              <w:pStyle w:val="TableContents"/>
              <w:spacing w:before="0" w:after="283"/>
              <w:rPr/>
            </w:pPr>
            <w:r>
              <w:rPr/>
              <w:t>)</w:t>
            </w:r>
          </w:p>
        </w:tc>
      </w:tr>
      <w:tr>
        <w:trPr/>
        <w:tc>
          <w:tcPr>
            <w:tcW w:w="5822"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394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822" w:type="dxa"/>
            <w:tcBorders/>
            <w:shd w:fill="CCEEFF" w:val="clear"/>
            <w:vAlign w:val="bottom"/>
          </w:tcPr>
          <w:p>
            <w:pPr>
              <w:pStyle w:val="TableContents"/>
              <w:spacing w:before="0" w:after="0"/>
              <w:ind w:left="1350" w:right="0" w:hanging="225"/>
              <w:rPr>
                <w:b/>
              </w:rPr>
            </w:pPr>
            <w:r>
              <w:rPr>
                <w:b/>
              </w:rPr>
              <w:t>Net cash provided by (used in) financing activities</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10,484</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35,737</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726" w:type="dxa"/>
            <w:tcBorders/>
            <w:shd w:fill="CCEEFF" w:val="clear"/>
            <w:vAlign w:val="bottom"/>
          </w:tcPr>
          <w:p>
            <w:pPr>
              <w:pStyle w:val="TableContents"/>
              <w:spacing w:before="0" w:after="283"/>
              <w:jc w:val="right"/>
              <w:rPr/>
            </w:pPr>
            <w:r>
              <w:rPr/>
              <w:t>(7,785</w:t>
            </w:r>
          </w:p>
        </w:tc>
        <w:tc>
          <w:tcPr>
            <w:tcW w:w="133" w:type="dxa"/>
            <w:tcBorders/>
            <w:shd w:fill="CCEEFF" w:val="clear"/>
            <w:vAlign w:val="bottom"/>
          </w:tcPr>
          <w:p>
            <w:pPr>
              <w:pStyle w:val="TableContents"/>
              <w:spacing w:before="0" w:after="283"/>
              <w:rPr/>
            </w:pPr>
            <w:r>
              <w:rPr/>
              <w:t>)</w:t>
            </w:r>
          </w:p>
        </w:tc>
      </w:tr>
      <w:tr>
        <w:trPr/>
        <w:tc>
          <w:tcPr>
            <w:tcW w:w="5822"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394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822" w:type="dxa"/>
            <w:tcBorders/>
            <w:shd w:fill="auto" w:val="clear"/>
            <w:vAlign w:val="bottom"/>
          </w:tcPr>
          <w:p>
            <w:pPr>
              <w:pStyle w:val="TableContents"/>
              <w:spacing w:before="0" w:after="0"/>
              <w:ind w:left="225" w:right="0" w:hanging="225"/>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1350" w:right="0" w:hanging="225"/>
              <w:rPr>
                <w:b/>
              </w:rPr>
            </w:pPr>
            <w:r>
              <w:rPr>
                <w:b/>
              </w:rPr>
              <w:t>Net increase in cash and due from subsidiary banks</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(3,748</w:t>
            </w:r>
          </w:p>
        </w:tc>
        <w:tc>
          <w:tcPr>
            <w:tcW w:w="126"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1,878</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3,629</w:t>
            </w:r>
          </w:p>
        </w:tc>
        <w:tc>
          <w:tcPr>
            <w:tcW w:w="133" w:type="dxa"/>
            <w:tcBorders/>
            <w:shd w:fill="auto" w:val="clear"/>
            <w:vAlign w:val="bottom"/>
          </w:tcPr>
          <w:p>
            <w:pPr>
              <w:pStyle w:val="TableContents"/>
              <w:spacing w:before="0" w:after="283"/>
              <w:rPr/>
            </w:pPr>
            <w:r>
              <w:rPr/>
              <w:t> </w:t>
            </w:r>
          </w:p>
        </w:tc>
      </w:tr>
      <w:tr>
        <w:trPr/>
        <w:tc>
          <w:tcPr>
            <w:tcW w:w="5822" w:type="dxa"/>
            <w:tcBorders/>
            <w:shd w:fill="CCEEFF" w:val="clear"/>
            <w:vAlign w:val="bottom"/>
          </w:tcPr>
          <w:p>
            <w:pPr>
              <w:pStyle w:val="TableContents"/>
              <w:spacing w:before="0" w:after="0"/>
              <w:ind w:left="225" w:right="0" w:hanging="225"/>
              <w:rPr/>
            </w:pPr>
            <w:r>
              <w:rPr/>
              <w:t>Cash and due from subsidiary banks, beginning</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7,376</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5,498</w:t>
            </w:r>
          </w:p>
        </w:tc>
        <w:tc>
          <w:tcPr>
            <w:tcW w:w="126"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1,869</w:t>
            </w:r>
          </w:p>
        </w:tc>
        <w:tc>
          <w:tcPr>
            <w:tcW w:w="133" w:type="dxa"/>
            <w:tcBorders/>
            <w:shd w:fill="CCEEFF" w:val="clear"/>
            <w:vAlign w:val="bottom"/>
          </w:tcPr>
          <w:p>
            <w:pPr>
              <w:pStyle w:val="TableContents"/>
              <w:spacing w:before="0" w:after="283"/>
              <w:rPr/>
            </w:pPr>
            <w:r>
              <w:rPr/>
              <w:t> </w:t>
            </w:r>
          </w:p>
        </w:tc>
      </w:tr>
      <w:tr>
        <w:trPr/>
        <w:tc>
          <w:tcPr>
            <w:tcW w:w="5822"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394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822" w:type="dxa"/>
            <w:tcBorders/>
            <w:shd w:fill="auto" w:val="clear"/>
            <w:vAlign w:val="bottom"/>
          </w:tcPr>
          <w:p>
            <w:pPr>
              <w:pStyle w:val="TableContents"/>
              <w:spacing w:before="0" w:after="0"/>
              <w:ind w:left="225" w:right="0" w:hanging="225"/>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22" w:type="dxa"/>
            <w:tcBorders/>
            <w:shd w:fill="auto" w:val="clear"/>
            <w:vAlign w:val="bottom"/>
          </w:tcPr>
          <w:p>
            <w:pPr>
              <w:pStyle w:val="TableContents"/>
              <w:spacing w:before="0" w:after="0"/>
              <w:ind w:left="225" w:right="0" w:hanging="225"/>
              <w:rPr/>
            </w:pPr>
            <w:r>
              <w:rPr/>
              <w:t>Cash and due from subsidiary banks, ending</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3,628</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7,376</w:t>
            </w:r>
          </w:p>
        </w:tc>
        <w:tc>
          <w:tcPr>
            <w:tcW w:w="126"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26" w:type="dxa"/>
            <w:tcBorders/>
            <w:shd w:fill="auto" w:val="clear"/>
            <w:vAlign w:val="bottom"/>
          </w:tcPr>
          <w:p>
            <w:pPr>
              <w:pStyle w:val="TableContents"/>
              <w:spacing w:before="0" w:after="283"/>
              <w:jc w:val="right"/>
              <w:rPr/>
            </w:pPr>
            <w:r>
              <w:rPr/>
              <w:t>5,498</w:t>
            </w:r>
          </w:p>
        </w:tc>
        <w:tc>
          <w:tcPr>
            <w:tcW w:w="133" w:type="dxa"/>
            <w:tcBorders/>
            <w:shd w:fill="auto" w:val="clear"/>
            <w:vAlign w:val="bottom"/>
          </w:tcPr>
          <w:p>
            <w:pPr>
              <w:pStyle w:val="TableContents"/>
              <w:spacing w:before="0" w:after="283"/>
              <w:rPr/>
            </w:pPr>
            <w:r>
              <w:rPr/>
              <w:t> </w:t>
            </w:r>
          </w:p>
        </w:tc>
      </w:tr>
      <w:tr>
        <w:trPr/>
        <w:tc>
          <w:tcPr>
            <w:tcW w:w="5822"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3945"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93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Arial;Helvetica;sans-serif" w:hAnsi="Arial;Helvetica;sans-serif"/>
          <w:sz w:val="17"/>
        </w:rPr>
      </w:pPr>
      <w:r>
        <w:rPr>
          <w:rFonts w:ascii="Arial;Helvetica;sans-serif" w:hAnsi="Arial;Helvetica;sans-serif"/>
          <w:b/>
          <w:sz w:val="17"/>
        </w:rPr>
        <w:t>FIRST BUSEY CORPORATION AND SUBSIDIARIES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NOTES TO CONSOLIDATED FINANCIAL STATEMENTS</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Note 23. Unaudited Interim Financial Data</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following table reflects summarized quarterly data for the periods described (unaudited), in thousands, except per share data: </w:t>
      </w:r>
    </w:p>
    <w:tbl>
      <w:tblPr>
        <w:tblW w:w="5000" w:type="pct"/>
        <w:jc w:val="center"/>
        <w:tblInd w:w="0" w:type="dxa"/>
        <w:tblCellMar>
          <w:top w:w="0" w:type="dxa"/>
          <w:left w:w="0" w:type="dxa"/>
          <w:bottom w:w="0" w:type="dxa"/>
          <w:right w:w="0" w:type="dxa"/>
        </w:tblCellMar>
      </w:tblPr>
      <w:tblGrid>
        <w:gridCol w:w="3751"/>
        <w:gridCol w:w="341"/>
        <w:gridCol w:w="223"/>
        <w:gridCol w:w="1093"/>
        <w:gridCol w:w="103"/>
        <w:gridCol w:w="341"/>
        <w:gridCol w:w="226"/>
        <w:gridCol w:w="1111"/>
        <w:gridCol w:w="103"/>
        <w:gridCol w:w="341"/>
        <w:gridCol w:w="163"/>
        <w:gridCol w:w="800"/>
        <w:gridCol w:w="103"/>
        <w:gridCol w:w="341"/>
        <w:gridCol w:w="177"/>
        <w:gridCol w:w="872"/>
        <w:gridCol w:w="116"/>
      </w:tblGrid>
      <w:tr>
        <w:trPr/>
        <w:tc>
          <w:tcPr>
            <w:tcW w:w="3751"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5997" w:type="dxa"/>
            <w:gridSpan w:val="14"/>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316" w:type="dxa"/>
            <w:gridSpan w:val="2"/>
            <w:tcBorders/>
            <w:shd w:fill="auto" w:val="clear"/>
            <w:vAlign w:val="bottom"/>
          </w:tcPr>
          <w:p>
            <w:pPr>
              <w:pStyle w:val="TableContents"/>
              <w:spacing w:before="0" w:after="283"/>
              <w:jc w:val="center"/>
              <w:rPr/>
            </w:pPr>
            <w:r>
              <w:rPr/>
              <w:t>December 31</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337" w:type="dxa"/>
            <w:gridSpan w:val="2"/>
            <w:tcBorders/>
            <w:shd w:fill="auto" w:val="clear"/>
            <w:vAlign w:val="bottom"/>
          </w:tcPr>
          <w:p>
            <w:pPr>
              <w:pStyle w:val="TableContents"/>
              <w:spacing w:before="0" w:after="283"/>
              <w:jc w:val="center"/>
              <w:rPr/>
            </w:pPr>
            <w:r>
              <w:rPr/>
              <w:t>September 30</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63" w:type="dxa"/>
            <w:gridSpan w:val="2"/>
            <w:tcBorders/>
            <w:shd w:fill="auto" w:val="clear"/>
            <w:vAlign w:val="bottom"/>
          </w:tcPr>
          <w:p>
            <w:pPr>
              <w:pStyle w:val="TableContents"/>
              <w:spacing w:before="0" w:after="283"/>
              <w:jc w:val="center"/>
              <w:rPr/>
            </w:pPr>
            <w:r>
              <w:rPr/>
              <w:t>June 30</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49" w:type="dxa"/>
            <w:gridSpan w:val="2"/>
            <w:tcBorders/>
            <w:shd w:fill="auto" w:val="clear"/>
            <w:vAlign w:val="bottom"/>
          </w:tcPr>
          <w:p>
            <w:pPr>
              <w:pStyle w:val="TableContents"/>
              <w:spacing w:before="0" w:after="283"/>
              <w:jc w:val="center"/>
              <w:rPr/>
            </w:pPr>
            <w:r>
              <w:rPr/>
              <w:t>March 31</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6113"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51" w:type="dxa"/>
            <w:tcBorders/>
            <w:shd w:fill="CCEEFF" w:val="clear"/>
            <w:vAlign w:val="bottom"/>
          </w:tcPr>
          <w:p>
            <w:pPr>
              <w:pStyle w:val="TableContents"/>
              <w:spacing w:before="0" w:after="0"/>
              <w:ind w:left="225" w:right="0" w:hanging="225"/>
              <w:rPr/>
            </w:pPr>
            <w:r>
              <w:rPr/>
              <w:t>Interest income</w:t>
            </w:r>
          </w:p>
        </w:tc>
        <w:tc>
          <w:tcPr>
            <w:tcW w:w="34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3" w:type="dxa"/>
            <w:tcBorders/>
            <w:shd w:fill="CCEEFF" w:val="clear"/>
            <w:vAlign w:val="bottom"/>
          </w:tcPr>
          <w:p>
            <w:pPr>
              <w:pStyle w:val="TableContents"/>
              <w:spacing w:before="0" w:after="283"/>
              <w:jc w:val="right"/>
              <w:rPr/>
            </w:pPr>
            <w:r>
              <w:rPr/>
              <w:t>32,811</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1111" w:type="dxa"/>
            <w:tcBorders/>
            <w:shd w:fill="CCEEFF" w:val="clear"/>
            <w:vAlign w:val="bottom"/>
          </w:tcPr>
          <w:p>
            <w:pPr>
              <w:pStyle w:val="TableContents"/>
              <w:spacing w:before="0" w:after="283"/>
              <w:jc w:val="right"/>
              <w:rPr/>
            </w:pPr>
            <w:r>
              <w:rPr/>
              <w:t>30,445</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27,485</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2" w:type="dxa"/>
            <w:tcBorders/>
            <w:shd w:fill="CCEEFF" w:val="clear"/>
            <w:vAlign w:val="bottom"/>
          </w:tcPr>
          <w:p>
            <w:pPr>
              <w:pStyle w:val="TableContents"/>
              <w:spacing w:before="0" w:after="283"/>
              <w:jc w:val="right"/>
              <w:rPr/>
            </w:pPr>
            <w:r>
              <w:rPr/>
              <w:t>25,563</w:t>
            </w:r>
          </w:p>
        </w:tc>
        <w:tc>
          <w:tcPr>
            <w:tcW w:w="116" w:type="dxa"/>
            <w:tcBorders/>
            <w:shd w:fill="CCEEFF"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0"/>
              <w:ind w:left="225" w:right="0" w:hanging="225"/>
              <w:rPr/>
            </w:pPr>
            <w:r>
              <w:rPr/>
              <w:t>Interest expense</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13,733</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11,971</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10,336</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9,302</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6113"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51" w:type="dxa"/>
            <w:tcBorders/>
            <w:shd w:fill="CCEEFF" w:val="clear"/>
            <w:vAlign w:val="bottom"/>
          </w:tcPr>
          <w:p>
            <w:pPr>
              <w:pStyle w:val="TableContents"/>
              <w:spacing w:before="0" w:after="0"/>
              <w:ind w:left="450" w:right="0" w:hanging="225"/>
              <w:rPr/>
            </w:pPr>
            <w:r>
              <w:rPr/>
              <w:t>Net interest income</w:t>
            </w:r>
          </w:p>
        </w:tc>
        <w:tc>
          <w:tcPr>
            <w:tcW w:w="34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19,078</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18,474</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17,149</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16,261</w:t>
            </w:r>
          </w:p>
        </w:tc>
        <w:tc>
          <w:tcPr>
            <w:tcW w:w="116" w:type="dxa"/>
            <w:tcBorders/>
            <w:shd w:fill="CCEEFF"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0"/>
              <w:ind w:left="225" w:right="0" w:hanging="225"/>
              <w:rPr/>
            </w:pPr>
            <w:r>
              <w:rPr/>
              <w:t>Provision for loan losses</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725</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650</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1,425</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690</w:t>
            </w:r>
          </w:p>
        </w:tc>
        <w:tc>
          <w:tcPr>
            <w:tcW w:w="116" w:type="dxa"/>
            <w:tcBorders/>
            <w:shd w:fill="auto" w:val="clear"/>
            <w:vAlign w:val="bottom"/>
          </w:tcPr>
          <w:p>
            <w:pPr>
              <w:pStyle w:val="TableContents"/>
              <w:spacing w:before="0" w:after="283"/>
              <w:rPr/>
            </w:pPr>
            <w:r>
              <w:rPr/>
              <w:t> </w:t>
            </w:r>
          </w:p>
        </w:tc>
      </w:tr>
      <w:tr>
        <w:trPr/>
        <w:tc>
          <w:tcPr>
            <w:tcW w:w="3751" w:type="dxa"/>
            <w:tcBorders/>
            <w:shd w:fill="CCEEFF" w:val="clear"/>
            <w:vAlign w:val="bottom"/>
          </w:tcPr>
          <w:p>
            <w:pPr>
              <w:pStyle w:val="TableContents"/>
              <w:spacing w:before="0" w:after="0"/>
              <w:ind w:left="225" w:right="0" w:hanging="225"/>
              <w:rPr/>
            </w:pPr>
            <w:r>
              <w:rPr/>
              <w:t>Noninterest income</w:t>
            </w:r>
          </w:p>
        </w:tc>
        <w:tc>
          <w:tcPr>
            <w:tcW w:w="34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5,900</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6,118</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5,964</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5,555</w:t>
            </w:r>
          </w:p>
        </w:tc>
        <w:tc>
          <w:tcPr>
            <w:tcW w:w="116" w:type="dxa"/>
            <w:tcBorders/>
            <w:shd w:fill="CCEEFF"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0"/>
              <w:ind w:left="225" w:right="0" w:hanging="225"/>
              <w:rPr/>
            </w:pPr>
            <w:r>
              <w:rPr/>
              <w:t>Noninterest expense</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14,551</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13,163</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12,152</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11,249</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6113"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51" w:type="dxa"/>
            <w:tcBorders/>
            <w:shd w:fill="CCEEFF" w:val="clear"/>
            <w:vAlign w:val="bottom"/>
          </w:tcPr>
          <w:p>
            <w:pPr>
              <w:pStyle w:val="TableContents"/>
              <w:spacing w:before="0" w:after="0"/>
              <w:ind w:left="225" w:right="0" w:hanging="225"/>
              <w:rPr/>
            </w:pPr>
            <w:r>
              <w:rPr/>
              <w:t>Income before income taxes</w:t>
            </w:r>
          </w:p>
        </w:tc>
        <w:tc>
          <w:tcPr>
            <w:tcW w:w="34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9,702</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10,779</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9,536</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9,877</w:t>
            </w:r>
          </w:p>
        </w:tc>
        <w:tc>
          <w:tcPr>
            <w:tcW w:w="116" w:type="dxa"/>
            <w:tcBorders/>
            <w:shd w:fill="CCEEFF"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0"/>
              <w:ind w:left="225" w:right="0" w:hanging="225"/>
              <w:rPr/>
            </w:pPr>
            <w:r>
              <w:rPr/>
              <w:t>Income taxes</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3,139</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3,220</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3,260</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3,341</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6113"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51" w:type="dxa"/>
            <w:tcBorders/>
            <w:shd w:fill="CCEEFF" w:val="clear"/>
            <w:vAlign w:val="bottom"/>
          </w:tcPr>
          <w:p>
            <w:pPr>
              <w:pStyle w:val="TableContents"/>
              <w:spacing w:before="0" w:after="0"/>
              <w:ind w:left="450" w:right="0" w:hanging="225"/>
              <w:rPr/>
            </w:pPr>
            <w:r>
              <w:rPr/>
              <w:t>Net income</w:t>
            </w:r>
          </w:p>
        </w:tc>
        <w:tc>
          <w:tcPr>
            <w:tcW w:w="34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3" w:type="dxa"/>
            <w:tcBorders/>
            <w:shd w:fill="CCEEFF" w:val="clear"/>
            <w:vAlign w:val="bottom"/>
          </w:tcPr>
          <w:p>
            <w:pPr>
              <w:pStyle w:val="TableContents"/>
              <w:spacing w:before="0" w:after="283"/>
              <w:jc w:val="right"/>
              <w:rPr/>
            </w:pPr>
            <w:r>
              <w:rPr/>
              <w:t>6,563</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1111" w:type="dxa"/>
            <w:tcBorders/>
            <w:shd w:fill="CCEEFF" w:val="clear"/>
            <w:vAlign w:val="bottom"/>
          </w:tcPr>
          <w:p>
            <w:pPr>
              <w:pStyle w:val="TableContents"/>
              <w:spacing w:before="0" w:after="283"/>
              <w:jc w:val="right"/>
              <w:rPr/>
            </w:pPr>
            <w:r>
              <w:rPr/>
              <w:t>7,559</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6,276</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2" w:type="dxa"/>
            <w:tcBorders/>
            <w:shd w:fill="CCEEFF" w:val="clear"/>
            <w:vAlign w:val="bottom"/>
          </w:tcPr>
          <w:p>
            <w:pPr>
              <w:pStyle w:val="TableContents"/>
              <w:spacing w:before="0" w:after="283"/>
              <w:jc w:val="right"/>
              <w:rPr/>
            </w:pPr>
            <w:r>
              <w:rPr/>
              <w:t>6,536</w:t>
            </w:r>
          </w:p>
        </w:tc>
        <w:tc>
          <w:tcPr>
            <w:tcW w:w="116" w:type="dxa"/>
            <w:tcBorders/>
            <w:shd w:fill="CCEEFF" w:val="clear"/>
            <w:vAlign w:val="bottom"/>
          </w:tcPr>
          <w:p>
            <w:pPr>
              <w:pStyle w:val="TableContents"/>
              <w:spacing w:before="0" w:after="283"/>
              <w:rPr/>
            </w:pPr>
            <w:r>
              <w:rPr/>
              <w:t> </w:t>
            </w:r>
          </w:p>
        </w:tc>
      </w:tr>
      <w:tr>
        <w:trPr/>
        <w:tc>
          <w:tcPr>
            <w:tcW w:w="3751"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6113" w:type="dxa"/>
            <w:gridSpan w:val="15"/>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3751" w:type="dxa"/>
            <w:tcBorders/>
            <w:shd w:fill="auto" w:val="clear"/>
            <w:vAlign w:val="bottom"/>
          </w:tcPr>
          <w:p>
            <w:pPr>
              <w:pStyle w:val="TableContents"/>
              <w:spacing w:before="0" w:after="0"/>
              <w:ind w:left="225" w:right="0" w:hanging="225"/>
              <w:rPr/>
            </w:pPr>
            <w:r>
              <w:rPr/>
              <w:t> </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0"/>
              <w:ind w:left="225" w:right="0" w:hanging="225"/>
              <w:rPr/>
            </w:pPr>
            <w:r>
              <w:rPr/>
              <w:t>Basic earnings per share</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093" w:type="dxa"/>
            <w:tcBorders/>
            <w:shd w:fill="auto" w:val="clear"/>
            <w:vAlign w:val="bottom"/>
          </w:tcPr>
          <w:p>
            <w:pPr>
              <w:pStyle w:val="TableContents"/>
              <w:spacing w:before="0" w:after="283"/>
              <w:jc w:val="right"/>
              <w:rPr/>
            </w:pPr>
            <w:r>
              <w:rPr/>
              <w:t>0.31</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1111" w:type="dxa"/>
            <w:tcBorders/>
            <w:shd w:fill="auto" w:val="clear"/>
            <w:vAlign w:val="bottom"/>
          </w:tcPr>
          <w:p>
            <w:pPr>
              <w:pStyle w:val="TableContents"/>
              <w:spacing w:before="0" w:after="283"/>
              <w:jc w:val="right"/>
              <w:rPr/>
            </w:pPr>
            <w:r>
              <w:rPr/>
              <w:t>0.36</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0.31</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2" w:type="dxa"/>
            <w:tcBorders/>
            <w:shd w:fill="auto" w:val="clear"/>
            <w:vAlign w:val="bottom"/>
          </w:tcPr>
          <w:p>
            <w:pPr>
              <w:pStyle w:val="TableContents"/>
              <w:spacing w:before="0" w:after="283"/>
              <w:jc w:val="right"/>
              <w:rPr/>
            </w:pPr>
            <w:r>
              <w:rPr/>
              <w:t>0.32</w:t>
            </w:r>
          </w:p>
        </w:tc>
        <w:tc>
          <w:tcPr>
            <w:tcW w:w="116" w:type="dxa"/>
            <w:tcBorders/>
            <w:shd w:fill="auto" w:val="clear"/>
            <w:vAlign w:val="bottom"/>
          </w:tcPr>
          <w:p>
            <w:pPr>
              <w:pStyle w:val="TableContents"/>
              <w:spacing w:before="0" w:after="283"/>
              <w:rPr/>
            </w:pPr>
            <w:r>
              <w:rPr/>
              <w:t> </w:t>
            </w:r>
          </w:p>
        </w:tc>
      </w:tr>
      <w:tr>
        <w:trPr/>
        <w:tc>
          <w:tcPr>
            <w:tcW w:w="3751" w:type="dxa"/>
            <w:tcBorders/>
            <w:shd w:fill="CCEEFF" w:val="clear"/>
            <w:vAlign w:val="bottom"/>
          </w:tcPr>
          <w:p>
            <w:pPr>
              <w:pStyle w:val="TableContents"/>
              <w:spacing w:before="0" w:after="0"/>
              <w:ind w:left="225" w:right="0" w:hanging="225"/>
              <w:rPr/>
            </w:pPr>
            <w:r>
              <w:rPr/>
              <w:t>Diluted earnings per share</w:t>
            </w:r>
          </w:p>
        </w:tc>
        <w:tc>
          <w:tcPr>
            <w:tcW w:w="34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3" w:type="dxa"/>
            <w:tcBorders/>
            <w:shd w:fill="CCEEFF" w:val="clear"/>
            <w:vAlign w:val="bottom"/>
          </w:tcPr>
          <w:p>
            <w:pPr>
              <w:pStyle w:val="TableContents"/>
              <w:spacing w:before="0" w:after="283"/>
              <w:jc w:val="right"/>
              <w:rPr/>
            </w:pPr>
            <w:r>
              <w:rPr/>
              <w:t>0.31</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1111" w:type="dxa"/>
            <w:tcBorders/>
            <w:shd w:fill="CCEEFF" w:val="clear"/>
            <w:vAlign w:val="bottom"/>
          </w:tcPr>
          <w:p>
            <w:pPr>
              <w:pStyle w:val="TableContents"/>
              <w:spacing w:before="0" w:after="283"/>
              <w:jc w:val="right"/>
              <w:rPr/>
            </w:pPr>
            <w:r>
              <w:rPr/>
              <w:t>0.36</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0.31</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2" w:type="dxa"/>
            <w:tcBorders/>
            <w:shd w:fill="CCEEFF" w:val="clear"/>
            <w:vAlign w:val="bottom"/>
          </w:tcPr>
          <w:p>
            <w:pPr>
              <w:pStyle w:val="TableContents"/>
              <w:spacing w:before="0" w:after="283"/>
              <w:jc w:val="right"/>
              <w:rPr/>
            </w:pPr>
            <w:r>
              <w:rPr/>
              <w:t>0.32</w:t>
            </w:r>
          </w:p>
        </w:tc>
        <w:tc>
          <w:tcPr>
            <w:tcW w:w="116"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751"/>
        <w:gridCol w:w="341"/>
        <w:gridCol w:w="223"/>
        <w:gridCol w:w="1093"/>
        <w:gridCol w:w="103"/>
        <w:gridCol w:w="341"/>
        <w:gridCol w:w="226"/>
        <w:gridCol w:w="1111"/>
        <w:gridCol w:w="103"/>
        <w:gridCol w:w="341"/>
        <w:gridCol w:w="163"/>
        <w:gridCol w:w="800"/>
        <w:gridCol w:w="103"/>
        <w:gridCol w:w="341"/>
        <w:gridCol w:w="177"/>
        <w:gridCol w:w="872"/>
        <w:gridCol w:w="116"/>
      </w:tblGrid>
      <w:tr>
        <w:trPr/>
        <w:tc>
          <w:tcPr>
            <w:tcW w:w="3751"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5997" w:type="dxa"/>
            <w:gridSpan w:val="14"/>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316" w:type="dxa"/>
            <w:gridSpan w:val="2"/>
            <w:tcBorders/>
            <w:shd w:fill="auto" w:val="clear"/>
            <w:vAlign w:val="bottom"/>
          </w:tcPr>
          <w:p>
            <w:pPr>
              <w:pStyle w:val="TableContents"/>
              <w:spacing w:before="0" w:after="283"/>
              <w:jc w:val="center"/>
              <w:rPr/>
            </w:pPr>
            <w:r>
              <w:rPr/>
              <w:t>December 31</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337" w:type="dxa"/>
            <w:gridSpan w:val="2"/>
            <w:tcBorders/>
            <w:shd w:fill="auto" w:val="clear"/>
            <w:vAlign w:val="bottom"/>
          </w:tcPr>
          <w:p>
            <w:pPr>
              <w:pStyle w:val="TableContents"/>
              <w:spacing w:before="0" w:after="283"/>
              <w:jc w:val="center"/>
              <w:rPr/>
            </w:pPr>
            <w:r>
              <w:rPr/>
              <w:t>September 30</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63" w:type="dxa"/>
            <w:gridSpan w:val="2"/>
            <w:tcBorders/>
            <w:shd w:fill="auto" w:val="clear"/>
            <w:vAlign w:val="bottom"/>
          </w:tcPr>
          <w:p>
            <w:pPr>
              <w:pStyle w:val="TableContents"/>
              <w:spacing w:before="0" w:after="283"/>
              <w:jc w:val="center"/>
              <w:rPr/>
            </w:pPr>
            <w:r>
              <w:rPr/>
              <w:t>June 30</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49" w:type="dxa"/>
            <w:gridSpan w:val="2"/>
            <w:tcBorders/>
            <w:shd w:fill="auto" w:val="clear"/>
            <w:vAlign w:val="bottom"/>
          </w:tcPr>
          <w:p>
            <w:pPr>
              <w:pStyle w:val="TableContents"/>
              <w:spacing w:before="0" w:after="283"/>
              <w:jc w:val="center"/>
              <w:rPr/>
            </w:pPr>
            <w:r>
              <w:rPr/>
              <w:t>March 31</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6113"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51" w:type="dxa"/>
            <w:tcBorders/>
            <w:shd w:fill="CCEEFF" w:val="clear"/>
            <w:vAlign w:val="bottom"/>
          </w:tcPr>
          <w:p>
            <w:pPr>
              <w:pStyle w:val="TableContents"/>
              <w:spacing w:before="0" w:after="0"/>
              <w:ind w:left="225" w:right="0" w:hanging="225"/>
              <w:rPr/>
            </w:pPr>
            <w:r>
              <w:rPr/>
              <w:t>Interest income</w:t>
            </w:r>
          </w:p>
        </w:tc>
        <w:tc>
          <w:tcPr>
            <w:tcW w:w="34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3" w:type="dxa"/>
            <w:tcBorders/>
            <w:shd w:fill="CCEEFF" w:val="clear"/>
            <w:vAlign w:val="bottom"/>
          </w:tcPr>
          <w:p>
            <w:pPr>
              <w:pStyle w:val="TableContents"/>
              <w:spacing w:before="0" w:after="283"/>
              <w:jc w:val="right"/>
              <w:rPr/>
            </w:pPr>
            <w:r>
              <w:rPr/>
              <w:t>24,470</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1111" w:type="dxa"/>
            <w:tcBorders/>
            <w:shd w:fill="CCEEFF" w:val="clear"/>
            <w:vAlign w:val="bottom"/>
          </w:tcPr>
          <w:p>
            <w:pPr>
              <w:pStyle w:val="TableContents"/>
              <w:spacing w:before="0" w:after="283"/>
              <w:jc w:val="right"/>
              <w:rPr/>
            </w:pPr>
            <w:r>
              <w:rPr/>
              <w:t>23,281</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19,912</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2" w:type="dxa"/>
            <w:tcBorders/>
            <w:shd w:fill="CCEEFF" w:val="clear"/>
            <w:vAlign w:val="bottom"/>
          </w:tcPr>
          <w:p>
            <w:pPr>
              <w:pStyle w:val="TableContents"/>
              <w:spacing w:before="0" w:after="283"/>
              <w:jc w:val="right"/>
              <w:rPr/>
            </w:pPr>
            <w:r>
              <w:rPr/>
              <w:t>18,256</w:t>
            </w:r>
          </w:p>
        </w:tc>
        <w:tc>
          <w:tcPr>
            <w:tcW w:w="116" w:type="dxa"/>
            <w:tcBorders/>
            <w:shd w:fill="CCEEFF"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0"/>
              <w:ind w:left="225" w:right="0" w:hanging="225"/>
              <w:rPr/>
            </w:pPr>
            <w:r>
              <w:rPr/>
              <w:t>Interest expense</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9,092</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8,437</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6,618</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5,894</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6113"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51" w:type="dxa"/>
            <w:tcBorders/>
            <w:shd w:fill="CCEEFF" w:val="clear"/>
            <w:vAlign w:val="bottom"/>
          </w:tcPr>
          <w:p>
            <w:pPr>
              <w:pStyle w:val="TableContents"/>
              <w:spacing w:before="0" w:after="0"/>
              <w:ind w:left="450" w:right="0" w:hanging="225"/>
              <w:rPr/>
            </w:pPr>
            <w:r>
              <w:rPr/>
              <w:t>Net interest income</w:t>
            </w:r>
          </w:p>
        </w:tc>
        <w:tc>
          <w:tcPr>
            <w:tcW w:w="34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15,378</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14,844</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13,294</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12,362</w:t>
            </w:r>
          </w:p>
        </w:tc>
        <w:tc>
          <w:tcPr>
            <w:tcW w:w="116" w:type="dxa"/>
            <w:tcBorders/>
            <w:shd w:fill="CCEEFF"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0"/>
              <w:ind w:left="225" w:right="0" w:hanging="225"/>
              <w:rPr/>
            </w:pPr>
            <w:r>
              <w:rPr/>
              <w:t>Provision for loan losses</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585</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1,240</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655</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425</w:t>
            </w:r>
          </w:p>
        </w:tc>
        <w:tc>
          <w:tcPr>
            <w:tcW w:w="116" w:type="dxa"/>
            <w:tcBorders/>
            <w:shd w:fill="auto" w:val="clear"/>
            <w:vAlign w:val="bottom"/>
          </w:tcPr>
          <w:p>
            <w:pPr>
              <w:pStyle w:val="TableContents"/>
              <w:spacing w:before="0" w:after="283"/>
              <w:rPr/>
            </w:pPr>
            <w:r>
              <w:rPr/>
              <w:t> </w:t>
            </w:r>
          </w:p>
        </w:tc>
      </w:tr>
      <w:tr>
        <w:trPr/>
        <w:tc>
          <w:tcPr>
            <w:tcW w:w="3751" w:type="dxa"/>
            <w:tcBorders/>
            <w:shd w:fill="CCEEFF" w:val="clear"/>
            <w:vAlign w:val="bottom"/>
          </w:tcPr>
          <w:p>
            <w:pPr>
              <w:pStyle w:val="TableContents"/>
              <w:spacing w:before="0" w:after="0"/>
              <w:ind w:left="225" w:right="0" w:hanging="225"/>
              <w:rPr/>
            </w:pPr>
            <w:r>
              <w:rPr/>
              <w:t>Noninterest income</w:t>
            </w:r>
          </w:p>
        </w:tc>
        <w:tc>
          <w:tcPr>
            <w:tcW w:w="34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6,041</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6,021</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6,034</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5,694</w:t>
            </w:r>
          </w:p>
        </w:tc>
        <w:tc>
          <w:tcPr>
            <w:tcW w:w="116" w:type="dxa"/>
            <w:tcBorders/>
            <w:shd w:fill="CCEEFF"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0"/>
              <w:ind w:left="225" w:right="0" w:hanging="225"/>
              <w:rPr/>
            </w:pPr>
            <w:r>
              <w:rPr/>
              <w:t>Noninterest expense</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12,272</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11,150</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10,196</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9,467</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6113"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51" w:type="dxa"/>
            <w:tcBorders/>
            <w:shd w:fill="CCEEFF" w:val="clear"/>
            <w:vAlign w:val="bottom"/>
          </w:tcPr>
          <w:p>
            <w:pPr>
              <w:pStyle w:val="TableContents"/>
              <w:spacing w:before="0" w:after="0"/>
              <w:ind w:left="225" w:right="0" w:hanging="225"/>
              <w:rPr/>
            </w:pPr>
            <w:r>
              <w:rPr/>
              <w:t>Income before income taxes</w:t>
            </w:r>
          </w:p>
        </w:tc>
        <w:tc>
          <w:tcPr>
            <w:tcW w:w="34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8,562</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8,475</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8,477</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8,164</w:t>
            </w:r>
          </w:p>
        </w:tc>
        <w:tc>
          <w:tcPr>
            <w:tcW w:w="116" w:type="dxa"/>
            <w:tcBorders/>
            <w:shd w:fill="CCEEFF"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0"/>
              <w:ind w:left="225" w:right="0" w:hanging="225"/>
              <w:rPr/>
            </w:pPr>
            <w:r>
              <w:rPr/>
              <w:t>Income taxes</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2,793</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2,691</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2,936</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2,804</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6113"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751" w:type="dxa"/>
            <w:tcBorders/>
            <w:shd w:fill="CCEEFF" w:val="clear"/>
            <w:vAlign w:val="bottom"/>
          </w:tcPr>
          <w:p>
            <w:pPr>
              <w:pStyle w:val="TableContents"/>
              <w:spacing w:before="0" w:after="0"/>
              <w:ind w:left="450" w:right="0" w:hanging="225"/>
              <w:rPr/>
            </w:pPr>
            <w:r>
              <w:rPr/>
              <w:t>Net income</w:t>
            </w:r>
          </w:p>
        </w:tc>
        <w:tc>
          <w:tcPr>
            <w:tcW w:w="34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3" w:type="dxa"/>
            <w:tcBorders/>
            <w:shd w:fill="CCEEFF" w:val="clear"/>
            <w:vAlign w:val="bottom"/>
          </w:tcPr>
          <w:p>
            <w:pPr>
              <w:pStyle w:val="TableContents"/>
              <w:spacing w:before="0" w:after="283"/>
              <w:jc w:val="right"/>
              <w:rPr/>
            </w:pPr>
            <w:r>
              <w:rPr/>
              <w:t>5,769</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1111" w:type="dxa"/>
            <w:tcBorders/>
            <w:shd w:fill="CCEEFF" w:val="clear"/>
            <w:vAlign w:val="bottom"/>
          </w:tcPr>
          <w:p>
            <w:pPr>
              <w:pStyle w:val="TableContents"/>
              <w:spacing w:before="0" w:after="283"/>
              <w:jc w:val="right"/>
              <w:rPr/>
            </w:pPr>
            <w:r>
              <w:rPr/>
              <w:t>5,784</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5,541</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2" w:type="dxa"/>
            <w:tcBorders/>
            <w:shd w:fill="CCEEFF" w:val="clear"/>
            <w:vAlign w:val="bottom"/>
          </w:tcPr>
          <w:p>
            <w:pPr>
              <w:pStyle w:val="TableContents"/>
              <w:spacing w:before="0" w:after="283"/>
              <w:jc w:val="right"/>
              <w:rPr/>
            </w:pPr>
            <w:r>
              <w:rPr/>
              <w:t>5,360</w:t>
            </w:r>
          </w:p>
        </w:tc>
        <w:tc>
          <w:tcPr>
            <w:tcW w:w="116" w:type="dxa"/>
            <w:tcBorders/>
            <w:shd w:fill="CCEEFF" w:val="clear"/>
            <w:vAlign w:val="bottom"/>
          </w:tcPr>
          <w:p>
            <w:pPr>
              <w:pStyle w:val="TableContents"/>
              <w:spacing w:before="0" w:after="283"/>
              <w:rPr/>
            </w:pPr>
            <w:r>
              <w:rPr/>
              <w:t> </w:t>
            </w:r>
          </w:p>
        </w:tc>
      </w:tr>
      <w:tr>
        <w:trPr/>
        <w:tc>
          <w:tcPr>
            <w:tcW w:w="3751"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6113" w:type="dxa"/>
            <w:gridSpan w:val="15"/>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3751" w:type="dxa"/>
            <w:tcBorders/>
            <w:shd w:fill="auto" w:val="clear"/>
            <w:vAlign w:val="bottom"/>
          </w:tcPr>
          <w:p>
            <w:pPr>
              <w:pStyle w:val="TableContents"/>
              <w:spacing w:before="0" w:after="0"/>
              <w:ind w:left="225" w:right="0" w:hanging="225"/>
              <w:rPr/>
            </w:pPr>
            <w:r>
              <w:rPr/>
              <w:t> </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3751" w:type="dxa"/>
            <w:tcBorders/>
            <w:shd w:fill="auto" w:val="clear"/>
            <w:vAlign w:val="bottom"/>
          </w:tcPr>
          <w:p>
            <w:pPr>
              <w:pStyle w:val="TableContents"/>
              <w:spacing w:before="0" w:after="0"/>
              <w:ind w:left="225" w:right="0" w:hanging="225"/>
              <w:rPr/>
            </w:pPr>
            <w:r>
              <w:rPr/>
              <w:t>Basic earnings per share</w:t>
            </w:r>
          </w:p>
        </w:tc>
        <w:tc>
          <w:tcPr>
            <w:tcW w:w="34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093" w:type="dxa"/>
            <w:tcBorders/>
            <w:shd w:fill="auto" w:val="clear"/>
            <w:vAlign w:val="bottom"/>
          </w:tcPr>
          <w:p>
            <w:pPr>
              <w:pStyle w:val="TableContents"/>
              <w:spacing w:before="0" w:after="283"/>
              <w:jc w:val="right"/>
              <w:rPr/>
            </w:pPr>
            <w:r>
              <w:rPr/>
              <w:t>0.28</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1111" w:type="dxa"/>
            <w:tcBorders/>
            <w:shd w:fill="auto" w:val="clear"/>
            <w:vAlign w:val="bottom"/>
          </w:tcPr>
          <w:p>
            <w:pPr>
              <w:pStyle w:val="TableContents"/>
              <w:spacing w:before="0" w:after="283"/>
              <w:jc w:val="right"/>
              <w:rPr/>
            </w:pPr>
            <w:r>
              <w:rPr/>
              <w:t>0.28</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0.27</w:t>
            </w:r>
          </w:p>
        </w:tc>
        <w:tc>
          <w:tcPr>
            <w:tcW w:w="103"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2" w:type="dxa"/>
            <w:tcBorders/>
            <w:shd w:fill="auto" w:val="clear"/>
            <w:vAlign w:val="bottom"/>
          </w:tcPr>
          <w:p>
            <w:pPr>
              <w:pStyle w:val="TableContents"/>
              <w:spacing w:before="0" w:after="283"/>
              <w:jc w:val="right"/>
              <w:rPr/>
            </w:pPr>
            <w:r>
              <w:rPr/>
              <w:t>0.26</w:t>
            </w:r>
          </w:p>
        </w:tc>
        <w:tc>
          <w:tcPr>
            <w:tcW w:w="116" w:type="dxa"/>
            <w:tcBorders/>
            <w:shd w:fill="auto" w:val="clear"/>
            <w:vAlign w:val="bottom"/>
          </w:tcPr>
          <w:p>
            <w:pPr>
              <w:pStyle w:val="TableContents"/>
              <w:spacing w:before="0" w:after="283"/>
              <w:rPr/>
            </w:pPr>
            <w:r>
              <w:rPr/>
              <w:t> </w:t>
            </w:r>
          </w:p>
        </w:tc>
      </w:tr>
      <w:tr>
        <w:trPr/>
        <w:tc>
          <w:tcPr>
            <w:tcW w:w="3751" w:type="dxa"/>
            <w:tcBorders/>
            <w:shd w:fill="CCEEFF" w:val="clear"/>
            <w:vAlign w:val="bottom"/>
          </w:tcPr>
          <w:p>
            <w:pPr>
              <w:pStyle w:val="TableContents"/>
              <w:spacing w:before="0" w:after="0"/>
              <w:ind w:left="225" w:right="0" w:hanging="225"/>
              <w:rPr/>
            </w:pPr>
            <w:r>
              <w:rPr/>
              <w:t>Diluted earnings per share</w:t>
            </w:r>
          </w:p>
        </w:tc>
        <w:tc>
          <w:tcPr>
            <w:tcW w:w="34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3" w:type="dxa"/>
            <w:tcBorders/>
            <w:shd w:fill="CCEEFF" w:val="clear"/>
            <w:vAlign w:val="bottom"/>
          </w:tcPr>
          <w:p>
            <w:pPr>
              <w:pStyle w:val="TableContents"/>
              <w:spacing w:before="0" w:after="283"/>
              <w:jc w:val="right"/>
              <w:rPr/>
            </w:pPr>
            <w:r>
              <w:rPr/>
              <w:t>0.28</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1111" w:type="dxa"/>
            <w:tcBorders/>
            <w:shd w:fill="CCEEFF" w:val="clear"/>
            <w:vAlign w:val="bottom"/>
          </w:tcPr>
          <w:p>
            <w:pPr>
              <w:pStyle w:val="TableContents"/>
              <w:spacing w:before="0" w:after="283"/>
              <w:jc w:val="right"/>
              <w:rPr/>
            </w:pPr>
            <w:r>
              <w:rPr/>
              <w:t>0.28</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0.27</w:t>
            </w:r>
          </w:p>
        </w:tc>
        <w:tc>
          <w:tcPr>
            <w:tcW w:w="103"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72" w:type="dxa"/>
            <w:tcBorders/>
            <w:shd w:fill="CCEEFF" w:val="clear"/>
            <w:vAlign w:val="bottom"/>
          </w:tcPr>
          <w:p>
            <w:pPr>
              <w:pStyle w:val="TableContents"/>
              <w:spacing w:before="0" w:after="283"/>
              <w:jc w:val="right"/>
              <w:rPr/>
            </w:pPr>
            <w:r>
              <w:rPr/>
              <w:t>0.26</w:t>
            </w:r>
          </w:p>
        </w:tc>
        <w:tc>
          <w:tcPr>
            <w:tcW w:w="116" w:type="dxa"/>
            <w:tcBorders/>
            <w:shd w:fill="CCEEFF" w:val="clear"/>
            <w:vAlign w:val="bottom"/>
          </w:tcPr>
          <w:p>
            <w:pPr>
              <w:pStyle w:val="TableContents"/>
              <w:spacing w:before="0" w:after="283"/>
              <w:rPr/>
            </w:pPr>
            <w:r>
              <w:rPr/>
              <w:t> </w:t>
            </w:r>
          </w:p>
        </w:tc>
      </w:tr>
    </w:tbl>
    <w:p>
      <w:pPr>
        <w:pStyle w:val="TextBody"/>
        <w:jc w:val="center"/>
        <w:rPr>
          <w:rFonts w:ascii="Arial;Helvetica;sans-serif" w:hAnsi="Arial;Helvetica;sans-serif"/>
          <w:sz w:val="17"/>
        </w:rPr>
      </w:pPr>
      <w:r>
        <w:rPr>
          <w:rFonts w:ascii="Arial;Helvetica;sans-serif" w:hAnsi="Arial;Helvetica;sans-serif"/>
          <w:sz w:val="17"/>
        </w:rPr>
        <w:t xml:space="preserve">94 </w:t>
      </w:r>
      <w:r>
        <w:br w:type="page"/>
      </w:r>
    </w:p>
    <w:p>
      <w:pPr>
        <w:pStyle w:val="Heading5"/>
        <w:jc w:val="left"/>
        <w:rPr/>
      </w:pPr>
      <w:bookmarkStart w:id="36" w:name="c03419exv21w1.htm"/>
      <w:bookmarkStart w:id="37" w:name="ksc03419exv21w1"/>
      <w:bookmarkEnd w:id="36"/>
      <w:bookmarkEnd w:id="37"/>
      <w:r>
        <w:rPr/>
        <w:t> </w:t>
      </w:r>
    </w:p>
    <w:p>
      <w:pPr>
        <w:pStyle w:val="TextBody"/>
        <w:spacing w:before="240" w:after="283"/>
        <w:jc w:val="left"/>
        <w:rPr>
          <w:rFonts w:ascii="Arial;Helvetica;sans-serif" w:hAnsi="Arial;Helvetica;sans-serif"/>
          <w:sz w:val="17"/>
        </w:rPr>
      </w:pPr>
      <w:r>
        <w:rPr>
          <w:rFonts w:ascii="Arial;Helvetica;sans-serif" w:hAnsi="Arial;Helvetica;sans-serif"/>
          <w:b/>
          <w:sz w:val="17"/>
          <w:u w:val="single"/>
        </w:rPr>
        <w:t>Exhibit 21.1</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rPr>
        <w:t>List of Subsidiaries of First Busey Corporation</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b/>
          <w:sz w:val="17"/>
          <w:u w:val="single"/>
        </w:rPr>
        <w:t>Direct:</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Busey Bank</w:t>
        <w:br/>
        <w:t>Busey Bank, N.A.</w:t>
        <w:br/>
        <w:t>Busey Investment Group, Inc.</w:t>
        <w:br/>
        <w:t>First Busey Resources, Inc.</w:t>
        <w:br/>
        <w:t>First Busey Capital Trust I</w:t>
        <w:br/>
        <w:t>First Busey Statutory Trust II</w:t>
        <w:br/>
        <w:t xml:space="preserve">First Busey Statutory Trust III </w:t>
      </w:r>
    </w:p>
    <w:p>
      <w:pPr>
        <w:pStyle w:val="TextBody"/>
        <w:spacing w:before="240" w:after="283"/>
        <w:jc w:val="left"/>
        <w:rPr>
          <w:rFonts w:ascii="Arial;Helvetica;sans-serif" w:hAnsi="Arial;Helvetica;sans-serif"/>
          <w:sz w:val="17"/>
        </w:rPr>
      </w:pPr>
      <w:r>
        <w:rPr>
          <w:rFonts w:ascii="Arial;Helvetica;sans-serif" w:hAnsi="Arial;Helvetica;sans-serif"/>
          <w:b/>
          <w:sz w:val="17"/>
          <w:u w:val="single"/>
        </w:rPr>
        <w:t>Indirect:</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First Busey Trust &amp; Investment Co.</w:t>
        <w:br/>
        <w:t>First Busey Securities, Inc.</w:t>
        <w:br/>
        <w:t>Busey Insurance Services, Inc.</w:t>
        <w:br/>
        <w:t>Busey Capital Management</w:t>
        <w:br/>
        <w:t xml:space="preserve">Tarpon Coast Financial Services, Inc. </w:t>
      </w:r>
    </w:p>
    <w:p>
      <w:pPr>
        <w:pStyle w:val="TextBody"/>
        <w:jc w:val="center"/>
        <w:rPr/>
      </w:pPr>
      <w:r>
        <w:rPr/>
        <w:t xml:space="preserve">  </w:t>
      </w:r>
      <w:r>
        <w:br w:type="page"/>
      </w:r>
    </w:p>
    <w:p>
      <w:pPr>
        <w:pStyle w:val="Heading5"/>
        <w:jc w:val="left"/>
        <w:rPr/>
      </w:pPr>
      <w:bookmarkStart w:id="38" w:name="c03419exv23w1.htm"/>
      <w:bookmarkStart w:id="39" w:name="ksc03419exv23w1"/>
      <w:bookmarkEnd w:id="38"/>
      <w:bookmarkEnd w:id="39"/>
      <w:r>
        <w:rPr/>
        <w:t> </w:t>
      </w:r>
    </w:p>
    <w:p>
      <w:pPr>
        <w:pStyle w:val="TextBody"/>
        <w:spacing w:before="240" w:after="283"/>
        <w:jc w:val="left"/>
        <w:rPr>
          <w:rFonts w:ascii="Arial;Helvetica;sans-serif" w:hAnsi="Arial;Helvetica;sans-serif"/>
          <w:sz w:val="17"/>
        </w:rPr>
      </w:pPr>
      <w:r>
        <w:rPr>
          <w:rFonts w:ascii="Arial;Helvetica;sans-serif" w:hAnsi="Arial;Helvetica;sans-serif"/>
          <w:sz w:val="17"/>
        </w:rPr>
        <w:t xml:space="preserve">EXHIBIT 23.1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CONSENT OF INDEPENDENT PUBLIC ACCOUNTANT </w:t>
      </w:r>
    </w:p>
    <w:p>
      <w:pPr>
        <w:pStyle w:val="TextBody"/>
        <w:spacing w:before="120" w:after="283"/>
        <w:jc w:val="left"/>
        <w:rPr/>
      </w:pPr>
      <w:r>
        <w:rPr/>
        <w:drawing>
          <wp:inline distT="0" distB="0" distL="0" distR="0">
            <wp:extent cx="2028825" cy="723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28825" cy="723900"/>
                    </a:xfrm>
                    <a:prstGeom prst="rect">
                      <a:avLst/>
                    </a:prstGeom>
                  </pic:spPr>
                </pic:pic>
              </a:graphicData>
            </a:graphic>
          </wp:inline>
        </w:drawing>
      </w:r>
      <w:r>
        <w:rPr/>
        <w:t xml:space="preserve"> </w:t>
      </w:r>
    </w:p>
    <w:p>
      <w:pPr>
        <w:pStyle w:val="TextBody"/>
        <w:spacing w:before="360" w:after="283"/>
        <w:jc w:val="center"/>
        <w:rPr>
          <w:rFonts w:ascii="Arial;Helvetica;sans-serif" w:hAnsi="Arial;Helvetica;sans-serif"/>
          <w:sz w:val="17"/>
        </w:rPr>
      </w:pPr>
      <w:r>
        <w:rPr>
          <w:rFonts w:ascii="Arial;Helvetica;sans-serif" w:hAnsi="Arial;Helvetica;sans-serif"/>
          <w:b/>
          <w:sz w:val="17"/>
        </w:rPr>
        <w:t>Consent of Independent Registered Public Accounting Firm</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We consent to the incorporation by reference in this Registration Statement (No. 333-30095, No. 33-60402, No. 333-79217, and No. 333-115237) on Form S-8 of First Busey Corporation of our reports dated March 10, 2006 relating to our audits of the consolidated financial statements and internal control over financial reporting, included in and incorporated by reference in the Annual Report on Form 10-K of First Busey Corporation for the year ended December 31, 2005. </w:t>
      </w:r>
    </w:p>
    <w:p>
      <w:pPr>
        <w:pStyle w:val="TextBody"/>
        <w:spacing w:before="240" w:after="283"/>
        <w:jc w:val="right"/>
        <w:rPr/>
      </w:pPr>
      <w:r>
        <w:rPr/>
        <w:drawing>
          <wp:inline distT="0" distB="0" distL="0" distR="0">
            <wp:extent cx="1990725" cy="266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90725" cy="266700"/>
                    </a:xfrm>
                    <a:prstGeom prst="rect">
                      <a:avLst/>
                    </a:prstGeom>
                  </pic:spPr>
                </pic:pic>
              </a:graphicData>
            </a:graphic>
          </wp:inline>
        </w:drawing>
      </w:r>
      <w:r>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Champaign, Illinois</w:t>
        <w:br/>
        <w:t xml:space="preserve">March 15, 2006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McGladrey &amp; Pullen LLP serves clients global business needs through its membership in RSM International (an affiliation of separate and independent accounting and consulting firms). </w:t>
      </w:r>
    </w:p>
    <w:p>
      <w:pPr>
        <w:pStyle w:val="TextBody"/>
        <w:spacing w:before="120" w:after="283"/>
        <w:jc w:val="center"/>
        <w:rPr>
          <w:rFonts w:ascii="Arial;Helvetica;sans-serif" w:hAnsi="Arial;Helvetica;sans-serif"/>
          <w:sz w:val="17"/>
        </w:rPr>
      </w:pPr>
      <w:r>
        <w:rPr>
          <w:rFonts w:ascii="Arial;Helvetica;sans-serif" w:hAnsi="Arial;Helvetica;sans-serif"/>
          <w:sz w:val="17"/>
        </w:rPr>
        <w:t xml:space="preserve">44 </w:t>
      </w:r>
      <w:r>
        <w:br w:type="page"/>
      </w:r>
    </w:p>
    <w:p>
      <w:pPr>
        <w:pStyle w:val="Heading5"/>
        <w:jc w:val="left"/>
        <w:rPr/>
      </w:pPr>
      <w:bookmarkStart w:id="40" w:name="c03419exv31w1.htm"/>
      <w:bookmarkStart w:id="41" w:name="ksc03419exv31w1"/>
      <w:bookmarkEnd w:id="40"/>
      <w:bookmarkEnd w:id="41"/>
      <w:r>
        <w:rPr/>
        <w:t> </w:t>
      </w:r>
    </w:p>
    <w:p>
      <w:pPr>
        <w:pStyle w:val="TextBody"/>
        <w:spacing w:before="360" w:after="283"/>
        <w:jc w:val="center"/>
        <w:rPr>
          <w:rFonts w:ascii="Arial;Helvetica;sans-serif" w:hAnsi="Arial;Helvetica;sans-serif"/>
          <w:sz w:val="17"/>
        </w:rPr>
      </w:pPr>
      <w:r>
        <w:rPr>
          <w:rFonts w:ascii="Arial;Helvetica;sans-serif" w:hAnsi="Arial;Helvetica;sans-serif"/>
          <w:b/>
          <w:sz w:val="17"/>
        </w:rPr>
        <w:t>EXHIBIT 31.1</w:t>
      </w:r>
      <w:r>
        <w:rPr>
          <w:rFonts w:ascii="Arial;Helvetica;sans-serif" w:hAnsi="Arial;Helvetica;sans-serif"/>
          <w:sz w:val="17"/>
        </w:rPr>
        <w:t xml:space="preserve"> </w:t>
      </w:r>
    </w:p>
    <w:p>
      <w:pPr>
        <w:pStyle w:val="TextBody"/>
        <w:spacing w:before="240" w:after="283"/>
        <w:jc w:val="left"/>
        <w:rPr>
          <w:rFonts w:ascii="Arial;Helvetica;sans-serif" w:hAnsi="Arial;Helvetica;sans-serif"/>
          <w:sz w:val="17"/>
        </w:rPr>
      </w:pPr>
      <w:r>
        <w:rPr>
          <w:rFonts w:ascii="Arial;Helvetica;sans-serif" w:hAnsi="Arial;Helvetica;sans-serif"/>
          <w:b/>
          <w:sz w:val="17"/>
        </w:rPr>
        <w:t>CERTIFICATION OF PRINCIPAL EXECUTIVE OFFICER</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 Douglas C. Mills, Chairman of the Board and Chief Executive Officer of First Busey Corporation, certify that: </w:t>
      </w:r>
    </w:p>
    <w:tbl>
      <w:tblPr>
        <w:tblW w:w="5000" w:type="pct"/>
        <w:jc w:val="left"/>
        <w:tblInd w:w="0" w:type="dxa"/>
        <w:tblCellMar>
          <w:top w:w="0" w:type="dxa"/>
          <w:left w:w="0" w:type="dxa"/>
          <w:bottom w:w="0" w:type="dxa"/>
          <w:right w:w="0" w:type="dxa"/>
        </w:tblCellMar>
      </w:tblPr>
      <w:tblGrid>
        <w:gridCol w:w="220"/>
        <w:gridCol w:w="128"/>
        <w:gridCol w:w="9857"/>
      </w:tblGrid>
      <w:tr>
        <w:trPr/>
        <w:tc>
          <w:tcPr>
            <w:tcW w:w="220" w:type="dxa"/>
            <w:tcBorders/>
            <w:shd w:fill="auto" w:val="clear"/>
          </w:tcPr>
          <w:p>
            <w:pPr>
              <w:pStyle w:val="TableContents"/>
              <w:spacing w:before="0" w:after="283"/>
              <w:jc w:val="left"/>
              <w:rPr/>
            </w:pPr>
            <w:r>
              <w:rPr/>
              <w:t>1)</w:t>
            </w:r>
          </w:p>
        </w:tc>
        <w:tc>
          <w:tcPr>
            <w:tcW w:w="128" w:type="dxa"/>
            <w:tcBorders/>
            <w:shd w:fill="auto" w:val="clear"/>
          </w:tcPr>
          <w:p>
            <w:pPr>
              <w:pStyle w:val="TableContents"/>
              <w:spacing w:before="0" w:after="283"/>
              <w:rPr/>
            </w:pPr>
            <w:r>
              <w:rPr/>
              <w:t> </w:t>
            </w:r>
          </w:p>
        </w:tc>
        <w:tc>
          <w:tcPr>
            <w:tcW w:w="9857" w:type="dxa"/>
            <w:tcBorders/>
            <w:shd w:fill="auto" w:val="clear"/>
          </w:tcPr>
          <w:p>
            <w:pPr>
              <w:pStyle w:val="TableContents"/>
              <w:spacing w:before="0" w:after="283"/>
              <w:rPr/>
            </w:pPr>
            <w:r>
              <w:rPr/>
              <w:t>I have reviewed this annual report on Form 10-K of First Busey Corporation;</w:t>
            </w:r>
          </w:p>
        </w:tc>
      </w:tr>
      <w:tr>
        <w:trPr/>
        <w:tc>
          <w:tcPr>
            <w:tcW w:w="220" w:type="dxa"/>
            <w:tcBorders/>
            <w:shd w:fill="auto" w:val="clear"/>
            <w:vAlign w:val="center"/>
          </w:tcPr>
          <w:p>
            <w:pPr>
              <w:pStyle w:val="TableContents"/>
              <w:spacing w:before="0" w:after="283"/>
              <w:rPr/>
            </w:pPr>
            <w:r>
              <w:rPr/>
              <w:t> </w:t>
            </w:r>
          </w:p>
        </w:tc>
        <w:tc>
          <w:tcPr>
            <w:tcW w:w="9985" w:type="dxa"/>
            <w:gridSpan w:val="2"/>
            <w:tcBorders/>
            <w:shd w:fill="auto" w:val="clear"/>
          </w:tcPr>
          <w:p>
            <w:pPr>
              <w:pStyle w:val="TableContents"/>
              <w:spacing w:before="0" w:after="283"/>
              <w:rPr>
                <w:sz w:val="4"/>
                <w:szCs w:val="4"/>
              </w:rPr>
            </w:pPr>
            <w:r>
              <w:rPr>
                <w:sz w:val="4"/>
                <w:szCs w:val="4"/>
              </w:rPr>
            </w:r>
          </w:p>
        </w:tc>
      </w:tr>
      <w:tr>
        <w:trPr/>
        <w:tc>
          <w:tcPr>
            <w:tcW w:w="220" w:type="dxa"/>
            <w:tcBorders/>
            <w:shd w:fill="auto" w:val="clear"/>
          </w:tcPr>
          <w:p>
            <w:pPr>
              <w:pStyle w:val="TableContents"/>
              <w:spacing w:before="0" w:after="283"/>
              <w:jc w:val="left"/>
              <w:rPr/>
            </w:pPr>
            <w:r>
              <w:rPr/>
              <w:t>2)</w:t>
            </w:r>
          </w:p>
        </w:tc>
        <w:tc>
          <w:tcPr>
            <w:tcW w:w="128" w:type="dxa"/>
            <w:tcBorders/>
            <w:shd w:fill="auto" w:val="clear"/>
          </w:tcPr>
          <w:p>
            <w:pPr>
              <w:pStyle w:val="TableContents"/>
              <w:spacing w:before="0" w:after="283"/>
              <w:rPr/>
            </w:pPr>
            <w:r>
              <w:rPr/>
              <w:t> </w:t>
            </w:r>
          </w:p>
        </w:tc>
        <w:tc>
          <w:tcPr>
            <w:tcW w:w="9857" w:type="dxa"/>
            <w:tcBorders/>
            <w:shd w:fill="auto" w:val="clear"/>
          </w:tcPr>
          <w:p>
            <w:pPr>
              <w:pStyle w:val="TableContents"/>
              <w:spacing w:before="0" w:after="283"/>
              <w:rPr/>
            </w:pPr>
            <w:r>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r>
        <w:trPr/>
        <w:tc>
          <w:tcPr>
            <w:tcW w:w="220" w:type="dxa"/>
            <w:tcBorders/>
            <w:shd w:fill="auto" w:val="clear"/>
            <w:vAlign w:val="center"/>
          </w:tcPr>
          <w:p>
            <w:pPr>
              <w:pStyle w:val="TableContents"/>
              <w:spacing w:before="0" w:after="283"/>
              <w:rPr/>
            </w:pPr>
            <w:r>
              <w:rPr/>
              <w:t> </w:t>
            </w:r>
          </w:p>
        </w:tc>
        <w:tc>
          <w:tcPr>
            <w:tcW w:w="9985" w:type="dxa"/>
            <w:gridSpan w:val="2"/>
            <w:tcBorders/>
            <w:shd w:fill="auto" w:val="clear"/>
          </w:tcPr>
          <w:p>
            <w:pPr>
              <w:pStyle w:val="TableContents"/>
              <w:spacing w:before="0" w:after="283"/>
              <w:rPr>
                <w:sz w:val="4"/>
                <w:szCs w:val="4"/>
              </w:rPr>
            </w:pPr>
            <w:r>
              <w:rPr>
                <w:sz w:val="4"/>
                <w:szCs w:val="4"/>
              </w:rPr>
            </w:r>
          </w:p>
        </w:tc>
      </w:tr>
      <w:tr>
        <w:trPr/>
        <w:tc>
          <w:tcPr>
            <w:tcW w:w="220" w:type="dxa"/>
            <w:tcBorders/>
            <w:shd w:fill="auto" w:val="clear"/>
          </w:tcPr>
          <w:p>
            <w:pPr>
              <w:pStyle w:val="TableContents"/>
              <w:spacing w:before="0" w:after="283"/>
              <w:jc w:val="left"/>
              <w:rPr/>
            </w:pPr>
            <w:r>
              <w:rPr/>
              <w:t>3)</w:t>
            </w:r>
          </w:p>
        </w:tc>
        <w:tc>
          <w:tcPr>
            <w:tcW w:w="128" w:type="dxa"/>
            <w:tcBorders/>
            <w:shd w:fill="auto" w:val="clear"/>
          </w:tcPr>
          <w:p>
            <w:pPr>
              <w:pStyle w:val="TableContents"/>
              <w:spacing w:before="0" w:after="283"/>
              <w:rPr/>
            </w:pPr>
            <w:r>
              <w:rPr/>
              <w:t> </w:t>
            </w:r>
          </w:p>
        </w:tc>
        <w:tc>
          <w:tcPr>
            <w:tcW w:w="9857" w:type="dxa"/>
            <w:tcBorders/>
            <w:shd w:fill="auto" w:val="clear"/>
          </w:tcPr>
          <w:p>
            <w:pPr>
              <w:pStyle w:val="TableContents"/>
              <w:spacing w:before="0" w:after="283"/>
              <w:rPr/>
            </w:pPr>
            <w:r>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tc>
      </w:tr>
      <w:tr>
        <w:trPr/>
        <w:tc>
          <w:tcPr>
            <w:tcW w:w="220" w:type="dxa"/>
            <w:tcBorders/>
            <w:shd w:fill="auto" w:val="clear"/>
            <w:vAlign w:val="center"/>
          </w:tcPr>
          <w:p>
            <w:pPr>
              <w:pStyle w:val="TableContents"/>
              <w:spacing w:before="0" w:after="283"/>
              <w:rPr/>
            </w:pPr>
            <w:r>
              <w:rPr/>
              <w:t> </w:t>
            </w:r>
          </w:p>
        </w:tc>
        <w:tc>
          <w:tcPr>
            <w:tcW w:w="9985" w:type="dxa"/>
            <w:gridSpan w:val="2"/>
            <w:tcBorders/>
            <w:shd w:fill="auto" w:val="clear"/>
          </w:tcPr>
          <w:p>
            <w:pPr>
              <w:pStyle w:val="TableContents"/>
              <w:spacing w:before="0" w:after="283"/>
              <w:rPr>
                <w:sz w:val="4"/>
                <w:szCs w:val="4"/>
              </w:rPr>
            </w:pPr>
            <w:r>
              <w:rPr>
                <w:sz w:val="4"/>
                <w:szCs w:val="4"/>
              </w:rPr>
            </w:r>
          </w:p>
        </w:tc>
      </w:tr>
      <w:tr>
        <w:trPr/>
        <w:tc>
          <w:tcPr>
            <w:tcW w:w="220" w:type="dxa"/>
            <w:tcBorders/>
            <w:shd w:fill="auto" w:val="clear"/>
          </w:tcPr>
          <w:p>
            <w:pPr>
              <w:pStyle w:val="TableContents"/>
              <w:spacing w:before="0" w:after="283"/>
              <w:jc w:val="left"/>
              <w:rPr/>
            </w:pPr>
            <w:r>
              <w:rPr/>
              <w:t>4)</w:t>
            </w:r>
          </w:p>
        </w:tc>
        <w:tc>
          <w:tcPr>
            <w:tcW w:w="128" w:type="dxa"/>
            <w:tcBorders/>
            <w:shd w:fill="auto" w:val="clear"/>
          </w:tcPr>
          <w:p>
            <w:pPr>
              <w:pStyle w:val="TableContents"/>
              <w:spacing w:before="0" w:after="283"/>
              <w:rPr/>
            </w:pPr>
            <w:r>
              <w:rPr/>
              <w:t> </w:t>
            </w:r>
          </w:p>
        </w:tc>
        <w:tc>
          <w:tcPr>
            <w:tcW w:w="9857"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we have:</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(for registrants fourth fiscal quarter in the case of an annual report) that has materially affected, or is reasonable likely to materially affect, the registrants internal control over financial reporting;</w:t>
            </w:r>
          </w:p>
        </w:tc>
      </w:tr>
    </w:tbl>
    <w:tbl>
      <w:tblPr>
        <w:tblW w:w="5000" w:type="pct"/>
        <w:jc w:val="left"/>
        <w:tblInd w:w="0" w:type="dxa"/>
        <w:tblCellMar>
          <w:top w:w="0" w:type="dxa"/>
          <w:left w:w="0" w:type="dxa"/>
          <w:bottom w:w="0" w:type="dxa"/>
          <w:right w:w="0" w:type="dxa"/>
        </w:tblCellMar>
      </w:tblPr>
      <w:tblGrid>
        <w:gridCol w:w="217"/>
        <w:gridCol w:w="128"/>
        <w:gridCol w:w="9860"/>
      </w:tblGrid>
      <w:tr>
        <w:trPr/>
        <w:tc>
          <w:tcPr>
            <w:tcW w:w="21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60" w:type="dxa"/>
            <w:tcBorders/>
            <w:shd w:fill="auto" w:val="clear"/>
          </w:tcPr>
          <w:p>
            <w:pPr>
              <w:pStyle w:val="TableContents"/>
              <w:spacing w:before="0" w:after="283"/>
              <w:rPr/>
            </w:pPr>
            <w:r>
              <w:rPr/>
              <w:t>The registrants other certifying officer and I have disclosed, based on our most recent evaluation, to the registrants auditors and the audit committee of registrants board of directors (or persons performing the equivalent function):</w:t>
            </w:r>
          </w:p>
        </w:tc>
      </w:tr>
    </w:tbl>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all significant deficiencies and material weaknesses in the design or operation of internal controls over financial reporting which are reasonable likely to adversely affect the registrants ability to record, process, summarize, and report financial information;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any fraud, whether or not material, that involves management or other employees who have a significant role in the registrants internal controls.</w:t>
            </w:r>
          </w:p>
        </w:tc>
      </w:tr>
    </w:tbl>
    <w:tbl>
      <w:tblPr>
        <w:tblW w:w="5000" w:type="pct"/>
        <w:jc w:val="center"/>
        <w:tblInd w:w="0" w:type="dxa"/>
        <w:tblCellMar>
          <w:top w:w="0" w:type="dxa"/>
          <w:left w:w="0" w:type="dxa"/>
          <w:bottom w:w="0" w:type="dxa"/>
          <w:right w:w="0" w:type="dxa"/>
        </w:tblCellMar>
      </w:tblPr>
      <w:tblGrid>
        <w:gridCol w:w="5619"/>
        <w:gridCol w:w="201"/>
        <w:gridCol w:w="3573"/>
        <w:gridCol w:w="201"/>
        <w:gridCol w:w="611"/>
      </w:tblGrid>
      <w:tr>
        <w:trPr/>
        <w:tc>
          <w:tcPr>
            <w:tcW w:w="561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3573"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r>
      <w:tr>
        <w:trPr/>
        <w:tc>
          <w:tcPr>
            <w:tcW w:w="5619"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573" w:type="dxa"/>
            <w:tcBorders>
              <w:bottom w:val="single" w:sz="2" w:space="0" w:color="000000"/>
            </w:tcBorders>
            <w:shd w:fill="auto" w:val="clear"/>
            <w:tcMar>
              <w:bottom w:w="28" w:type="dxa"/>
            </w:tcMar>
          </w:tcPr>
          <w:p>
            <w:pPr>
              <w:pStyle w:val="TableContents"/>
              <w:spacing w:before="0" w:after="283"/>
              <w:jc w:val="left"/>
              <w:rPr/>
            </w:pPr>
            <w:r>
              <w:rPr/>
              <w:t xml:space="preserve">//Douglas C. Mills// </w:t>
            </w:r>
          </w:p>
        </w:tc>
        <w:tc>
          <w:tcPr>
            <w:tcW w:w="201"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9"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Douglas C. Mills</w:t>
            </w:r>
          </w:p>
        </w:tc>
        <w:tc>
          <w:tcPr>
            <w:tcW w:w="201"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9"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Chairman of the Board and Chief Executive Officer</w:t>
            </w:r>
          </w:p>
        </w:tc>
        <w:tc>
          <w:tcPr>
            <w:tcW w:w="201"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9"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9" w:type="dxa"/>
            <w:tcBorders/>
            <w:shd w:fill="auto" w:val="clear"/>
          </w:tcPr>
          <w:p>
            <w:pPr>
              <w:pStyle w:val="TableContents"/>
              <w:spacing w:before="0" w:after="0"/>
              <w:ind w:left="0" w:right="0" w:hanging="0"/>
              <w:rPr/>
            </w:pPr>
            <w:r>
              <w:rPr/>
              <w:t>Date: March 16, 2006</w:t>
            </w:r>
          </w:p>
        </w:tc>
        <w:tc>
          <w:tcPr>
            <w:tcW w:w="201"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Heading5"/>
        <w:jc w:val="left"/>
        <w:rPr/>
      </w:pPr>
      <w:bookmarkStart w:id="42" w:name="c03419exv31w2.htm"/>
      <w:bookmarkStart w:id="43" w:name="ksc03419exv31w2"/>
      <w:bookmarkEnd w:id="42"/>
      <w:bookmarkEnd w:id="43"/>
      <w:r>
        <w:rPr/>
        <w:t> </w:t>
      </w:r>
    </w:p>
    <w:p>
      <w:pPr>
        <w:pStyle w:val="TextBody"/>
        <w:spacing w:before="360" w:after="283"/>
        <w:jc w:val="center"/>
        <w:rPr>
          <w:rFonts w:ascii="Arial;Helvetica;sans-serif" w:hAnsi="Arial;Helvetica;sans-serif"/>
          <w:sz w:val="17"/>
        </w:rPr>
      </w:pPr>
      <w:r>
        <w:rPr>
          <w:rFonts w:ascii="Arial;Helvetica;sans-serif" w:hAnsi="Arial;Helvetica;sans-serif"/>
          <w:b/>
          <w:sz w:val="17"/>
        </w:rPr>
        <w:t>EXHIBIT 31.2</w:t>
      </w:r>
      <w:r>
        <w:rPr>
          <w:rFonts w:ascii="Arial;Helvetica;sans-serif" w:hAnsi="Arial;Helvetica;sans-serif"/>
          <w:sz w:val="17"/>
        </w:rPr>
        <w:t xml:space="preserve"> </w:t>
      </w:r>
    </w:p>
    <w:p>
      <w:pPr>
        <w:pStyle w:val="TextBody"/>
        <w:spacing w:before="240" w:after="283"/>
        <w:jc w:val="left"/>
        <w:rPr>
          <w:rFonts w:ascii="Arial;Helvetica;sans-serif" w:hAnsi="Arial;Helvetica;sans-serif"/>
          <w:sz w:val="17"/>
        </w:rPr>
      </w:pPr>
      <w:r>
        <w:rPr>
          <w:rFonts w:ascii="Arial;Helvetica;sans-serif" w:hAnsi="Arial;Helvetica;sans-serif"/>
          <w:b/>
          <w:sz w:val="17"/>
        </w:rPr>
        <w:t>CERTIFICATION OF PRINCIPAL FINANCIAL OFFICER</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 Barbara J. Harrington, Chief Financial Officer of First Busey Corporation, certify that: </w:t>
      </w:r>
    </w:p>
    <w:tbl>
      <w:tblPr>
        <w:tblW w:w="5000" w:type="pct"/>
        <w:jc w:val="left"/>
        <w:tblInd w:w="0" w:type="dxa"/>
        <w:tblCellMar>
          <w:top w:w="0" w:type="dxa"/>
          <w:left w:w="0" w:type="dxa"/>
          <w:bottom w:w="0" w:type="dxa"/>
          <w:right w:w="0" w:type="dxa"/>
        </w:tblCellMar>
      </w:tblPr>
      <w:tblGrid>
        <w:gridCol w:w="220"/>
        <w:gridCol w:w="128"/>
        <w:gridCol w:w="9857"/>
      </w:tblGrid>
      <w:tr>
        <w:trPr/>
        <w:tc>
          <w:tcPr>
            <w:tcW w:w="220" w:type="dxa"/>
            <w:tcBorders/>
            <w:shd w:fill="auto" w:val="clear"/>
          </w:tcPr>
          <w:p>
            <w:pPr>
              <w:pStyle w:val="TableContents"/>
              <w:spacing w:before="0" w:after="283"/>
              <w:jc w:val="left"/>
              <w:rPr/>
            </w:pPr>
            <w:r>
              <w:rPr/>
              <w:t>1)</w:t>
            </w:r>
          </w:p>
        </w:tc>
        <w:tc>
          <w:tcPr>
            <w:tcW w:w="128" w:type="dxa"/>
            <w:tcBorders/>
            <w:shd w:fill="auto" w:val="clear"/>
          </w:tcPr>
          <w:p>
            <w:pPr>
              <w:pStyle w:val="TableContents"/>
              <w:spacing w:before="0" w:after="283"/>
              <w:rPr/>
            </w:pPr>
            <w:r>
              <w:rPr/>
              <w:t> </w:t>
            </w:r>
          </w:p>
        </w:tc>
        <w:tc>
          <w:tcPr>
            <w:tcW w:w="9857" w:type="dxa"/>
            <w:tcBorders/>
            <w:shd w:fill="auto" w:val="clear"/>
          </w:tcPr>
          <w:p>
            <w:pPr>
              <w:pStyle w:val="TableContents"/>
              <w:spacing w:before="0" w:after="283"/>
              <w:rPr/>
            </w:pPr>
            <w:r>
              <w:rPr/>
              <w:t>I have reviewed this annual report on Form 10-K of First Busey Corporation;</w:t>
            </w:r>
          </w:p>
        </w:tc>
      </w:tr>
      <w:tr>
        <w:trPr/>
        <w:tc>
          <w:tcPr>
            <w:tcW w:w="220" w:type="dxa"/>
            <w:tcBorders/>
            <w:shd w:fill="auto" w:val="clear"/>
            <w:vAlign w:val="center"/>
          </w:tcPr>
          <w:p>
            <w:pPr>
              <w:pStyle w:val="TableContents"/>
              <w:spacing w:before="0" w:after="283"/>
              <w:rPr/>
            </w:pPr>
            <w:r>
              <w:rPr/>
              <w:t> </w:t>
            </w:r>
          </w:p>
        </w:tc>
        <w:tc>
          <w:tcPr>
            <w:tcW w:w="9985" w:type="dxa"/>
            <w:gridSpan w:val="2"/>
            <w:tcBorders/>
            <w:shd w:fill="auto" w:val="clear"/>
          </w:tcPr>
          <w:p>
            <w:pPr>
              <w:pStyle w:val="TableContents"/>
              <w:spacing w:before="0" w:after="283"/>
              <w:rPr>
                <w:sz w:val="4"/>
                <w:szCs w:val="4"/>
              </w:rPr>
            </w:pPr>
            <w:r>
              <w:rPr>
                <w:sz w:val="4"/>
                <w:szCs w:val="4"/>
              </w:rPr>
            </w:r>
          </w:p>
        </w:tc>
      </w:tr>
      <w:tr>
        <w:trPr/>
        <w:tc>
          <w:tcPr>
            <w:tcW w:w="220" w:type="dxa"/>
            <w:tcBorders/>
            <w:shd w:fill="auto" w:val="clear"/>
          </w:tcPr>
          <w:p>
            <w:pPr>
              <w:pStyle w:val="TableContents"/>
              <w:spacing w:before="0" w:after="283"/>
              <w:jc w:val="left"/>
              <w:rPr/>
            </w:pPr>
            <w:r>
              <w:rPr/>
              <w:t>2)</w:t>
            </w:r>
          </w:p>
        </w:tc>
        <w:tc>
          <w:tcPr>
            <w:tcW w:w="128" w:type="dxa"/>
            <w:tcBorders/>
            <w:shd w:fill="auto" w:val="clear"/>
          </w:tcPr>
          <w:p>
            <w:pPr>
              <w:pStyle w:val="TableContents"/>
              <w:spacing w:before="0" w:after="283"/>
              <w:rPr/>
            </w:pPr>
            <w:r>
              <w:rPr/>
              <w:t> </w:t>
            </w:r>
          </w:p>
        </w:tc>
        <w:tc>
          <w:tcPr>
            <w:tcW w:w="9857" w:type="dxa"/>
            <w:tcBorders/>
            <w:shd w:fill="auto" w:val="clear"/>
          </w:tcPr>
          <w:p>
            <w:pPr>
              <w:pStyle w:val="TableContents"/>
              <w:spacing w:before="0" w:after="283"/>
              <w:rPr/>
            </w:pPr>
            <w:r>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r>
        <w:trPr/>
        <w:tc>
          <w:tcPr>
            <w:tcW w:w="220" w:type="dxa"/>
            <w:tcBorders/>
            <w:shd w:fill="auto" w:val="clear"/>
            <w:vAlign w:val="center"/>
          </w:tcPr>
          <w:p>
            <w:pPr>
              <w:pStyle w:val="TableContents"/>
              <w:spacing w:before="0" w:after="283"/>
              <w:rPr/>
            </w:pPr>
            <w:r>
              <w:rPr/>
              <w:t> </w:t>
            </w:r>
          </w:p>
        </w:tc>
        <w:tc>
          <w:tcPr>
            <w:tcW w:w="9985" w:type="dxa"/>
            <w:gridSpan w:val="2"/>
            <w:tcBorders/>
            <w:shd w:fill="auto" w:val="clear"/>
          </w:tcPr>
          <w:p>
            <w:pPr>
              <w:pStyle w:val="TableContents"/>
              <w:spacing w:before="0" w:after="283"/>
              <w:rPr>
                <w:sz w:val="4"/>
                <w:szCs w:val="4"/>
              </w:rPr>
            </w:pPr>
            <w:r>
              <w:rPr>
                <w:sz w:val="4"/>
                <w:szCs w:val="4"/>
              </w:rPr>
            </w:r>
          </w:p>
        </w:tc>
      </w:tr>
      <w:tr>
        <w:trPr/>
        <w:tc>
          <w:tcPr>
            <w:tcW w:w="220" w:type="dxa"/>
            <w:tcBorders/>
            <w:shd w:fill="auto" w:val="clear"/>
          </w:tcPr>
          <w:p>
            <w:pPr>
              <w:pStyle w:val="TableContents"/>
              <w:spacing w:before="0" w:after="283"/>
              <w:jc w:val="left"/>
              <w:rPr/>
            </w:pPr>
            <w:r>
              <w:rPr/>
              <w:t>3)</w:t>
            </w:r>
          </w:p>
        </w:tc>
        <w:tc>
          <w:tcPr>
            <w:tcW w:w="128" w:type="dxa"/>
            <w:tcBorders/>
            <w:shd w:fill="auto" w:val="clear"/>
          </w:tcPr>
          <w:p>
            <w:pPr>
              <w:pStyle w:val="TableContents"/>
              <w:spacing w:before="0" w:after="283"/>
              <w:rPr/>
            </w:pPr>
            <w:r>
              <w:rPr/>
              <w:t> </w:t>
            </w:r>
          </w:p>
        </w:tc>
        <w:tc>
          <w:tcPr>
            <w:tcW w:w="9857" w:type="dxa"/>
            <w:tcBorders/>
            <w:shd w:fill="auto" w:val="clear"/>
          </w:tcPr>
          <w:p>
            <w:pPr>
              <w:pStyle w:val="TableContents"/>
              <w:spacing w:before="0" w:after="283"/>
              <w:rPr/>
            </w:pPr>
            <w:r>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tc>
      </w:tr>
      <w:tr>
        <w:trPr/>
        <w:tc>
          <w:tcPr>
            <w:tcW w:w="220" w:type="dxa"/>
            <w:tcBorders/>
            <w:shd w:fill="auto" w:val="clear"/>
            <w:vAlign w:val="center"/>
          </w:tcPr>
          <w:p>
            <w:pPr>
              <w:pStyle w:val="TableContents"/>
              <w:spacing w:before="0" w:after="283"/>
              <w:rPr/>
            </w:pPr>
            <w:r>
              <w:rPr/>
              <w:t> </w:t>
            </w:r>
          </w:p>
        </w:tc>
        <w:tc>
          <w:tcPr>
            <w:tcW w:w="9985" w:type="dxa"/>
            <w:gridSpan w:val="2"/>
            <w:tcBorders/>
            <w:shd w:fill="auto" w:val="clear"/>
          </w:tcPr>
          <w:p>
            <w:pPr>
              <w:pStyle w:val="TableContents"/>
              <w:spacing w:before="0" w:after="283"/>
              <w:rPr>
                <w:sz w:val="4"/>
                <w:szCs w:val="4"/>
              </w:rPr>
            </w:pPr>
            <w:r>
              <w:rPr>
                <w:sz w:val="4"/>
                <w:szCs w:val="4"/>
              </w:rPr>
            </w:r>
          </w:p>
        </w:tc>
      </w:tr>
      <w:tr>
        <w:trPr/>
        <w:tc>
          <w:tcPr>
            <w:tcW w:w="220" w:type="dxa"/>
            <w:tcBorders/>
            <w:shd w:fill="auto" w:val="clear"/>
          </w:tcPr>
          <w:p>
            <w:pPr>
              <w:pStyle w:val="TableContents"/>
              <w:spacing w:before="0" w:after="283"/>
              <w:jc w:val="left"/>
              <w:rPr/>
            </w:pPr>
            <w:r>
              <w:rPr/>
              <w:t>4)</w:t>
            </w:r>
          </w:p>
        </w:tc>
        <w:tc>
          <w:tcPr>
            <w:tcW w:w="128" w:type="dxa"/>
            <w:tcBorders/>
            <w:shd w:fill="auto" w:val="clear"/>
          </w:tcPr>
          <w:p>
            <w:pPr>
              <w:pStyle w:val="TableContents"/>
              <w:spacing w:before="0" w:after="283"/>
              <w:rPr/>
            </w:pPr>
            <w:r>
              <w:rPr/>
              <w:t> </w:t>
            </w:r>
          </w:p>
        </w:tc>
        <w:tc>
          <w:tcPr>
            <w:tcW w:w="9857"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we have:</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(for registrants fourth fiscal quarter in the case of an annual report) that has materially affected, or is reasonable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17"/>
        <w:gridCol w:w="128"/>
        <w:gridCol w:w="9860"/>
      </w:tblGrid>
      <w:tr>
        <w:trPr/>
        <w:tc>
          <w:tcPr>
            <w:tcW w:w="21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60" w:type="dxa"/>
            <w:tcBorders/>
            <w:shd w:fill="auto" w:val="clear"/>
          </w:tcPr>
          <w:p>
            <w:pPr>
              <w:pStyle w:val="TableContents"/>
              <w:spacing w:before="0" w:after="283"/>
              <w:rPr/>
            </w:pPr>
            <w:r>
              <w:rPr/>
              <w:t>The registrants other certifying officer and I have disclosed, based on our most recent evaluation, to the registrants auditors and the audit committee of registrants board of directors (or persons performing the equivalent function):</w:t>
            </w:r>
          </w:p>
        </w:tc>
      </w:tr>
    </w:tbl>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any fraud, whether or not material, that involves management or other employees who have a significant role in the registrants internal controls.</w:t>
            </w:r>
          </w:p>
        </w:tc>
      </w:tr>
    </w:tbl>
    <w:tbl>
      <w:tblPr>
        <w:tblW w:w="5000" w:type="pct"/>
        <w:jc w:val="center"/>
        <w:tblInd w:w="0" w:type="dxa"/>
        <w:tblCellMar>
          <w:top w:w="0" w:type="dxa"/>
          <w:left w:w="0" w:type="dxa"/>
          <w:bottom w:w="0" w:type="dxa"/>
          <w:right w:w="0" w:type="dxa"/>
        </w:tblCellMar>
      </w:tblPr>
      <w:tblGrid>
        <w:gridCol w:w="5616"/>
        <w:gridCol w:w="201"/>
        <w:gridCol w:w="3575"/>
        <w:gridCol w:w="202"/>
        <w:gridCol w:w="611"/>
      </w:tblGrid>
      <w:tr>
        <w:trPr/>
        <w:tc>
          <w:tcPr>
            <w:tcW w:w="561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357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r>
      <w:tr>
        <w:trPr/>
        <w:tc>
          <w:tcPr>
            <w:tcW w:w="5616"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575" w:type="dxa"/>
            <w:tcBorders/>
            <w:shd w:fill="auto" w:val="clear"/>
          </w:tcPr>
          <w:p>
            <w:pPr>
              <w:pStyle w:val="TableContents"/>
              <w:spacing w:before="0" w:after="283"/>
              <w:jc w:val="left"/>
              <w:rPr/>
            </w:pPr>
            <w:r>
              <w:rPr/>
              <w:t xml:space="preserve">// Barbara J. Harrington// </w:t>
            </w:r>
          </w:p>
        </w:tc>
        <w:tc>
          <w:tcPr>
            <w:tcW w:w="202"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6" w:type="dxa"/>
            <w:tcBorders/>
            <w:shd w:fill="auto" w:val="clear"/>
          </w:tcPr>
          <w:p>
            <w:pPr>
              <w:pStyle w:val="TableContents"/>
              <w:spacing w:before="0" w:after="0"/>
              <w:ind w:left="0" w:right="0" w:hanging="0"/>
              <w:rPr/>
            </w:pPr>
            <w:r>
              <w:rPr/>
              <w:t xml:space="preserve">  </w:t>
            </w:r>
          </w:p>
        </w:tc>
        <w:tc>
          <w:tcPr>
            <w:tcW w:w="201" w:type="dxa"/>
            <w:tcBorders/>
            <w:shd w:fill="auto" w:val="clear"/>
            <w:vAlign w:val="center"/>
          </w:tcPr>
          <w:p>
            <w:pPr>
              <w:pStyle w:val="TableContents"/>
              <w:spacing w:before="0" w:after="283"/>
              <w:rPr/>
            </w:pPr>
            <w:r>
              <w:rPr/>
              <w:t> </w:t>
            </w:r>
          </w:p>
        </w:tc>
        <w:tc>
          <w:tcPr>
            <w:tcW w:w="3575" w:type="dxa"/>
            <w:tcBorders>
              <w:top w:val="single" w:sz="2" w:space="0" w:color="000000"/>
            </w:tcBorders>
            <w:shd w:fill="auto" w:val="clear"/>
            <w:tcMar>
              <w:top w:w="28" w:type="dxa"/>
            </w:tcMar>
          </w:tcPr>
          <w:p>
            <w:pPr>
              <w:pStyle w:val="TableContents"/>
              <w:spacing w:before="0" w:after="283"/>
              <w:jc w:val="left"/>
              <w:rPr/>
            </w:pPr>
            <w:r>
              <w:rPr/>
              <w:t> </w:t>
            </w:r>
          </w:p>
        </w:tc>
        <w:tc>
          <w:tcPr>
            <w:tcW w:w="202"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6"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575" w:type="dxa"/>
            <w:tcBorders/>
            <w:shd w:fill="auto" w:val="clear"/>
          </w:tcPr>
          <w:p>
            <w:pPr>
              <w:pStyle w:val="TableContents"/>
              <w:spacing w:before="0" w:after="283"/>
              <w:jc w:val="left"/>
              <w:rPr/>
            </w:pPr>
            <w:r>
              <w:rPr/>
              <w:t>Barbara J. Harrington</w:t>
            </w:r>
          </w:p>
        </w:tc>
        <w:tc>
          <w:tcPr>
            <w:tcW w:w="202"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6"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575" w:type="dxa"/>
            <w:tcBorders/>
            <w:shd w:fill="auto" w:val="clear"/>
          </w:tcPr>
          <w:p>
            <w:pPr>
              <w:pStyle w:val="TableContents"/>
              <w:spacing w:before="0" w:after="283"/>
              <w:jc w:val="left"/>
              <w:rPr/>
            </w:pPr>
            <w:r>
              <w:rPr/>
              <w:t>Chief Financial Officer</w:t>
            </w:r>
          </w:p>
        </w:tc>
        <w:tc>
          <w:tcPr>
            <w:tcW w:w="202"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6"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575"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6" w:type="dxa"/>
            <w:tcBorders/>
            <w:shd w:fill="auto" w:val="clear"/>
          </w:tcPr>
          <w:p>
            <w:pPr>
              <w:pStyle w:val="TableContents"/>
              <w:spacing w:before="0" w:after="0"/>
              <w:ind w:left="0" w:right="0" w:hanging="0"/>
              <w:rPr/>
            </w:pPr>
            <w:r>
              <w:rPr/>
              <w:t>Date: March 16, 2006</w:t>
            </w:r>
          </w:p>
        </w:tc>
        <w:tc>
          <w:tcPr>
            <w:tcW w:w="201" w:type="dxa"/>
            <w:tcBorders/>
            <w:shd w:fill="auto" w:val="clear"/>
            <w:vAlign w:val="bottom"/>
          </w:tcPr>
          <w:p>
            <w:pPr>
              <w:pStyle w:val="TableContents"/>
              <w:spacing w:before="0" w:after="283"/>
              <w:rPr/>
            </w:pPr>
            <w:r>
              <w:rPr/>
              <w:t> </w:t>
            </w:r>
          </w:p>
        </w:tc>
        <w:tc>
          <w:tcPr>
            <w:tcW w:w="3575"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Heading5"/>
        <w:jc w:val="left"/>
        <w:rPr/>
      </w:pPr>
      <w:bookmarkStart w:id="44" w:name="c03419exv32w1.htm"/>
      <w:bookmarkStart w:id="45" w:name="ksc03419exv32w1"/>
      <w:bookmarkEnd w:id="44"/>
      <w:bookmarkEnd w:id="45"/>
      <w:r>
        <w:rPr/>
        <w:t> </w:t>
      </w:r>
    </w:p>
    <w:p>
      <w:pPr>
        <w:pStyle w:val="TextBody"/>
        <w:spacing w:before="240" w:after="283"/>
        <w:jc w:val="left"/>
        <w:rPr>
          <w:rFonts w:ascii="Arial;Helvetica;sans-serif" w:hAnsi="Arial;Helvetica;sans-serif"/>
          <w:sz w:val="17"/>
        </w:rPr>
      </w:pPr>
      <w:r>
        <w:rPr>
          <w:rFonts w:ascii="Arial;Helvetica;sans-serif" w:hAnsi="Arial;Helvetica;sans-serif"/>
          <w:b/>
          <w:sz w:val="17"/>
        </w:rPr>
        <w:t>EXHIBIT 32.1</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 </w:t>
      </w:r>
    </w:p>
    <w:p>
      <w:pPr>
        <w:pStyle w:val="TextBody"/>
        <w:spacing w:before="240" w:after="283"/>
        <w:jc w:val="left"/>
        <w:rPr>
          <w:rFonts w:ascii="Arial;Helvetica;sans-serif" w:hAnsi="Arial;Helvetica;sans-serif"/>
          <w:sz w:val="17"/>
        </w:rPr>
      </w:pPr>
      <w:r>
        <w:rPr>
          <w:rFonts w:ascii="Arial;Helvetica;sans-serif" w:hAnsi="Arial;Helvetica;sans-serif"/>
          <w:b/>
          <w:sz w:val="17"/>
        </w:rPr>
        <w:t>CERTIFICATION</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 hereby certify, pursuant to 18 U.S.C. Section 1350, as adopted pursuant to Section 906 of the Sarbanes-Oxley Act of 2002, that the accompanying Report of First Busey Corporation on Form 10-K for the year ended December 31, 2005, fully complies with the requirements of Section 13(a) or 15(d) of the Securities Exchange Act of 1934 and that information contained in such Report fairly presents, in all material respects, the financial condition and results of operations of First Busey Corporation as of and for the periods covered by the Report. </w:t>
      </w:r>
    </w:p>
    <w:tbl>
      <w:tblPr>
        <w:tblW w:w="5000" w:type="pct"/>
        <w:jc w:val="center"/>
        <w:tblInd w:w="0" w:type="dxa"/>
        <w:tblCellMar>
          <w:top w:w="0" w:type="dxa"/>
          <w:left w:w="0" w:type="dxa"/>
          <w:bottom w:w="0" w:type="dxa"/>
          <w:right w:w="0" w:type="dxa"/>
        </w:tblCellMar>
      </w:tblPr>
      <w:tblGrid>
        <w:gridCol w:w="5619"/>
        <w:gridCol w:w="201"/>
        <w:gridCol w:w="3573"/>
        <w:gridCol w:w="201"/>
        <w:gridCol w:w="611"/>
      </w:tblGrid>
      <w:tr>
        <w:trPr/>
        <w:tc>
          <w:tcPr>
            <w:tcW w:w="561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3573"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r>
      <w:tr>
        <w:trPr/>
        <w:tc>
          <w:tcPr>
            <w:tcW w:w="5619"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 xml:space="preserve">//Douglas C. Mills// </w:t>
            </w:r>
          </w:p>
        </w:tc>
        <w:tc>
          <w:tcPr>
            <w:tcW w:w="201"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9" w:type="dxa"/>
            <w:tcBorders/>
            <w:shd w:fill="auto" w:val="clear"/>
          </w:tcPr>
          <w:p>
            <w:pPr>
              <w:pStyle w:val="TableContents"/>
              <w:spacing w:before="0" w:after="0"/>
              <w:ind w:left="0" w:right="0" w:hanging="0"/>
              <w:rPr/>
            </w:pPr>
            <w:r>
              <w:rPr/>
              <w:t xml:space="preserve">  </w:t>
            </w:r>
          </w:p>
        </w:tc>
        <w:tc>
          <w:tcPr>
            <w:tcW w:w="201" w:type="dxa"/>
            <w:tcBorders/>
            <w:shd w:fill="auto" w:val="clear"/>
            <w:vAlign w:val="center"/>
          </w:tcPr>
          <w:p>
            <w:pPr>
              <w:pStyle w:val="TableContents"/>
              <w:spacing w:before="0" w:after="283"/>
              <w:rPr/>
            </w:pPr>
            <w:r>
              <w:rPr/>
              <w:t> </w:t>
            </w:r>
          </w:p>
        </w:tc>
        <w:tc>
          <w:tcPr>
            <w:tcW w:w="3573" w:type="dxa"/>
            <w:tcBorders>
              <w:top w:val="single" w:sz="2" w:space="0" w:color="000000"/>
            </w:tcBorders>
            <w:shd w:fill="auto" w:val="clear"/>
            <w:tcMar>
              <w:top w:w="28" w:type="dxa"/>
            </w:tcMar>
          </w:tcPr>
          <w:p>
            <w:pPr>
              <w:pStyle w:val="TableContents"/>
              <w:spacing w:before="0" w:after="283"/>
              <w:jc w:val="left"/>
              <w:rPr/>
            </w:pPr>
            <w:r>
              <w:rPr/>
              <w:t> </w:t>
            </w:r>
          </w:p>
        </w:tc>
        <w:tc>
          <w:tcPr>
            <w:tcW w:w="201"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9"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Douglas C. Mills</w:t>
            </w:r>
          </w:p>
        </w:tc>
        <w:tc>
          <w:tcPr>
            <w:tcW w:w="201"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9"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Chairman of the Board and Chief Executive Officer</w:t>
            </w:r>
          </w:p>
        </w:tc>
        <w:tc>
          <w:tcPr>
            <w:tcW w:w="201"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9"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9" w:type="dxa"/>
            <w:tcBorders/>
            <w:shd w:fill="auto" w:val="clear"/>
          </w:tcPr>
          <w:p>
            <w:pPr>
              <w:pStyle w:val="TableContents"/>
              <w:spacing w:before="0" w:after="0"/>
              <w:ind w:left="0" w:right="0" w:hanging="0"/>
              <w:rPr/>
            </w:pPr>
            <w:r>
              <w:rPr/>
              <w:t>Date: March 16, 2006</w:t>
            </w:r>
          </w:p>
        </w:tc>
        <w:tc>
          <w:tcPr>
            <w:tcW w:w="201"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A signed original of this written statement required by Section 906 has been provided to First Busey Corporation and will be retained by First Busey Corporation and furnished to the Securities and Exchange Commission or its staff upon request. </w:t>
      </w:r>
    </w:p>
    <w:p>
      <w:pPr>
        <w:pStyle w:val="TextBody"/>
        <w:jc w:val="center"/>
        <w:rPr/>
      </w:pPr>
      <w:r>
        <w:rPr/>
        <w:t xml:space="preserve">  </w:t>
      </w:r>
      <w:r>
        <w:br w:type="page"/>
      </w:r>
    </w:p>
    <w:p>
      <w:pPr>
        <w:pStyle w:val="Heading5"/>
        <w:jc w:val="left"/>
        <w:rPr/>
      </w:pPr>
      <w:bookmarkStart w:id="46" w:name="c03419exv32w2.htm"/>
      <w:bookmarkStart w:id="47" w:name="ksc03419exv32w2"/>
      <w:bookmarkEnd w:id="46"/>
      <w:bookmarkEnd w:id="47"/>
      <w:r>
        <w:rPr/>
        <w:t> </w:t>
      </w:r>
    </w:p>
    <w:p>
      <w:pPr>
        <w:pStyle w:val="TextBody"/>
        <w:spacing w:before="240" w:after="283"/>
        <w:jc w:val="left"/>
        <w:rPr>
          <w:rFonts w:ascii="Arial;Helvetica;sans-serif" w:hAnsi="Arial;Helvetica;sans-serif"/>
          <w:sz w:val="17"/>
        </w:rPr>
      </w:pPr>
      <w:r>
        <w:rPr>
          <w:rFonts w:ascii="Arial;Helvetica;sans-serif" w:hAnsi="Arial;Helvetica;sans-serif"/>
          <w:b/>
          <w:sz w:val="17"/>
        </w:rPr>
        <w:t>EXHIBIT 32.2</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 </w:t>
      </w:r>
    </w:p>
    <w:p>
      <w:pPr>
        <w:pStyle w:val="TextBody"/>
        <w:spacing w:before="240" w:after="283"/>
        <w:jc w:val="left"/>
        <w:rPr>
          <w:rFonts w:ascii="Arial;Helvetica;sans-serif" w:hAnsi="Arial;Helvetica;sans-serif"/>
          <w:sz w:val="17"/>
        </w:rPr>
      </w:pPr>
      <w:r>
        <w:rPr>
          <w:rFonts w:ascii="Arial;Helvetica;sans-serif" w:hAnsi="Arial;Helvetica;sans-serif"/>
          <w:b/>
          <w:sz w:val="17"/>
        </w:rPr>
        <w:t>CERTIFICATION</w:t>
      </w:r>
      <w:r>
        <w:rPr>
          <w:rFonts w:ascii="Arial;Helvetica;sans-serif" w:hAnsi="Arial;Helvetica;sans-serif"/>
          <w:sz w:val="17"/>
        </w:rPr>
        <w:t xml:space="preserve"> </w:t>
      </w:r>
    </w:p>
    <w:p>
      <w:pPr>
        <w:pStyle w:val="TextBody"/>
        <w:spacing w:before="120" w:after="283"/>
        <w:jc w:val="left"/>
        <w:rPr>
          <w:rFonts w:ascii="Arial;Helvetica;sans-serif" w:hAnsi="Arial;Helvetica;sans-serif"/>
          <w:sz w:val="17"/>
        </w:rPr>
      </w:pPr>
      <w:r>
        <w:rPr>
          <w:rFonts w:ascii="Arial;Helvetica;sans-serif" w:hAnsi="Arial;Helvetica;sans-serif"/>
          <w:sz w:val="17"/>
        </w:rPr>
        <w:t xml:space="preserve">I hereby certify, pursuant to 18 U.S.C. Section 1350, as adopted pursuant to Section 906 of the Sarbanes-Oxley Act of 2002, that the accompanying Report of First Busey Corporation on Form 10-Q for the year ended December 31, 2005, fully complies with the requirements of Section 13(a) or 15(d) of the Securities Exchange Act of 1934 and that information contained in such Report fairly presents, in all material respects, the financial condition and results of operations of First Busey Corporation as of and for the periods covered by the Report. </w:t>
      </w:r>
    </w:p>
    <w:tbl>
      <w:tblPr>
        <w:tblW w:w="5000" w:type="pct"/>
        <w:jc w:val="center"/>
        <w:tblInd w:w="0" w:type="dxa"/>
        <w:tblCellMar>
          <w:top w:w="0" w:type="dxa"/>
          <w:left w:w="0" w:type="dxa"/>
          <w:bottom w:w="0" w:type="dxa"/>
          <w:right w:w="0" w:type="dxa"/>
        </w:tblCellMar>
      </w:tblPr>
      <w:tblGrid>
        <w:gridCol w:w="5616"/>
        <w:gridCol w:w="201"/>
        <w:gridCol w:w="3575"/>
        <w:gridCol w:w="202"/>
        <w:gridCol w:w="611"/>
      </w:tblGrid>
      <w:tr>
        <w:trPr/>
        <w:tc>
          <w:tcPr>
            <w:tcW w:w="561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357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r>
      <w:tr>
        <w:trPr/>
        <w:tc>
          <w:tcPr>
            <w:tcW w:w="5616"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575" w:type="dxa"/>
            <w:tcBorders/>
            <w:shd w:fill="auto" w:val="clear"/>
          </w:tcPr>
          <w:p>
            <w:pPr>
              <w:pStyle w:val="TableContents"/>
              <w:spacing w:before="0" w:after="283"/>
              <w:jc w:val="left"/>
              <w:rPr/>
            </w:pPr>
            <w:r>
              <w:rPr/>
              <w:t xml:space="preserve">//Barbara J. Harrington// </w:t>
            </w:r>
          </w:p>
        </w:tc>
        <w:tc>
          <w:tcPr>
            <w:tcW w:w="202"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6" w:type="dxa"/>
            <w:tcBorders/>
            <w:shd w:fill="auto" w:val="clear"/>
          </w:tcPr>
          <w:p>
            <w:pPr>
              <w:pStyle w:val="TableContents"/>
              <w:spacing w:before="0" w:after="0"/>
              <w:ind w:left="0" w:right="0" w:hanging="0"/>
              <w:rPr/>
            </w:pPr>
            <w:r>
              <w:rPr/>
              <w:t xml:space="preserve">  </w:t>
            </w:r>
          </w:p>
        </w:tc>
        <w:tc>
          <w:tcPr>
            <w:tcW w:w="201" w:type="dxa"/>
            <w:tcBorders/>
            <w:shd w:fill="auto" w:val="clear"/>
            <w:vAlign w:val="center"/>
          </w:tcPr>
          <w:p>
            <w:pPr>
              <w:pStyle w:val="TableContents"/>
              <w:spacing w:before="0" w:after="283"/>
              <w:rPr/>
            </w:pPr>
            <w:r>
              <w:rPr/>
              <w:t> </w:t>
            </w:r>
          </w:p>
        </w:tc>
        <w:tc>
          <w:tcPr>
            <w:tcW w:w="3575" w:type="dxa"/>
            <w:tcBorders>
              <w:top w:val="single" w:sz="2" w:space="0" w:color="000000"/>
            </w:tcBorders>
            <w:shd w:fill="auto" w:val="clear"/>
            <w:tcMar>
              <w:top w:w="28" w:type="dxa"/>
            </w:tcMar>
          </w:tcPr>
          <w:p>
            <w:pPr>
              <w:pStyle w:val="TableContents"/>
              <w:spacing w:before="0" w:after="283"/>
              <w:jc w:val="left"/>
              <w:rPr/>
            </w:pPr>
            <w:r>
              <w:rPr/>
              <w:t> </w:t>
            </w:r>
          </w:p>
        </w:tc>
        <w:tc>
          <w:tcPr>
            <w:tcW w:w="202"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6"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575" w:type="dxa"/>
            <w:tcBorders/>
            <w:shd w:fill="auto" w:val="clear"/>
          </w:tcPr>
          <w:p>
            <w:pPr>
              <w:pStyle w:val="TableContents"/>
              <w:spacing w:before="0" w:after="283"/>
              <w:jc w:val="left"/>
              <w:rPr/>
            </w:pPr>
            <w:r>
              <w:rPr/>
              <w:t>Barbara J. Harrington</w:t>
            </w:r>
          </w:p>
        </w:tc>
        <w:tc>
          <w:tcPr>
            <w:tcW w:w="202"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6"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575" w:type="dxa"/>
            <w:tcBorders/>
            <w:shd w:fill="auto" w:val="clear"/>
          </w:tcPr>
          <w:p>
            <w:pPr>
              <w:pStyle w:val="TableContents"/>
              <w:spacing w:before="0" w:after="283"/>
              <w:jc w:val="left"/>
              <w:rPr/>
            </w:pPr>
            <w:r>
              <w:rPr/>
              <w:t>Chief Financial Officer</w:t>
            </w:r>
          </w:p>
        </w:tc>
        <w:tc>
          <w:tcPr>
            <w:tcW w:w="202"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6"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575"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r>
        <w:trPr/>
        <w:tc>
          <w:tcPr>
            <w:tcW w:w="5616" w:type="dxa"/>
            <w:tcBorders/>
            <w:shd w:fill="auto" w:val="clear"/>
          </w:tcPr>
          <w:p>
            <w:pPr>
              <w:pStyle w:val="TableContents"/>
              <w:spacing w:before="0" w:after="0"/>
              <w:ind w:left="0" w:right="0" w:hanging="0"/>
              <w:rPr/>
            </w:pPr>
            <w:r>
              <w:rPr/>
              <w:t>Date: March 16, 2006</w:t>
            </w:r>
          </w:p>
        </w:tc>
        <w:tc>
          <w:tcPr>
            <w:tcW w:w="201" w:type="dxa"/>
            <w:tcBorders/>
            <w:shd w:fill="auto" w:val="clear"/>
            <w:vAlign w:val="bottom"/>
          </w:tcPr>
          <w:p>
            <w:pPr>
              <w:pStyle w:val="TableContents"/>
              <w:spacing w:before="0" w:after="283"/>
              <w:rPr/>
            </w:pPr>
            <w:r>
              <w:rPr/>
              <w:t> </w:t>
            </w:r>
          </w:p>
        </w:tc>
        <w:tc>
          <w:tcPr>
            <w:tcW w:w="3575"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jc w:val="left"/>
              <w:rPr/>
            </w:pPr>
            <w:r>
              <w:rPr/>
              <w:t> </w:t>
            </w:r>
          </w:p>
        </w:tc>
      </w:tr>
    </w:tbl>
    <w:p>
      <w:pPr>
        <w:pStyle w:val="TextBody"/>
        <w:spacing w:before="120" w:after="283"/>
        <w:jc w:val="left"/>
        <w:rPr>
          <w:rFonts w:ascii="Arial;Helvetica;sans-serif" w:hAnsi="Arial;Helvetica;sans-serif"/>
          <w:sz w:val="17"/>
        </w:rPr>
      </w:pPr>
      <w:r>
        <w:rPr>
          <w:rFonts w:ascii="Arial;Helvetica;sans-serif" w:hAnsi="Arial;Helvetica;sans-serif"/>
          <w:sz w:val="17"/>
        </w:rPr>
        <w:t xml:space="preserve">A signed original of this written statement required by Section 906 has been provided to First Busey Corporation and will be retained by First Busey Corporation and furnished to the Securities and Exchange Commission or its staff upon request. </w:t>
      </w:r>
    </w:p>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Helvetica">
    <w:altName w:val="Arial"/>
    <w:charset w:val="00"/>
    <w:family w:val="auto"/>
    <w:pitch w:val="default"/>
  </w:font>
  <w:font w:name="Wingding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100</Pages>
  <Words>40782</Words>
  <CharactersWithSpaces>268798</CharactersWithSpaces>
  <Paragraphs>24341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exv32w2</dc:title>
</cp:coreProperties>
</file>