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186055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8-K</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Date of Report (Date of earliest event reported): January 27, 2026</w:t>
      </w:r>
    </w:p>
    <w:p>
      <w:pPr>
        <w:ind w:left="4240"/>
        <w:spacing w:after="0"/>
        <w:rPr>
          <w:sz w:val="20"/>
          <w:szCs w:val="20"/>
          <w:color w:val="auto"/>
        </w:rPr>
      </w:pPr>
      <w:r>
        <w:rPr>
          <w:rFonts w:ascii="Arial" w:cs="Arial" w:eastAsia="Arial" w:hAnsi="Arial"/>
          <w:sz w:val="12"/>
          <w:szCs w:val="12"/>
          <w:color w:val="auto"/>
        </w:rPr>
        <w:t>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3166745</wp:posOffset>
            </wp:positionH>
            <wp:positionV relativeFrom="paragraph">
              <wp:posOffset>73025</wp:posOffset>
            </wp:positionV>
            <wp:extent cx="83439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4390" cy="27432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First Busey Corporation</w:t>
      </w:r>
    </w:p>
    <w:p>
      <w:pPr>
        <w:jc w:val="center"/>
        <w:ind w:right="20"/>
        <w:spacing w:after="0" w:line="222" w:lineRule="auto"/>
        <w:rPr>
          <w:sz w:val="20"/>
          <w:szCs w:val="20"/>
          <w:color w:val="auto"/>
        </w:rPr>
      </w:pPr>
      <w:r>
        <w:rPr>
          <w:rFonts w:ascii="Arial" w:cs="Arial" w:eastAsia="Arial" w:hAnsi="Arial"/>
          <w:sz w:val="12"/>
          <w:szCs w:val="12"/>
          <w:color w:val="auto"/>
        </w:rPr>
        <w:t>(Exact name of Registrant as specified in its charter)</w:t>
      </w:r>
    </w:p>
    <w:p>
      <w:pPr>
        <w:ind w:left="4240"/>
        <w:spacing w:after="0"/>
        <w:rPr>
          <w:sz w:val="20"/>
          <w:szCs w:val="20"/>
          <w:color w:val="auto"/>
        </w:rPr>
      </w:pPr>
      <w:r>
        <w:rPr>
          <w:rFonts w:ascii="Arial" w:cs="Arial" w:eastAsia="Arial" w:hAnsi="Arial"/>
          <w:sz w:val="12"/>
          <w:szCs w:val="12"/>
          <w:color w:val="auto"/>
        </w:rPr>
        <w:t>__________________________________________</w:t>
      </w:r>
    </w:p>
    <w:p>
      <w:pPr>
        <w:sectPr>
          <w:pgSz w:w="11900" w:h="16838" w:orient="portrait"/>
          <w:cols w:equalWidth="0" w:num="1">
            <w:col w:w="11300"/>
          </w:cols>
          <w:pgMar w:left="300" w:top="1025" w:right="299" w:bottom="1440" w:gutter="0" w:footer="0" w:header="0"/>
        </w:sectPr>
      </w:pPr>
    </w:p>
    <w:p>
      <w:pPr>
        <w:spacing w:after="0" w:line="129" w:lineRule="exact"/>
        <w:rPr>
          <w:sz w:val="24"/>
          <w:szCs w:val="24"/>
          <w:color w:val="auto"/>
        </w:rPr>
      </w:pPr>
    </w:p>
    <w:p>
      <w:pPr>
        <w:ind w:left="1660"/>
        <w:spacing w:after="0"/>
        <w:rPr>
          <w:sz w:val="20"/>
          <w:szCs w:val="20"/>
          <w:color w:val="auto"/>
        </w:rPr>
      </w:pPr>
      <w:r>
        <w:rPr>
          <w:rFonts w:ascii="Arial" w:cs="Arial" w:eastAsia="Arial" w:hAnsi="Arial"/>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2500"/>
        <w:spacing w:after="0"/>
        <w:rPr>
          <w:sz w:val="20"/>
          <w:szCs w:val="20"/>
          <w:color w:val="auto"/>
        </w:rPr>
      </w:pPr>
      <w:r>
        <w:rPr>
          <w:rFonts w:ascii="Arial" w:cs="Arial" w:eastAsia="Arial" w:hAnsi="Arial"/>
          <w:sz w:val="11"/>
          <w:szCs w:val="11"/>
          <w:b w:val="1"/>
          <w:bCs w:val="1"/>
          <w:color w:val="auto"/>
        </w:rPr>
        <w:t>0-15950</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37-1078406</w:t>
      </w:r>
    </w:p>
    <w:p>
      <w:pPr>
        <w:spacing w:after="0" w:line="38" w:lineRule="exact"/>
        <w:rPr>
          <w:sz w:val="24"/>
          <w:szCs w:val="24"/>
          <w:color w:val="auto"/>
        </w:rPr>
      </w:pPr>
    </w:p>
    <w:p>
      <w:pPr>
        <w:sectPr>
          <w:pgSz w:w="11900" w:h="16838" w:orient="portrait"/>
          <w:cols w:equalWidth="0" w:num="3">
            <w:col w:w="4720" w:space="720"/>
            <w:col w:w="2940" w:space="720"/>
            <w:col w:w="2200"/>
          </w:cols>
          <w:pgMar w:left="300" w:top="1025" w:right="299" w:bottom="1440" w:gutter="0" w:footer="0" w:header="0"/>
          <w:type w:val="continuous"/>
        </w:sectPr>
      </w:pPr>
    </w:p>
    <w:p>
      <w:pPr>
        <w:ind w:left="1320"/>
        <w:spacing w:after="0"/>
        <w:rPr>
          <w:sz w:val="20"/>
          <w:szCs w:val="20"/>
          <w:color w:val="auto"/>
        </w:rPr>
      </w:pPr>
      <w:r>
        <w:rPr>
          <w:rFonts w:ascii="Arial" w:cs="Arial" w:eastAsia="Arial" w:hAnsi="Arial"/>
          <w:sz w:val="10"/>
          <w:szCs w:val="10"/>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44" w:lineRule="exact"/>
        <w:rPr>
          <w:sz w:val="24"/>
          <w:szCs w:val="24"/>
          <w:color w:val="auto"/>
        </w:rPr>
      </w:pPr>
    </w:p>
    <w:p>
      <w:pPr>
        <w:sectPr>
          <w:pgSz w:w="11900" w:h="16838" w:orient="portrait"/>
          <w:cols w:equalWidth="0" w:num="3">
            <w:col w:w="4300" w:space="720"/>
            <w:col w:w="2840" w:space="720"/>
            <w:col w:w="2720"/>
          </w:cols>
          <w:pgMar w:left="300" w:top="1025" w:right="29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11440 Tomahawk Creek Parkway</w:t>
      </w:r>
    </w:p>
    <w:p>
      <w:pPr>
        <w:jc w:val="center"/>
        <w:ind w:right="-19"/>
        <w:spacing w:after="0"/>
        <w:rPr>
          <w:sz w:val="20"/>
          <w:szCs w:val="20"/>
          <w:color w:val="auto"/>
        </w:rPr>
      </w:pPr>
      <w:r>
        <w:rPr>
          <w:rFonts w:ascii="Arial" w:cs="Arial" w:eastAsia="Arial" w:hAnsi="Arial"/>
          <w:sz w:val="12"/>
          <w:szCs w:val="12"/>
          <w:b w:val="1"/>
          <w:bCs w:val="1"/>
          <w:color w:val="auto"/>
        </w:rPr>
        <w:t>Leawood, Kansas 66211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(217) 365-4544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300"/>
          </w:cols>
          <w:pgMar w:left="300" w:top="1025" w:right="299" w:bottom="1440" w:gutter="0" w:footer="0" w:header="0"/>
          <w:type w:val="continuous"/>
        </w:sectPr>
      </w:pPr>
    </w:p>
    <w:p>
      <w:pPr>
        <w:spacing w:after="0" w:line="179"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80"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80"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80"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Title of each class</w:t>
            </w:r>
          </w:p>
        </w:tc>
        <w:tc>
          <w:tcPr>
            <w:tcW w:w="11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Trading Symbol(s)</w:t>
            </w:r>
          </w:p>
        </w:tc>
        <w:tc>
          <w:tcPr>
            <w:tcW w:w="252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138"/>
        </w:trPr>
        <w:tc>
          <w:tcPr>
            <w:tcW w:w="75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Common Stock, $0.001 par value</w:t>
            </w:r>
          </w:p>
        </w:tc>
        <w:tc>
          <w:tcPr>
            <w:tcW w:w="80" w:type="dxa"/>
            <w:vAlign w:val="bottom"/>
          </w:tcPr>
          <w:p>
            <w:pPr>
              <w:spacing w:after="0"/>
              <w:rPr>
                <w:sz w:val="12"/>
                <w:szCs w:val="12"/>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7"/>
              </w:rPr>
              <w:t>BUSE</w:t>
            </w:r>
          </w:p>
        </w:tc>
        <w:tc>
          <w:tcPr>
            <w:tcW w:w="60" w:type="dxa"/>
            <w:vAlign w:val="bottom"/>
          </w:tcPr>
          <w:p>
            <w:pPr>
              <w:spacing w:after="0"/>
              <w:rPr>
                <w:sz w:val="12"/>
                <w:szCs w:val="12"/>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Nasdaq Stock Market LLC</w:t>
            </w:r>
          </w:p>
        </w:tc>
      </w:tr>
      <w:tr>
        <w:trPr>
          <w:trHeight w:val="121"/>
        </w:trPr>
        <w:tc>
          <w:tcPr>
            <w:tcW w:w="7660" w:type="dxa"/>
            <w:vAlign w:val="bottom"/>
            <w:gridSpan w:val="2"/>
          </w:tcPr>
          <w:p>
            <w:pPr>
              <w:spacing w:after="0" w:line="121" w:lineRule="exact"/>
              <w:rPr>
                <w:sz w:val="20"/>
                <w:szCs w:val="20"/>
                <w:color w:val="auto"/>
              </w:rPr>
            </w:pPr>
            <w:r>
              <w:rPr>
                <w:rFonts w:ascii="Arial" w:cs="Arial" w:eastAsia="Arial" w:hAnsi="Arial"/>
                <w:sz w:val="12"/>
                <w:szCs w:val="12"/>
                <w:color w:val="auto"/>
              </w:rPr>
              <w:t>Depositary Shares, each representing a 1/40th interest in a share of 8.25% Fixed-Rate Series B Non-Cumulative Perpetual Preferred Stock,</w:t>
            </w:r>
          </w:p>
        </w:tc>
        <w:tc>
          <w:tcPr>
            <w:tcW w:w="1120" w:type="dxa"/>
            <w:vAlign w:val="bottom"/>
            <w:gridSpan w:val="2"/>
          </w:tcPr>
          <w:p>
            <w:pPr>
              <w:jc w:val="center"/>
              <w:ind w:right="80"/>
              <w:spacing w:after="0" w:line="121" w:lineRule="exact"/>
              <w:rPr>
                <w:sz w:val="20"/>
                <w:szCs w:val="20"/>
                <w:color w:val="auto"/>
              </w:rPr>
            </w:pPr>
            <w:r>
              <w:rPr>
                <w:rFonts w:ascii="Arial" w:cs="Arial" w:eastAsia="Arial" w:hAnsi="Arial"/>
                <w:sz w:val="12"/>
                <w:szCs w:val="12"/>
                <w:color w:val="auto"/>
                <w:w w:val="98"/>
              </w:rPr>
              <w:t>BUSEP</w:t>
            </w:r>
          </w:p>
        </w:tc>
        <w:tc>
          <w:tcPr>
            <w:tcW w:w="2520" w:type="dxa"/>
            <w:vAlign w:val="bottom"/>
          </w:tcPr>
          <w:p>
            <w:pPr>
              <w:jc w:val="center"/>
              <w:spacing w:after="0" w:line="121" w:lineRule="exact"/>
              <w:rPr>
                <w:sz w:val="20"/>
                <w:szCs w:val="20"/>
                <w:color w:val="auto"/>
              </w:rPr>
            </w:pPr>
            <w:r>
              <w:rPr>
                <w:rFonts w:ascii="Arial" w:cs="Arial" w:eastAsia="Arial" w:hAnsi="Arial"/>
                <w:sz w:val="12"/>
                <w:szCs w:val="12"/>
                <w:color w:val="auto"/>
                <w:w w:val="99"/>
              </w:rPr>
              <w:t>Nasdaq Stock Market LLC</w:t>
            </w:r>
          </w:p>
        </w:tc>
      </w:tr>
      <w:tr>
        <w:trPr>
          <w:trHeight w:val="159"/>
        </w:trPr>
        <w:tc>
          <w:tcPr>
            <w:tcW w:w="7660" w:type="dxa"/>
            <w:vAlign w:val="bottom"/>
            <w:gridSpan w:val="2"/>
          </w:tcPr>
          <w:p>
            <w:pPr>
              <w:spacing w:after="0"/>
              <w:rPr>
                <w:sz w:val="20"/>
                <w:szCs w:val="20"/>
                <w:color w:val="auto"/>
              </w:rPr>
            </w:pPr>
            <w:r>
              <w:rPr>
                <w:rFonts w:ascii="Arial" w:cs="Arial" w:eastAsia="Arial" w:hAnsi="Arial"/>
                <w:sz w:val="12"/>
                <w:szCs w:val="12"/>
                <w:color w:val="auto"/>
              </w:rPr>
              <w:t>$0.001 par value</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tcPr>
          <w:p>
            <w:pPr>
              <w:spacing w:after="0"/>
              <w:rPr>
                <w:sz w:val="13"/>
                <w:szCs w:val="13"/>
                <w:color w:val="auto"/>
              </w:rPr>
            </w:pPr>
          </w:p>
        </w:tc>
      </w:tr>
    </w:tbl>
    <w:p>
      <w:pPr>
        <w:spacing w:after="0" w:line="162" w:lineRule="exact"/>
        <w:rPr>
          <w:sz w:val="24"/>
          <w:szCs w:val="24"/>
          <w:color w:val="auto"/>
        </w:rPr>
      </w:pPr>
    </w:p>
    <w:p>
      <w:pPr>
        <w:jc w:val="both"/>
        <w:spacing w:after="0" w:line="146"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2"/>
          <w:szCs w:val="12"/>
          <w:color w:val="auto"/>
        </w:rPr>
        <w:t>☐</w:t>
      </w:r>
    </w:p>
    <w:p>
      <w:pPr>
        <w:spacing w:after="0" w:line="69" w:lineRule="exact"/>
        <w:rPr>
          <w:sz w:val="24"/>
          <w:szCs w:val="24"/>
          <w:color w:val="auto"/>
        </w:rPr>
      </w:pPr>
    </w:p>
    <w:p>
      <w:pPr>
        <w:jc w:val="both"/>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530860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360680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377825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tab/>
        <w:t>Results of Operations and Financial Condition.</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 xml:space="preserve">On January 27, 2026, First Busey Corporation (“Busey”) issued a press release (“Earnings Release”) disclosing financial results for the quarter ended December 31, 2025. A copy of the Earnings Release is attached hereto as </w:t>
      </w:r>
      <w:r>
        <w:rPr>
          <w:rFonts w:ascii="Arial" w:cs="Arial" w:eastAsia="Arial" w:hAnsi="Arial"/>
          <w:sz w:val="12"/>
          <w:szCs w:val="12"/>
          <w:u w:val="single" w:color="auto"/>
          <w:color w:val="0000FF"/>
        </w:rPr>
        <w:t>Exhibit 99.1</w:t>
      </w:r>
      <w:r>
        <w:rPr>
          <w:rFonts w:ascii="Arial" w:cs="Arial" w:eastAsia="Arial" w:hAnsi="Arial"/>
          <w:sz w:val="12"/>
          <w:szCs w:val="12"/>
          <w:color w:val="auto"/>
        </w:rPr>
        <w:t xml:space="preserve"> and is incorporated herein by reference.</w:t>
      </w:r>
    </w:p>
    <w:p>
      <w:pPr>
        <w:spacing w:after="0" w:line="78"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i w:val="1"/>
          <w:iCs w:val="1"/>
          <w:color w:val="auto"/>
        </w:rPr>
        <w:t xml:space="preserve">The information in Item 2.02 of this Current Report on Form 8-K and </w:t>
      </w:r>
      <w:r>
        <w:rPr>
          <w:rFonts w:ascii="Arial" w:cs="Arial" w:eastAsia="Arial" w:hAnsi="Arial"/>
          <w:sz w:val="12"/>
          <w:szCs w:val="12"/>
          <w:i w:val="1"/>
          <w:iCs w:val="1"/>
          <w:u w:val="single" w:color="auto"/>
          <w:color w:val="0000FF"/>
        </w:rPr>
        <w:t>Exhibit 99.1</w:t>
      </w:r>
      <w:r>
        <w:rPr>
          <w:rFonts w:ascii="Arial" w:cs="Arial" w:eastAsia="Arial" w:hAnsi="Arial"/>
          <w:sz w:val="12"/>
          <w:szCs w:val="12"/>
          <w:i w:val="1"/>
          <w:iCs w:val="1"/>
          <w:color w:val="auto"/>
        </w:rPr>
        <w:t xml:space="preserve"> attached hereto is being “furnished” and will not, except to the extent required by applicable law or regulation, be deemed “filed” by Busey for purposes of Section 18 of the Securities Exchange Act of 1934, as amended (“Exchange Act”), or otherwise subject to the liabilities of that section, nor will any of such information or exhibits be deemed incorporated by reference into any filing under the Securities Act of 1933, as amended (“Securities Act”), or the Exchange Act.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5.02</w:t>
        <w:tab/>
        <w:t>Departure of Directors or Certain Officers; Election of Directors; Appointment of Certain Officers; Compensatory Arrangements of Certain Officers.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Departure of Michael J. Maddox</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On January 27, 2026, Busey and Busey Bank (the “Bank”) entered into a letter agreement (the “Separation Letter”) with Michael J. Maddox, the former President and Vice Chairman of Busey and President and Chief Executive Officer of the Bank, confirming the separation of Mr. Maddox from his employment with Busey and its subsidiaries and resignation from Busey’s and the Bank’s Board of Directors, each effective January 27, 2026.</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Under the terms of the Separation Letter, subject to the effectiveness of a release of claims, Mr. Maddox will receive (a) cash severance in the amount of $4,363,333, representing the base salary and annual bonuses he would have earned through the third anniversary of Busey’s acquisition of CrossFirst Bankshares, Inc. (“CrossFirst”), (b) his annual bonus for 2025, determined based on actual performance for the 2025 performance year, (c) a cash amount of $4,175,559, representing the unvested portion of his retention award granted pursuant to the letter agreement he entered into with Busey on August 26, 2024 in connection with Busey’s acquisition of CrossFirst, and (d) reimbursement of reasonable outplacement expenses, subject to a cap of $25,000. Mr. Maddox’s outstanding unvested equity awards will vest in full, with any performance-based vesting conditions deemed satisfied at target. In addition, Mr. Maddox continues to be bound by his post-employment non-competition, non-solicitation, and non-disclosure covenants and obligations under his employment agreement and letter agreement. Busey expects to incur a non-recurring pre-tax expense of approximately $9 million in the first quarter of 2026 in connection with the portion of such payments and benefits that were not previously accrued.</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Appointment of Van A. Dukeman as President of Busey and Chief Executive Officer of the Bank and T. Anthony Hammond as President of the Bank</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Effective January 27, 2026, the Board of Directors of Busey reappointed Van A. Dukeman, Busey’s Chief Executive Officer, as President of Busey and Chief Executive Officer of the Bank. Mr. Dukeman will also continue to serve in his current roles with Busey and the Bank. Also effective January 27, 2026, the Board of Directors of the Bank appointed T. Anthony Hammond, the Bank’s current President of Regional Banking, as President of the Bank.</w:t>
      </w:r>
    </w:p>
    <w:p>
      <w:pPr>
        <w:spacing w:after="0" w:line="9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7.01</w:t>
        <w:tab/>
        <w:t>Regulation FD Disclosure.</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On January 27, 2026, Busey published its Earnings Investor Presentation discussing financial results for the quarter ended December 31, 2025. A copy is attached hereto as </w:t>
      </w:r>
      <w:r>
        <w:rPr>
          <w:rFonts w:ascii="Arial" w:cs="Arial" w:eastAsia="Arial" w:hAnsi="Arial"/>
          <w:sz w:val="12"/>
          <w:szCs w:val="12"/>
          <w:u w:val="single" w:color="auto"/>
          <w:color w:val="0000FF"/>
        </w:rPr>
        <w:t>Exhibit 99.2</w:t>
      </w:r>
      <w:r>
        <w:rPr>
          <w:rFonts w:ascii="Arial" w:cs="Arial" w:eastAsia="Arial" w:hAnsi="Arial"/>
          <w:sz w:val="12"/>
          <w:szCs w:val="12"/>
          <w:color w:val="auto"/>
        </w:rPr>
        <w:t xml:space="preserve"> and is incorporated herein by reference.</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2"/>
          <w:szCs w:val="12"/>
          <w:i w:val="1"/>
          <w:iCs w:val="1"/>
          <w:color w:val="auto"/>
        </w:rPr>
        <w:t xml:space="preserve">The information in Item 7.01 of this Current Report on Form 8-K and </w:t>
      </w:r>
      <w:r>
        <w:rPr>
          <w:rFonts w:ascii="Arial" w:cs="Arial" w:eastAsia="Arial" w:hAnsi="Arial"/>
          <w:sz w:val="12"/>
          <w:szCs w:val="12"/>
          <w:i w:val="1"/>
          <w:iCs w:val="1"/>
          <w:u w:val="single" w:color="auto"/>
          <w:color w:val="0000FF"/>
        </w:rPr>
        <w:t>Exhibit 99.2</w:t>
      </w:r>
      <w:r>
        <w:rPr>
          <w:rFonts w:ascii="Arial" w:cs="Arial" w:eastAsia="Arial" w:hAnsi="Arial"/>
          <w:sz w:val="12"/>
          <w:szCs w:val="12"/>
          <w:i w:val="1"/>
          <w:iCs w:val="1"/>
          <w:color w:val="auto"/>
        </w:rPr>
        <w:t xml:space="preserve"> attached hereto is being “furnished” and will not, except to the extent required by applicable law or regulation, be deemed “filed” by Busey for purposes of Section 18 of the Exchange Act, or otherwise subject to the liabilities of that section, nor will any of such information or exhibits be deemed incorporated by reference into any filing under the Securities Act or the Exchange Act.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125095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tcPr>
          <w:p>
            <w:pPr>
              <w:spacing w:after="0"/>
              <w:rPr>
                <w:sz w:val="13"/>
                <w:szCs w:val="13"/>
                <w:color w:val="auto"/>
              </w:rPr>
            </w:pPr>
          </w:p>
        </w:tc>
        <w:tc>
          <w:tcPr>
            <w:tcW w:w="9660" w:type="dxa"/>
            <w:vAlign w:val="bottom"/>
            <w:gridSpan w:val="4"/>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115"/>
        </w:trPr>
        <w:tc>
          <w:tcPr>
            <w:tcW w:w="156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color w:val="auto"/>
              </w:rPr>
              <w:t>99.1</w:t>
            </w: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72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2"/>
                <w:szCs w:val="12"/>
                <w:color w:val="0000FF"/>
              </w:rPr>
              <w:t>Earnings Release issued by First Busey Corporation, dated, January 27, 2026</w:t>
            </w:r>
          </w:p>
        </w:tc>
        <w:tc>
          <w:tcPr>
            <w:tcW w:w="940" w:type="dxa"/>
            <w:vAlign w:val="bottom"/>
          </w:tcPr>
          <w:p>
            <w:pPr>
              <w:spacing w:after="0"/>
              <w:rPr>
                <w:sz w:val="10"/>
                <w:szCs w:val="10"/>
                <w:color w:val="auto"/>
              </w:rPr>
            </w:pP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133"/>
        </w:trPr>
        <w:tc>
          <w:tcPr>
            <w:tcW w:w="1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gridSpan w:val="4"/>
          </w:tcPr>
          <w:p>
            <w:pPr>
              <w:spacing w:after="0" w:line="133" w:lineRule="exact"/>
              <w:rPr>
                <w:sz w:val="20"/>
                <w:szCs w:val="20"/>
                <w:color w:val="auto"/>
              </w:rPr>
            </w:pPr>
            <w:r>
              <w:rPr>
                <w:rFonts w:ascii="Arial" w:cs="Arial" w:eastAsia="Arial" w:hAnsi="Arial"/>
                <w:sz w:val="12"/>
                <w:szCs w:val="12"/>
                <w:color w:val="0000FF"/>
              </w:rPr>
              <w:t>Earnings Investor Presentation issued by First Busey Corporation, dated January 27, 2026</w:t>
            </w: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gridSpan w:val="2"/>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162"/>
        </w:trPr>
        <w:tc>
          <w:tcPr>
            <w:tcW w:w="1560" w:type="dxa"/>
            <w:vAlign w:val="bottom"/>
          </w:tcPr>
          <w:p>
            <w:pPr>
              <w:spacing w:after="0"/>
              <w:rPr>
                <w:sz w:val="20"/>
                <w:szCs w:val="20"/>
                <w:color w:val="auto"/>
              </w:rPr>
            </w:pPr>
            <w:r>
              <w:rPr>
                <w:rFonts w:ascii="Arial" w:cs="Arial" w:eastAsia="Arial" w:hAnsi="Arial"/>
                <w:sz w:val="12"/>
                <w:szCs w:val="12"/>
                <w:color w:val="auto"/>
              </w:rPr>
              <w:t>104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47"/>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5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14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39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3" w:name="page4"/>
    <w:bookmarkEnd w:id="3"/>
    <w:p>
      <w:pPr>
        <w:ind w:left="5360"/>
        <w:spacing w:after="0"/>
        <w:rPr>
          <w:sz w:val="20"/>
          <w:szCs w:val="20"/>
          <w:color w:val="auto"/>
        </w:rPr>
      </w:pPr>
      <w:r>
        <w:rPr>
          <w:rFonts w:ascii="Arial" w:cs="Arial" w:eastAsia="Arial" w:hAnsi="Arial"/>
          <w:sz w:val="12"/>
          <w:szCs w:val="12"/>
          <w:b w:val="1"/>
          <w:bCs w:val="1"/>
          <w:color w:val="auto"/>
        </w:rPr>
        <w:t>Signature</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2"/>
                <w:szCs w:val="12"/>
                <w:b w:val="1"/>
                <w:bCs w:val="1"/>
                <w:color w:val="auto"/>
              </w:rPr>
              <w:t>FIRST BUSEY CORPORATION</w:t>
            </w:r>
          </w:p>
        </w:tc>
      </w:tr>
      <w:tr>
        <w:trPr>
          <w:trHeight w:val="325"/>
        </w:trPr>
        <w:tc>
          <w:tcPr>
            <w:tcW w:w="840" w:type="dxa"/>
            <w:vAlign w:val="bottom"/>
          </w:tcPr>
          <w:p>
            <w:pPr>
              <w:spacing w:after="0"/>
              <w:rPr>
                <w:sz w:val="20"/>
                <w:szCs w:val="20"/>
                <w:color w:val="auto"/>
              </w:rPr>
            </w:pPr>
            <w:r>
              <w:rPr>
                <w:rFonts w:ascii="Arial" w:cs="Arial" w:eastAsia="Arial" w:hAnsi="Arial"/>
                <w:sz w:val="12"/>
                <w:szCs w:val="12"/>
                <w:color w:val="auto"/>
              </w:rPr>
              <w:t>Date:</w:t>
            </w:r>
          </w:p>
        </w:tc>
        <w:tc>
          <w:tcPr>
            <w:tcW w:w="204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January 27, 2026</w:t>
            </w:r>
          </w:p>
        </w:tc>
        <w:tc>
          <w:tcPr>
            <w:tcW w:w="2500" w:type="dxa"/>
            <w:vAlign w:val="bottom"/>
          </w:tcPr>
          <w:p>
            <w:pPr>
              <w:ind w:left="2000"/>
              <w:spacing w:after="0"/>
              <w:rPr>
                <w:sz w:val="20"/>
                <w:szCs w:val="20"/>
                <w:color w:val="auto"/>
              </w:rPr>
            </w:pPr>
            <w:r>
              <w:rPr>
                <w:rFonts w:ascii="Arial" w:cs="Arial" w:eastAsia="Arial" w:hAnsi="Arial"/>
                <w:sz w:val="12"/>
                <w:szCs w:val="12"/>
                <w:color w:val="auto"/>
              </w:rPr>
              <w:t>By:</w:t>
            </w:r>
          </w:p>
        </w:tc>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CHRISTOPHER H.M. CHAN</w:t>
            </w:r>
          </w:p>
        </w:tc>
      </w:tr>
      <w:tr>
        <w:trPr>
          <w:trHeight w:val="138"/>
        </w:trPr>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Christopher H.M. Chan</w:t>
            </w:r>
          </w:p>
        </w:tc>
      </w:tr>
      <w:tr>
        <w:trPr>
          <w:trHeight w:val="159"/>
        </w:trPr>
        <w:tc>
          <w:tcPr>
            <w:tcW w:w="8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Executive Vice President, Chief Financial Officer</w:t>
            </w:r>
          </w:p>
        </w:tc>
      </w:tr>
      <w:tr>
        <w:trPr>
          <w:trHeight w:val="756"/>
        </w:trPr>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0" w:type="dxa"/>
            <w:vAlign w:val="bottom"/>
          </w:tcPr>
          <w:p>
            <w:pPr>
              <w:ind w:left="2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0159"/>
          </w:cols>
          <w:pgMar w:left="300" w:top="1054"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4914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914900"/>
                    </a:xfrm>
                    <a:prstGeom prst="rect">
                      <a:avLst/>
                    </a:prstGeom>
                    <a:noFill/>
                  </pic:spPr>
                </pic:pic>
              </a:graphicData>
            </a:graphic>
          </wp:anchor>
        </w:drawing>
        <w:t>F I R S T  B U S E Y  C O R P O R A T I O N</w:t>
      </w:r>
    </w:p>
    <w:p>
      <w:pPr>
        <w:sectPr>
          <w:pgSz w:w="11900" w:h="16838" w:orient="portrait"/>
          <w:cols w:equalWidth="0" w:num="1">
            <w:col w:w="9019"/>
          </w:cols>
          <w:pgMar w:left="1440" w:top="1093"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FFFFFF"/>
        </w:rPr>
        <w:t>A N N O U N C E 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2 0 2 5</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F O U R T 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Q U A R T E 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FFFFFF"/>
        </w:rPr>
        <w:t>E A R N I N G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9"/>
          <w:szCs w:val="29"/>
          <w:color w:val="6888A4"/>
        </w:rPr>
        <w:t>Q 4 | 2 0 2 5</w:t>
      </w:r>
    </w:p>
    <w:p>
      <w:pPr>
        <w:sectPr>
          <w:pgSz w:w="11900" w:h="16838" w:orient="portrait"/>
          <w:cols w:equalWidth="0" w:num="1">
            <w:col w:w="9019"/>
          </w:cols>
          <w:pgMar w:left="1440" w:top="1093" w:right="1440" w:bottom="1440" w:gutter="0" w:footer="0" w:header="0"/>
          <w:type w:val="continuous"/>
        </w:sectPr>
      </w:pPr>
    </w:p>
    <w:bookmarkStart w:id="5" w:name="page6"/>
    <w:bookmarkEnd w:id="5"/>
    <w:p>
      <w:pPr>
        <w:jc w:val="right"/>
        <w:ind w:right="20"/>
        <w:spacing w:after="0"/>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28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0"/>
                    </a:xfrm>
                    <a:prstGeom prst="rect">
                      <a:avLst/>
                    </a:prstGeom>
                    <a:noFill/>
                  </pic:spPr>
                </pic:pic>
              </a:graphicData>
            </a:graphic>
          </wp:anchor>
        </w:drawing>
        <w:t>www.busey.com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80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6888A4"/>
        </w:rPr>
        <w:t>INVESTOR CONTACT: Christopher H.M. Chan, Chief Financial Officer | 913-647-9825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20" w:type="dxa"/>
            <w:vAlign w:val="bottom"/>
            <w:gridSpan w:val="7"/>
          </w:tcPr>
          <w:p>
            <w:pPr>
              <w:spacing w:after="0"/>
              <w:rPr>
                <w:sz w:val="20"/>
                <w:szCs w:val="20"/>
                <w:color w:val="auto"/>
              </w:rPr>
            </w:pPr>
            <w:r>
              <w:rPr>
                <w:rFonts w:ascii="Arial" w:cs="Arial" w:eastAsia="Arial" w:hAnsi="Arial"/>
                <w:sz w:val="12"/>
                <w:szCs w:val="12"/>
                <w:color w:val="auto"/>
              </w:rPr>
              <w:t>LEAWOOD, KS, January 27, 2026 (GLOBE NEWSWIRE) – First Busey Corporation (Nasdaq: BUSE) Announces 2025 Fourth Quarter Earnings.</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42"/>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80"/>
        </w:trPr>
        <w:tc>
          <w:tcPr>
            <w:tcW w:w="202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8"/>
              </w:rPr>
              <w:t>Net Income</w:t>
            </w:r>
          </w:p>
        </w:tc>
        <w:tc>
          <w:tcPr>
            <w:tcW w:w="140" w:type="dxa"/>
            <w:vAlign w:val="bottom"/>
          </w:tcPr>
          <w:p>
            <w:pPr>
              <w:spacing w:after="0"/>
              <w:rPr>
                <w:sz w:val="15"/>
                <w:szCs w:val="15"/>
                <w:color w:val="auto"/>
              </w:rPr>
            </w:pPr>
          </w:p>
        </w:tc>
        <w:tc>
          <w:tcPr>
            <w:tcW w:w="204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9"/>
              </w:rPr>
              <w:t>Diluted EPS</w:t>
            </w:r>
          </w:p>
        </w:tc>
        <w:tc>
          <w:tcPr>
            <w:tcW w:w="140" w:type="dxa"/>
            <w:vAlign w:val="bottom"/>
          </w:tcPr>
          <w:p>
            <w:pPr>
              <w:spacing w:after="0"/>
              <w:rPr>
                <w:sz w:val="15"/>
                <w:szCs w:val="15"/>
                <w:color w:val="auto"/>
              </w:rPr>
            </w:pPr>
          </w:p>
        </w:tc>
        <w:tc>
          <w:tcPr>
            <w:tcW w:w="258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7"/>
              </w:rPr>
              <w:t>Net Interest Margin</w:t>
            </w:r>
            <w:r>
              <w:rPr>
                <w:rFonts w:ascii="Arial" w:cs="Arial" w:eastAsia="Arial" w:hAnsi="Arial"/>
                <w:sz w:val="15"/>
                <w:szCs w:val="15"/>
                <w:color w:val="FFFFFF"/>
                <w:w w:val="97"/>
                <w:vertAlign w:val="superscript"/>
              </w:rPr>
              <w:t>1</w:t>
            </w:r>
          </w:p>
        </w:tc>
        <w:tc>
          <w:tcPr>
            <w:tcW w:w="160" w:type="dxa"/>
            <w:vAlign w:val="bottom"/>
          </w:tcPr>
          <w:p>
            <w:pPr>
              <w:spacing w:after="0"/>
              <w:rPr>
                <w:sz w:val="15"/>
                <w:szCs w:val="15"/>
                <w:color w:val="auto"/>
              </w:rPr>
            </w:pPr>
          </w:p>
        </w:tc>
        <w:tc>
          <w:tcPr>
            <w:tcW w:w="640" w:type="dxa"/>
            <w:vAlign w:val="bottom"/>
            <w:shd w:val="clear" w:color="auto" w:fill="6888A4"/>
          </w:tcPr>
          <w:p>
            <w:pPr>
              <w:spacing w:after="0"/>
              <w:rPr>
                <w:sz w:val="15"/>
                <w:szCs w:val="15"/>
                <w:color w:val="auto"/>
              </w:rPr>
            </w:pPr>
          </w:p>
        </w:tc>
        <w:tc>
          <w:tcPr>
            <w:tcW w:w="1380" w:type="dxa"/>
            <w:vAlign w:val="bottom"/>
            <w:shd w:val="clear" w:color="auto" w:fill="6888A4"/>
          </w:tcPr>
          <w:p>
            <w:pPr>
              <w:jc w:val="center"/>
              <w:ind w:right="560"/>
              <w:spacing w:after="0"/>
              <w:rPr>
                <w:sz w:val="20"/>
                <w:szCs w:val="20"/>
                <w:color w:val="auto"/>
              </w:rPr>
            </w:pPr>
            <w:r>
              <w:rPr>
                <w:rFonts w:ascii="Arial" w:cs="Arial" w:eastAsia="Arial" w:hAnsi="Arial"/>
                <w:sz w:val="12"/>
                <w:szCs w:val="12"/>
                <w:b w:val="1"/>
                <w:bCs w:val="1"/>
                <w:color w:val="FFFFFF"/>
                <w:w w:val="97"/>
              </w:rPr>
              <w:t>ROAA</w:t>
            </w:r>
            <w:r>
              <w:rPr>
                <w:rFonts w:ascii="Arial" w:cs="Arial" w:eastAsia="Arial" w:hAnsi="Arial"/>
                <w:sz w:val="15"/>
                <w:szCs w:val="15"/>
                <w:color w:val="FFFFFF"/>
                <w:w w:val="97"/>
                <w:vertAlign w:val="superscript"/>
              </w:rPr>
              <w:t>1</w:t>
            </w:r>
          </w:p>
        </w:tc>
        <w:tc>
          <w:tcPr>
            <w:tcW w:w="160" w:type="dxa"/>
            <w:vAlign w:val="bottom"/>
          </w:tcPr>
          <w:p>
            <w:pPr>
              <w:spacing w:after="0"/>
              <w:rPr>
                <w:sz w:val="15"/>
                <w:szCs w:val="15"/>
                <w:color w:val="auto"/>
              </w:rPr>
            </w:pPr>
          </w:p>
        </w:tc>
        <w:tc>
          <w:tcPr>
            <w:tcW w:w="204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5"/>
              </w:rPr>
              <w:t>ROATCE</w:t>
            </w:r>
            <w:r>
              <w:rPr>
                <w:rFonts w:ascii="Arial" w:cs="Arial" w:eastAsia="Arial" w:hAnsi="Arial"/>
                <w:sz w:val="15"/>
                <w:szCs w:val="15"/>
                <w:color w:val="FFFFFF"/>
                <w:w w:val="95"/>
                <w:vertAlign w:val="superscript"/>
              </w:rPr>
              <w:t>1</w:t>
            </w:r>
          </w:p>
        </w:tc>
      </w:tr>
      <w:tr>
        <w:trPr>
          <w:trHeight w:val="179"/>
        </w:trPr>
        <w:tc>
          <w:tcPr>
            <w:tcW w:w="2020" w:type="dxa"/>
            <w:vAlign w:val="bottom"/>
          </w:tcPr>
          <w:p>
            <w:pPr>
              <w:jc w:val="center"/>
              <w:spacing w:after="0"/>
              <w:rPr>
                <w:sz w:val="20"/>
                <w:szCs w:val="20"/>
                <w:color w:val="auto"/>
              </w:rPr>
            </w:pPr>
            <w:r>
              <w:rPr>
                <w:rFonts w:ascii="Arial" w:cs="Arial" w:eastAsia="Arial" w:hAnsi="Arial"/>
                <w:sz w:val="12"/>
                <w:szCs w:val="12"/>
                <w:b w:val="1"/>
                <w:bCs w:val="1"/>
                <w:color w:val="auto"/>
                <w:w w:val="99"/>
              </w:rPr>
              <w:t>$60.8 million</w:t>
            </w:r>
          </w:p>
        </w:tc>
        <w:tc>
          <w:tcPr>
            <w:tcW w:w="218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9"/>
              </w:rPr>
              <w:t>$0.63</w:t>
            </w:r>
          </w:p>
        </w:tc>
        <w:tc>
          <w:tcPr>
            <w:tcW w:w="27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3.71%</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center"/>
              <w:ind w:right="580"/>
              <w:spacing w:after="0"/>
              <w:rPr>
                <w:sz w:val="20"/>
                <w:szCs w:val="20"/>
                <w:color w:val="auto"/>
              </w:rPr>
            </w:pPr>
            <w:r>
              <w:rPr>
                <w:rFonts w:ascii="Arial" w:cs="Arial" w:eastAsia="Arial" w:hAnsi="Arial"/>
                <w:sz w:val="12"/>
                <w:szCs w:val="12"/>
                <w:b w:val="1"/>
                <w:bCs w:val="1"/>
                <w:color w:val="auto"/>
                <w:w w:val="99"/>
              </w:rPr>
              <w:t>1.32%</w:t>
            </w:r>
          </w:p>
        </w:tc>
        <w:tc>
          <w:tcPr>
            <w:tcW w:w="220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8"/>
              </w:rPr>
              <w:t>12.59%</w:t>
            </w:r>
          </w:p>
        </w:tc>
      </w:tr>
      <w:tr>
        <w:trPr>
          <w:trHeight w:val="239"/>
        </w:trPr>
        <w:tc>
          <w:tcPr>
            <w:tcW w:w="2020" w:type="dxa"/>
            <w:vAlign w:val="bottom"/>
          </w:tcPr>
          <w:p>
            <w:pPr>
              <w:jc w:val="center"/>
              <w:spacing w:after="0"/>
              <w:rPr>
                <w:sz w:val="20"/>
                <w:szCs w:val="20"/>
                <w:color w:val="auto"/>
              </w:rPr>
            </w:pPr>
            <w:r>
              <w:rPr>
                <w:rFonts w:ascii="Arial" w:cs="Arial" w:eastAsia="Arial" w:hAnsi="Arial"/>
                <w:sz w:val="12"/>
                <w:szCs w:val="12"/>
                <w:b w:val="1"/>
                <w:bCs w:val="1"/>
                <w:color w:val="auto"/>
                <w:w w:val="99"/>
              </w:rPr>
              <w:t xml:space="preserve">$65.2 million </w:t>
            </w:r>
            <w:r>
              <w:rPr>
                <w:rFonts w:ascii="Arial" w:cs="Arial" w:eastAsia="Arial" w:hAnsi="Arial"/>
                <w:sz w:val="12"/>
                <w:szCs w:val="12"/>
                <w:color w:val="auto"/>
                <w:w w:val="99"/>
              </w:rPr>
              <w:t>(adj)</w:t>
            </w:r>
            <w:r>
              <w:rPr>
                <w:rFonts w:ascii="Arial" w:cs="Arial" w:eastAsia="Arial" w:hAnsi="Arial"/>
                <w:sz w:val="15"/>
                <w:szCs w:val="15"/>
                <w:color w:val="auto"/>
                <w:w w:val="99"/>
                <w:vertAlign w:val="superscript"/>
              </w:rPr>
              <w:t>2</w:t>
            </w:r>
          </w:p>
        </w:tc>
        <w:tc>
          <w:tcPr>
            <w:tcW w:w="1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8"/>
              </w:rPr>
              <w:t xml:space="preserve">$0.68 </w:t>
            </w:r>
            <w:r>
              <w:rPr>
                <w:rFonts w:ascii="Arial" w:cs="Arial" w:eastAsia="Arial" w:hAnsi="Arial"/>
                <w:sz w:val="12"/>
                <w:szCs w:val="12"/>
                <w:color w:val="auto"/>
                <w:w w:val="98"/>
              </w:rPr>
              <w:t>(adj)</w:t>
            </w:r>
            <w:r>
              <w:rPr>
                <w:rFonts w:ascii="Arial" w:cs="Arial" w:eastAsia="Arial" w:hAnsi="Arial"/>
                <w:sz w:val="15"/>
                <w:szCs w:val="15"/>
                <w:color w:val="auto"/>
                <w:w w:val="98"/>
                <w:vertAlign w:val="superscript"/>
              </w:rPr>
              <w:t>2</w:t>
            </w:r>
          </w:p>
        </w:tc>
        <w:tc>
          <w:tcPr>
            <w:tcW w:w="140" w:type="dxa"/>
            <w:vAlign w:val="bottom"/>
          </w:tcPr>
          <w:p>
            <w:pPr>
              <w:spacing w:after="0"/>
              <w:rPr>
                <w:sz w:val="20"/>
                <w:szCs w:val="20"/>
                <w:color w:val="auto"/>
              </w:rPr>
            </w:pPr>
          </w:p>
        </w:tc>
        <w:tc>
          <w:tcPr>
            <w:tcW w:w="3380" w:type="dxa"/>
            <w:vAlign w:val="bottom"/>
            <w:gridSpan w:val="3"/>
          </w:tcPr>
          <w:p>
            <w:pPr>
              <w:jc w:val="center"/>
              <w:ind w:right="800"/>
              <w:spacing w:after="0"/>
              <w:rPr>
                <w:sz w:val="20"/>
                <w:szCs w:val="20"/>
                <w:color w:val="auto"/>
              </w:rPr>
            </w:pPr>
            <w:r>
              <w:rPr>
                <w:rFonts w:ascii="Arial" w:cs="Arial" w:eastAsia="Arial" w:hAnsi="Arial"/>
                <w:sz w:val="12"/>
                <w:szCs w:val="12"/>
                <w:b w:val="1"/>
                <w:bCs w:val="1"/>
                <w:color w:val="auto"/>
                <w:w w:val="98"/>
              </w:rPr>
              <w:t xml:space="preserve">3.59% </w:t>
            </w:r>
            <w:r>
              <w:rPr>
                <w:rFonts w:ascii="Arial" w:cs="Arial" w:eastAsia="Arial" w:hAnsi="Arial"/>
                <w:sz w:val="12"/>
                <w:szCs w:val="12"/>
                <w:color w:val="auto"/>
                <w:w w:val="98"/>
              </w:rPr>
              <w:t>(adj)</w:t>
            </w:r>
            <w:r>
              <w:rPr>
                <w:rFonts w:ascii="Arial" w:cs="Arial" w:eastAsia="Arial" w:hAnsi="Arial"/>
                <w:sz w:val="15"/>
                <w:szCs w:val="15"/>
                <w:color w:val="auto"/>
                <w:w w:val="98"/>
                <w:vertAlign w:val="superscript"/>
              </w:rPr>
              <w:t>2</w:t>
            </w:r>
          </w:p>
        </w:tc>
        <w:tc>
          <w:tcPr>
            <w:tcW w:w="1380" w:type="dxa"/>
            <w:vAlign w:val="bottom"/>
          </w:tcPr>
          <w:p>
            <w:pPr>
              <w:jc w:val="center"/>
              <w:ind w:right="580"/>
              <w:spacing w:after="0"/>
              <w:rPr>
                <w:sz w:val="20"/>
                <w:szCs w:val="20"/>
                <w:color w:val="auto"/>
              </w:rPr>
            </w:pPr>
            <w:r>
              <w:rPr>
                <w:rFonts w:ascii="Arial" w:cs="Arial" w:eastAsia="Arial" w:hAnsi="Arial"/>
                <w:sz w:val="12"/>
                <w:szCs w:val="12"/>
                <w:b w:val="1"/>
                <w:bCs w:val="1"/>
                <w:color w:val="auto"/>
                <w:w w:val="98"/>
              </w:rPr>
              <w:t xml:space="preserve">1.41% </w:t>
            </w:r>
            <w:r>
              <w:rPr>
                <w:rFonts w:ascii="Arial" w:cs="Arial" w:eastAsia="Arial" w:hAnsi="Arial"/>
                <w:sz w:val="12"/>
                <w:szCs w:val="12"/>
                <w:color w:val="auto"/>
                <w:w w:val="98"/>
              </w:rPr>
              <w:t>(adj)</w:t>
            </w:r>
            <w:r>
              <w:rPr>
                <w:rFonts w:ascii="Arial" w:cs="Arial" w:eastAsia="Arial" w:hAnsi="Arial"/>
                <w:sz w:val="15"/>
                <w:szCs w:val="15"/>
                <w:color w:val="auto"/>
                <w:w w:val="98"/>
                <w:vertAlign w:val="superscript"/>
              </w:rPr>
              <w:t>2</w:t>
            </w:r>
          </w:p>
        </w:tc>
        <w:tc>
          <w:tcPr>
            <w:tcW w:w="1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7"/>
              </w:rPr>
              <w:t xml:space="preserve">13.58% </w:t>
            </w:r>
            <w:r>
              <w:rPr>
                <w:rFonts w:ascii="Arial" w:cs="Arial" w:eastAsia="Arial" w:hAnsi="Arial"/>
                <w:sz w:val="12"/>
                <w:szCs w:val="12"/>
                <w:color w:val="auto"/>
                <w:w w:val="97"/>
              </w:rPr>
              <w:t>(adj)</w:t>
            </w:r>
            <w:r>
              <w:rPr>
                <w:rFonts w:ascii="Arial" w:cs="Arial" w:eastAsia="Arial" w:hAnsi="Arial"/>
                <w:sz w:val="15"/>
                <w:szCs w:val="15"/>
                <w:color w:val="auto"/>
                <w:w w:val="97"/>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4703445" cy="2326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3445" cy="2326005"/>
                    </a:xfrm>
                    <a:prstGeom prst="rect">
                      <a:avLst/>
                    </a:prstGeom>
                    <a:noFill/>
                  </pic:spPr>
                </pic:pic>
              </a:graphicData>
            </a:graphic>
          </wp:anchor>
        </w:drawing>
      </w:r>
    </w:p>
    <w:p>
      <w:pPr>
        <w:sectPr>
          <w:pgSz w:w="11900" w:h="16838" w:orient="portrait"/>
          <w:cols w:equalWidth="0" w:num="1">
            <w:col w:w="11300"/>
          </w:cols>
          <w:pgMar w:left="300" w:top="460" w:right="29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MESSAGE FROM OUR CHAIRMAN,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31" w:lineRule="auto"/>
        <w:rPr>
          <w:sz w:val="20"/>
          <w:szCs w:val="20"/>
          <w:color w:val="auto"/>
        </w:rPr>
      </w:pPr>
      <w:r>
        <w:rPr>
          <w:rFonts w:ascii="Arial" w:cs="Arial" w:eastAsia="Arial" w:hAnsi="Arial"/>
          <w:sz w:val="12"/>
          <w:szCs w:val="12"/>
          <w:color w:val="auto"/>
        </w:rPr>
        <w:t>Our results this quarter represent a meaningful culmination to a year of strong performance and the completed merger and integration of CrossFirst. Profitability in the fourth quarter showed vast improvement from last year with adjusted return on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improving 39 basis points to 1.41% and net interest margin</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expanding 76 basis points to 3.71%, driven by continued strong deposit cost control. Wealth management fee income had a record quarter as assets under care were up 4.7% quarter-over-quarter to $15.66 billion driven by strong investment performance and positive net flows from new and legacy markets. Capital remained strong, and Common Equity Tier 1 Capital to Risk Weighted Assets</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grew to 12.44%, a 11 basis point increase from the prior quarter. Tangible common equity to tangible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grew to 10.06% with tangible book value per common share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increasing 13.1% over the prior year end, even as we repurchased $29.8 million of stock in the fourth quarter and $69.9 million for the full year. Loan balances were stable quarter-over-quarter and deposits were down $164.2 million due to the intentional runoff of $180.0 million as Busey continued its strategic, targeted reduction of brokered and high-cost, non-relationship funding. As we look forward to 2026, Busey is well positioned to navigate diverse macroeconomic scenarios given its robust capital and liquidity position and disciplined credit and risk management culture.</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Van A. Dukeman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Chairman, President, and CEO of First Busey Corporation and Chairman and CEO of Busey Bank</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680" w:type="dxa"/>
            <w:vAlign w:val="bottom"/>
          </w:tcPr>
          <w:p>
            <w:pPr>
              <w:spacing w:after="0"/>
              <w:rPr>
                <w:sz w:val="20"/>
                <w:szCs w:val="20"/>
                <w:color w:val="auto"/>
              </w:rPr>
            </w:pPr>
            <w:r>
              <w:rPr>
                <w:rFonts w:ascii="Arial" w:cs="Arial" w:eastAsia="Arial" w:hAnsi="Arial"/>
                <w:sz w:val="12"/>
                <w:szCs w:val="12"/>
                <w:b w:val="1"/>
                <w:bCs w:val="1"/>
                <w:color w:val="auto"/>
              </w:rPr>
              <w:t>CONTENTS</w:t>
            </w:r>
          </w:p>
        </w:tc>
        <w:tc>
          <w:tcPr>
            <w:tcW w:w="1080" w:type="dxa"/>
            <w:vAlign w:val="bottom"/>
          </w:tcPr>
          <w:p>
            <w:pPr>
              <w:spacing w:after="0"/>
              <w:rPr>
                <w:sz w:val="14"/>
                <w:szCs w:val="14"/>
                <w:color w:val="auto"/>
              </w:rPr>
            </w:pPr>
          </w:p>
        </w:tc>
      </w:tr>
      <w:tr>
        <w:trPr>
          <w:trHeight w:val="174"/>
        </w:trPr>
        <w:tc>
          <w:tcPr>
            <w:tcW w:w="2680" w:type="dxa"/>
            <w:vAlign w:val="bottom"/>
          </w:tcPr>
          <w:p>
            <w:pPr>
              <w:spacing w:after="0"/>
              <w:rPr>
                <w:sz w:val="20"/>
                <w:szCs w:val="20"/>
                <w:color w:val="auto"/>
              </w:rPr>
            </w:pPr>
            <w:r>
              <w:rPr>
                <w:rFonts w:ascii="Arial" w:cs="Arial" w:eastAsia="Arial" w:hAnsi="Arial"/>
                <w:sz w:val="12"/>
                <w:szCs w:val="12"/>
                <w:color w:val="auto"/>
              </w:rPr>
              <w:t>Organizational Update</w:t>
            </w:r>
          </w:p>
        </w:tc>
        <w:tc>
          <w:tcPr>
            <w:tcW w:w="10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80"/>
        </w:trPr>
        <w:tc>
          <w:tcPr>
            <w:tcW w:w="2680" w:type="dxa"/>
            <w:vAlign w:val="bottom"/>
          </w:tcPr>
          <w:p>
            <w:pPr>
              <w:spacing w:after="0"/>
              <w:rPr>
                <w:sz w:val="20"/>
                <w:szCs w:val="20"/>
                <w:color w:val="auto"/>
              </w:rPr>
            </w:pPr>
            <w:r>
              <w:rPr>
                <w:rFonts w:ascii="Arial" w:cs="Arial" w:eastAsia="Arial" w:hAnsi="Arial"/>
                <w:sz w:val="12"/>
                <w:szCs w:val="12"/>
                <w:color w:val="auto"/>
              </w:rPr>
              <w:t>Financial Results</w:t>
            </w:r>
          </w:p>
        </w:tc>
        <w:tc>
          <w:tcPr>
            <w:tcW w:w="10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80"/>
        </w:trPr>
        <w:tc>
          <w:tcPr>
            <w:tcW w:w="2680" w:type="dxa"/>
            <w:vAlign w:val="bottom"/>
          </w:tcPr>
          <w:p>
            <w:pPr>
              <w:spacing w:after="0"/>
              <w:rPr>
                <w:sz w:val="20"/>
                <w:szCs w:val="20"/>
                <w:color w:val="auto"/>
              </w:rPr>
            </w:pPr>
            <w:r>
              <w:rPr>
                <w:rFonts w:ascii="Arial" w:cs="Arial" w:eastAsia="Arial" w:hAnsi="Arial"/>
                <w:sz w:val="12"/>
                <w:szCs w:val="12"/>
                <w:color w:val="auto"/>
              </w:rPr>
              <w:t>Balance Sheet Strength</w:t>
            </w:r>
          </w:p>
        </w:tc>
        <w:tc>
          <w:tcPr>
            <w:tcW w:w="10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80"/>
        </w:trPr>
        <w:tc>
          <w:tcPr>
            <w:tcW w:w="2680" w:type="dxa"/>
            <w:vAlign w:val="bottom"/>
          </w:tcPr>
          <w:p>
            <w:pPr>
              <w:spacing w:after="0"/>
              <w:rPr>
                <w:sz w:val="20"/>
                <w:szCs w:val="20"/>
                <w:color w:val="auto"/>
              </w:rPr>
            </w:pPr>
            <w:r>
              <w:rPr>
                <w:rFonts w:ascii="Arial" w:cs="Arial" w:eastAsia="Arial" w:hAnsi="Arial"/>
                <w:sz w:val="12"/>
                <w:szCs w:val="12"/>
                <w:color w:val="auto"/>
              </w:rPr>
              <w:t>Corporate Profile</w:t>
            </w:r>
          </w:p>
        </w:tc>
        <w:tc>
          <w:tcPr>
            <w:tcW w:w="10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80"/>
        </w:trPr>
        <w:tc>
          <w:tcPr>
            <w:tcW w:w="2680" w:type="dxa"/>
            <w:vAlign w:val="bottom"/>
          </w:tcPr>
          <w:p>
            <w:pPr>
              <w:spacing w:after="0"/>
              <w:rPr>
                <w:sz w:val="20"/>
                <w:szCs w:val="20"/>
                <w:color w:val="auto"/>
              </w:rPr>
            </w:pPr>
            <w:r>
              <w:rPr>
                <w:rFonts w:ascii="Arial" w:cs="Arial" w:eastAsia="Arial" w:hAnsi="Arial"/>
                <w:sz w:val="12"/>
                <w:szCs w:val="12"/>
                <w:color w:val="auto"/>
              </w:rPr>
              <w:t>Non-GAAP Financial Information</w:t>
            </w:r>
          </w:p>
        </w:tc>
        <w:tc>
          <w:tcPr>
            <w:tcW w:w="108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80"/>
        </w:trPr>
        <w:tc>
          <w:tcPr>
            <w:tcW w:w="2680" w:type="dxa"/>
            <w:vAlign w:val="bottom"/>
          </w:tcPr>
          <w:p>
            <w:pPr>
              <w:spacing w:after="0"/>
              <w:rPr>
                <w:sz w:val="20"/>
                <w:szCs w:val="20"/>
                <w:color w:val="auto"/>
              </w:rPr>
            </w:pPr>
            <w:r>
              <w:rPr>
                <w:rFonts w:ascii="Arial" w:cs="Arial" w:eastAsia="Arial" w:hAnsi="Arial"/>
                <w:sz w:val="12"/>
                <w:szCs w:val="12"/>
                <w:color w:val="auto"/>
              </w:rPr>
              <w:t>Forward-Looking Statements</w:t>
            </w:r>
          </w:p>
        </w:tc>
        <w:tc>
          <w:tcPr>
            <w:tcW w:w="108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80"/>
        </w:trPr>
        <w:tc>
          <w:tcPr>
            <w:tcW w:w="2680" w:type="dxa"/>
            <w:vAlign w:val="bottom"/>
          </w:tcPr>
          <w:p>
            <w:pPr>
              <w:spacing w:after="0"/>
              <w:rPr>
                <w:sz w:val="20"/>
                <w:szCs w:val="20"/>
                <w:color w:val="auto"/>
              </w:rPr>
            </w:pPr>
            <w:r>
              <w:rPr>
                <w:rFonts w:ascii="Arial" w:cs="Arial" w:eastAsia="Arial" w:hAnsi="Arial"/>
                <w:sz w:val="12"/>
                <w:szCs w:val="12"/>
                <w:color w:val="auto"/>
              </w:rPr>
              <w:t>End Notes</w:t>
            </w:r>
          </w:p>
        </w:tc>
        <w:tc>
          <w:tcPr>
            <w:tcW w:w="1080" w:type="dxa"/>
            <w:vAlign w:val="bottom"/>
          </w:tcPr>
          <w:p>
            <w:pPr>
              <w:jc w:val="right"/>
              <w:spacing w:after="0"/>
              <w:rPr>
                <w:sz w:val="20"/>
                <w:szCs w:val="20"/>
                <w:color w:val="auto"/>
              </w:rPr>
            </w:pPr>
            <w:r>
              <w:rPr>
                <w:rFonts w:ascii="Arial" w:cs="Arial" w:eastAsia="Arial" w:hAnsi="Arial"/>
                <w:sz w:val="12"/>
                <w:szCs w:val="12"/>
                <w:color w:val="auto"/>
              </w:rPr>
              <w:t>22</w:t>
            </w:r>
          </w:p>
        </w:tc>
      </w:tr>
    </w:tbl>
    <w:p>
      <w:pPr>
        <w:spacing w:after="0" w:line="1505" w:lineRule="exact"/>
        <w:rPr>
          <w:sz w:val="20"/>
          <w:szCs w:val="20"/>
          <w:color w:val="auto"/>
        </w:rPr>
      </w:pPr>
    </w:p>
    <w:p>
      <w:pPr>
        <w:sectPr>
          <w:pgSz w:w="11900" w:h="16838" w:orient="portrait"/>
          <w:cols w:equalWidth="0" w:num="2">
            <w:col w:w="7380" w:space="140"/>
            <w:col w:w="3780"/>
          </w:cols>
          <w:pgMar w:left="300" w:top="46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ORGANIZATIONAL UPDATE</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First Busey Corporation Board of Directors announced today that Michael J. Maddox has separated from the company, effective immediately. Current Chairman and CEO of First Busey Corporation, Van A. Dukeman, has agreed to serve the company for at least two more years and assume the roles of President of First Busey Corporation and CEO of Busey Bank. Further, the Board appointed T. Anthony (Tony) Hammond, Busey Bank’s current President of Regional Banking, to serve as President of Busey Bank. Please see 8-K dated January 27, 2026,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RESULTS</w:t>
      </w:r>
    </w:p>
    <w:p>
      <w:pPr>
        <w:spacing w:after="0" w:line="132"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Fourth quarter 2025 net income for First Busey Corporation, together with its consolidated subsidiaries (“Busey,” the “Company,” “we,” “us,”, or “our”) was $60.8 million, or $0.63 per diluted common share, compared to $57.1 million, or $0.58 per diluted common share, for the third quarter of 2025, and $28.1 million, or $0.49 per diluted common share, for the fourth quarter of 2024. Annualized return on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annualized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1.32% and 12.59%, respectively, for the fourth quarter of 2025. Total noninterest expense and adjusted noninterest expense were impacted by a $3.8 million operating loss tied to one relationship.</w:t>
      </w:r>
    </w:p>
    <w:p>
      <w:pPr>
        <w:spacing w:after="0" w:line="111" w:lineRule="exact"/>
        <w:rPr>
          <w:sz w:val="20"/>
          <w:szCs w:val="20"/>
          <w:color w:val="auto"/>
        </w:rPr>
      </w:pPr>
    </w:p>
    <w:p>
      <w:pPr>
        <w:jc w:val="both"/>
        <w:ind w:right="20"/>
        <w:spacing w:after="0" w:line="233" w:lineRule="auto"/>
        <w:rPr>
          <w:sz w:val="20"/>
          <w:szCs w:val="20"/>
          <w:color w:val="auto"/>
        </w:rPr>
      </w:pPr>
      <w:r>
        <w:rPr>
          <w:rFonts w:ascii="Arial" w:cs="Arial" w:eastAsia="Arial" w:hAnsi="Arial"/>
          <w:sz w:val="12"/>
          <w:szCs w:val="12"/>
          <w:color w:val="auto"/>
        </w:rPr>
        <w:t>Taking into account our fourth quarter results, full year 2025 net income was $135.3 million, or $1.47 per diluted common share. Return on average assets and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0.76% and 7.48%, respectively.</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2</w:t>
      </w:r>
    </w:p>
    <w:p>
      <w:pPr>
        <w:sectPr>
          <w:pgSz w:w="11900" w:h="16838" w:orient="portrait"/>
          <w:cols w:equalWidth="0" w:num="1">
            <w:col w:w="11300"/>
          </w:cols>
          <w:pgMar w:left="300" w:top="460" w:right="2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CONDENSED CONSOLIDATED STATEMENTS OF INCOME </w:t>
      </w:r>
      <w:r>
        <w:rPr>
          <w:rFonts w:ascii="Arial" w:cs="Arial" w:eastAsia="Arial" w:hAnsi="Arial"/>
          <w:sz w:val="12"/>
          <w:szCs w:val="12"/>
          <w:b w:val="1"/>
          <w:bCs w:val="1"/>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4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44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0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7"/>
                <w:szCs w:val="7"/>
                <w:color w:val="auto"/>
              </w:rPr>
            </w:pPr>
          </w:p>
        </w:tc>
        <w:tc>
          <w:tcPr>
            <w:tcW w:w="124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7"/>
                <w:szCs w:val="7"/>
                <w:color w:val="auto"/>
              </w:rPr>
            </w:pPr>
          </w:p>
        </w:tc>
        <w:tc>
          <w:tcPr>
            <w:tcW w:w="1020" w:type="dxa"/>
            <w:vAlign w:val="bottom"/>
          </w:tcPr>
          <w:p>
            <w:pPr>
              <w:jc w:val="right"/>
              <w:ind w:right="281"/>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4440" w:type="dxa"/>
            <w:vAlign w:val="bottom"/>
            <w:tcBorders>
              <w:bottom w:val="single" w:sz="8" w:color="E0E7ED"/>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9"/>
              </w:rPr>
              <w:t>2025</w:t>
            </w:r>
          </w:p>
        </w:tc>
        <w:tc>
          <w:tcPr>
            <w:tcW w:w="6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Total interest income</w:t>
            </w: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235,094</w:t>
            </w:r>
          </w:p>
        </w:tc>
        <w:tc>
          <w:tcPr>
            <w:tcW w:w="60" w:type="dxa"/>
            <w:vAlign w:val="bottom"/>
            <w:shd w:val="clear" w:color="auto" w:fill="E0E7ED"/>
          </w:tcPr>
          <w:p>
            <w:pPr>
              <w:spacing w:after="0"/>
              <w:rPr>
                <w:sz w:val="14"/>
                <w:szCs w:val="14"/>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244,505</w:t>
            </w: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131,316</w:t>
            </w: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893,860</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523,681</w:t>
            </w:r>
          </w:p>
        </w:tc>
        <w:tc>
          <w:tcPr>
            <w:tcW w:w="0" w:type="dxa"/>
            <w:vAlign w:val="bottom"/>
          </w:tcPr>
          <w:p>
            <w:pPr>
              <w:spacing w:after="0"/>
              <w:rPr>
                <w:sz w:val="1"/>
                <w:szCs w:val="1"/>
                <w:color w:val="auto"/>
              </w:rPr>
            </w:pPr>
          </w:p>
        </w:tc>
      </w:tr>
      <w:tr>
        <w:trPr>
          <w:trHeight w:val="172"/>
        </w:trPr>
        <w:tc>
          <w:tcPr>
            <w:tcW w:w="444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Total interest expense</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77,536</w:t>
            </w:r>
          </w:p>
        </w:tc>
        <w:tc>
          <w:tcPr>
            <w:tcW w:w="6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89,368</w:t>
            </w:r>
          </w:p>
        </w:tc>
        <w:tc>
          <w:tcPr>
            <w:tcW w:w="6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49,738</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324,251</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201,070</w:t>
            </w:r>
          </w:p>
        </w:tc>
        <w:tc>
          <w:tcPr>
            <w:tcW w:w="0" w:type="dxa"/>
            <w:vAlign w:val="bottom"/>
          </w:tcPr>
          <w:p>
            <w:pPr>
              <w:spacing w:after="0"/>
              <w:rPr>
                <w:sz w:val="1"/>
                <w:szCs w:val="1"/>
                <w:color w:val="auto"/>
              </w:rPr>
            </w:pPr>
          </w:p>
        </w:tc>
      </w:tr>
      <w:tr>
        <w:trPr>
          <w:trHeight w:val="177"/>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Net interest income</w:t>
            </w: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157,558</w:t>
            </w: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155,137</w:t>
            </w: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81,578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569,609</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322,611</w:t>
            </w:r>
          </w:p>
        </w:tc>
        <w:tc>
          <w:tcPr>
            <w:tcW w:w="0" w:type="dxa"/>
            <w:vAlign w:val="bottom"/>
          </w:tcPr>
          <w:p>
            <w:pPr>
              <w:spacing w:after="0"/>
              <w:rPr>
                <w:sz w:val="1"/>
                <w:szCs w:val="1"/>
                <w:color w:val="auto"/>
              </w:rPr>
            </w:pPr>
          </w:p>
        </w:tc>
      </w:tr>
      <w:tr>
        <w:trPr>
          <w:trHeight w:val="180"/>
        </w:trPr>
        <w:tc>
          <w:tcPr>
            <w:tcW w:w="444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Provision for credit losses</w:t>
            </w:r>
            <w:r>
              <w:rPr>
                <w:rFonts w:ascii="Arial" w:cs="Arial" w:eastAsia="Arial" w:hAnsi="Arial"/>
                <w:sz w:val="15"/>
                <w:szCs w:val="15"/>
                <w:color w:val="auto"/>
                <w:vertAlign w:val="superscript"/>
              </w:rPr>
              <w:t>(i)</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2,435</w:t>
            </w:r>
          </w:p>
        </w:tc>
        <w:tc>
          <w:tcPr>
            <w:tcW w:w="6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(985)</w:t>
            </w:r>
          </w:p>
        </w:tc>
        <w:tc>
          <w:tcPr>
            <w:tcW w:w="6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818</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52,743</w:t>
            </w:r>
          </w:p>
        </w:tc>
        <w:tc>
          <w:tcPr>
            <w:tcW w:w="8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7,495</w:t>
            </w:r>
          </w:p>
        </w:tc>
        <w:tc>
          <w:tcPr>
            <w:tcW w:w="0" w:type="dxa"/>
            <w:vAlign w:val="bottom"/>
          </w:tcPr>
          <w:p>
            <w:pPr>
              <w:spacing w:after="0"/>
              <w:rPr>
                <w:sz w:val="1"/>
                <w:szCs w:val="1"/>
                <w:color w:val="auto"/>
              </w:rPr>
            </w:pPr>
          </w:p>
        </w:tc>
      </w:tr>
      <w:tr>
        <w:trPr>
          <w:trHeight w:val="169"/>
        </w:trPr>
        <w:tc>
          <w:tcPr>
            <w:tcW w:w="4440" w:type="dxa"/>
            <w:vAlign w:val="bottom"/>
            <w:shd w:val="clear" w:color="auto" w:fill="E0E7ED"/>
          </w:tcPr>
          <w:p>
            <w:pPr>
              <w:spacing w:after="0" w:line="169" w:lineRule="exact"/>
              <w:rPr>
                <w:sz w:val="20"/>
                <w:szCs w:val="20"/>
                <w:color w:val="auto"/>
              </w:rPr>
            </w:pPr>
            <w:r>
              <w:rPr>
                <w:rFonts w:ascii="Arial" w:cs="Arial" w:eastAsia="Arial" w:hAnsi="Arial"/>
                <w:sz w:val="12"/>
                <w:szCs w:val="12"/>
                <w:color w:val="auto"/>
              </w:rPr>
              <w:t>Net interest income after provision for credit losses</w:t>
            </w:r>
            <w:r>
              <w:rPr>
                <w:rFonts w:ascii="Arial" w:cs="Arial" w:eastAsia="Arial" w:hAnsi="Arial"/>
                <w:sz w:val="15"/>
                <w:szCs w:val="15"/>
                <w:color w:val="auto"/>
                <w:vertAlign w:val="superscript"/>
              </w:rPr>
              <w:t>(i)</w:t>
            </w:r>
          </w:p>
        </w:tc>
        <w:tc>
          <w:tcPr>
            <w:tcW w:w="200" w:type="dxa"/>
            <w:vAlign w:val="bottom"/>
            <w:shd w:val="clear" w:color="auto" w:fill="E0E7ED"/>
          </w:tcPr>
          <w:p>
            <w:pPr>
              <w:spacing w:after="0"/>
              <w:rPr>
                <w:sz w:val="14"/>
                <w:szCs w:val="14"/>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155,123</w:t>
            </w:r>
          </w:p>
        </w:tc>
        <w:tc>
          <w:tcPr>
            <w:tcW w:w="60" w:type="dxa"/>
            <w:vAlign w:val="bottom"/>
            <w:shd w:val="clear" w:color="auto" w:fill="E0E7ED"/>
          </w:tcPr>
          <w:p>
            <w:pPr>
              <w:spacing w:after="0"/>
              <w:rPr>
                <w:sz w:val="14"/>
                <w:szCs w:val="14"/>
                <w:color w:val="auto"/>
              </w:rPr>
            </w:pPr>
          </w:p>
        </w:tc>
        <w:tc>
          <w:tcPr>
            <w:tcW w:w="140" w:type="dxa"/>
            <w:vAlign w:val="bottom"/>
            <w:shd w:val="clear" w:color="auto" w:fill="E0E7ED"/>
          </w:tcPr>
          <w:p>
            <w:pPr>
              <w:spacing w:after="0"/>
              <w:rPr>
                <w:sz w:val="14"/>
                <w:szCs w:val="14"/>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156,122</w:t>
            </w: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80,760</w:t>
            </w: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516,866</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315,116</w:t>
            </w:r>
          </w:p>
        </w:tc>
        <w:tc>
          <w:tcPr>
            <w:tcW w:w="0" w:type="dxa"/>
            <w:vAlign w:val="bottom"/>
          </w:tcPr>
          <w:p>
            <w:pPr>
              <w:spacing w:after="0"/>
              <w:rPr>
                <w:sz w:val="1"/>
                <w:szCs w:val="1"/>
                <w:color w:val="auto"/>
              </w:rPr>
            </w:pPr>
          </w:p>
        </w:tc>
      </w:tr>
      <w:tr>
        <w:trPr>
          <w:trHeight w:val="172"/>
        </w:trPr>
        <w:tc>
          <w:tcPr>
            <w:tcW w:w="4440" w:type="dxa"/>
            <w:vAlign w:val="bottom"/>
          </w:tcPr>
          <w:p>
            <w:pPr>
              <w:spacing w:after="0"/>
              <w:rPr>
                <w:sz w:val="20"/>
                <w:szCs w:val="20"/>
                <w:color w:val="auto"/>
              </w:rPr>
            </w:pPr>
            <w:r>
              <w:rPr>
                <w:rFonts w:ascii="Arial" w:cs="Arial" w:eastAsia="Arial" w:hAnsi="Arial"/>
                <w:sz w:val="12"/>
                <w:szCs w:val="12"/>
                <w:color w:val="auto"/>
              </w:rPr>
              <w:t>Total noninterest income</w:t>
            </w:r>
          </w:p>
        </w:tc>
        <w:tc>
          <w:tcPr>
            <w:tcW w:w="20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42,691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41,198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35,221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149,975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139,682</w:t>
            </w:r>
          </w:p>
        </w:tc>
        <w:tc>
          <w:tcPr>
            <w:tcW w:w="0" w:type="dxa"/>
            <w:vAlign w:val="bottom"/>
          </w:tcPr>
          <w:p>
            <w:pPr>
              <w:spacing w:after="0"/>
              <w:rPr>
                <w:sz w:val="1"/>
                <w:szCs w:val="1"/>
                <w:color w:val="auto"/>
              </w:rPr>
            </w:pPr>
          </w:p>
        </w:tc>
      </w:tr>
      <w:tr>
        <w:trPr>
          <w:trHeight w:val="188"/>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Total noninterest expense</w:t>
            </w:r>
            <w:r>
              <w:rPr>
                <w:rFonts w:ascii="Arial" w:cs="Arial" w:eastAsia="Arial" w:hAnsi="Arial"/>
                <w:sz w:val="15"/>
                <w:szCs w:val="15"/>
                <w:color w:val="auto"/>
                <w:vertAlign w:val="superscript"/>
              </w:rPr>
              <w:t>(i)</w:t>
            </w:r>
          </w:p>
        </w:tc>
        <w:tc>
          <w:tcPr>
            <w:tcW w:w="20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120,320</w:t>
            </w:r>
          </w:p>
        </w:tc>
        <w:tc>
          <w:tcPr>
            <w:tcW w:w="60" w:type="dxa"/>
            <w:vAlign w:val="bottom"/>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120,018</w:t>
            </w:r>
          </w:p>
        </w:tc>
        <w:tc>
          <w:tcPr>
            <w:tcW w:w="60" w:type="dxa"/>
            <w:vAlign w:val="bottom"/>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78,622</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480,201</w:t>
            </w:r>
          </w:p>
        </w:tc>
        <w:tc>
          <w:tcPr>
            <w:tcW w:w="8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0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301,494</w:t>
            </w:r>
          </w:p>
        </w:tc>
        <w:tc>
          <w:tcPr>
            <w:tcW w:w="0" w:type="dxa"/>
            <w:vAlign w:val="bottom"/>
          </w:tcPr>
          <w:p>
            <w:pPr>
              <w:spacing w:after="0"/>
              <w:rPr>
                <w:sz w:val="1"/>
                <w:szCs w:val="1"/>
                <w:color w:val="auto"/>
              </w:rPr>
            </w:pPr>
          </w:p>
        </w:tc>
      </w:tr>
      <w:tr>
        <w:trPr>
          <w:trHeight w:val="161"/>
        </w:trPr>
        <w:tc>
          <w:tcPr>
            <w:tcW w:w="444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20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77,494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77,302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37,359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186,640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153,304</w:t>
            </w:r>
          </w:p>
        </w:tc>
        <w:tc>
          <w:tcPr>
            <w:tcW w:w="0" w:type="dxa"/>
            <w:vAlign w:val="bottom"/>
          </w:tcPr>
          <w:p>
            <w:pPr>
              <w:spacing w:after="0"/>
              <w:rPr>
                <w:sz w:val="1"/>
                <w:szCs w:val="1"/>
                <w:color w:val="auto"/>
              </w:rPr>
            </w:pPr>
          </w:p>
        </w:tc>
      </w:tr>
      <w:tr>
        <w:trPr>
          <w:trHeight w:val="188"/>
        </w:trPr>
        <w:tc>
          <w:tcPr>
            <w:tcW w:w="444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Income taxes</w:t>
            </w:r>
          </w:p>
        </w:tc>
        <w:tc>
          <w:tcPr>
            <w:tcW w:w="20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16,744</w:t>
            </w:r>
          </w:p>
        </w:tc>
        <w:tc>
          <w:tcPr>
            <w:tcW w:w="60" w:type="dxa"/>
            <w:vAlign w:val="bottom"/>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20,204</w:t>
            </w:r>
          </w:p>
        </w:tc>
        <w:tc>
          <w:tcPr>
            <w:tcW w:w="60" w:type="dxa"/>
            <w:vAlign w:val="bottom"/>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9,254</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51,378</w:t>
            </w:r>
          </w:p>
        </w:tc>
        <w:tc>
          <w:tcPr>
            <w:tcW w:w="8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0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39,613</w:t>
            </w:r>
          </w:p>
        </w:tc>
        <w:tc>
          <w:tcPr>
            <w:tcW w:w="0" w:type="dxa"/>
            <w:vAlign w:val="bottom"/>
          </w:tcPr>
          <w:p>
            <w:pPr>
              <w:spacing w:after="0"/>
              <w:rPr>
                <w:sz w:val="1"/>
                <w:szCs w:val="1"/>
                <w:color w:val="auto"/>
              </w:rPr>
            </w:pPr>
          </w:p>
        </w:tc>
      </w:tr>
      <w:tr>
        <w:trPr>
          <w:trHeight w:val="161"/>
        </w:trPr>
        <w:tc>
          <w:tcPr>
            <w:tcW w:w="4440" w:type="dxa"/>
            <w:vAlign w:val="bottom"/>
          </w:tcPr>
          <w:p>
            <w:pPr>
              <w:spacing w:after="0"/>
              <w:rPr>
                <w:sz w:val="20"/>
                <w:szCs w:val="20"/>
                <w:color w:val="auto"/>
              </w:rPr>
            </w:pPr>
            <w:r>
              <w:rPr>
                <w:rFonts w:ascii="Arial" w:cs="Arial" w:eastAsia="Arial" w:hAnsi="Arial"/>
                <w:sz w:val="12"/>
                <w:szCs w:val="12"/>
                <w:color w:val="auto"/>
              </w:rPr>
              <w:t>Net income</w:t>
            </w:r>
          </w:p>
        </w:tc>
        <w:tc>
          <w:tcPr>
            <w:tcW w:w="20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60,750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57,098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28,105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135,262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113,691</w:t>
            </w:r>
          </w:p>
        </w:tc>
        <w:tc>
          <w:tcPr>
            <w:tcW w:w="0" w:type="dxa"/>
            <w:vAlign w:val="bottom"/>
          </w:tcPr>
          <w:p>
            <w:pPr>
              <w:spacing w:after="0"/>
              <w:rPr>
                <w:sz w:val="1"/>
                <w:szCs w:val="1"/>
                <w:color w:val="auto"/>
              </w:rPr>
            </w:pPr>
          </w:p>
        </w:tc>
      </w:tr>
      <w:tr>
        <w:trPr>
          <w:trHeight w:val="180"/>
        </w:trPr>
        <w:tc>
          <w:tcPr>
            <w:tcW w:w="444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Dividends on preferred stock</w:t>
            </w: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4,590</w:t>
            </w: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5,131</w:t>
            </w: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9,876</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444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Net income available to common stockholders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56,160</w:t>
            </w:r>
          </w:p>
        </w:tc>
        <w:tc>
          <w:tcPr>
            <w:tcW w:w="60" w:type="dxa"/>
            <w:vAlign w:val="bottom"/>
            <w:tcBorders>
              <w:bottom w:val="single" w:sz="8" w:color="E0E7ED"/>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51,967</w:t>
            </w:r>
          </w:p>
        </w:tc>
        <w:tc>
          <w:tcPr>
            <w:tcW w:w="60" w:type="dxa"/>
            <w:vAlign w:val="bottom"/>
            <w:tcBorders>
              <w:bottom w:val="single" w:sz="8" w:color="E0E7ED"/>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28,105</w:t>
            </w:r>
          </w:p>
        </w:tc>
        <w:tc>
          <w:tcPr>
            <w:tcW w:w="80" w:type="dxa"/>
            <w:vAlign w:val="bottom"/>
            <w:tcBorders>
              <w:bottom w:val="single" w:sz="8" w:color="E0E7ED"/>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125,386</w:t>
            </w:r>
          </w:p>
        </w:tc>
        <w:tc>
          <w:tcPr>
            <w:tcW w:w="80" w:type="dxa"/>
            <w:vAlign w:val="bottom"/>
            <w:tcBorders>
              <w:bottom w:val="single" w:sz="8" w:color="E0E7ED"/>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113,691</w:t>
            </w:r>
          </w:p>
        </w:tc>
        <w:tc>
          <w:tcPr>
            <w:tcW w:w="0" w:type="dxa"/>
            <w:vAlign w:val="bottom"/>
          </w:tcPr>
          <w:p>
            <w:pPr>
              <w:spacing w:after="0"/>
              <w:rPr>
                <w:sz w:val="1"/>
                <w:szCs w:val="1"/>
                <w:color w:val="auto"/>
              </w:rPr>
            </w:pPr>
          </w:p>
        </w:tc>
      </w:tr>
      <w:tr>
        <w:trPr>
          <w:trHeight w:val="153"/>
        </w:trPr>
        <w:tc>
          <w:tcPr>
            <w:tcW w:w="444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140" w:type="dxa"/>
            <w:vAlign w:val="bottom"/>
            <w:shd w:val="clear" w:color="auto" w:fill="E0E7ED"/>
          </w:tcPr>
          <w:p>
            <w:pPr>
              <w:spacing w:after="0"/>
              <w:rPr>
                <w:sz w:val="13"/>
                <w:szCs w:val="13"/>
                <w:color w:val="auto"/>
              </w:rPr>
            </w:pPr>
          </w:p>
        </w:tc>
        <w:tc>
          <w:tcPr>
            <w:tcW w:w="118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1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1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40" w:type="dxa"/>
            <w:vAlign w:val="bottom"/>
          </w:tcPr>
          <w:p>
            <w:pPr>
              <w:spacing w:after="0"/>
              <w:rPr>
                <w:sz w:val="20"/>
                <w:szCs w:val="20"/>
                <w:color w:val="auto"/>
              </w:rPr>
            </w:pPr>
            <w:r>
              <w:rPr>
                <w:rFonts w:ascii="Arial" w:cs="Arial" w:eastAsia="Arial" w:hAnsi="Arial"/>
                <w:sz w:val="12"/>
                <w:szCs w:val="12"/>
                <w:color w:val="auto"/>
              </w:rPr>
              <w:t>Basic earnings per common share</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0.63</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0.58</w:t>
            </w:r>
          </w:p>
        </w:tc>
        <w:tc>
          <w:tcPr>
            <w:tcW w:w="6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0.49</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1.49</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88"/>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Diluted earnings per common share</w:t>
            </w: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0.63</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0.58</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0.49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1.47</w:t>
            </w: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64"/>
        </w:trPr>
        <w:tc>
          <w:tcPr>
            <w:tcW w:w="4440" w:type="dxa"/>
            <w:vAlign w:val="bottom"/>
          </w:tcPr>
          <w:p>
            <w:pPr>
              <w:spacing w:after="0"/>
              <w:rPr>
                <w:sz w:val="20"/>
                <w:szCs w:val="20"/>
                <w:color w:val="auto"/>
              </w:rPr>
            </w:pPr>
            <w:r>
              <w:rPr>
                <w:rFonts w:ascii="Arial" w:cs="Arial" w:eastAsia="Arial" w:hAnsi="Arial"/>
                <w:sz w:val="12"/>
                <w:szCs w:val="12"/>
                <w:color w:val="auto"/>
              </w:rPr>
              <w:t>Effective income tax rate</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21.61 %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26.14 %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24.77 %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27.53 %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25.84 %</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line="248" w:lineRule="auto"/>
        <w:tabs>
          <w:tab w:leader="none" w:pos="333" w:val="left"/>
        </w:tabs>
        <w:numPr>
          <w:ilvl w:val="0"/>
          <w:numId w:val="2"/>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Dividends on preferred stock decreased in the fourth quarter of 2025 compared to the third quarter of 2025. Based on the Certificate of Designation, dividends on the Series B Preferred Stock are calculated on the basis of a 360-day year of twelve 30-day months. The first dividend on the Series B Preferred Stock was calculated from the issuance date of May 20, 2025; therefore, it included additional days that resulted in additional dividends of $0.5 million in the third quarter of 2025.</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Busey views certain non-operating items, including acquisition-related expenses, restructuring charges, and nonrecurring strategic events, as adjustments to net income reported under U.S. generally accepted accounting principles ("GAAP"). We also adjust for net securities gains and losses to align with industry and research analyst reporting. The objective of our presentation of adjusted earnings and adjusted earnings metrics is to allow investors and analysts to more clearly identify quarterly trends in core earnings performance. Pre-tax non-GAAP adjustments were as follows:</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3</w:t>
      </w:r>
    </w:p>
    <w:p>
      <w:pPr>
        <w:sectPr>
          <w:pgSz w:w="11900" w:h="16838" w:orient="portrait"/>
          <w:cols w:equalWidth="0" w:num="1">
            <w:col w:w="11300"/>
          </w:cols>
          <w:pgMar w:left="300" w:top="946"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7"/>
                <w:szCs w:val="7"/>
                <w:color w:val="auto"/>
              </w:rPr>
            </w:pPr>
          </w:p>
        </w:tc>
        <w:tc>
          <w:tcPr>
            <w:tcW w:w="114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7"/>
                <w:szCs w:val="7"/>
                <w:color w:val="auto"/>
              </w:rPr>
            </w:pPr>
          </w:p>
        </w:tc>
        <w:tc>
          <w:tcPr>
            <w:tcW w:w="120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7"/>
                <w:szCs w:val="7"/>
                <w:color w:val="auto"/>
              </w:rPr>
            </w:pPr>
          </w:p>
        </w:tc>
        <w:tc>
          <w:tcPr>
            <w:tcW w:w="980" w:type="dxa"/>
            <w:vAlign w:val="bottom"/>
          </w:tcPr>
          <w:p>
            <w:pPr>
              <w:jc w:val="right"/>
              <w:ind w:right="262"/>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Pre-tax non-GAAP adjusting items</w:t>
            </w: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2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80" w:type="dxa"/>
            <w:vAlign w:val="bottom"/>
            <w:shd w:val="clear" w:color="auto" w:fill="E0E7ED"/>
          </w:tcPr>
          <w:p>
            <w:pPr>
              <w:spacing w:after="0"/>
              <w:rPr>
                <w:sz w:val="13"/>
                <w:szCs w:val="13"/>
                <w:color w:val="auto"/>
              </w:rPr>
            </w:pPr>
          </w:p>
        </w:tc>
        <w:tc>
          <w:tcPr>
            <w:tcW w:w="98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Realized net (gains) losses on the sale of mortgage servicing rights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(7,724)</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Net securities (gains) losses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667</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288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196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10,726</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6,102</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Other noninterest income</w:t>
            </w:r>
          </w:p>
        </w:tc>
        <w:tc>
          <w:tcPr>
            <w:tcW w:w="1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44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Provision for credit losses</w:t>
            </w:r>
          </w:p>
        </w:tc>
        <w:tc>
          <w:tcPr>
            <w:tcW w:w="180" w:type="dxa"/>
            <w:vAlign w:val="bottom"/>
            <w:shd w:val="clear" w:color="auto" w:fill="E0E7ED"/>
          </w:tcPr>
          <w:p>
            <w:pPr>
              <w:spacing w:after="0"/>
              <w:rPr>
                <w:sz w:val="16"/>
                <w:szCs w:val="16"/>
                <w:color w:val="auto"/>
              </w:rPr>
            </w:pPr>
          </w:p>
        </w:tc>
        <w:tc>
          <w:tcPr>
            <w:tcW w:w="11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E0E7ED"/>
          </w:tcPr>
          <w:p>
            <w:pPr>
              <w:spacing w:after="0"/>
              <w:rPr>
                <w:sz w:val="16"/>
                <w:szCs w:val="16"/>
                <w:color w:val="auto"/>
              </w:rPr>
            </w:pPr>
          </w:p>
        </w:tc>
        <w:tc>
          <w:tcPr>
            <w:tcW w:w="120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6"/>
                <w:szCs w:val="16"/>
                <w:color w:val="auto"/>
              </w:rPr>
            </w:pPr>
          </w:p>
        </w:tc>
        <w:tc>
          <w:tcPr>
            <w:tcW w:w="112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49,602</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Salaries, wages, and employee benefits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5,610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247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37,072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1,580</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Data processing</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294</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424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6,984</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548</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Net occupancy expense of premises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Furniture and equipment expenses</w:t>
            </w:r>
          </w:p>
        </w:tc>
        <w:tc>
          <w:tcPr>
            <w:tcW w:w="180" w:type="dxa"/>
            <w:vAlign w:val="bottom"/>
            <w:shd w:val="clear" w:color="auto" w:fill="E0E7ED"/>
          </w:tcPr>
          <w:p>
            <w:pPr>
              <w:spacing w:after="0"/>
              <w:rPr>
                <w:sz w:val="16"/>
                <w:szCs w:val="16"/>
                <w:color w:val="auto"/>
              </w:rPr>
            </w:pPr>
          </w:p>
        </w:tc>
        <w:tc>
          <w:tcPr>
            <w:tcW w:w="11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67</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Professional fees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358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2,983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8,100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4,891</w:t>
            </w:r>
          </w:p>
        </w:tc>
        <w:tc>
          <w:tcPr>
            <w:tcW w:w="0" w:type="dxa"/>
            <w:vAlign w:val="bottom"/>
          </w:tcPr>
          <w:p>
            <w:pPr>
              <w:spacing w:after="0"/>
              <w:rPr>
                <w:sz w:val="1"/>
                <w:szCs w:val="1"/>
                <w:color w:val="auto"/>
              </w:rPr>
            </w:pPr>
          </w:p>
        </w:tc>
      </w:tr>
      <w:tr>
        <w:trPr>
          <w:trHeight w:val="180"/>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noninterest expense</w:t>
            </w:r>
          </w:p>
        </w:tc>
        <w:tc>
          <w:tcPr>
            <w:tcW w:w="18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360</w:t>
            </w:r>
          </w:p>
        </w:tc>
        <w:tc>
          <w:tcPr>
            <w:tcW w:w="80" w:type="dxa"/>
            <w:vAlign w:val="bottom"/>
            <w:shd w:val="clear" w:color="auto" w:fill="E0E7ED"/>
          </w:tcPr>
          <w:p>
            <w:pPr>
              <w:spacing w:after="0"/>
              <w:rPr>
                <w:sz w:val="15"/>
                <w:szCs w:val="15"/>
                <w:color w:val="auto"/>
              </w:rPr>
            </w:pPr>
          </w:p>
        </w:tc>
        <w:tc>
          <w:tcPr>
            <w:tcW w:w="120" w:type="dxa"/>
            <w:vAlign w:val="bottom"/>
            <w:tcBorders>
              <w:bottom w:val="single" w:sz="8" w:color="auto"/>
            </w:tcBorders>
            <w:shd w:val="clear" w:color="auto" w:fill="E0E7ED"/>
          </w:tcPr>
          <w:p>
            <w:pPr>
              <w:spacing w:after="0"/>
              <w:rPr>
                <w:sz w:val="15"/>
                <w:szCs w:val="15"/>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740</w:t>
            </w:r>
          </w:p>
        </w:tc>
        <w:tc>
          <w:tcPr>
            <w:tcW w:w="8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300</w:t>
            </w:r>
          </w:p>
        </w:tc>
        <w:tc>
          <w:tcPr>
            <w:tcW w:w="8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2,413</w:t>
            </w:r>
          </w:p>
        </w:tc>
        <w:tc>
          <w:tcPr>
            <w:tcW w:w="60" w:type="dxa"/>
            <w:vAlign w:val="bottom"/>
            <w:shd w:val="clear" w:color="auto" w:fill="E0E7ED"/>
          </w:tcPr>
          <w:p>
            <w:pPr>
              <w:spacing w:after="0"/>
              <w:rPr>
                <w:sz w:val="15"/>
                <w:szCs w:val="15"/>
                <w:color w:val="auto"/>
              </w:rPr>
            </w:pPr>
          </w:p>
        </w:tc>
        <w:tc>
          <w:tcPr>
            <w:tcW w:w="280" w:type="dxa"/>
            <w:vAlign w:val="bottom"/>
            <w:tcBorders>
              <w:bottom w:val="single" w:sz="8" w:color="auto"/>
            </w:tcBorders>
            <w:shd w:val="clear" w:color="auto" w:fill="E0E7ED"/>
          </w:tcPr>
          <w:p>
            <w:pPr>
              <w:spacing w:after="0"/>
              <w:rPr>
                <w:sz w:val="15"/>
                <w:szCs w:val="15"/>
                <w:color w:val="auto"/>
              </w:rPr>
            </w:pPr>
          </w:p>
        </w:tc>
        <w:tc>
          <w:tcPr>
            <w:tcW w:w="98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987</w:t>
            </w:r>
          </w:p>
        </w:tc>
        <w:tc>
          <w:tcPr>
            <w:tcW w:w="0" w:type="dxa"/>
            <w:vAlign w:val="bottom"/>
          </w:tcPr>
          <w:p>
            <w:pPr>
              <w:spacing w:after="0"/>
              <w:rPr>
                <w:sz w:val="1"/>
                <w:szCs w:val="1"/>
                <w:color w:val="auto"/>
              </w:rPr>
            </w:pPr>
          </w:p>
        </w:tc>
      </w:tr>
      <w:tr>
        <w:trPr>
          <w:trHeight w:val="177"/>
        </w:trPr>
        <w:tc>
          <w:tcPr>
            <w:tcW w:w="4760" w:type="dxa"/>
            <w:vAlign w:val="bottom"/>
          </w:tcPr>
          <w:p>
            <w:pPr>
              <w:spacing w:after="0"/>
              <w:rPr>
                <w:sz w:val="20"/>
                <w:szCs w:val="20"/>
                <w:color w:val="auto"/>
              </w:rPr>
            </w:pPr>
            <w:r>
              <w:rPr>
                <w:rFonts w:ascii="Arial" w:cs="Arial" w:eastAsia="Arial" w:hAnsi="Arial"/>
                <w:sz w:val="12"/>
                <w:szCs w:val="12"/>
                <w:color w:val="auto"/>
              </w:rPr>
              <w:t>Total pre-tax non-GAAP adjustments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5,483</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7,539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115,021</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6,518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971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For more information and a reconciliation of non-GAAP measures—which are identified with the End Note labeled as 2—in tabular form, see "</w:t>
      </w:r>
      <w:r>
        <w:rPr>
          <w:rFonts w:ascii="Arial" w:cs="Arial" w:eastAsia="Arial" w:hAnsi="Arial"/>
          <w:sz w:val="12"/>
          <w:szCs w:val="12"/>
          <w:u w:val="single" w:color="auto"/>
          <w:color w:val="0000FF"/>
        </w:rPr>
        <w:t>Non-GAAP Financial Information</w:t>
      </w:r>
      <w:r>
        <w:rPr>
          <w:rFonts w:ascii="Arial" w:cs="Arial" w:eastAsia="Arial" w:hAnsi="Arial"/>
          <w:sz w:val="12"/>
          <w:szCs w:val="12"/>
          <w:color w:val="auto"/>
        </w:rPr>
        <w:t xml:space="preserve">" beginning on page </w:t>
      </w:r>
      <w:r>
        <w:rPr>
          <w:rFonts w:ascii="Arial" w:cs="Arial" w:eastAsia="Arial" w:hAnsi="Arial"/>
          <w:sz w:val="12"/>
          <w:szCs w:val="12"/>
          <w:u w:val="single" w:color="auto"/>
          <w:color w:val="0000FF"/>
        </w:rPr>
        <w:t>15</w:t>
      </w:r>
      <w:r>
        <w:rPr>
          <w:rFonts w:ascii="Arial" w:cs="Arial" w:eastAsia="Arial" w:hAnsi="Arial"/>
          <w:sz w:val="12"/>
          <w:szCs w:val="12"/>
          <w:color w:val="auto"/>
        </w:rPr>
        <w:t>.</w:t>
      </w:r>
    </w:p>
    <w:p>
      <w:pPr>
        <w:spacing w:after="0" w:line="123"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Adjusted net income available to common stockholders,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which excludes the impact of non-GAAP adjustments, was $60.6 million, or $0.68 per diluted common share, for the fourth quarter of 2025, compared to $57.4 million, or $0.64 per diluted common share, for the third quarter of 2025 and $ 30.9 million, or $0.53 per diluted common share, for the fourth quarter of 2024. Annualized adjusted return on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annualized adjusted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1.41% and 13.58%, respectively, for the fourth quarter of 2025.</w:t>
      </w:r>
    </w:p>
    <w:p>
      <w:pPr>
        <w:spacing w:after="0" w:line="64"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Full-year 2025 adjusted net income available to common stockholders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$215.1 million, or $2.53 per diluted common share. Adjusted return on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adjusted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1.27% and 12.83%,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Pre-Provision Net Revenue</w:t>
      </w:r>
      <w:r>
        <w:rPr>
          <w:rFonts w:ascii="Arial" w:cs="Arial" w:eastAsia="Arial" w:hAnsi="Arial"/>
          <w:sz w:val="15"/>
          <w:szCs w:val="15"/>
          <w:color w:val="auto"/>
          <w:vertAlign w:val="superscript"/>
        </w:rPr>
        <w:t>2</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$80.6 million for the fourth quarter of 2025, compared to $76.6 million for the third quarter of 2025 and $38.4 million for the fourth quarter of 2024.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1.75% for the fourth quarter of 2025, compared to 1.63% for the third quarter of 2025, and 1.26% for the fourth quarter of 2024.</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Adjusted 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$ 85.4 million for the fourth quarter of 2025, compared to $ 83.9 million for the third quarter of 2025 and $42.0 million for the fourth quarter of 2024. Adjusted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1.85% for the fourth quarter of 2025, compared to 1.78% for the third quarter of 2025 and 1.38% for the fourth quarter of 2024.</w:t>
      </w:r>
    </w:p>
    <w:p>
      <w:pPr>
        <w:spacing w:after="0" w:line="6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Taking into account our fourth quarter results, full year 2025 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$250.1 million and adjusted 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$304.8 million.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adjusted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1.41% and 1.72%, respectively.</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4</w:t>
      </w:r>
    </w:p>
    <w:p>
      <w:pPr>
        <w:sectPr>
          <w:pgSz w:w="11900" w:h="16838" w:orient="portrait"/>
          <w:cols w:equalWidth="0" w:num="1">
            <w:col w:w="11300"/>
          </w:cols>
          <w:pgMar w:left="300" w:top="961"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Net Interest Income and Net Interest Margin</w:t>
      </w:r>
      <w:r>
        <w:rPr>
          <w:rFonts w:ascii="Arial" w:cs="Arial" w:eastAsia="Arial" w:hAnsi="Arial"/>
          <w:sz w:val="15"/>
          <w:szCs w:val="15"/>
          <w:color w:val="auto"/>
          <w:vertAlign w:val="superscript"/>
        </w:rPr>
        <w:t>2</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Busey’s average balances, annualized yield rates, and net interest margins are presented in the tables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7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5"/>
          </w:tcPr>
          <w:p>
            <w:pPr>
              <w:ind w:left="84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7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December 31, 2025</w:t>
            </w:r>
          </w:p>
        </w:tc>
        <w:tc>
          <w:tcPr>
            <w:tcW w:w="1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September 30, 2025</w:t>
            </w: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8"/>
                <w:szCs w:val="8"/>
                <w:color w:val="auto"/>
              </w:rPr>
            </w:pPr>
          </w:p>
        </w:tc>
        <w:tc>
          <w:tcPr>
            <w:tcW w:w="1000" w:type="dxa"/>
            <w:vAlign w:val="bottom"/>
            <w:gridSpan w:val="2"/>
          </w:tcPr>
          <w:p>
            <w:pPr>
              <w:ind w:left="160"/>
              <w:spacing w:after="0" w:line="97" w:lineRule="exact"/>
              <w:rPr>
                <w:sz w:val="20"/>
                <w:szCs w:val="20"/>
                <w:color w:val="auto"/>
              </w:rPr>
            </w:pPr>
            <w:r>
              <w:rPr>
                <w:rFonts w:ascii="Arial" w:cs="Arial" w:eastAsia="Arial" w:hAnsi="Arial"/>
                <w:sz w:val="10"/>
                <w:szCs w:val="10"/>
                <w:b w:val="1"/>
                <w:bCs w:val="1"/>
                <w:color w:val="auto"/>
              </w:rPr>
              <w:t>Average</w:t>
            </w:r>
          </w:p>
        </w:tc>
        <w:tc>
          <w:tcPr>
            <w:tcW w:w="140" w:type="dxa"/>
            <w:vAlign w:val="bottom"/>
          </w:tcPr>
          <w:p>
            <w:pPr>
              <w:spacing w:after="0"/>
              <w:rPr>
                <w:sz w:val="8"/>
                <w:szCs w:val="8"/>
                <w:color w:val="auto"/>
              </w:rPr>
            </w:pPr>
          </w:p>
        </w:tc>
        <w:tc>
          <w:tcPr>
            <w:tcW w:w="1080" w:type="dxa"/>
            <w:vAlign w:val="bottom"/>
            <w:gridSpan w:val="2"/>
          </w:tcPr>
          <w:p>
            <w:pPr>
              <w:ind w:left="260"/>
              <w:spacing w:after="0" w:line="97" w:lineRule="exact"/>
              <w:rPr>
                <w:sz w:val="20"/>
                <w:szCs w:val="20"/>
                <w:color w:val="auto"/>
              </w:rPr>
            </w:pPr>
            <w:r>
              <w:rPr>
                <w:rFonts w:ascii="Arial" w:cs="Arial" w:eastAsia="Arial" w:hAnsi="Arial"/>
                <w:sz w:val="10"/>
                <w:szCs w:val="10"/>
                <w:b w:val="1"/>
                <w:bCs w:val="1"/>
                <w:color w:val="auto"/>
              </w:rPr>
              <w:t>Income/</w:t>
            </w:r>
          </w:p>
        </w:tc>
        <w:tc>
          <w:tcPr>
            <w:tcW w:w="1260" w:type="dxa"/>
            <w:vAlign w:val="bottom"/>
          </w:tcPr>
          <w:p>
            <w:pPr>
              <w:jc w:val="right"/>
              <w:ind w:right="442"/>
              <w:spacing w:after="0" w:line="97" w:lineRule="exact"/>
              <w:rPr>
                <w:sz w:val="20"/>
                <w:szCs w:val="20"/>
                <w:color w:val="auto"/>
              </w:rPr>
            </w:pPr>
            <w:r>
              <w:rPr>
                <w:rFonts w:ascii="Arial" w:cs="Arial" w:eastAsia="Arial" w:hAnsi="Arial"/>
                <w:sz w:val="10"/>
                <w:szCs w:val="10"/>
                <w:b w:val="1"/>
                <w:bCs w:val="1"/>
                <w:color w:val="auto"/>
              </w:rPr>
              <w:t>Yield/</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2"/>
          </w:tcPr>
          <w:p>
            <w:pPr>
              <w:ind w:left="160"/>
              <w:spacing w:after="0" w:line="97" w:lineRule="exact"/>
              <w:rPr>
                <w:sz w:val="20"/>
                <w:szCs w:val="20"/>
                <w:color w:val="auto"/>
              </w:rPr>
            </w:pPr>
            <w:r>
              <w:rPr>
                <w:rFonts w:ascii="Arial" w:cs="Arial" w:eastAsia="Arial" w:hAnsi="Arial"/>
                <w:sz w:val="10"/>
                <w:szCs w:val="10"/>
                <w:b w:val="1"/>
                <w:bCs w:val="1"/>
                <w:color w:val="auto"/>
              </w:rPr>
              <w:t>Average</w:t>
            </w:r>
          </w:p>
        </w:tc>
        <w:tc>
          <w:tcPr>
            <w:tcW w:w="140" w:type="dxa"/>
            <w:vAlign w:val="bottom"/>
          </w:tcPr>
          <w:p>
            <w:pPr>
              <w:spacing w:after="0"/>
              <w:rPr>
                <w:sz w:val="8"/>
                <w:szCs w:val="8"/>
                <w:color w:val="auto"/>
              </w:rPr>
            </w:pPr>
          </w:p>
        </w:tc>
        <w:tc>
          <w:tcPr>
            <w:tcW w:w="1100" w:type="dxa"/>
            <w:vAlign w:val="bottom"/>
            <w:gridSpan w:val="2"/>
          </w:tcPr>
          <w:p>
            <w:pPr>
              <w:ind w:left="260"/>
              <w:spacing w:after="0" w:line="97" w:lineRule="exact"/>
              <w:rPr>
                <w:sz w:val="20"/>
                <w:szCs w:val="20"/>
                <w:color w:val="auto"/>
              </w:rPr>
            </w:pPr>
            <w:r>
              <w:rPr>
                <w:rFonts w:ascii="Arial" w:cs="Arial" w:eastAsia="Arial" w:hAnsi="Arial"/>
                <w:sz w:val="10"/>
                <w:szCs w:val="10"/>
                <w:b w:val="1"/>
                <w:bCs w:val="1"/>
                <w:color w:val="auto"/>
              </w:rPr>
              <w:t>Income/</w:t>
            </w:r>
          </w:p>
        </w:tc>
        <w:tc>
          <w:tcPr>
            <w:tcW w:w="1260" w:type="dxa"/>
            <w:vAlign w:val="bottom"/>
          </w:tcPr>
          <w:p>
            <w:pPr>
              <w:jc w:val="right"/>
              <w:ind w:right="442"/>
              <w:spacing w:after="0" w:line="97" w:lineRule="exact"/>
              <w:rPr>
                <w:sz w:val="20"/>
                <w:szCs w:val="20"/>
                <w:color w:val="auto"/>
              </w:rPr>
            </w:pPr>
            <w:r>
              <w:rPr>
                <w:rFonts w:ascii="Arial" w:cs="Arial" w:eastAsia="Arial" w:hAnsi="Arial"/>
                <w:sz w:val="10"/>
                <w:szCs w:val="10"/>
                <w:b w:val="1"/>
                <w:bCs w:val="1"/>
                <w:color w:val="auto"/>
              </w:rPr>
              <w:t>Yield/</w:t>
            </w: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Balance</w:t>
            </w:r>
          </w:p>
        </w:tc>
        <w:tc>
          <w:tcPr>
            <w:tcW w:w="140" w:type="dxa"/>
            <w:vAlign w:val="bottom"/>
          </w:tcPr>
          <w:p>
            <w:pPr>
              <w:spacing w:after="0"/>
              <w:rPr>
                <w:sz w:val="10"/>
                <w:szCs w:val="10"/>
                <w:color w:val="auto"/>
              </w:rPr>
            </w:pPr>
          </w:p>
        </w:tc>
        <w:tc>
          <w:tcPr>
            <w:tcW w:w="1080" w:type="dxa"/>
            <w:vAlign w:val="bottom"/>
            <w:gridSpan w:val="2"/>
          </w:tcPr>
          <w:p>
            <w:pPr>
              <w:ind w:left="240"/>
              <w:spacing w:after="0"/>
              <w:rPr>
                <w:sz w:val="20"/>
                <w:szCs w:val="20"/>
                <w:color w:val="auto"/>
              </w:rPr>
            </w:pPr>
            <w:r>
              <w:rPr>
                <w:rFonts w:ascii="Arial" w:cs="Arial" w:eastAsia="Arial" w:hAnsi="Arial"/>
                <w:sz w:val="10"/>
                <w:szCs w:val="10"/>
                <w:b w:val="1"/>
                <w:bCs w:val="1"/>
                <w:color w:val="auto"/>
              </w:rPr>
              <w:t>Expense</w:t>
            </w:r>
          </w:p>
        </w:tc>
        <w:tc>
          <w:tcPr>
            <w:tcW w:w="1260" w:type="dxa"/>
            <w:vAlign w:val="bottom"/>
          </w:tcPr>
          <w:p>
            <w:pPr>
              <w:jc w:val="right"/>
              <w:ind w:right="422"/>
              <w:spacing w:after="0" w:line="117" w:lineRule="exact"/>
              <w:rPr>
                <w:sz w:val="20"/>
                <w:szCs w:val="20"/>
                <w:color w:val="auto"/>
              </w:rPr>
            </w:pPr>
            <w:r>
              <w:rPr>
                <w:rFonts w:ascii="Arial" w:cs="Arial" w:eastAsia="Arial" w:hAnsi="Arial"/>
                <w:sz w:val="10"/>
                <w:szCs w:val="10"/>
                <w:b w:val="1"/>
                <w:bCs w:val="1"/>
                <w:color w:val="auto"/>
              </w:rPr>
              <w:t>Rate</w:t>
            </w:r>
            <w:r>
              <w:rPr>
                <w:rFonts w:ascii="Arial" w:cs="Arial" w:eastAsia="Arial" w:hAnsi="Arial"/>
                <w:sz w:val="12"/>
                <w:szCs w:val="12"/>
                <w:b w:val="1"/>
                <w:bCs w:val="1"/>
                <w:color w:val="auto"/>
                <w:vertAlign w:val="superscript"/>
              </w:rPr>
              <w:t>(vi)</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Balance</w:t>
            </w:r>
          </w:p>
        </w:tc>
        <w:tc>
          <w:tcPr>
            <w:tcW w:w="140" w:type="dxa"/>
            <w:vAlign w:val="bottom"/>
          </w:tcPr>
          <w:p>
            <w:pPr>
              <w:spacing w:after="0"/>
              <w:rPr>
                <w:sz w:val="10"/>
                <w:szCs w:val="10"/>
                <w:color w:val="auto"/>
              </w:rPr>
            </w:pPr>
          </w:p>
        </w:tc>
        <w:tc>
          <w:tcPr>
            <w:tcW w:w="1100" w:type="dxa"/>
            <w:vAlign w:val="bottom"/>
            <w:gridSpan w:val="2"/>
          </w:tcPr>
          <w:p>
            <w:pPr>
              <w:ind w:left="240"/>
              <w:spacing w:after="0"/>
              <w:rPr>
                <w:sz w:val="20"/>
                <w:szCs w:val="20"/>
                <w:color w:val="auto"/>
              </w:rPr>
            </w:pPr>
            <w:r>
              <w:rPr>
                <w:rFonts w:ascii="Arial" w:cs="Arial" w:eastAsia="Arial" w:hAnsi="Arial"/>
                <w:sz w:val="10"/>
                <w:szCs w:val="10"/>
                <w:b w:val="1"/>
                <w:bCs w:val="1"/>
                <w:color w:val="auto"/>
              </w:rPr>
              <w:t>Expense</w:t>
            </w:r>
          </w:p>
        </w:tc>
        <w:tc>
          <w:tcPr>
            <w:tcW w:w="1260" w:type="dxa"/>
            <w:vAlign w:val="bottom"/>
          </w:tcPr>
          <w:p>
            <w:pPr>
              <w:jc w:val="right"/>
              <w:ind w:right="422"/>
              <w:spacing w:after="0" w:line="117" w:lineRule="exact"/>
              <w:rPr>
                <w:sz w:val="20"/>
                <w:szCs w:val="20"/>
                <w:color w:val="auto"/>
              </w:rPr>
            </w:pPr>
            <w:r>
              <w:rPr>
                <w:rFonts w:ascii="Arial" w:cs="Arial" w:eastAsia="Arial" w:hAnsi="Arial"/>
                <w:sz w:val="10"/>
                <w:szCs w:val="10"/>
                <w:b w:val="1"/>
                <w:bCs w:val="1"/>
                <w:color w:val="auto"/>
              </w:rPr>
              <w:t>Rate</w:t>
            </w:r>
            <w:r>
              <w:rPr>
                <w:rFonts w:ascii="Arial" w:cs="Arial" w:eastAsia="Arial" w:hAnsi="Arial"/>
                <w:sz w:val="12"/>
                <w:szCs w:val="12"/>
                <w:b w:val="1"/>
                <w:bCs w:val="1"/>
                <w:color w:val="auto"/>
                <w:vertAlign w:val="superscript"/>
              </w:rPr>
              <w:t>(vi)</w:t>
            </w:r>
          </w:p>
        </w:tc>
        <w:tc>
          <w:tcPr>
            <w:tcW w:w="0" w:type="dxa"/>
            <w:vAlign w:val="bottom"/>
          </w:tcPr>
          <w:p>
            <w:pPr>
              <w:spacing w:after="0"/>
              <w:rPr>
                <w:sz w:val="1"/>
                <w:szCs w:val="1"/>
                <w:color w:val="auto"/>
              </w:rPr>
            </w:pPr>
          </w:p>
        </w:tc>
      </w:tr>
      <w:tr>
        <w:trPr>
          <w:trHeight w:val="160"/>
        </w:trPr>
        <w:tc>
          <w:tcPr>
            <w:tcW w:w="3760" w:type="dxa"/>
            <w:vAlign w:val="bottom"/>
            <w:tcBorders>
              <w:top w:val="single" w:sz="8" w:color="E0E7ED"/>
            </w:tcBorders>
            <w:shd w:val="clear" w:color="auto" w:fill="E0E7ED"/>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tcBorders>
              <w:top w:val="single" w:sz="8" w:color="auto"/>
            </w:tcBorders>
            <w:shd w:val="clear" w:color="auto" w:fill="E0E7ED"/>
          </w:tcPr>
          <w:p>
            <w:pPr>
              <w:spacing w:after="0"/>
              <w:rPr>
                <w:sz w:val="13"/>
                <w:szCs w:val="13"/>
                <w:color w:val="auto"/>
              </w:rPr>
            </w:pPr>
          </w:p>
        </w:tc>
        <w:tc>
          <w:tcPr>
            <w:tcW w:w="92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40" w:type="dxa"/>
            <w:vAlign w:val="bottom"/>
            <w:tcBorders>
              <w:top w:val="single" w:sz="8" w:color="auto"/>
            </w:tcBorders>
            <w:shd w:val="clear" w:color="auto" w:fill="E0E7ED"/>
          </w:tcPr>
          <w:p>
            <w:pPr>
              <w:spacing w:after="0"/>
              <w:rPr>
                <w:sz w:val="13"/>
                <w:szCs w:val="13"/>
                <w:color w:val="auto"/>
              </w:rPr>
            </w:pPr>
          </w:p>
        </w:tc>
        <w:tc>
          <w:tcPr>
            <w:tcW w:w="1020" w:type="dxa"/>
            <w:vAlign w:val="bottom"/>
            <w:tcBorders>
              <w:top w:val="single" w:sz="8" w:color="auto"/>
            </w:tcBorders>
            <w:shd w:val="clear" w:color="auto" w:fill="E0E7ED"/>
          </w:tcPr>
          <w:p>
            <w:pPr>
              <w:spacing w:after="0"/>
              <w:rPr>
                <w:sz w:val="13"/>
                <w:szCs w:val="13"/>
                <w:color w:val="auto"/>
              </w:rPr>
            </w:pPr>
          </w:p>
        </w:tc>
        <w:tc>
          <w:tcPr>
            <w:tcW w:w="60" w:type="dxa"/>
            <w:vAlign w:val="bottom"/>
            <w:tcBorders>
              <w:top w:val="single" w:sz="8" w:color="E0E7ED"/>
            </w:tcBorders>
            <w:shd w:val="clear" w:color="auto" w:fill="E0E7ED"/>
          </w:tcPr>
          <w:p>
            <w:pPr>
              <w:spacing w:after="0"/>
              <w:rPr>
                <w:sz w:val="13"/>
                <w:szCs w:val="13"/>
                <w:color w:val="auto"/>
              </w:rPr>
            </w:pPr>
          </w:p>
        </w:tc>
        <w:tc>
          <w:tcPr>
            <w:tcW w:w="126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24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60" w:type="dxa"/>
            <w:vAlign w:val="bottom"/>
            <w:tcBorders>
              <w:top w:val="single" w:sz="8" w:color="E0E7ED"/>
            </w:tcBorders>
            <w:shd w:val="clear" w:color="auto" w:fill="E0E7ED"/>
          </w:tcPr>
          <w:p>
            <w:pPr>
              <w:spacing w:after="0"/>
              <w:rPr>
                <w:sz w:val="13"/>
                <w:szCs w:val="13"/>
                <w:color w:val="auto"/>
              </w:rPr>
            </w:pPr>
          </w:p>
        </w:tc>
        <w:tc>
          <w:tcPr>
            <w:tcW w:w="140" w:type="dxa"/>
            <w:vAlign w:val="bottom"/>
            <w:tcBorders>
              <w:top w:val="single" w:sz="8" w:color="auto"/>
            </w:tcBorders>
            <w:shd w:val="clear" w:color="auto" w:fill="E0E7ED"/>
          </w:tcPr>
          <w:p>
            <w:pPr>
              <w:spacing w:after="0"/>
              <w:rPr>
                <w:sz w:val="13"/>
                <w:szCs w:val="13"/>
                <w:color w:val="auto"/>
              </w:rPr>
            </w:pPr>
          </w:p>
        </w:tc>
        <w:tc>
          <w:tcPr>
            <w:tcW w:w="102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26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Interest-bearing bank deposits and federal funds sold</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417,451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4,101</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3.90 %</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489,730</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5,487</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4.45 %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Investment securities</w:t>
            </w:r>
            <w:r>
              <w:rPr>
                <w:rFonts w:ascii="Arial" w:cs="Arial" w:eastAsia="Arial" w:hAnsi="Arial"/>
                <w:sz w:val="15"/>
                <w:szCs w:val="15"/>
                <w:color w:val="auto"/>
                <w:vertAlign w:val="superscript"/>
              </w:rPr>
              <w:t>(i)(ii)</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2,872,518</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22,527</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3.11 %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2,963,467</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24,228</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3.24 %</w:t>
            </w: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Restricted bank stock</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77,006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783</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4.03 %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77,041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871</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4.49 %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Loans held for sale</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8,705</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128</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5.83 %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9,895</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155</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6.21 %</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Portfolio loans</w:t>
            </w:r>
            <w:r>
              <w:rPr>
                <w:rFonts w:ascii="Arial" w:cs="Arial" w:eastAsia="Arial" w:hAnsi="Arial"/>
                <w:sz w:val="15"/>
                <w:szCs w:val="15"/>
                <w:color w:val="auto"/>
                <w:vertAlign w:val="superscript"/>
              </w:rPr>
              <w:t>(i)(iii)</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13,565,320</w:t>
            </w:r>
          </w:p>
        </w:tc>
        <w:tc>
          <w:tcPr>
            <w:tcW w:w="8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208,415</w:t>
            </w:r>
          </w:p>
        </w:tc>
        <w:tc>
          <w:tcPr>
            <w:tcW w:w="6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6.10 %</w:t>
            </w: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13,732,229</w:t>
            </w:r>
          </w:p>
        </w:tc>
        <w:tc>
          <w:tcPr>
            <w:tcW w:w="6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214,552</w:t>
            </w:r>
          </w:p>
        </w:tc>
        <w:tc>
          <w:tcPr>
            <w:tcW w:w="8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6.20 %</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E0E7ED"/>
            </w:tcBorders>
            <w:shd w:val="clear" w:color="auto" w:fill="E0E7ED"/>
          </w:tcPr>
          <w:p>
            <w:pPr>
              <w:ind w:left="120"/>
              <w:spacing w:after="0" w:line="169"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5"/>
                <w:szCs w:val="15"/>
                <w:color w:val="auto"/>
                <w:vertAlign w:val="superscript"/>
              </w:rPr>
              <w:t>(i)</w:t>
            </w:r>
          </w:p>
        </w:tc>
        <w:tc>
          <w:tcPr>
            <w:tcW w:w="240" w:type="dxa"/>
            <w:vAlign w:val="bottom"/>
            <w:tcBorders>
              <w:bottom w:val="single" w:sz="8" w:color="E0E7ED"/>
            </w:tcBorders>
            <w:shd w:val="clear" w:color="auto" w:fill="E0E7ED"/>
          </w:tcPr>
          <w:p>
            <w:pPr>
              <w:spacing w:after="0"/>
              <w:rPr>
                <w:sz w:val="16"/>
                <w:szCs w:val="16"/>
                <w:color w:val="auto"/>
              </w:rPr>
            </w:pPr>
          </w:p>
        </w:tc>
        <w:tc>
          <w:tcPr>
            <w:tcW w:w="9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16,941,000</w:t>
            </w:r>
          </w:p>
        </w:tc>
        <w:tc>
          <w:tcPr>
            <w:tcW w:w="8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235,954</w:t>
            </w:r>
          </w:p>
        </w:tc>
        <w:tc>
          <w:tcPr>
            <w:tcW w:w="6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5.53 %</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17,272,362</w:t>
            </w:r>
          </w:p>
        </w:tc>
        <w:tc>
          <w:tcPr>
            <w:tcW w:w="6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245,293</w:t>
            </w:r>
          </w:p>
        </w:tc>
        <w:tc>
          <w:tcPr>
            <w:tcW w:w="8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5.63 %</w:t>
            </w:r>
          </w:p>
        </w:tc>
        <w:tc>
          <w:tcPr>
            <w:tcW w:w="0" w:type="dxa"/>
            <w:vAlign w:val="bottom"/>
          </w:tcPr>
          <w:p>
            <w:pPr>
              <w:spacing w:after="0"/>
              <w:rPr>
                <w:sz w:val="1"/>
                <w:szCs w:val="1"/>
                <w:color w:val="auto"/>
              </w:rPr>
            </w:pPr>
          </w:p>
        </w:tc>
      </w:tr>
      <w:tr>
        <w:trPr>
          <w:trHeight w:val="150"/>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Noninterest-earning assets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1,368,250</w:t>
            </w:r>
          </w:p>
        </w:tc>
        <w:tc>
          <w:tcPr>
            <w:tcW w:w="80" w:type="dxa"/>
            <w:vAlign w:val="bottom"/>
            <w:tcBorders>
              <w:bottom w:val="single" w:sz="8" w:color="E0E7ED"/>
            </w:tcBorders>
          </w:tcPr>
          <w:p>
            <w:pPr>
              <w:spacing w:after="0"/>
              <w:rPr>
                <w:sz w:val="13"/>
                <w:szCs w:val="13"/>
                <w:color w:val="auto"/>
              </w:rPr>
            </w:pPr>
          </w:p>
        </w:tc>
        <w:tc>
          <w:tcPr>
            <w:tcW w:w="140" w:type="dxa"/>
            <w:vAlign w:val="bottom"/>
            <w:tcBorders>
              <w:bottom w:val="single" w:sz="8" w:color="E0E7ED"/>
            </w:tcBorders>
          </w:tcPr>
          <w:p>
            <w:pPr>
              <w:spacing w:after="0"/>
              <w:rPr>
                <w:sz w:val="13"/>
                <w:szCs w:val="13"/>
                <w:color w:val="auto"/>
              </w:rPr>
            </w:pPr>
          </w:p>
        </w:tc>
        <w:tc>
          <w:tcPr>
            <w:tcW w:w="1020" w:type="dxa"/>
            <w:vAlign w:val="bottom"/>
            <w:tcBorders>
              <w:bottom w:val="single" w:sz="8" w:color="E0E7ED"/>
            </w:tcBorders>
          </w:tcPr>
          <w:p>
            <w:pPr>
              <w:spacing w:after="0"/>
              <w:rPr>
                <w:sz w:val="13"/>
                <w:szCs w:val="13"/>
                <w:color w:val="auto"/>
              </w:rPr>
            </w:pPr>
          </w:p>
        </w:tc>
        <w:tc>
          <w:tcPr>
            <w:tcW w:w="60" w:type="dxa"/>
            <w:vAlign w:val="bottom"/>
            <w:tcBorders>
              <w:bottom w:val="single" w:sz="8" w:color="E0E7ED"/>
            </w:tcBorders>
          </w:tcPr>
          <w:p>
            <w:pPr>
              <w:spacing w:after="0"/>
              <w:rPr>
                <w:sz w:val="13"/>
                <w:szCs w:val="13"/>
                <w:color w:val="auto"/>
              </w:rPr>
            </w:pPr>
          </w:p>
        </w:tc>
        <w:tc>
          <w:tcPr>
            <w:tcW w:w="1260" w:type="dxa"/>
            <w:vAlign w:val="bottom"/>
            <w:tcBorders>
              <w:bottom w:val="single" w:sz="8" w:color="E0E7ED"/>
            </w:tcBorders>
          </w:tcPr>
          <w:p>
            <w:pPr>
              <w:spacing w:after="0"/>
              <w:rPr>
                <w:sz w:val="13"/>
                <w:szCs w:val="13"/>
                <w:color w:val="auto"/>
              </w:rPr>
            </w:pPr>
          </w:p>
        </w:tc>
        <w:tc>
          <w:tcPr>
            <w:tcW w:w="80" w:type="dxa"/>
            <w:vAlign w:val="bottom"/>
            <w:tcBorders>
              <w:bottom w:val="single" w:sz="8" w:color="E0E7ED"/>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1,390,087</w:t>
            </w:r>
          </w:p>
        </w:tc>
        <w:tc>
          <w:tcPr>
            <w:tcW w:w="60" w:type="dxa"/>
            <w:vAlign w:val="bottom"/>
            <w:tcBorders>
              <w:bottom w:val="single" w:sz="8" w:color="E0E7ED"/>
            </w:tcBorders>
          </w:tcPr>
          <w:p>
            <w:pPr>
              <w:spacing w:after="0"/>
              <w:rPr>
                <w:sz w:val="13"/>
                <w:szCs w:val="13"/>
                <w:color w:val="auto"/>
              </w:rPr>
            </w:pPr>
          </w:p>
        </w:tc>
        <w:tc>
          <w:tcPr>
            <w:tcW w:w="140" w:type="dxa"/>
            <w:vAlign w:val="bottom"/>
            <w:tcBorders>
              <w:bottom w:val="single" w:sz="8" w:color="E0E7ED"/>
            </w:tcBorders>
          </w:tcPr>
          <w:p>
            <w:pPr>
              <w:spacing w:after="0"/>
              <w:rPr>
                <w:sz w:val="13"/>
                <w:szCs w:val="13"/>
                <w:color w:val="auto"/>
              </w:rPr>
            </w:pPr>
          </w:p>
        </w:tc>
        <w:tc>
          <w:tcPr>
            <w:tcW w:w="1020" w:type="dxa"/>
            <w:vAlign w:val="bottom"/>
            <w:tcBorders>
              <w:bottom w:val="single" w:sz="8" w:color="E0E7ED"/>
            </w:tcBorders>
          </w:tcPr>
          <w:p>
            <w:pPr>
              <w:spacing w:after="0"/>
              <w:rPr>
                <w:sz w:val="13"/>
                <w:szCs w:val="13"/>
                <w:color w:val="auto"/>
              </w:rPr>
            </w:pPr>
          </w:p>
        </w:tc>
        <w:tc>
          <w:tcPr>
            <w:tcW w:w="80" w:type="dxa"/>
            <w:vAlign w:val="bottom"/>
            <w:tcBorders>
              <w:bottom w:val="single" w:sz="8" w:color="E0E7ED"/>
            </w:tcBorders>
          </w:tcPr>
          <w:p>
            <w:pPr>
              <w:spacing w:after="0"/>
              <w:rPr>
                <w:sz w:val="13"/>
                <w:szCs w:val="13"/>
                <w:color w:val="auto"/>
              </w:rPr>
            </w:pPr>
          </w:p>
        </w:tc>
        <w:tc>
          <w:tcPr>
            <w:tcW w:w="1260" w:type="dxa"/>
            <w:vAlign w:val="bottom"/>
            <w:tcBorders>
              <w:bottom w:val="single" w:sz="8" w:color="E0E7ED"/>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E0E7ED"/>
          </w:tcPr>
          <w:p>
            <w:pPr>
              <w:spacing w:after="0"/>
              <w:rPr>
                <w:sz w:val="20"/>
                <w:szCs w:val="20"/>
                <w:color w:val="auto"/>
              </w:rPr>
            </w:pPr>
            <w:r>
              <w:rPr>
                <w:rFonts w:ascii="Arial" w:cs="Arial" w:eastAsia="Arial" w:hAnsi="Arial"/>
                <w:sz w:val="12"/>
                <w:szCs w:val="12"/>
                <w:color w:val="auto"/>
              </w:rPr>
              <w:t>Total assets</w:t>
            </w: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18,309,250</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320" w:type="dxa"/>
            <w:vAlign w:val="bottom"/>
            <w:gridSpan w:val="2"/>
            <w:shd w:val="clear" w:color="auto" w:fill="E0E7ED"/>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18,662,449</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60" w:type="dxa"/>
            <w:vAlign w:val="bottom"/>
            <w:tcBorders>
              <w:top w:val="single" w:sz="8" w:color="E0E7ED"/>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140" w:type="dxa"/>
            <w:vAlign w:val="bottom"/>
            <w:tcBorders>
              <w:top w:val="single" w:sz="8" w:color="E0E7ED"/>
            </w:tcBorders>
          </w:tcPr>
          <w:p>
            <w:pPr>
              <w:spacing w:after="0"/>
              <w:rPr>
                <w:sz w:val="14"/>
                <w:szCs w:val="14"/>
                <w:color w:val="auto"/>
              </w:rPr>
            </w:pPr>
          </w:p>
        </w:tc>
        <w:tc>
          <w:tcPr>
            <w:tcW w:w="1020" w:type="dxa"/>
            <w:vAlign w:val="bottom"/>
            <w:tcBorders>
              <w:top w:val="single" w:sz="8" w:color="E0E7ED"/>
            </w:tcBorders>
          </w:tcPr>
          <w:p>
            <w:pPr>
              <w:spacing w:after="0"/>
              <w:rPr>
                <w:sz w:val="14"/>
                <w:szCs w:val="14"/>
                <w:color w:val="auto"/>
              </w:rPr>
            </w:pPr>
          </w:p>
        </w:tc>
        <w:tc>
          <w:tcPr>
            <w:tcW w:w="60" w:type="dxa"/>
            <w:vAlign w:val="bottom"/>
            <w:tcBorders>
              <w:top w:val="single" w:sz="8" w:color="E0E7ED"/>
            </w:tcBorders>
          </w:tcPr>
          <w:p>
            <w:pPr>
              <w:spacing w:after="0"/>
              <w:rPr>
                <w:sz w:val="14"/>
                <w:szCs w:val="14"/>
                <w:color w:val="auto"/>
              </w:rPr>
            </w:pPr>
          </w:p>
        </w:tc>
        <w:tc>
          <w:tcPr>
            <w:tcW w:w="1260" w:type="dxa"/>
            <w:vAlign w:val="bottom"/>
            <w:tcBorders>
              <w:top w:val="single" w:sz="8" w:color="E0E7ED"/>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Borders>
              <w:top w:val="single" w:sz="8" w:color="E0E7ED"/>
            </w:tcBorders>
          </w:tcPr>
          <w:p>
            <w:pPr>
              <w:spacing w:after="0"/>
              <w:rPr>
                <w:sz w:val="14"/>
                <w:szCs w:val="14"/>
                <w:color w:val="auto"/>
              </w:rPr>
            </w:pPr>
          </w:p>
        </w:tc>
        <w:tc>
          <w:tcPr>
            <w:tcW w:w="140" w:type="dxa"/>
            <w:vAlign w:val="bottom"/>
            <w:tcBorders>
              <w:top w:val="single" w:sz="8" w:color="E0E7ED"/>
            </w:tcBorders>
          </w:tcPr>
          <w:p>
            <w:pPr>
              <w:spacing w:after="0"/>
              <w:rPr>
                <w:sz w:val="14"/>
                <w:szCs w:val="14"/>
                <w:color w:val="auto"/>
              </w:rPr>
            </w:pPr>
          </w:p>
        </w:tc>
        <w:tc>
          <w:tcPr>
            <w:tcW w:w="1020" w:type="dxa"/>
            <w:vAlign w:val="bottom"/>
            <w:tcBorders>
              <w:top w:val="single" w:sz="8" w:color="E0E7ED"/>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1260" w:type="dxa"/>
            <w:vAlign w:val="bottom"/>
            <w:tcBorders>
              <w:top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40" w:type="dxa"/>
            <w:vAlign w:val="bottom"/>
            <w:shd w:val="clear" w:color="auto" w:fill="E0E7ED"/>
          </w:tcPr>
          <w:p>
            <w:pPr>
              <w:spacing w:after="0"/>
              <w:rPr>
                <w:sz w:val="15"/>
                <w:szCs w:val="15"/>
                <w:color w:val="auto"/>
              </w:rPr>
            </w:pPr>
          </w:p>
        </w:tc>
        <w:tc>
          <w:tcPr>
            <w:tcW w:w="9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Interest-bearing transaction deposits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3,207,478</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13,809</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1.71 %</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3,256,326</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16,208</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1.97 %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Savings and money market deposits</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5,906,577</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36,565</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2.46 %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6,199,404</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44,361</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2.84 %</w:t>
            </w: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Time deposits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2,401,447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22,545</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3.72 %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2,545,749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24,042</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3.75 %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Federal funds purchased and repurchase agreements</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162,391</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970</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2.37 %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150,260</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976</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2.58 %</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Borrowings</w:t>
            </w:r>
            <w:r>
              <w:rPr>
                <w:rFonts w:ascii="Arial" w:cs="Arial" w:eastAsia="Arial" w:hAnsi="Arial"/>
                <w:sz w:val="15"/>
                <w:szCs w:val="15"/>
                <w:color w:val="auto"/>
                <w:vertAlign w:val="superscript"/>
              </w:rPr>
              <w:t>(iv)</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278,050</w:t>
            </w:r>
          </w:p>
        </w:tc>
        <w:tc>
          <w:tcPr>
            <w:tcW w:w="8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3,647</w:t>
            </w:r>
          </w:p>
        </w:tc>
        <w:tc>
          <w:tcPr>
            <w:tcW w:w="6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5.20 %</w:t>
            </w: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266,643</w:t>
            </w:r>
          </w:p>
        </w:tc>
        <w:tc>
          <w:tcPr>
            <w:tcW w:w="6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3,781</w:t>
            </w:r>
          </w:p>
        </w:tc>
        <w:tc>
          <w:tcPr>
            <w:tcW w:w="8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5.63 %</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E0E7ED"/>
            </w:tcBorders>
            <w:shd w:val="clear" w:color="auto" w:fill="E0E7ED"/>
          </w:tcPr>
          <w:p>
            <w:pPr>
              <w:ind w:left="120"/>
              <w:spacing w:after="0"/>
              <w:rPr>
                <w:sz w:val="20"/>
                <w:szCs w:val="20"/>
                <w:color w:val="auto"/>
              </w:rPr>
            </w:pPr>
            <w:r>
              <w:rPr>
                <w:rFonts w:ascii="Arial" w:cs="Arial" w:eastAsia="Arial" w:hAnsi="Arial"/>
                <w:sz w:val="12"/>
                <w:szCs w:val="12"/>
                <w:color w:val="auto"/>
              </w:rPr>
              <w:t>Total interest-bearing liabilities</w:t>
            </w:r>
          </w:p>
        </w:tc>
        <w:tc>
          <w:tcPr>
            <w:tcW w:w="240" w:type="dxa"/>
            <w:vAlign w:val="bottom"/>
            <w:tcBorders>
              <w:bottom w:val="single" w:sz="8" w:color="E0E7ED"/>
            </w:tcBorders>
            <w:shd w:val="clear" w:color="auto" w:fill="E0E7ED"/>
          </w:tcPr>
          <w:p>
            <w:pPr>
              <w:spacing w:after="0"/>
              <w:rPr>
                <w:sz w:val="16"/>
                <w:szCs w:val="16"/>
                <w:color w:val="auto"/>
              </w:rPr>
            </w:pPr>
          </w:p>
        </w:tc>
        <w:tc>
          <w:tcPr>
            <w:tcW w:w="9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11,955,943</w:t>
            </w:r>
          </w:p>
        </w:tc>
        <w:tc>
          <w:tcPr>
            <w:tcW w:w="8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77,536</w:t>
            </w:r>
          </w:p>
        </w:tc>
        <w:tc>
          <w:tcPr>
            <w:tcW w:w="6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2.57 %</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12,418,382</w:t>
            </w:r>
          </w:p>
        </w:tc>
        <w:tc>
          <w:tcPr>
            <w:tcW w:w="6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89,368</w:t>
            </w:r>
          </w:p>
        </w:tc>
        <w:tc>
          <w:tcPr>
            <w:tcW w:w="8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2.86 %</w:t>
            </w:r>
          </w:p>
        </w:tc>
        <w:tc>
          <w:tcPr>
            <w:tcW w:w="0" w:type="dxa"/>
            <w:vAlign w:val="bottom"/>
          </w:tcPr>
          <w:p>
            <w:pPr>
              <w:spacing w:after="0"/>
              <w:rPr>
                <w:sz w:val="1"/>
                <w:szCs w:val="1"/>
                <w:color w:val="auto"/>
              </w:rPr>
            </w:pPr>
          </w:p>
        </w:tc>
      </w:tr>
      <w:tr>
        <w:trPr>
          <w:trHeight w:val="150"/>
        </w:trPr>
        <w:tc>
          <w:tcPr>
            <w:tcW w:w="3760" w:type="dxa"/>
            <w:vAlign w:val="bottom"/>
          </w:tcPr>
          <w:p>
            <w:pPr>
              <w:ind w:left="120"/>
              <w:spacing w:after="0"/>
              <w:rPr>
                <w:sz w:val="20"/>
                <w:szCs w:val="20"/>
                <w:color w:val="auto"/>
              </w:rPr>
            </w:pPr>
            <w:r>
              <w:rPr>
                <w:rFonts w:ascii="Arial" w:cs="Arial" w:eastAsia="Arial" w:hAnsi="Arial"/>
                <w:sz w:val="12"/>
                <w:szCs w:val="12"/>
                <w:color w:val="auto"/>
              </w:rPr>
              <w:t>Noninterest-bearing deposits</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3,636,001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3,578,164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liabilities</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248,499</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239,995</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Stockholders’ equity</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2,468,807</w:t>
            </w:r>
          </w:p>
        </w:tc>
        <w:tc>
          <w:tcPr>
            <w:tcW w:w="80" w:type="dxa"/>
            <w:vAlign w:val="bottom"/>
            <w:tcBorders>
              <w:bottom w:val="single" w:sz="8" w:color="E0E7ED"/>
            </w:tcBorders>
          </w:tcPr>
          <w:p>
            <w:pPr>
              <w:spacing w:after="0"/>
              <w:rPr>
                <w:sz w:val="14"/>
                <w:szCs w:val="14"/>
                <w:color w:val="auto"/>
              </w:rPr>
            </w:pPr>
          </w:p>
        </w:tc>
        <w:tc>
          <w:tcPr>
            <w:tcW w:w="140" w:type="dxa"/>
            <w:vAlign w:val="bottom"/>
            <w:tcBorders>
              <w:bottom w:val="single" w:sz="8" w:color="E0E7ED"/>
            </w:tcBorders>
          </w:tcPr>
          <w:p>
            <w:pPr>
              <w:spacing w:after="0"/>
              <w:rPr>
                <w:sz w:val="14"/>
                <w:szCs w:val="14"/>
                <w:color w:val="auto"/>
              </w:rPr>
            </w:pPr>
          </w:p>
        </w:tc>
        <w:tc>
          <w:tcPr>
            <w:tcW w:w="1020" w:type="dxa"/>
            <w:vAlign w:val="bottom"/>
            <w:tcBorders>
              <w:bottom w:val="single" w:sz="8" w:color="E0E7ED"/>
            </w:tcBorders>
          </w:tcPr>
          <w:p>
            <w:pPr>
              <w:spacing w:after="0"/>
              <w:rPr>
                <w:sz w:val="14"/>
                <w:szCs w:val="14"/>
                <w:color w:val="auto"/>
              </w:rPr>
            </w:pPr>
          </w:p>
        </w:tc>
        <w:tc>
          <w:tcPr>
            <w:tcW w:w="60" w:type="dxa"/>
            <w:vAlign w:val="bottom"/>
            <w:tcBorders>
              <w:bottom w:val="single" w:sz="8" w:color="E0E7ED"/>
            </w:tcBorders>
          </w:tcPr>
          <w:p>
            <w:pPr>
              <w:spacing w:after="0"/>
              <w:rPr>
                <w:sz w:val="14"/>
                <w:szCs w:val="14"/>
                <w:color w:val="auto"/>
              </w:rPr>
            </w:pPr>
          </w:p>
        </w:tc>
        <w:tc>
          <w:tcPr>
            <w:tcW w:w="126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2,425,908</w:t>
            </w:r>
          </w:p>
        </w:tc>
        <w:tc>
          <w:tcPr>
            <w:tcW w:w="60" w:type="dxa"/>
            <w:vAlign w:val="bottom"/>
            <w:tcBorders>
              <w:bottom w:val="single" w:sz="8" w:color="E0E7ED"/>
            </w:tcBorders>
          </w:tcPr>
          <w:p>
            <w:pPr>
              <w:spacing w:after="0"/>
              <w:rPr>
                <w:sz w:val="14"/>
                <w:szCs w:val="14"/>
                <w:color w:val="auto"/>
              </w:rPr>
            </w:pPr>
          </w:p>
        </w:tc>
        <w:tc>
          <w:tcPr>
            <w:tcW w:w="140" w:type="dxa"/>
            <w:vAlign w:val="bottom"/>
            <w:tcBorders>
              <w:bottom w:val="single" w:sz="8" w:color="E0E7ED"/>
            </w:tcBorders>
          </w:tcPr>
          <w:p>
            <w:pPr>
              <w:spacing w:after="0"/>
              <w:rPr>
                <w:sz w:val="14"/>
                <w:szCs w:val="14"/>
                <w:color w:val="auto"/>
              </w:rPr>
            </w:pPr>
          </w:p>
        </w:tc>
        <w:tc>
          <w:tcPr>
            <w:tcW w:w="10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26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E0E7ED"/>
          </w:tcPr>
          <w:p>
            <w:pPr>
              <w:spacing w:after="0"/>
              <w:rPr>
                <w:sz w:val="20"/>
                <w:szCs w:val="20"/>
                <w:color w:val="auto"/>
              </w:rPr>
            </w:pPr>
            <w:r>
              <w:rPr>
                <w:rFonts w:ascii="Arial" w:cs="Arial" w:eastAsia="Arial" w:hAnsi="Arial"/>
                <w:sz w:val="12"/>
                <w:szCs w:val="12"/>
                <w:color w:val="auto"/>
              </w:rPr>
              <w:t>Total liabilities and stockholders’ equity</w:t>
            </w: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18,309,250</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320" w:type="dxa"/>
            <w:vAlign w:val="bottom"/>
            <w:gridSpan w:val="2"/>
            <w:shd w:val="clear" w:color="auto" w:fill="E0E7ED"/>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18,662,449</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60" w:type="dxa"/>
            <w:vAlign w:val="bottom"/>
            <w:tcBorders>
              <w:top w:val="single" w:sz="8" w:color="E0E7ED"/>
              <w:bottom w:val="single" w:sz="8" w:color="E0E7ED"/>
            </w:tcBorders>
          </w:tcPr>
          <w:p>
            <w:pPr>
              <w:spacing w:after="0"/>
              <w:rPr>
                <w:sz w:val="14"/>
                <w:szCs w:val="14"/>
                <w:color w:val="auto"/>
              </w:rPr>
            </w:pPr>
          </w:p>
        </w:tc>
        <w:tc>
          <w:tcPr>
            <w:tcW w:w="240" w:type="dxa"/>
            <w:vAlign w:val="bottom"/>
            <w:tcBorders>
              <w:top w:val="single" w:sz="8" w:color="auto"/>
              <w:bottom w:val="single" w:sz="8" w:color="E0E7ED"/>
            </w:tcBorders>
          </w:tcPr>
          <w:p>
            <w:pPr>
              <w:spacing w:after="0"/>
              <w:rPr>
                <w:sz w:val="14"/>
                <w:szCs w:val="14"/>
                <w:color w:val="auto"/>
              </w:rPr>
            </w:pPr>
          </w:p>
        </w:tc>
        <w:tc>
          <w:tcPr>
            <w:tcW w:w="920" w:type="dxa"/>
            <w:vAlign w:val="bottom"/>
            <w:tcBorders>
              <w:top w:val="single" w:sz="8" w:color="auto"/>
              <w:bottom w:val="single" w:sz="8" w:color="E0E7ED"/>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140" w:type="dxa"/>
            <w:vAlign w:val="bottom"/>
            <w:tcBorders>
              <w:top w:val="single" w:sz="8" w:color="E0E7ED"/>
              <w:bottom w:val="single" w:sz="8" w:color="auto"/>
            </w:tcBorders>
          </w:tcPr>
          <w:p>
            <w:pPr>
              <w:spacing w:after="0"/>
              <w:rPr>
                <w:sz w:val="14"/>
                <w:szCs w:val="14"/>
                <w:color w:val="auto"/>
              </w:rPr>
            </w:pPr>
          </w:p>
        </w:tc>
        <w:tc>
          <w:tcPr>
            <w:tcW w:w="1020" w:type="dxa"/>
            <w:vAlign w:val="bottom"/>
            <w:tcBorders>
              <w:top w:val="single" w:sz="8" w:color="E0E7ED"/>
              <w:bottom w:val="single" w:sz="8" w:color="auto"/>
            </w:tcBorders>
          </w:tcPr>
          <w:p>
            <w:pPr>
              <w:spacing w:after="0"/>
              <w:rPr>
                <w:sz w:val="14"/>
                <w:szCs w:val="14"/>
                <w:color w:val="auto"/>
              </w:rPr>
            </w:pPr>
          </w:p>
        </w:tc>
        <w:tc>
          <w:tcPr>
            <w:tcW w:w="60" w:type="dxa"/>
            <w:vAlign w:val="bottom"/>
            <w:tcBorders>
              <w:top w:val="single" w:sz="8" w:color="E0E7ED"/>
              <w:bottom w:val="single" w:sz="8" w:color="E0E7ED"/>
            </w:tcBorders>
          </w:tcPr>
          <w:p>
            <w:pPr>
              <w:spacing w:after="0"/>
              <w:rPr>
                <w:sz w:val="14"/>
                <w:szCs w:val="14"/>
                <w:color w:val="auto"/>
              </w:rPr>
            </w:pPr>
          </w:p>
        </w:tc>
        <w:tc>
          <w:tcPr>
            <w:tcW w:w="1260" w:type="dxa"/>
            <w:vAlign w:val="bottom"/>
            <w:tcBorders>
              <w:top w:val="single" w:sz="8" w:color="E0E7ED"/>
              <w:bottom w:val="single" w:sz="8" w:color="auto"/>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240" w:type="dxa"/>
            <w:vAlign w:val="bottom"/>
            <w:tcBorders>
              <w:top w:val="single" w:sz="8" w:color="auto"/>
              <w:bottom w:val="single" w:sz="8" w:color="E0E7ED"/>
            </w:tcBorders>
          </w:tcPr>
          <w:p>
            <w:pPr>
              <w:spacing w:after="0"/>
              <w:rPr>
                <w:sz w:val="14"/>
                <w:szCs w:val="14"/>
                <w:color w:val="auto"/>
              </w:rPr>
            </w:pPr>
          </w:p>
        </w:tc>
        <w:tc>
          <w:tcPr>
            <w:tcW w:w="940" w:type="dxa"/>
            <w:vAlign w:val="bottom"/>
            <w:tcBorders>
              <w:top w:val="single" w:sz="8" w:color="auto"/>
              <w:bottom w:val="single" w:sz="8" w:color="E0E7ED"/>
            </w:tcBorders>
          </w:tcPr>
          <w:p>
            <w:pPr>
              <w:spacing w:after="0"/>
              <w:rPr>
                <w:sz w:val="14"/>
                <w:szCs w:val="14"/>
                <w:color w:val="auto"/>
              </w:rPr>
            </w:pPr>
          </w:p>
        </w:tc>
        <w:tc>
          <w:tcPr>
            <w:tcW w:w="60" w:type="dxa"/>
            <w:vAlign w:val="bottom"/>
            <w:tcBorders>
              <w:top w:val="single" w:sz="8" w:color="E0E7ED"/>
              <w:bottom w:val="single" w:sz="8" w:color="E0E7ED"/>
            </w:tcBorders>
          </w:tcPr>
          <w:p>
            <w:pPr>
              <w:spacing w:after="0"/>
              <w:rPr>
                <w:sz w:val="14"/>
                <w:szCs w:val="14"/>
                <w:color w:val="auto"/>
              </w:rPr>
            </w:pPr>
          </w:p>
        </w:tc>
        <w:tc>
          <w:tcPr>
            <w:tcW w:w="140" w:type="dxa"/>
            <w:vAlign w:val="bottom"/>
            <w:tcBorders>
              <w:top w:val="single" w:sz="8" w:color="E0E7ED"/>
              <w:bottom w:val="single" w:sz="8" w:color="auto"/>
            </w:tcBorders>
          </w:tcPr>
          <w:p>
            <w:pPr>
              <w:spacing w:after="0"/>
              <w:rPr>
                <w:sz w:val="14"/>
                <w:szCs w:val="14"/>
                <w:color w:val="auto"/>
              </w:rPr>
            </w:pPr>
          </w:p>
        </w:tc>
        <w:tc>
          <w:tcPr>
            <w:tcW w:w="1020" w:type="dxa"/>
            <w:vAlign w:val="bottom"/>
            <w:tcBorders>
              <w:top w:val="single" w:sz="8" w:color="E0E7ED"/>
              <w:bottom w:val="single" w:sz="8" w:color="auto"/>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1260" w:type="dxa"/>
            <w:vAlign w:val="bottom"/>
            <w:tcBorders>
              <w:top w:val="single" w:sz="8" w:color="E0E7ED"/>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E0E7ED"/>
            </w:tcBorders>
            <w:shd w:val="clear" w:color="auto" w:fill="E0E7ED"/>
          </w:tcPr>
          <w:p>
            <w:pPr>
              <w:spacing w:after="0" w:line="169"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5"/>
                <w:szCs w:val="15"/>
                <w:color w:val="auto"/>
                <w:vertAlign w:val="superscript"/>
              </w:rPr>
              <w:t>(i)(v)</w:t>
            </w:r>
          </w:p>
        </w:tc>
        <w:tc>
          <w:tcPr>
            <w:tcW w:w="240" w:type="dxa"/>
            <w:vAlign w:val="bottom"/>
            <w:tcBorders>
              <w:bottom w:val="single" w:sz="8" w:color="E0E7ED"/>
            </w:tcBorders>
            <w:shd w:val="clear" w:color="auto" w:fill="E0E7ED"/>
          </w:tcPr>
          <w:p>
            <w:pPr>
              <w:spacing w:after="0"/>
              <w:rPr>
                <w:sz w:val="16"/>
                <w:szCs w:val="16"/>
                <w:color w:val="auto"/>
              </w:rPr>
            </w:pPr>
          </w:p>
        </w:tc>
        <w:tc>
          <w:tcPr>
            <w:tcW w:w="92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158,418</w:t>
            </w:r>
          </w:p>
        </w:tc>
        <w:tc>
          <w:tcPr>
            <w:tcW w:w="6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3.71 %</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6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155,925</w:t>
            </w:r>
          </w:p>
        </w:tc>
        <w:tc>
          <w:tcPr>
            <w:tcW w:w="8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3.58 %</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20"/>
                <w:szCs w:val="20"/>
                <w:color w:val="auto"/>
              </w:rPr>
            </w:pPr>
            <w:r>
              <w:rPr>
                <w:rFonts w:ascii="Arial" w:cs="Arial" w:eastAsia="Arial" w:hAnsi="Arial"/>
                <w:sz w:val="10"/>
                <w:szCs w:val="10"/>
                <w:color w:val="auto"/>
              </w:rPr>
              <w:t>___________________________________________</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220"/>
        <w:spacing w:after="0"/>
        <w:tabs>
          <w:tab w:leader="none" w:pos="320" w:val="left"/>
        </w:tabs>
        <w:numPr>
          <w:ilvl w:val="0"/>
          <w:numId w:val="3"/>
        </w:numPr>
        <w:rPr>
          <w:rFonts w:ascii="Arial" w:cs="Arial" w:eastAsia="Arial" w:hAnsi="Arial"/>
          <w:sz w:val="10"/>
          <w:szCs w:val="10"/>
          <w:color w:val="auto"/>
        </w:rPr>
      </w:pPr>
      <w:r>
        <w:rPr>
          <w:rFonts w:ascii="Arial" w:cs="Arial" w:eastAsia="Arial" w:hAnsi="Arial"/>
          <w:sz w:val="10"/>
          <w:szCs w:val="10"/>
          <w:color w:val="auto"/>
        </w:rPr>
        <w:t>On a tax-equivalent basis and assuming a federal income tax rate of 21.0%.</w:t>
      </w:r>
    </w:p>
    <w:p>
      <w:pPr>
        <w:spacing w:after="0" w:line="1" w:lineRule="exact"/>
        <w:rPr>
          <w:rFonts w:ascii="Arial" w:cs="Arial" w:eastAsia="Arial" w:hAnsi="Arial"/>
          <w:sz w:val="10"/>
          <w:szCs w:val="10"/>
          <w:color w:val="auto"/>
        </w:rPr>
      </w:pPr>
    </w:p>
    <w:p>
      <w:pPr>
        <w:ind w:left="320" w:hanging="220"/>
        <w:spacing w:after="0"/>
        <w:tabs>
          <w:tab w:leader="none" w:pos="320" w:val="left"/>
        </w:tabs>
        <w:numPr>
          <w:ilvl w:val="0"/>
          <w:numId w:val="3"/>
        </w:numPr>
        <w:rPr>
          <w:rFonts w:ascii="Arial" w:cs="Arial" w:eastAsia="Arial" w:hAnsi="Arial"/>
          <w:sz w:val="10"/>
          <w:szCs w:val="10"/>
          <w:color w:val="auto"/>
        </w:rPr>
      </w:pPr>
      <w:r>
        <w:rPr>
          <w:rFonts w:ascii="Arial" w:cs="Arial" w:eastAsia="Arial" w:hAnsi="Arial"/>
          <w:sz w:val="10"/>
          <w:szCs w:val="10"/>
          <w:color w:val="auto"/>
        </w:rPr>
        <w:t>Investment securities include debt securities available for sale, debt securities held to maturity, and equity securities.</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3"/>
        </w:numPr>
        <w:rPr>
          <w:rFonts w:ascii="Arial" w:cs="Arial" w:eastAsia="Arial" w:hAnsi="Arial"/>
          <w:sz w:val="10"/>
          <w:szCs w:val="10"/>
          <w:color w:val="auto"/>
        </w:rPr>
      </w:pPr>
      <w:r>
        <w:rPr>
          <w:rFonts w:ascii="Arial" w:cs="Arial" w:eastAsia="Arial" w:hAnsi="Arial"/>
          <w:sz w:val="10"/>
          <w:szCs w:val="10"/>
          <w:color w:val="auto"/>
        </w:rPr>
        <w:t>Non-accrual loans have been included in average portfolio loans.</w:t>
      </w:r>
    </w:p>
    <w:p>
      <w:pPr>
        <w:spacing w:after="0" w:line="2" w:lineRule="exact"/>
        <w:rPr>
          <w:rFonts w:ascii="Arial" w:cs="Arial" w:eastAsia="Arial" w:hAnsi="Arial"/>
          <w:sz w:val="10"/>
          <w:szCs w:val="10"/>
          <w:color w:val="auto"/>
        </w:rPr>
      </w:pPr>
    </w:p>
    <w:p>
      <w:pPr>
        <w:ind w:left="340" w:hanging="240"/>
        <w:spacing w:after="0"/>
        <w:tabs>
          <w:tab w:leader="none" w:pos="340" w:val="left"/>
        </w:tabs>
        <w:numPr>
          <w:ilvl w:val="0"/>
          <w:numId w:val="3"/>
        </w:numPr>
        <w:rPr>
          <w:rFonts w:ascii="Arial" w:cs="Arial" w:eastAsia="Arial" w:hAnsi="Arial"/>
          <w:sz w:val="10"/>
          <w:szCs w:val="10"/>
          <w:color w:val="auto"/>
        </w:rPr>
      </w:pPr>
      <w:r>
        <w:rPr>
          <w:rFonts w:ascii="Arial" w:cs="Arial" w:eastAsia="Arial" w:hAnsi="Arial"/>
          <w:sz w:val="10"/>
          <w:szCs w:val="10"/>
          <w:color w:val="auto"/>
        </w:rPr>
        <w:t>Includes, as applicable, short-term borrowings, long-term borrowings, subordinated notes, and junior subordinated debt owed to unconsolidated trusts.</w:t>
      </w:r>
    </w:p>
    <w:p>
      <w:pPr>
        <w:spacing w:after="0" w:line="2" w:lineRule="exact"/>
        <w:rPr>
          <w:rFonts w:ascii="Arial" w:cs="Arial" w:eastAsia="Arial" w:hAnsi="Arial"/>
          <w:sz w:val="10"/>
          <w:szCs w:val="10"/>
          <w:color w:val="auto"/>
        </w:rPr>
      </w:pPr>
    </w:p>
    <w:p>
      <w:pPr>
        <w:ind w:left="320" w:hanging="220"/>
        <w:spacing w:after="0" w:line="225" w:lineRule="auto"/>
        <w:tabs>
          <w:tab w:leader="none" w:pos="320"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a reconciliation of non-GAAP measures to the most directly comparable GAAP financial measures, see “</w:t>
      </w:r>
      <w:r>
        <w:rPr>
          <w:rFonts w:ascii="Arial" w:cs="Arial" w:eastAsia="Arial" w:hAnsi="Arial"/>
          <w:sz w:val="10"/>
          <w:szCs w:val="10"/>
          <w:u w:val="single" w:color="auto"/>
          <w:color w:val="0000FF"/>
        </w:rPr>
        <w:t>Non-GAAP Financial Information</w:t>
      </w:r>
      <w:r>
        <w:rPr>
          <w:rFonts w:ascii="Arial" w:cs="Arial" w:eastAsia="Arial" w:hAnsi="Arial"/>
          <w:sz w:val="10"/>
          <w:szCs w:val="10"/>
          <w:color w:val="auto"/>
        </w:rPr>
        <w:t>.”</w:t>
      </w:r>
    </w:p>
    <w:p>
      <w:pPr>
        <w:ind w:left="340" w:hanging="240"/>
        <w:spacing w:after="0"/>
        <w:tabs>
          <w:tab w:leader="none" w:pos="340" w:val="left"/>
        </w:tabs>
        <w:numPr>
          <w:ilvl w:val="0"/>
          <w:numId w:val="3"/>
        </w:numPr>
        <w:rPr>
          <w:rFonts w:ascii="Arial" w:cs="Arial" w:eastAsia="Arial" w:hAnsi="Arial"/>
          <w:sz w:val="10"/>
          <w:szCs w:val="10"/>
          <w:color w:val="auto"/>
        </w:rPr>
      </w:pPr>
      <w:r>
        <w:rPr>
          <w:rFonts w:ascii="Arial" w:cs="Arial" w:eastAsia="Arial" w:hAnsi="Arial"/>
          <w:sz w:val="10"/>
          <w:szCs w:val="10"/>
          <w:color w:val="auto"/>
        </w:rPr>
        <w:t>Annualized.</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5</w:t>
      </w:r>
    </w:p>
    <w:p>
      <w:pPr>
        <w:sectPr>
          <w:pgSz w:w="11900" w:h="16838" w:orient="portrait"/>
          <w:cols w:equalWidth="0" w:num="1">
            <w:col w:w="11300"/>
          </w:cols>
          <w:pgMar w:left="300" w:top="912"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4"/>
        </w:trPr>
        <w:tc>
          <w:tcPr>
            <w:tcW w:w="37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0"/>
                <w:szCs w:val="10"/>
                <w:b w:val="1"/>
                <w:bCs w:val="1"/>
                <w:color w:val="auto"/>
              </w:rPr>
              <w:t>Years Ended December 31,</w:t>
            </w: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7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7"/>
                <w:szCs w:val="7"/>
                <w:color w:val="auto"/>
              </w:rPr>
            </w:pPr>
          </w:p>
        </w:tc>
        <w:tc>
          <w:tcPr>
            <w:tcW w:w="1000" w:type="dxa"/>
            <w:vAlign w:val="bottom"/>
            <w:gridSpan w:val="2"/>
          </w:tcPr>
          <w:p>
            <w:pPr>
              <w:ind w:left="160"/>
              <w:spacing w:after="0" w:line="88" w:lineRule="exact"/>
              <w:rPr>
                <w:sz w:val="20"/>
                <w:szCs w:val="20"/>
                <w:color w:val="auto"/>
              </w:rPr>
            </w:pPr>
            <w:r>
              <w:rPr>
                <w:rFonts w:ascii="Arial" w:cs="Arial" w:eastAsia="Arial" w:hAnsi="Arial"/>
                <w:sz w:val="10"/>
                <w:szCs w:val="10"/>
                <w:b w:val="1"/>
                <w:bCs w:val="1"/>
                <w:color w:val="auto"/>
              </w:rPr>
              <w:t>Average</w:t>
            </w:r>
          </w:p>
        </w:tc>
        <w:tc>
          <w:tcPr>
            <w:tcW w:w="220" w:type="dxa"/>
            <w:vAlign w:val="bottom"/>
          </w:tcPr>
          <w:p>
            <w:pPr>
              <w:spacing w:after="0"/>
              <w:rPr>
                <w:sz w:val="7"/>
                <w:szCs w:val="7"/>
                <w:color w:val="auto"/>
              </w:rPr>
            </w:pPr>
          </w:p>
        </w:tc>
        <w:tc>
          <w:tcPr>
            <w:tcW w:w="100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Income/</w:t>
            </w:r>
          </w:p>
        </w:tc>
        <w:tc>
          <w:tcPr>
            <w:tcW w:w="1260" w:type="dxa"/>
            <w:vAlign w:val="bottom"/>
          </w:tcPr>
          <w:p>
            <w:pPr>
              <w:jc w:val="right"/>
              <w:ind w:right="442"/>
              <w:spacing w:after="0" w:line="88" w:lineRule="exact"/>
              <w:rPr>
                <w:sz w:val="20"/>
                <w:szCs w:val="20"/>
                <w:color w:val="auto"/>
              </w:rPr>
            </w:pPr>
            <w:r>
              <w:rPr>
                <w:rFonts w:ascii="Arial" w:cs="Arial" w:eastAsia="Arial" w:hAnsi="Arial"/>
                <w:sz w:val="10"/>
                <w:szCs w:val="10"/>
                <w:b w:val="1"/>
                <w:bCs w:val="1"/>
                <w:color w:val="auto"/>
              </w:rPr>
              <w:t>Yield/</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gridSpan w:val="2"/>
          </w:tcPr>
          <w:p>
            <w:pPr>
              <w:ind w:left="160"/>
              <w:spacing w:after="0" w:line="88" w:lineRule="exact"/>
              <w:rPr>
                <w:sz w:val="20"/>
                <w:szCs w:val="20"/>
                <w:color w:val="auto"/>
              </w:rPr>
            </w:pPr>
            <w:r>
              <w:rPr>
                <w:rFonts w:ascii="Arial" w:cs="Arial" w:eastAsia="Arial" w:hAnsi="Arial"/>
                <w:sz w:val="10"/>
                <w:szCs w:val="10"/>
                <w:b w:val="1"/>
                <w:bCs w:val="1"/>
                <w:color w:val="auto"/>
              </w:rPr>
              <w:t>Average</w:t>
            </w:r>
          </w:p>
        </w:tc>
        <w:tc>
          <w:tcPr>
            <w:tcW w:w="240" w:type="dxa"/>
            <w:vAlign w:val="bottom"/>
          </w:tcPr>
          <w:p>
            <w:pPr>
              <w:spacing w:after="0"/>
              <w:rPr>
                <w:sz w:val="7"/>
                <w:szCs w:val="7"/>
                <w:color w:val="auto"/>
              </w:rPr>
            </w:pPr>
          </w:p>
        </w:tc>
        <w:tc>
          <w:tcPr>
            <w:tcW w:w="1000" w:type="dxa"/>
            <w:vAlign w:val="bottom"/>
            <w:gridSpan w:val="2"/>
          </w:tcPr>
          <w:p>
            <w:pPr>
              <w:ind w:left="160"/>
              <w:spacing w:after="0" w:line="88" w:lineRule="exact"/>
              <w:rPr>
                <w:sz w:val="20"/>
                <w:szCs w:val="20"/>
                <w:color w:val="auto"/>
              </w:rPr>
            </w:pPr>
            <w:r>
              <w:rPr>
                <w:rFonts w:ascii="Arial" w:cs="Arial" w:eastAsia="Arial" w:hAnsi="Arial"/>
                <w:sz w:val="10"/>
                <w:szCs w:val="10"/>
                <w:b w:val="1"/>
                <w:bCs w:val="1"/>
                <w:color w:val="auto"/>
              </w:rPr>
              <w:t>Income/</w:t>
            </w:r>
          </w:p>
        </w:tc>
        <w:tc>
          <w:tcPr>
            <w:tcW w:w="1260" w:type="dxa"/>
            <w:vAlign w:val="bottom"/>
          </w:tcPr>
          <w:p>
            <w:pPr>
              <w:jc w:val="right"/>
              <w:ind w:right="442"/>
              <w:spacing w:after="0" w:line="88" w:lineRule="exact"/>
              <w:rPr>
                <w:sz w:val="20"/>
                <w:szCs w:val="20"/>
                <w:color w:val="auto"/>
              </w:rPr>
            </w:pPr>
            <w:r>
              <w:rPr>
                <w:rFonts w:ascii="Arial" w:cs="Arial" w:eastAsia="Arial" w:hAnsi="Arial"/>
                <w:sz w:val="10"/>
                <w:szCs w:val="10"/>
                <w:b w:val="1"/>
                <w:bCs w:val="1"/>
                <w:color w:val="auto"/>
              </w:rPr>
              <w:t>Yield/</w:t>
            </w: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Balance</w:t>
            </w:r>
          </w:p>
        </w:tc>
        <w:tc>
          <w:tcPr>
            <w:tcW w:w="22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Expense</w:t>
            </w:r>
          </w:p>
        </w:tc>
        <w:tc>
          <w:tcPr>
            <w:tcW w:w="1260" w:type="dxa"/>
            <w:vAlign w:val="bottom"/>
          </w:tcPr>
          <w:p>
            <w:pPr>
              <w:jc w:val="right"/>
              <w:ind w:right="462"/>
              <w:spacing w:after="0"/>
              <w:rPr>
                <w:sz w:val="20"/>
                <w:szCs w:val="20"/>
                <w:color w:val="auto"/>
              </w:rPr>
            </w:pPr>
            <w:r>
              <w:rPr>
                <w:rFonts w:ascii="Arial" w:cs="Arial" w:eastAsia="Arial" w:hAnsi="Arial"/>
                <w:sz w:val="10"/>
                <w:szCs w:val="10"/>
                <w:b w:val="1"/>
                <w:bCs w:val="1"/>
                <w:color w:val="auto"/>
              </w:rPr>
              <w:t>Rate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Balance</w:t>
            </w:r>
          </w:p>
        </w:tc>
        <w:tc>
          <w:tcPr>
            <w:tcW w:w="2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b w:val="1"/>
                <w:bCs w:val="1"/>
                <w:color w:val="auto"/>
              </w:rPr>
              <w:t>Expense</w:t>
            </w:r>
          </w:p>
        </w:tc>
        <w:tc>
          <w:tcPr>
            <w:tcW w:w="1260" w:type="dxa"/>
            <w:vAlign w:val="bottom"/>
          </w:tcPr>
          <w:p>
            <w:pPr>
              <w:jc w:val="right"/>
              <w:ind w:right="462"/>
              <w:spacing w:after="0"/>
              <w:rPr>
                <w:sz w:val="20"/>
                <w:szCs w:val="20"/>
                <w:color w:val="auto"/>
              </w:rPr>
            </w:pPr>
            <w:r>
              <w:rPr>
                <w:rFonts w:ascii="Arial" w:cs="Arial" w:eastAsia="Arial" w:hAnsi="Arial"/>
                <w:sz w:val="10"/>
                <w:szCs w:val="10"/>
                <w:b w:val="1"/>
                <w:bCs w:val="1"/>
                <w:color w:val="auto"/>
              </w:rPr>
              <w:t>Rate</w:t>
            </w:r>
          </w:p>
        </w:tc>
        <w:tc>
          <w:tcPr>
            <w:tcW w:w="0" w:type="dxa"/>
            <w:vAlign w:val="bottom"/>
          </w:tcPr>
          <w:p>
            <w:pPr>
              <w:spacing w:after="0"/>
              <w:rPr>
                <w:sz w:val="1"/>
                <w:szCs w:val="1"/>
                <w:color w:val="auto"/>
              </w:rPr>
            </w:pPr>
          </w:p>
        </w:tc>
      </w:tr>
      <w:tr>
        <w:trPr>
          <w:trHeight w:val="160"/>
        </w:trPr>
        <w:tc>
          <w:tcPr>
            <w:tcW w:w="3760" w:type="dxa"/>
            <w:vAlign w:val="bottom"/>
            <w:tcBorders>
              <w:top w:val="single" w:sz="8" w:color="E0E7ED"/>
            </w:tcBorders>
            <w:shd w:val="clear" w:color="auto" w:fill="E0E7ED"/>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tcBorders>
              <w:top w:val="single" w:sz="8" w:color="auto"/>
            </w:tcBorders>
            <w:shd w:val="clear" w:color="auto" w:fill="E0E7ED"/>
          </w:tcPr>
          <w:p>
            <w:pPr>
              <w:spacing w:after="0"/>
              <w:rPr>
                <w:sz w:val="13"/>
                <w:szCs w:val="13"/>
                <w:color w:val="auto"/>
              </w:rPr>
            </w:pPr>
          </w:p>
        </w:tc>
        <w:tc>
          <w:tcPr>
            <w:tcW w:w="92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22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60" w:type="dxa"/>
            <w:vAlign w:val="bottom"/>
            <w:tcBorders>
              <w:top w:val="single" w:sz="8" w:color="E0E7ED"/>
            </w:tcBorders>
            <w:shd w:val="clear" w:color="auto" w:fill="E0E7ED"/>
          </w:tcPr>
          <w:p>
            <w:pPr>
              <w:spacing w:after="0"/>
              <w:rPr>
                <w:sz w:val="13"/>
                <w:szCs w:val="13"/>
                <w:color w:val="auto"/>
              </w:rPr>
            </w:pPr>
          </w:p>
        </w:tc>
        <w:tc>
          <w:tcPr>
            <w:tcW w:w="126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24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60" w:type="dxa"/>
            <w:vAlign w:val="bottom"/>
            <w:tcBorders>
              <w:top w:val="single" w:sz="8" w:color="E0E7ED"/>
            </w:tcBorders>
            <w:shd w:val="clear" w:color="auto" w:fill="E0E7ED"/>
          </w:tcPr>
          <w:p>
            <w:pPr>
              <w:spacing w:after="0"/>
              <w:rPr>
                <w:sz w:val="13"/>
                <w:szCs w:val="13"/>
                <w:color w:val="auto"/>
              </w:rPr>
            </w:pPr>
          </w:p>
        </w:tc>
        <w:tc>
          <w:tcPr>
            <w:tcW w:w="240" w:type="dxa"/>
            <w:vAlign w:val="bottom"/>
            <w:tcBorders>
              <w:top w:val="single" w:sz="8" w:color="auto"/>
            </w:tcBorders>
            <w:shd w:val="clear" w:color="auto" w:fill="E0E7ED"/>
          </w:tcPr>
          <w:p>
            <w:pPr>
              <w:spacing w:after="0"/>
              <w:rPr>
                <w:sz w:val="13"/>
                <w:szCs w:val="13"/>
                <w:color w:val="auto"/>
              </w:rPr>
            </w:pPr>
          </w:p>
        </w:tc>
        <w:tc>
          <w:tcPr>
            <w:tcW w:w="92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26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Interest-bearing bank deposits and federal funds sold</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575,781</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24,633</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4.28 %</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445,881</w:t>
            </w:r>
          </w:p>
        </w:tc>
        <w:tc>
          <w:tcPr>
            <w:tcW w:w="6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22,441</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5.03 %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Investment securities</w:t>
            </w:r>
            <w:r>
              <w:rPr>
                <w:rFonts w:ascii="Arial" w:cs="Arial" w:eastAsia="Arial" w:hAnsi="Arial"/>
                <w:sz w:val="15"/>
                <w:szCs w:val="15"/>
                <w:color w:val="auto"/>
                <w:vertAlign w:val="superscript"/>
              </w:rPr>
              <w:t>(i)(ii)</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2,925,777</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91,333</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3.12 %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2,726,488</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74,282</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2.72 %</w:t>
            </w: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Restricted bank stock</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65,988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2,956</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4.48 %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14,414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848</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5.88 %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Loans held for sale</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7,257</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440</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6.06 %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8,012</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503</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6.28 %</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Portfolio loans</w:t>
            </w:r>
            <w:r>
              <w:rPr>
                <w:rFonts w:ascii="Arial" w:cs="Arial" w:eastAsia="Arial" w:hAnsi="Arial"/>
                <w:sz w:val="15"/>
                <w:szCs w:val="15"/>
                <w:color w:val="auto"/>
                <w:vertAlign w:val="superscript"/>
              </w:rPr>
              <w:t>(i)(iii)</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12,756,937</w:t>
            </w: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777,474</w:t>
            </w:r>
          </w:p>
        </w:tc>
        <w:tc>
          <w:tcPr>
            <w:tcW w:w="6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6.09 %</w:t>
            </w: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7,804,629</w:t>
            </w:r>
          </w:p>
        </w:tc>
        <w:tc>
          <w:tcPr>
            <w:tcW w:w="6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427,300</w:t>
            </w:r>
          </w:p>
        </w:tc>
        <w:tc>
          <w:tcPr>
            <w:tcW w:w="8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5.47 %</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E0E7ED"/>
            </w:tcBorders>
            <w:shd w:val="clear" w:color="auto" w:fill="E0E7ED"/>
          </w:tcPr>
          <w:p>
            <w:pPr>
              <w:ind w:left="120"/>
              <w:spacing w:after="0" w:line="169"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5"/>
                <w:szCs w:val="15"/>
                <w:color w:val="auto"/>
                <w:vertAlign w:val="superscript"/>
              </w:rPr>
              <w:t>(i)</w:t>
            </w:r>
          </w:p>
        </w:tc>
        <w:tc>
          <w:tcPr>
            <w:tcW w:w="240" w:type="dxa"/>
            <w:vAlign w:val="bottom"/>
            <w:tcBorders>
              <w:bottom w:val="single" w:sz="8" w:color="E0E7ED"/>
            </w:tcBorders>
            <w:shd w:val="clear" w:color="auto" w:fill="E0E7ED"/>
          </w:tcPr>
          <w:p>
            <w:pPr>
              <w:spacing w:after="0"/>
              <w:rPr>
                <w:sz w:val="16"/>
                <w:szCs w:val="16"/>
                <w:color w:val="auto"/>
              </w:rPr>
            </w:pPr>
          </w:p>
        </w:tc>
        <w:tc>
          <w:tcPr>
            <w:tcW w:w="9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16,331,740</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896,836</w:t>
            </w:r>
          </w:p>
        </w:tc>
        <w:tc>
          <w:tcPr>
            <w:tcW w:w="6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5.49 %</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10,999,424</w:t>
            </w:r>
          </w:p>
        </w:tc>
        <w:tc>
          <w:tcPr>
            <w:tcW w:w="6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525,374</w:t>
            </w:r>
          </w:p>
        </w:tc>
        <w:tc>
          <w:tcPr>
            <w:tcW w:w="8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4.78 %</w:t>
            </w:r>
          </w:p>
        </w:tc>
        <w:tc>
          <w:tcPr>
            <w:tcW w:w="0" w:type="dxa"/>
            <w:vAlign w:val="bottom"/>
          </w:tcPr>
          <w:p>
            <w:pPr>
              <w:spacing w:after="0"/>
              <w:rPr>
                <w:sz w:val="1"/>
                <w:szCs w:val="1"/>
                <w:color w:val="auto"/>
              </w:rPr>
            </w:pPr>
          </w:p>
        </w:tc>
      </w:tr>
      <w:tr>
        <w:trPr>
          <w:trHeight w:val="150"/>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Noninterest-earning assets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1,398,147</w:t>
            </w:r>
          </w:p>
        </w:tc>
        <w:tc>
          <w:tcPr>
            <w:tcW w:w="80" w:type="dxa"/>
            <w:vAlign w:val="bottom"/>
            <w:tcBorders>
              <w:bottom w:val="single" w:sz="8" w:color="E0E7ED"/>
            </w:tcBorders>
          </w:tcPr>
          <w:p>
            <w:pPr>
              <w:spacing w:after="0"/>
              <w:rPr>
                <w:sz w:val="13"/>
                <w:szCs w:val="13"/>
                <w:color w:val="auto"/>
              </w:rPr>
            </w:pPr>
          </w:p>
        </w:tc>
        <w:tc>
          <w:tcPr>
            <w:tcW w:w="220" w:type="dxa"/>
            <w:vAlign w:val="bottom"/>
            <w:tcBorders>
              <w:bottom w:val="single" w:sz="8" w:color="E0E7ED"/>
            </w:tcBorders>
          </w:tcPr>
          <w:p>
            <w:pPr>
              <w:spacing w:after="0"/>
              <w:rPr>
                <w:sz w:val="13"/>
                <w:szCs w:val="13"/>
                <w:color w:val="auto"/>
              </w:rPr>
            </w:pPr>
          </w:p>
        </w:tc>
        <w:tc>
          <w:tcPr>
            <w:tcW w:w="940" w:type="dxa"/>
            <w:vAlign w:val="bottom"/>
            <w:tcBorders>
              <w:bottom w:val="single" w:sz="8" w:color="E0E7ED"/>
            </w:tcBorders>
          </w:tcPr>
          <w:p>
            <w:pPr>
              <w:spacing w:after="0"/>
              <w:rPr>
                <w:sz w:val="13"/>
                <w:szCs w:val="13"/>
                <w:color w:val="auto"/>
              </w:rPr>
            </w:pPr>
          </w:p>
        </w:tc>
        <w:tc>
          <w:tcPr>
            <w:tcW w:w="60" w:type="dxa"/>
            <w:vAlign w:val="bottom"/>
            <w:tcBorders>
              <w:bottom w:val="single" w:sz="8" w:color="E0E7ED"/>
            </w:tcBorders>
          </w:tcPr>
          <w:p>
            <w:pPr>
              <w:spacing w:after="0"/>
              <w:rPr>
                <w:sz w:val="13"/>
                <w:szCs w:val="13"/>
                <w:color w:val="auto"/>
              </w:rPr>
            </w:pPr>
          </w:p>
        </w:tc>
        <w:tc>
          <w:tcPr>
            <w:tcW w:w="1260" w:type="dxa"/>
            <w:vAlign w:val="bottom"/>
            <w:tcBorders>
              <w:bottom w:val="single" w:sz="8" w:color="E0E7ED"/>
            </w:tcBorders>
          </w:tcPr>
          <w:p>
            <w:pPr>
              <w:spacing w:after="0"/>
              <w:rPr>
                <w:sz w:val="13"/>
                <w:szCs w:val="13"/>
                <w:color w:val="auto"/>
              </w:rPr>
            </w:pPr>
          </w:p>
        </w:tc>
        <w:tc>
          <w:tcPr>
            <w:tcW w:w="80" w:type="dxa"/>
            <w:vAlign w:val="bottom"/>
            <w:tcBorders>
              <w:bottom w:val="single" w:sz="8" w:color="E0E7ED"/>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1,052,447</w:t>
            </w:r>
          </w:p>
        </w:tc>
        <w:tc>
          <w:tcPr>
            <w:tcW w:w="60" w:type="dxa"/>
            <w:vAlign w:val="bottom"/>
            <w:tcBorders>
              <w:bottom w:val="single" w:sz="8" w:color="E0E7ED"/>
            </w:tcBorders>
          </w:tcPr>
          <w:p>
            <w:pPr>
              <w:spacing w:after="0"/>
              <w:rPr>
                <w:sz w:val="13"/>
                <w:szCs w:val="13"/>
                <w:color w:val="auto"/>
              </w:rPr>
            </w:pPr>
          </w:p>
        </w:tc>
        <w:tc>
          <w:tcPr>
            <w:tcW w:w="240" w:type="dxa"/>
            <w:vAlign w:val="bottom"/>
            <w:tcBorders>
              <w:bottom w:val="single" w:sz="8" w:color="E0E7ED"/>
            </w:tcBorders>
          </w:tcPr>
          <w:p>
            <w:pPr>
              <w:spacing w:after="0"/>
              <w:rPr>
                <w:sz w:val="13"/>
                <w:szCs w:val="13"/>
                <w:color w:val="auto"/>
              </w:rPr>
            </w:pPr>
          </w:p>
        </w:tc>
        <w:tc>
          <w:tcPr>
            <w:tcW w:w="920" w:type="dxa"/>
            <w:vAlign w:val="bottom"/>
            <w:tcBorders>
              <w:bottom w:val="single" w:sz="8" w:color="E0E7ED"/>
            </w:tcBorders>
          </w:tcPr>
          <w:p>
            <w:pPr>
              <w:spacing w:after="0"/>
              <w:rPr>
                <w:sz w:val="13"/>
                <w:szCs w:val="13"/>
                <w:color w:val="auto"/>
              </w:rPr>
            </w:pPr>
          </w:p>
        </w:tc>
        <w:tc>
          <w:tcPr>
            <w:tcW w:w="80" w:type="dxa"/>
            <w:vAlign w:val="bottom"/>
            <w:tcBorders>
              <w:bottom w:val="single" w:sz="8" w:color="E0E7ED"/>
            </w:tcBorders>
          </w:tcPr>
          <w:p>
            <w:pPr>
              <w:spacing w:after="0"/>
              <w:rPr>
                <w:sz w:val="13"/>
                <w:szCs w:val="13"/>
                <w:color w:val="auto"/>
              </w:rPr>
            </w:pPr>
          </w:p>
        </w:tc>
        <w:tc>
          <w:tcPr>
            <w:tcW w:w="1260" w:type="dxa"/>
            <w:vAlign w:val="bottom"/>
            <w:tcBorders>
              <w:bottom w:val="single" w:sz="8" w:color="E0E7ED"/>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E0E7ED"/>
          </w:tcPr>
          <w:p>
            <w:pPr>
              <w:spacing w:after="0"/>
              <w:rPr>
                <w:sz w:val="20"/>
                <w:szCs w:val="20"/>
                <w:color w:val="auto"/>
              </w:rPr>
            </w:pPr>
            <w:r>
              <w:rPr>
                <w:rFonts w:ascii="Arial" w:cs="Arial" w:eastAsia="Arial" w:hAnsi="Arial"/>
                <w:sz w:val="12"/>
                <w:szCs w:val="12"/>
                <w:color w:val="auto"/>
              </w:rPr>
              <w:t>Total assets</w:t>
            </w: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17,729,887</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320" w:type="dxa"/>
            <w:vAlign w:val="bottom"/>
            <w:gridSpan w:val="2"/>
            <w:shd w:val="clear" w:color="auto" w:fill="E0E7ED"/>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12,051,871</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60" w:type="dxa"/>
            <w:vAlign w:val="bottom"/>
            <w:tcBorders>
              <w:top w:val="single" w:sz="8" w:color="E0E7ED"/>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220" w:type="dxa"/>
            <w:vAlign w:val="bottom"/>
            <w:tcBorders>
              <w:top w:val="single" w:sz="8" w:color="E0E7ED"/>
            </w:tcBorders>
          </w:tcPr>
          <w:p>
            <w:pPr>
              <w:spacing w:after="0"/>
              <w:rPr>
                <w:sz w:val="14"/>
                <w:szCs w:val="14"/>
                <w:color w:val="auto"/>
              </w:rPr>
            </w:pPr>
          </w:p>
        </w:tc>
        <w:tc>
          <w:tcPr>
            <w:tcW w:w="940" w:type="dxa"/>
            <w:vAlign w:val="bottom"/>
            <w:tcBorders>
              <w:top w:val="single" w:sz="8" w:color="E0E7ED"/>
            </w:tcBorders>
          </w:tcPr>
          <w:p>
            <w:pPr>
              <w:spacing w:after="0"/>
              <w:rPr>
                <w:sz w:val="14"/>
                <w:szCs w:val="14"/>
                <w:color w:val="auto"/>
              </w:rPr>
            </w:pPr>
          </w:p>
        </w:tc>
        <w:tc>
          <w:tcPr>
            <w:tcW w:w="60" w:type="dxa"/>
            <w:vAlign w:val="bottom"/>
            <w:tcBorders>
              <w:top w:val="single" w:sz="8" w:color="E0E7ED"/>
            </w:tcBorders>
          </w:tcPr>
          <w:p>
            <w:pPr>
              <w:spacing w:after="0"/>
              <w:rPr>
                <w:sz w:val="14"/>
                <w:szCs w:val="14"/>
                <w:color w:val="auto"/>
              </w:rPr>
            </w:pPr>
          </w:p>
        </w:tc>
        <w:tc>
          <w:tcPr>
            <w:tcW w:w="1260" w:type="dxa"/>
            <w:vAlign w:val="bottom"/>
            <w:tcBorders>
              <w:top w:val="single" w:sz="8" w:color="E0E7ED"/>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Borders>
              <w:top w:val="single" w:sz="8" w:color="E0E7ED"/>
            </w:tcBorders>
          </w:tcPr>
          <w:p>
            <w:pPr>
              <w:spacing w:after="0"/>
              <w:rPr>
                <w:sz w:val="14"/>
                <w:szCs w:val="14"/>
                <w:color w:val="auto"/>
              </w:rPr>
            </w:pPr>
          </w:p>
        </w:tc>
        <w:tc>
          <w:tcPr>
            <w:tcW w:w="240" w:type="dxa"/>
            <w:vAlign w:val="bottom"/>
            <w:tcBorders>
              <w:top w:val="single" w:sz="8" w:color="E0E7ED"/>
            </w:tcBorders>
          </w:tcPr>
          <w:p>
            <w:pPr>
              <w:spacing w:after="0"/>
              <w:rPr>
                <w:sz w:val="14"/>
                <w:szCs w:val="14"/>
                <w:color w:val="auto"/>
              </w:rPr>
            </w:pPr>
          </w:p>
        </w:tc>
        <w:tc>
          <w:tcPr>
            <w:tcW w:w="920" w:type="dxa"/>
            <w:vAlign w:val="bottom"/>
            <w:tcBorders>
              <w:top w:val="single" w:sz="8" w:color="E0E7ED"/>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1260" w:type="dxa"/>
            <w:vAlign w:val="bottom"/>
            <w:tcBorders>
              <w:top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40" w:type="dxa"/>
            <w:vAlign w:val="bottom"/>
            <w:shd w:val="clear" w:color="auto" w:fill="E0E7ED"/>
          </w:tcPr>
          <w:p>
            <w:pPr>
              <w:spacing w:after="0"/>
              <w:rPr>
                <w:sz w:val="15"/>
                <w:szCs w:val="15"/>
                <w:color w:val="auto"/>
              </w:rPr>
            </w:pPr>
          </w:p>
        </w:tc>
        <w:tc>
          <w:tcPr>
            <w:tcW w:w="9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Interest-bearing transaction deposits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3,076,961</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56,233</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1.83 %</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2,469,664</w:t>
            </w:r>
          </w:p>
        </w:tc>
        <w:tc>
          <w:tcPr>
            <w:tcW w:w="6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42,925</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1.74 %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Savings and money market deposits</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5,738,073</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154,300</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2.69 %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3,246,507</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74,536</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2.30 %</w:t>
            </w:r>
          </w:p>
        </w:tc>
        <w:tc>
          <w:tcPr>
            <w:tcW w:w="0" w:type="dxa"/>
            <w:vAlign w:val="bottom"/>
          </w:tcPr>
          <w:p>
            <w:pPr>
              <w:spacing w:after="0"/>
              <w:rPr>
                <w:sz w:val="1"/>
                <w:szCs w:val="1"/>
                <w:color w:val="auto"/>
              </w:rPr>
            </w:pPr>
          </w:p>
        </w:tc>
      </w:tr>
      <w:tr>
        <w:trPr>
          <w:trHeight w:val="172"/>
        </w:trPr>
        <w:tc>
          <w:tcPr>
            <w:tcW w:w="3760" w:type="dxa"/>
            <w:vAlign w:val="bottom"/>
          </w:tcPr>
          <w:p>
            <w:pPr>
              <w:ind w:left="120"/>
              <w:spacing w:after="0"/>
              <w:rPr>
                <w:sz w:val="20"/>
                <w:szCs w:val="20"/>
                <w:color w:val="auto"/>
              </w:rPr>
            </w:pPr>
            <w:r>
              <w:rPr>
                <w:rFonts w:ascii="Arial" w:cs="Arial" w:eastAsia="Arial" w:hAnsi="Arial"/>
                <w:sz w:val="12"/>
                <w:szCs w:val="12"/>
                <w:color w:val="auto"/>
              </w:rPr>
              <w:t>Time deposits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2,471,023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92,456</w:t>
            </w: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3.74 %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1,584,953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61,002</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3.85 %</w:t>
            </w: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Federal funds purchased and repurchase agreements</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149,916</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3,708</w:t>
            </w: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2.47 %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147,786</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4,308</w:t>
            </w: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2.92 %</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Borrowings</w:t>
            </w:r>
            <w:r>
              <w:rPr>
                <w:rFonts w:ascii="Arial" w:cs="Arial" w:eastAsia="Arial" w:hAnsi="Arial"/>
                <w:sz w:val="15"/>
                <w:szCs w:val="15"/>
                <w:color w:val="auto"/>
                <w:vertAlign w:val="superscript"/>
              </w:rPr>
              <w:t>(iv)</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319,041</w:t>
            </w: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17,554</w:t>
            </w:r>
          </w:p>
        </w:tc>
        <w:tc>
          <w:tcPr>
            <w:tcW w:w="6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5.50 %</w:t>
            </w: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314,174</w:t>
            </w:r>
          </w:p>
        </w:tc>
        <w:tc>
          <w:tcPr>
            <w:tcW w:w="6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18,299</w:t>
            </w:r>
          </w:p>
        </w:tc>
        <w:tc>
          <w:tcPr>
            <w:tcW w:w="80" w:type="dxa"/>
            <w:vAlign w:val="bottom"/>
            <w:tcBorders>
              <w:bottom w:val="single" w:sz="8" w:color="E0E7E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5.82 %</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E0E7ED"/>
            </w:tcBorders>
            <w:shd w:val="clear" w:color="auto" w:fill="E0E7ED"/>
          </w:tcPr>
          <w:p>
            <w:pPr>
              <w:ind w:left="120"/>
              <w:spacing w:after="0"/>
              <w:rPr>
                <w:sz w:val="20"/>
                <w:szCs w:val="20"/>
                <w:color w:val="auto"/>
              </w:rPr>
            </w:pPr>
            <w:r>
              <w:rPr>
                <w:rFonts w:ascii="Arial" w:cs="Arial" w:eastAsia="Arial" w:hAnsi="Arial"/>
                <w:sz w:val="12"/>
                <w:szCs w:val="12"/>
                <w:color w:val="auto"/>
              </w:rPr>
              <w:t>Total interest-bearing liabilities</w:t>
            </w:r>
          </w:p>
        </w:tc>
        <w:tc>
          <w:tcPr>
            <w:tcW w:w="240" w:type="dxa"/>
            <w:vAlign w:val="bottom"/>
            <w:tcBorders>
              <w:bottom w:val="single" w:sz="8" w:color="E0E7ED"/>
            </w:tcBorders>
            <w:shd w:val="clear" w:color="auto" w:fill="E0E7ED"/>
          </w:tcPr>
          <w:p>
            <w:pPr>
              <w:spacing w:after="0"/>
              <w:rPr>
                <w:sz w:val="16"/>
                <w:szCs w:val="16"/>
                <w:color w:val="auto"/>
              </w:rPr>
            </w:pPr>
          </w:p>
        </w:tc>
        <w:tc>
          <w:tcPr>
            <w:tcW w:w="9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11,755,014</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324,251</w:t>
            </w:r>
          </w:p>
        </w:tc>
        <w:tc>
          <w:tcPr>
            <w:tcW w:w="6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2.76 %</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7,763,084</w:t>
            </w:r>
          </w:p>
        </w:tc>
        <w:tc>
          <w:tcPr>
            <w:tcW w:w="6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201,070</w:t>
            </w:r>
          </w:p>
        </w:tc>
        <w:tc>
          <w:tcPr>
            <w:tcW w:w="8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2.59 %</w:t>
            </w:r>
          </w:p>
        </w:tc>
        <w:tc>
          <w:tcPr>
            <w:tcW w:w="0" w:type="dxa"/>
            <w:vAlign w:val="bottom"/>
          </w:tcPr>
          <w:p>
            <w:pPr>
              <w:spacing w:after="0"/>
              <w:rPr>
                <w:sz w:val="1"/>
                <w:szCs w:val="1"/>
                <w:color w:val="auto"/>
              </w:rPr>
            </w:pPr>
          </w:p>
        </w:tc>
      </w:tr>
      <w:tr>
        <w:trPr>
          <w:trHeight w:val="150"/>
        </w:trPr>
        <w:tc>
          <w:tcPr>
            <w:tcW w:w="3760" w:type="dxa"/>
            <w:vAlign w:val="bottom"/>
          </w:tcPr>
          <w:p>
            <w:pPr>
              <w:ind w:left="120"/>
              <w:spacing w:after="0"/>
              <w:rPr>
                <w:sz w:val="20"/>
                <w:szCs w:val="20"/>
                <w:color w:val="auto"/>
              </w:rPr>
            </w:pPr>
            <w:r>
              <w:rPr>
                <w:rFonts w:ascii="Arial" w:cs="Arial" w:eastAsia="Arial" w:hAnsi="Arial"/>
                <w:sz w:val="12"/>
                <w:szCs w:val="12"/>
                <w:color w:val="auto"/>
              </w:rPr>
              <w:t>Noninterest-bearing deposits</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3,450,226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2,738,892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liabilities</w:t>
            </w: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244,188</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207,471</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Stockholders’ equity</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2,280,459</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60" w:type="dxa"/>
            <w:vAlign w:val="bottom"/>
            <w:tcBorders>
              <w:bottom w:val="single" w:sz="8" w:color="E0E7ED"/>
            </w:tcBorders>
          </w:tcPr>
          <w:p>
            <w:pPr>
              <w:spacing w:after="0"/>
              <w:rPr>
                <w:sz w:val="14"/>
                <w:szCs w:val="14"/>
                <w:color w:val="auto"/>
              </w:rPr>
            </w:pPr>
          </w:p>
        </w:tc>
        <w:tc>
          <w:tcPr>
            <w:tcW w:w="126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1,342,424</w:t>
            </w:r>
          </w:p>
        </w:tc>
        <w:tc>
          <w:tcPr>
            <w:tcW w:w="60" w:type="dxa"/>
            <w:vAlign w:val="bottom"/>
            <w:tcBorders>
              <w:bottom w:val="single" w:sz="8" w:color="E0E7ED"/>
            </w:tcBorders>
          </w:tcPr>
          <w:p>
            <w:pPr>
              <w:spacing w:after="0"/>
              <w:rPr>
                <w:sz w:val="14"/>
                <w:szCs w:val="14"/>
                <w:color w:val="auto"/>
              </w:rPr>
            </w:pPr>
          </w:p>
        </w:tc>
        <w:tc>
          <w:tcPr>
            <w:tcW w:w="240" w:type="dxa"/>
            <w:vAlign w:val="bottom"/>
            <w:tcBorders>
              <w:bottom w:val="single" w:sz="8" w:color="E0E7ED"/>
            </w:tcBorders>
          </w:tcPr>
          <w:p>
            <w:pPr>
              <w:spacing w:after="0"/>
              <w:rPr>
                <w:sz w:val="14"/>
                <w:szCs w:val="14"/>
                <w:color w:val="auto"/>
              </w:rPr>
            </w:pPr>
          </w:p>
        </w:tc>
        <w:tc>
          <w:tcPr>
            <w:tcW w:w="9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26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E0E7ED"/>
          </w:tcPr>
          <w:p>
            <w:pPr>
              <w:spacing w:after="0"/>
              <w:rPr>
                <w:sz w:val="20"/>
                <w:szCs w:val="20"/>
                <w:color w:val="auto"/>
              </w:rPr>
            </w:pPr>
            <w:r>
              <w:rPr>
                <w:rFonts w:ascii="Arial" w:cs="Arial" w:eastAsia="Arial" w:hAnsi="Arial"/>
                <w:sz w:val="12"/>
                <w:szCs w:val="12"/>
                <w:color w:val="auto"/>
              </w:rPr>
              <w:t>Total liabilities and stockholders’ equity</w:t>
            </w: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17,729,887</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320" w:type="dxa"/>
            <w:vAlign w:val="bottom"/>
            <w:gridSpan w:val="2"/>
            <w:shd w:val="clear" w:color="auto" w:fill="E0E7ED"/>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12,051,871</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60" w:type="dxa"/>
            <w:vAlign w:val="bottom"/>
            <w:tcBorders>
              <w:top w:val="single" w:sz="8" w:color="E0E7ED"/>
              <w:bottom w:val="single" w:sz="8" w:color="E0E7ED"/>
            </w:tcBorders>
          </w:tcPr>
          <w:p>
            <w:pPr>
              <w:spacing w:after="0"/>
              <w:rPr>
                <w:sz w:val="14"/>
                <w:szCs w:val="14"/>
                <w:color w:val="auto"/>
              </w:rPr>
            </w:pPr>
          </w:p>
        </w:tc>
        <w:tc>
          <w:tcPr>
            <w:tcW w:w="240" w:type="dxa"/>
            <w:vAlign w:val="bottom"/>
            <w:tcBorders>
              <w:top w:val="single" w:sz="8" w:color="auto"/>
              <w:bottom w:val="single" w:sz="8" w:color="E0E7ED"/>
            </w:tcBorders>
          </w:tcPr>
          <w:p>
            <w:pPr>
              <w:spacing w:after="0"/>
              <w:rPr>
                <w:sz w:val="14"/>
                <w:szCs w:val="14"/>
                <w:color w:val="auto"/>
              </w:rPr>
            </w:pPr>
          </w:p>
        </w:tc>
        <w:tc>
          <w:tcPr>
            <w:tcW w:w="920" w:type="dxa"/>
            <w:vAlign w:val="bottom"/>
            <w:tcBorders>
              <w:top w:val="single" w:sz="8" w:color="auto"/>
              <w:bottom w:val="single" w:sz="8" w:color="E0E7ED"/>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220" w:type="dxa"/>
            <w:vAlign w:val="bottom"/>
            <w:tcBorders>
              <w:top w:val="single" w:sz="8" w:color="E0E7ED"/>
              <w:bottom w:val="single" w:sz="8" w:color="auto"/>
            </w:tcBorders>
          </w:tcPr>
          <w:p>
            <w:pPr>
              <w:spacing w:after="0"/>
              <w:rPr>
                <w:sz w:val="14"/>
                <w:szCs w:val="14"/>
                <w:color w:val="auto"/>
              </w:rPr>
            </w:pPr>
          </w:p>
        </w:tc>
        <w:tc>
          <w:tcPr>
            <w:tcW w:w="940" w:type="dxa"/>
            <w:vAlign w:val="bottom"/>
            <w:tcBorders>
              <w:top w:val="single" w:sz="8" w:color="E0E7ED"/>
              <w:bottom w:val="single" w:sz="8" w:color="auto"/>
            </w:tcBorders>
          </w:tcPr>
          <w:p>
            <w:pPr>
              <w:spacing w:after="0"/>
              <w:rPr>
                <w:sz w:val="14"/>
                <w:szCs w:val="14"/>
                <w:color w:val="auto"/>
              </w:rPr>
            </w:pPr>
          </w:p>
        </w:tc>
        <w:tc>
          <w:tcPr>
            <w:tcW w:w="60" w:type="dxa"/>
            <w:vAlign w:val="bottom"/>
            <w:tcBorders>
              <w:top w:val="single" w:sz="8" w:color="E0E7ED"/>
              <w:bottom w:val="single" w:sz="8" w:color="E0E7ED"/>
            </w:tcBorders>
          </w:tcPr>
          <w:p>
            <w:pPr>
              <w:spacing w:after="0"/>
              <w:rPr>
                <w:sz w:val="14"/>
                <w:szCs w:val="14"/>
                <w:color w:val="auto"/>
              </w:rPr>
            </w:pPr>
          </w:p>
        </w:tc>
        <w:tc>
          <w:tcPr>
            <w:tcW w:w="1260" w:type="dxa"/>
            <w:vAlign w:val="bottom"/>
            <w:tcBorders>
              <w:top w:val="single" w:sz="8" w:color="E0E7ED"/>
              <w:bottom w:val="single" w:sz="8" w:color="auto"/>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240" w:type="dxa"/>
            <w:vAlign w:val="bottom"/>
            <w:tcBorders>
              <w:top w:val="single" w:sz="8" w:color="auto"/>
              <w:bottom w:val="single" w:sz="8" w:color="E0E7ED"/>
            </w:tcBorders>
          </w:tcPr>
          <w:p>
            <w:pPr>
              <w:spacing w:after="0"/>
              <w:rPr>
                <w:sz w:val="14"/>
                <w:szCs w:val="14"/>
                <w:color w:val="auto"/>
              </w:rPr>
            </w:pPr>
          </w:p>
        </w:tc>
        <w:tc>
          <w:tcPr>
            <w:tcW w:w="940" w:type="dxa"/>
            <w:vAlign w:val="bottom"/>
            <w:tcBorders>
              <w:top w:val="single" w:sz="8" w:color="auto"/>
              <w:bottom w:val="single" w:sz="8" w:color="E0E7ED"/>
            </w:tcBorders>
          </w:tcPr>
          <w:p>
            <w:pPr>
              <w:spacing w:after="0"/>
              <w:rPr>
                <w:sz w:val="14"/>
                <w:szCs w:val="14"/>
                <w:color w:val="auto"/>
              </w:rPr>
            </w:pPr>
          </w:p>
        </w:tc>
        <w:tc>
          <w:tcPr>
            <w:tcW w:w="60" w:type="dxa"/>
            <w:vAlign w:val="bottom"/>
            <w:tcBorders>
              <w:top w:val="single" w:sz="8" w:color="E0E7ED"/>
              <w:bottom w:val="single" w:sz="8" w:color="E0E7ED"/>
            </w:tcBorders>
          </w:tcPr>
          <w:p>
            <w:pPr>
              <w:spacing w:after="0"/>
              <w:rPr>
                <w:sz w:val="14"/>
                <w:szCs w:val="14"/>
                <w:color w:val="auto"/>
              </w:rPr>
            </w:pPr>
          </w:p>
        </w:tc>
        <w:tc>
          <w:tcPr>
            <w:tcW w:w="240" w:type="dxa"/>
            <w:vAlign w:val="bottom"/>
            <w:tcBorders>
              <w:top w:val="single" w:sz="8" w:color="E0E7ED"/>
              <w:bottom w:val="single" w:sz="8" w:color="auto"/>
            </w:tcBorders>
          </w:tcPr>
          <w:p>
            <w:pPr>
              <w:spacing w:after="0"/>
              <w:rPr>
                <w:sz w:val="14"/>
                <w:szCs w:val="14"/>
                <w:color w:val="auto"/>
              </w:rPr>
            </w:pPr>
          </w:p>
        </w:tc>
        <w:tc>
          <w:tcPr>
            <w:tcW w:w="920" w:type="dxa"/>
            <w:vAlign w:val="bottom"/>
            <w:tcBorders>
              <w:top w:val="single" w:sz="8" w:color="E0E7ED"/>
              <w:bottom w:val="single" w:sz="8" w:color="auto"/>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1260" w:type="dxa"/>
            <w:vAlign w:val="bottom"/>
            <w:tcBorders>
              <w:top w:val="single" w:sz="8" w:color="E0E7ED"/>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E0E7ED"/>
            </w:tcBorders>
            <w:shd w:val="clear" w:color="auto" w:fill="E0E7ED"/>
          </w:tcPr>
          <w:p>
            <w:pPr>
              <w:spacing w:after="0" w:line="169"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5"/>
                <w:szCs w:val="15"/>
                <w:color w:val="auto"/>
                <w:vertAlign w:val="superscript"/>
              </w:rPr>
              <w:t>(i)(v)</w:t>
            </w:r>
          </w:p>
        </w:tc>
        <w:tc>
          <w:tcPr>
            <w:tcW w:w="240" w:type="dxa"/>
            <w:vAlign w:val="bottom"/>
            <w:tcBorders>
              <w:bottom w:val="single" w:sz="8" w:color="E0E7ED"/>
            </w:tcBorders>
            <w:shd w:val="clear" w:color="auto" w:fill="E0E7ED"/>
          </w:tcPr>
          <w:p>
            <w:pPr>
              <w:spacing w:after="0"/>
              <w:rPr>
                <w:sz w:val="16"/>
                <w:szCs w:val="16"/>
                <w:color w:val="auto"/>
              </w:rPr>
            </w:pPr>
          </w:p>
        </w:tc>
        <w:tc>
          <w:tcPr>
            <w:tcW w:w="92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572,585</w:t>
            </w:r>
          </w:p>
        </w:tc>
        <w:tc>
          <w:tcPr>
            <w:tcW w:w="6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3.51 %</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6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324,304</w:t>
            </w:r>
          </w:p>
        </w:tc>
        <w:tc>
          <w:tcPr>
            <w:tcW w:w="80" w:type="dxa"/>
            <w:vAlign w:val="bottom"/>
            <w:tcBorders>
              <w:bottom w:val="single" w:sz="8" w:color="E0E7ED"/>
            </w:tcBorders>
            <w:shd w:val="clear" w:color="auto" w:fill="E0E7ED"/>
          </w:tcPr>
          <w:p>
            <w:pPr>
              <w:spacing w:after="0"/>
              <w:rPr>
                <w:sz w:val="16"/>
                <w:szCs w:val="16"/>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2.95 %</w:t>
            </w:r>
          </w:p>
        </w:tc>
        <w:tc>
          <w:tcPr>
            <w:tcW w:w="0" w:type="dxa"/>
            <w:vAlign w:val="bottom"/>
          </w:tcPr>
          <w:p>
            <w:pPr>
              <w:spacing w:after="0"/>
              <w:rPr>
                <w:sz w:val="1"/>
                <w:szCs w:val="1"/>
                <w:color w:val="auto"/>
              </w:rPr>
            </w:pPr>
          </w:p>
        </w:tc>
      </w:tr>
      <w:tr>
        <w:trPr>
          <w:trHeight w:val="179"/>
        </w:trPr>
        <w:tc>
          <w:tcPr>
            <w:tcW w:w="3760" w:type="dxa"/>
            <w:vAlign w:val="bottom"/>
          </w:tcPr>
          <w:p>
            <w:pPr>
              <w:spacing w:after="0"/>
              <w:rPr>
                <w:sz w:val="20"/>
                <w:szCs w:val="20"/>
                <w:color w:val="auto"/>
              </w:rPr>
            </w:pPr>
            <w:r>
              <w:rPr>
                <w:rFonts w:ascii="Arial" w:cs="Arial" w:eastAsia="Arial" w:hAnsi="Arial"/>
                <w:sz w:val="10"/>
                <w:szCs w:val="10"/>
                <w:color w:val="auto"/>
              </w:rPr>
              <w:t>___________________________________________</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220"/>
        <w:spacing w:after="0"/>
        <w:tabs>
          <w:tab w:leader="none" w:pos="320" w:val="left"/>
        </w:tabs>
        <w:numPr>
          <w:ilvl w:val="0"/>
          <w:numId w:val="4"/>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On a tax-equivalent basis and assuming a federal income tax rate of 21.0%.</w:t>
      </w:r>
    </w:p>
    <w:p>
      <w:pPr>
        <w:spacing w:after="0" w:line="2" w:lineRule="exact"/>
        <w:rPr>
          <w:rFonts w:ascii="Arial" w:cs="Arial" w:eastAsia="Arial" w:hAnsi="Arial"/>
          <w:sz w:val="10"/>
          <w:szCs w:val="10"/>
          <w:color w:val="auto"/>
        </w:rPr>
      </w:pPr>
    </w:p>
    <w:p>
      <w:pPr>
        <w:ind w:left="320" w:hanging="220"/>
        <w:spacing w:after="0" w:line="225" w:lineRule="auto"/>
        <w:tabs>
          <w:tab w:leader="none" w:pos="320" w:val="left"/>
        </w:tabs>
        <w:numPr>
          <w:ilvl w:val="0"/>
          <w:numId w:val="4"/>
        </w:numPr>
        <w:rPr>
          <w:rFonts w:ascii="Arial" w:cs="Arial" w:eastAsia="Arial" w:hAnsi="Arial"/>
          <w:sz w:val="10"/>
          <w:szCs w:val="10"/>
          <w:color w:val="auto"/>
        </w:rPr>
      </w:pPr>
      <w:r>
        <w:rPr>
          <w:rFonts w:ascii="Arial" w:cs="Arial" w:eastAsia="Arial" w:hAnsi="Arial"/>
          <w:sz w:val="10"/>
          <w:szCs w:val="10"/>
          <w:color w:val="auto"/>
        </w:rPr>
        <w:t>Investment securities include debt securities available for sale, debt securities held to maturity, and equity securities.</w:t>
      </w:r>
    </w:p>
    <w:p>
      <w:pPr>
        <w:ind w:left="320" w:hanging="220"/>
        <w:spacing w:after="0"/>
        <w:tabs>
          <w:tab w:leader="none" w:pos="320" w:val="left"/>
        </w:tabs>
        <w:numPr>
          <w:ilvl w:val="0"/>
          <w:numId w:val="4"/>
        </w:numPr>
        <w:rPr>
          <w:rFonts w:ascii="Arial" w:cs="Arial" w:eastAsia="Arial" w:hAnsi="Arial"/>
          <w:sz w:val="10"/>
          <w:szCs w:val="10"/>
          <w:color w:val="auto"/>
        </w:rPr>
      </w:pPr>
      <w:r>
        <w:rPr>
          <w:rFonts w:ascii="Arial" w:cs="Arial" w:eastAsia="Arial" w:hAnsi="Arial"/>
          <w:sz w:val="10"/>
          <w:szCs w:val="10"/>
          <w:color w:val="auto"/>
        </w:rPr>
        <w:t>Non-accrual loans have been included in average portfolio loans.</w:t>
      </w:r>
    </w:p>
    <w:p>
      <w:pPr>
        <w:spacing w:after="0" w:line="1" w:lineRule="exact"/>
        <w:rPr>
          <w:rFonts w:ascii="Arial" w:cs="Arial" w:eastAsia="Arial" w:hAnsi="Arial"/>
          <w:sz w:val="10"/>
          <w:szCs w:val="10"/>
          <w:color w:val="auto"/>
        </w:rPr>
      </w:pPr>
    </w:p>
    <w:p>
      <w:pPr>
        <w:ind w:left="340" w:hanging="240"/>
        <w:spacing w:after="0"/>
        <w:tabs>
          <w:tab w:leader="none" w:pos="340" w:val="left"/>
        </w:tabs>
        <w:numPr>
          <w:ilvl w:val="0"/>
          <w:numId w:val="4"/>
        </w:numPr>
        <w:rPr>
          <w:rFonts w:ascii="Arial" w:cs="Arial" w:eastAsia="Arial" w:hAnsi="Arial"/>
          <w:sz w:val="10"/>
          <w:szCs w:val="10"/>
          <w:color w:val="auto"/>
        </w:rPr>
      </w:pPr>
      <w:r>
        <w:rPr>
          <w:rFonts w:ascii="Arial" w:cs="Arial" w:eastAsia="Arial" w:hAnsi="Arial"/>
          <w:sz w:val="10"/>
          <w:szCs w:val="10"/>
          <w:color w:val="auto"/>
        </w:rPr>
        <w:t>Includes, as applicable, short-term borrowings, long-term borrowings, subordinated notes, and junior subordinated debt owed to unconsolidated trusts.</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4"/>
        </w:numPr>
        <w:rPr>
          <w:rFonts w:ascii="Arial" w:cs="Arial" w:eastAsia="Arial" w:hAnsi="Arial"/>
          <w:sz w:val="10"/>
          <w:szCs w:val="10"/>
          <w:color w:val="auto"/>
        </w:rPr>
      </w:pPr>
      <w:r>
        <w:rPr>
          <w:rFonts w:ascii="Arial" w:cs="Arial" w:eastAsia="Arial" w:hAnsi="Arial"/>
          <w:sz w:val="10"/>
          <w:szCs w:val="10"/>
          <w:color w:val="auto"/>
        </w:rPr>
        <w:t>For a reconciliation of non-GAAP measures to the most directly comparable GAAP financial measures, see “</w:t>
      </w:r>
      <w:r>
        <w:rPr>
          <w:rFonts w:ascii="Arial" w:cs="Arial" w:eastAsia="Arial" w:hAnsi="Arial"/>
          <w:sz w:val="10"/>
          <w:szCs w:val="10"/>
          <w:u w:val="single" w:color="auto"/>
          <w:color w:val="0000FF"/>
        </w:rPr>
        <w:t>Non-GAAP Financial Information</w:t>
      </w:r>
      <w:r>
        <w:rPr>
          <w:rFonts w:ascii="Arial" w:cs="Arial" w:eastAsia="Arial" w:hAnsi="Arial"/>
          <w:sz w:val="10"/>
          <w:szCs w:val="10"/>
          <w:color w:val="auto"/>
        </w:rPr>
        <w:t>.”</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Net interest income increased by $2.4 million in the fourth quarter of 2025, compared to the third quarter of 2025, primarily due to applying measured rate cutting initiatives to optimize funding costs. Deposit funding cost reduction during the quarter of 24 basis points represents a 53% beta relative to the quarterly move in the fed funds target average rate.</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Based on our most recent Asset Liability Management Committee model, a -100 basis point parallel rate shock is expected to decrease net interest income by 1.8% (relative to a current base rate scenario) over the subsequent twelve-month period. Busey continues to evaluate and execute off-balance sheet hedging and balance sheet strategies as well as embedding rate protection in our asset originations to provide stabilization to net interest income in lower rate environments. Stability in core deposit balances as well as retail time deposit and savings specials have continued to provide sufficient funding flows to allow intentional runoff of brokered and high-cost, non-relationship funding with no incremental short-term borrowing at quarter-end. Continued targeted reduction of $180.0 million deposits bearing a weighted average cost of 4.16% included $55.0 million of brokered deposits. At December 31, 2025, Busey Bank had $70.1 million of remaining brokered funding, comprising 0.5% of total deposits. Total deposit cost of funds decreased from 2.15% during the third quarter of 2025 to 1.91% during the fourth quarter of 2025. At December 31, 2025, our spot rate on total deposits costs was 1.80%, compared to 2.01% at September 30, 2025.</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6</w:t>
      </w:r>
    </w:p>
    <w:p>
      <w:pPr>
        <w:sectPr>
          <w:pgSz w:w="11900" w:h="16838" w:orient="portrait"/>
          <w:cols w:equalWidth="0" w:num="1">
            <w:col w:w="11300"/>
          </w:cols>
          <w:pgMar w:left="300" w:top="943"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Noninterest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7"/>
                <w:szCs w:val="7"/>
                <w:color w:val="auto"/>
              </w:rPr>
            </w:pPr>
          </w:p>
        </w:tc>
        <w:tc>
          <w:tcPr>
            <w:tcW w:w="114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7"/>
                <w:szCs w:val="7"/>
                <w:color w:val="auto"/>
              </w:rPr>
            </w:pPr>
          </w:p>
        </w:tc>
        <w:tc>
          <w:tcPr>
            <w:tcW w:w="120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7"/>
                <w:szCs w:val="7"/>
                <w:color w:val="auto"/>
              </w:rPr>
            </w:pPr>
          </w:p>
        </w:tc>
        <w:tc>
          <w:tcPr>
            <w:tcW w:w="980" w:type="dxa"/>
            <w:vAlign w:val="bottom"/>
          </w:tcPr>
          <w:p>
            <w:pPr>
              <w:jc w:val="right"/>
              <w:ind w:right="262"/>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INCOME</w:t>
            </w: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2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80" w:type="dxa"/>
            <w:vAlign w:val="bottom"/>
            <w:shd w:val="clear" w:color="auto" w:fill="E0E7ED"/>
          </w:tcPr>
          <w:p>
            <w:pPr>
              <w:spacing w:after="0"/>
              <w:rPr>
                <w:sz w:val="13"/>
                <w:szCs w:val="13"/>
                <w:color w:val="auto"/>
              </w:rPr>
            </w:pPr>
          </w:p>
        </w:tc>
        <w:tc>
          <w:tcPr>
            <w:tcW w:w="98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Wealth management fees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18,101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17,184</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16,786</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69,426</w:t>
            </w:r>
          </w:p>
        </w:tc>
        <w:tc>
          <w:tcPr>
            <w:tcW w:w="6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63,630</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Payment technology solutions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4,879</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5,092</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5,094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20,000</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21,983</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Treasury management services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17,322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8,377</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Card services and ATM fees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4,660</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4,799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3,477</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18,048</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13,424</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Other service charges on deposit accounts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6,281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9,440</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Mortgage revenue</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803</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657</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496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2,565</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2,075</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Income on bank owned life insurance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6,597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5,130</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Realized net gains (losses) on the sale of mortgage servicing rights</w:t>
            </w:r>
          </w:p>
        </w:tc>
        <w:tc>
          <w:tcPr>
            <w:tcW w:w="180" w:type="dxa"/>
            <w:vAlign w:val="bottom"/>
            <w:shd w:val="clear" w:color="auto" w:fill="E0E7ED"/>
          </w:tcPr>
          <w:p>
            <w:pPr>
              <w:spacing w:after="0"/>
              <w:rPr>
                <w:sz w:val="16"/>
                <w:szCs w:val="16"/>
                <w:color w:val="auto"/>
              </w:rPr>
            </w:pPr>
          </w:p>
        </w:tc>
        <w:tc>
          <w:tcPr>
            <w:tcW w:w="11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E0E7ED"/>
          </w:tcPr>
          <w:p>
            <w:pPr>
              <w:spacing w:after="0"/>
              <w:rPr>
                <w:sz w:val="16"/>
                <w:szCs w:val="16"/>
                <w:color w:val="auto"/>
              </w:rPr>
            </w:pPr>
          </w:p>
        </w:tc>
        <w:tc>
          <w:tcPr>
            <w:tcW w:w="120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6"/>
                <w:szCs w:val="16"/>
                <w:color w:val="auto"/>
              </w:rPr>
            </w:pPr>
          </w:p>
        </w:tc>
        <w:tc>
          <w:tcPr>
            <w:tcW w:w="112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6"/>
                <w:szCs w:val="16"/>
                <w:color w:val="auto"/>
              </w:rPr>
            </w:pPr>
          </w:p>
        </w:tc>
        <w:tc>
          <w:tcPr>
            <w:tcW w:w="112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7,724</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Net securities gains (losses)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(10,726)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(6,102)</w:t>
            </w:r>
          </w:p>
        </w:tc>
        <w:tc>
          <w:tcPr>
            <w:tcW w:w="0" w:type="dxa"/>
            <w:vAlign w:val="bottom"/>
          </w:tcPr>
          <w:p>
            <w:pPr>
              <w:spacing w:after="0"/>
              <w:rPr>
                <w:sz w:val="1"/>
                <w:szCs w:val="1"/>
                <w:color w:val="auto"/>
              </w:rPr>
            </w:pPr>
          </w:p>
        </w:tc>
      </w:tr>
      <w:tr>
        <w:trPr>
          <w:trHeight w:val="180"/>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noninterest income</w:t>
            </w:r>
          </w:p>
        </w:tc>
        <w:tc>
          <w:tcPr>
            <w:tcW w:w="18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6,788</w:t>
            </w:r>
          </w:p>
        </w:tc>
        <w:tc>
          <w:tcPr>
            <w:tcW w:w="80" w:type="dxa"/>
            <w:vAlign w:val="bottom"/>
            <w:shd w:val="clear" w:color="auto" w:fill="E0E7ED"/>
          </w:tcPr>
          <w:p>
            <w:pPr>
              <w:spacing w:after="0"/>
              <w:rPr>
                <w:sz w:val="15"/>
                <w:szCs w:val="15"/>
                <w:color w:val="auto"/>
              </w:rPr>
            </w:pPr>
          </w:p>
        </w:tc>
        <w:tc>
          <w:tcPr>
            <w:tcW w:w="120" w:type="dxa"/>
            <w:vAlign w:val="bottom"/>
            <w:tcBorders>
              <w:bottom w:val="single" w:sz="8" w:color="auto"/>
            </w:tcBorders>
            <w:shd w:val="clear" w:color="auto" w:fill="E0E7ED"/>
          </w:tcPr>
          <w:p>
            <w:pPr>
              <w:spacing w:after="0"/>
              <w:rPr>
                <w:sz w:val="15"/>
                <w:szCs w:val="15"/>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5,916</w:t>
            </w:r>
          </w:p>
        </w:tc>
        <w:tc>
          <w:tcPr>
            <w:tcW w:w="8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3,973</w:t>
            </w:r>
          </w:p>
        </w:tc>
        <w:tc>
          <w:tcPr>
            <w:tcW w:w="8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20,462</w:t>
            </w:r>
          </w:p>
        </w:tc>
        <w:tc>
          <w:tcPr>
            <w:tcW w:w="60" w:type="dxa"/>
            <w:vAlign w:val="bottom"/>
            <w:shd w:val="clear" w:color="auto" w:fill="E0E7ED"/>
          </w:tcPr>
          <w:p>
            <w:pPr>
              <w:spacing w:after="0"/>
              <w:rPr>
                <w:sz w:val="15"/>
                <w:szCs w:val="15"/>
                <w:color w:val="auto"/>
              </w:rPr>
            </w:pPr>
          </w:p>
        </w:tc>
        <w:tc>
          <w:tcPr>
            <w:tcW w:w="280" w:type="dxa"/>
            <w:vAlign w:val="bottom"/>
            <w:tcBorders>
              <w:bottom w:val="single" w:sz="8" w:color="auto"/>
            </w:tcBorders>
            <w:shd w:val="clear" w:color="auto" w:fill="E0E7ED"/>
          </w:tcPr>
          <w:p>
            <w:pPr>
              <w:spacing w:after="0"/>
              <w:rPr>
                <w:sz w:val="15"/>
                <w:szCs w:val="15"/>
                <w:color w:val="auto"/>
              </w:rPr>
            </w:pPr>
          </w:p>
        </w:tc>
        <w:tc>
          <w:tcPr>
            <w:tcW w:w="98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14,001</w:t>
            </w:r>
          </w:p>
        </w:tc>
        <w:tc>
          <w:tcPr>
            <w:tcW w:w="0" w:type="dxa"/>
            <w:vAlign w:val="bottom"/>
          </w:tcPr>
          <w:p>
            <w:pPr>
              <w:spacing w:after="0"/>
              <w:rPr>
                <w:sz w:val="1"/>
                <w:szCs w:val="1"/>
                <w:color w:val="auto"/>
              </w:rPr>
            </w:pPr>
          </w:p>
        </w:tc>
      </w:tr>
      <w:tr>
        <w:trPr>
          <w:trHeight w:val="177"/>
        </w:trPr>
        <w:tc>
          <w:tcPr>
            <w:tcW w:w="4760" w:type="dxa"/>
            <w:vAlign w:val="bottom"/>
          </w:tcPr>
          <w:p>
            <w:pPr>
              <w:spacing w:after="0"/>
              <w:rPr>
                <w:sz w:val="20"/>
                <w:szCs w:val="20"/>
                <w:color w:val="auto"/>
              </w:rPr>
            </w:pPr>
            <w:r>
              <w:rPr>
                <w:rFonts w:ascii="Arial" w:cs="Arial" w:eastAsia="Arial" w:hAnsi="Arial"/>
                <w:sz w:val="12"/>
                <w:szCs w:val="12"/>
                <w:color w:val="auto"/>
              </w:rPr>
              <w:t>Total noninterest income</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42,691</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41,198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35,221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149,975</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139,682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Total noninterest income increased by 3.6% compared to the third quarter of 2025 primarily due to increases in wealth management fees and other noninterest income. Compared to the fourth quarter of 2024, total noninterest income increased by 21.2% as we benefit from the CrossFirst Bankshares, Inc. (“CrossFirst”) acquisition and extend services into new markets. For the full year 2025, total noninterest income increased by 7.4%.</w:t>
      </w:r>
    </w:p>
    <w:p>
      <w:pPr>
        <w:spacing w:after="0" w:line="87"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color w:val="auto"/>
        </w:rPr>
        <w:t>Busey continues to benefit from its diverse set of product offerings. Wealth management fees, wealth management referral fees included in other noninterest income, payment technology solutions, treasury management services, and corporate credit card interchange income contributed 66.9% of noninterest income excluding net securities gains and losses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for the fourth quarter of 2025 and 69.3% for the full year.</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Noteworthy changes in noninterest income during the quarter include:</w:t>
      </w:r>
    </w:p>
    <w:p>
      <w:pPr>
        <w:spacing w:after="0" w:line="132" w:lineRule="exact"/>
        <w:rPr>
          <w:sz w:val="20"/>
          <w:szCs w:val="20"/>
          <w:color w:val="auto"/>
        </w:rPr>
      </w:pPr>
    </w:p>
    <w:p>
      <w:pPr>
        <w:jc w:val="both"/>
        <w:ind w:left="420" w:hanging="212"/>
        <w:spacing w:after="0" w:line="28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Wealth management fees increased by $0.9 million, or 5.3%, compared to the third quarter of 2025 primarily due to increases in trust fees and farm management fees. Busey’s Wealth Management division ended the fourth quarter of 2025 with $15.66 billion in assets under care, compared to $14.96 billion at the end of the third quarter of 2025 and $13.83 billion at the end of the fourth quarter of 2024. Our portfolio management team continues to focus on long-term returns and managing risk in the face of volatile markets and has outperformed its blended benchmark</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over the last three and five years.</w:t>
      </w:r>
    </w:p>
    <w:p>
      <w:pPr>
        <w:spacing w:after="0" w:line="41"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Other noninterest income increased by $0.9 million, or 14.7%, compared to the third quarter of 2025, primarily due to increased swap origination fee and loan fee income, partially offset by fluctuations in gains on private equity investments.</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7</w:t>
      </w:r>
    </w:p>
    <w:p>
      <w:pPr>
        <w:sectPr>
          <w:pgSz w:w="11900" w:h="16838" w:orient="portrait"/>
          <w:cols w:equalWidth="0" w:num="1">
            <w:col w:w="11300"/>
          </w:cols>
          <w:pgMar w:left="300" w:top="91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Operating Efficiency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7"/>
                <w:szCs w:val="7"/>
                <w:color w:val="auto"/>
              </w:rPr>
            </w:pPr>
          </w:p>
        </w:tc>
        <w:tc>
          <w:tcPr>
            <w:tcW w:w="114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7"/>
                <w:szCs w:val="7"/>
                <w:color w:val="auto"/>
              </w:rPr>
            </w:pPr>
          </w:p>
        </w:tc>
        <w:tc>
          <w:tcPr>
            <w:tcW w:w="120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7"/>
                <w:szCs w:val="7"/>
                <w:color w:val="auto"/>
              </w:rPr>
            </w:pPr>
          </w:p>
        </w:tc>
        <w:tc>
          <w:tcPr>
            <w:tcW w:w="980" w:type="dxa"/>
            <w:vAlign w:val="bottom"/>
          </w:tcPr>
          <w:p>
            <w:pPr>
              <w:jc w:val="right"/>
              <w:ind w:right="262"/>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EXPENSE</w:t>
            </w: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2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80" w:type="dxa"/>
            <w:vAlign w:val="bottom"/>
            <w:shd w:val="clear" w:color="auto" w:fill="E0E7ED"/>
          </w:tcPr>
          <w:p>
            <w:pPr>
              <w:spacing w:after="0"/>
              <w:rPr>
                <w:sz w:val="13"/>
                <w:szCs w:val="13"/>
                <w:color w:val="auto"/>
              </w:rPr>
            </w:pPr>
          </w:p>
        </w:tc>
        <w:tc>
          <w:tcPr>
            <w:tcW w:w="98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Salaries, wages, and employee benefits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68,995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74,145</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45,458</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289,063</w:t>
            </w:r>
          </w:p>
        </w:tc>
        <w:tc>
          <w:tcPr>
            <w:tcW w:w="6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175,619</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Data processing</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9,871</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9,714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6,564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43,181</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27,124</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Net occupancy expense of premises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7,877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7,982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29,490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18,737</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Furniture and equipment expenses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2,200</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2,143</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1,650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8,496</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6,805</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Professional fees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2,931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4,938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18,807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12,804</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Amortization of intangible assets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4,432</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4,507</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2,471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16,614</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10,057</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Interchange expense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5,194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6,001</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FDIC insurance</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2,655</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3,151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1,330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10,397</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5,603</w:t>
            </w:r>
          </w:p>
        </w:tc>
        <w:tc>
          <w:tcPr>
            <w:tcW w:w="0" w:type="dxa"/>
            <w:vAlign w:val="bottom"/>
          </w:tcPr>
          <w:p>
            <w:pPr>
              <w:spacing w:after="0"/>
              <w:rPr>
                <w:sz w:val="1"/>
                <w:szCs w:val="1"/>
                <w:color w:val="auto"/>
              </w:rPr>
            </w:pPr>
          </w:p>
        </w:tc>
      </w:tr>
      <w:tr>
        <w:trPr>
          <w:trHeight w:val="180"/>
        </w:trPr>
        <w:tc>
          <w:tcPr>
            <w:tcW w:w="4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Other noninterest expense</w:t>
            </w:r>
            <w:r>
              <w:rPr>
                <w:rFonts w:ascii="Arial" w:cs="Arial" w:eastAsia="Arial" w:hAnsi="Arial"/>
                <w:sz w:val="15"/>
                <w:szCs w:val="15"/>
                <w:color w:val="auto"/>
                <w:vertAlign w:val="superscript"/>
              </w:rPr>
              <w:t>(i)</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19,581</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14,109</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10,112</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58,959</w:t>
            </w:r>
          </w:p>
        </w:tc>
        <w:tc>
          <w:tcPr>
            <w:tcW w:w="6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38,744</w:t>
            </w:r>
          </w:p>
        </w:tc>
        <w:tc>
          <w:tcPr>
            <w:tcW w:w="0" w:type="dxa"/>
            <w:vAlign w:val="bottom"/>
          </w:tcPr>
          <w:p>
            <w:pPr>
              <w:spacing w:after="0"/>
              <w:rPr>
                <w:sz w:val="1"/>
                <w:szCs w:val="1"/>
                <w:color w:val="auto"/>
              </w:rPr>
            </w:pPr>
          </w:p>
        </w:tc>
      </w:tr>
      <w:tr>
        <w:trPr>
          <w:trHeight w:val="185"/>
        </w:trPr>
        <w:tc>
          <w:tcPr>
            <w:tcW w:w="4760" w:type="dxa"/>
            <w:vAlign w:val="bottom"/>
            <w:tcBorders>
              <w:bottom w:val="single" w:sz="8" w:color="E0E7ED"/>
            </w:tcBorders>
            <w:shd w:val="clear" w:color="auto" w:fill="E0E7ED"/>
          </w:tcPr>
          <w:p>
            <w:pPr>
              <w:spacing w:after="0" w:line="169" w:lineRule="exact"/>
              <w:rPr>
                <w:sz w:val="20"/>
                <w:szCs w:val="20"/>
                <w:color w:val="auto"/>
              </w:rPr>
            </w:pPr>
            <w:r>
              <w:rPr>
                <w:rFonts w:ascii="Arial" w:cs="Arial" w:eastAsia="Arial" w:hAnsi="Arial"/>
                <w:sz w:val="12"/>
                <w:szCs w:val="12"/>
                <w:color w:val="auto"/>
              </w:rPr>
              <w:t>Total noninterest expense</w:t>
            </w:r>
            <w:r>
              <w:rPr>
                <w:rFonts w:ascii="Arial" w:cs="Arial" w:eastAsia="Arial" w:hAnsi="Arial"/>
                <w:sz w:val="15"/>
                <w:szCs w:val="15"/>
                <w:color w:val="auto"/>
                <w:vertAlign w:val="superscript"/>
              </w:rPr>
              <w:t>(i)</w:t>
            </w: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120,320</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120,018</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78,622</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480,201</w:t>
            </w:r>
          </w:p>
        </w:tc>
        <w:tc>
          <w:tcPr>
            <w:tcW w:w="60" w:type="dxa"/>
            <w:vAlign w:val="bottom"/>
            <w:tcBorders>
              <w:bottom w:val="single" w:sz="8" w:color="E0E7ED"/>
            </w:tcBorders>
            <w:shd w:val="clear" w:color="auto" w:fill="E0E7ED"/>
          </w:tcPr>
          <w:p>
            <w:pPr>
              <w:spacing w:after="0"/>
              <w:rPr>
                <w:sz w:val="16"/>
                <w:szCs w:val="16"/>
                <w:color w:val="auto"/>
              </w:rPr>
            </w:pPr>
          </w:p>
        </w:tc>
        <w:tc>
          <w:tcPr>
            <w:tcW w:w="280" w:type="dxa"/>
            <w:vAlign w:val="bottom"/>
            <w:tcBorders>
              <w:bottom w:val="single" w:sz="8" w:color="auto"/>
            </w:tcBorders>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301,494</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line="248" w:lineRule="auto"/>
        <w:tabs>
          <w:tab w:leader="none" w:pos="333" w:val="left"/>
        </w:tabs>
        <w:numPr>
          <w:ilvl w:val="0"/>
          <w:numId w:val="6"/>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other noninterest expense or total noninterest expense.</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Total noninterest expense increased by 0.3% compared to the third quarter of 2025, primarily due to increases in other noninterest expense. Compared to the fourth quarter of 2024 total noninterest expense increased by 53.0%, with the increases primarily attributable to nonrecurring acquisition expenses related to the CrossFirst acquisition and increased expense associated with the combined organization and branch network. Annual pre-tax expense synergy estimates resulting from the CrossFirst acquisition remain on track at $25.0 million with 100% realization of identified synergies in 2026.</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Adjusted noninterest expense,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which excludes acquisition and restructuring expenses and amortization of intangible assets,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7"/>
                <w:szCs w:val="7"/>
                <w:color w:val="auto"/>
              </w:rPr>
            </w:pPr>
          </w:p>
        </w:tc>
        <w:tc>
          <w:tcPr>
            <w:tcW w:w="114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7"/>
                <w:szCs w:val="7"/>
                <w:color w:val="auto"/>
              </w:rPr>
            </w:pPr>
          </w:p>
        </w:tc>
        <w:tc>
          <w:tcPr>
            <w:tcW w:w="120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7"/>
                <w:szCs w:val="7"/>
                <w:color w:val="auto"/>
              </w:rPr>
            </w:pPr>
          </w:p>
        </w:tc>
        <w:tc>
          <w:tcPr>
            <w:tcW w:w="980" w:type="dxa"/>
            <w:vAlign w:val="bottom"/>
          </w:tcPr>
          <w:p>
            <w:pPr>
              <w:jc w:val="right"/>
              <w:ind w:right="262"/>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EXPENSE WITH NON-GAAP ADJUSTMENTS</w:t>
            </w: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2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80" w:type="dxa"/>
            <w:vAlign w:val="bottom"/>
            <w:shd w:val="clear" w:color="auto" w:fill="E0E7ED"/>
          </w:tcPr>
          <w:p>
            <w:pPr>
              <w:spacing w:after="0"/>
              <w:rPr>
                <w:sz w:val="13"/>
                <w:szCs w:val="13"/>
                <w:color w:val="auto"/>
              </w:rPr>
            </w:pPr>
          </w:p>
        </w:tc>
        <w:tc>
          <w:tcPr>
            <w:tcW w:w="98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Salaries, wages, and employee benefits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64,968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68,535</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45,211</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251,991</w:t>
            </w:r>
          </w:p>
        </w:tc>
        <w:tc>
          <w:tcPr>
            <w:tcW w:w="6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174,039</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Data processing</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9,577</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9,290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6,550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36,197</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26,576</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Net occupancy expense of premises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7,873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7,973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29,477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18,691</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Furniture and equipment expenses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2,200</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2,077</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1,650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8,429</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6,717</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Professional fees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2,573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10,707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7,913</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Interchange expense</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1,218</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1,336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1,305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5,194</w:t>
            </w:r>
          </w:p>
        </w:tc>
        <w:tc>
          <w:tcPr>
            <w:tcW w:w="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98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6,001</w:t>
            </w:r>
          </w:p>
        </w:tc>
        <w:tc>
          <w:tcPr>
            <w:tcW w:w="0" w:type="dxa"/>
            <w:vAlign w:val="bottom"/>
          </w:tcPr>
          <w:p>
            <w:pPr>
              <w:spacing w:after="0"/>
              <w:rPr>
                <w:sz w:val="1"/>
                <w:szCs w:val="1"/>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FDIC insurance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10,397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5,603</w:t>
            </w:r>
          </w:p>
        </w:tc>
        <w:tc>
          <w:tcPr>
            <w:tcW w:w="0" w:type="dxa"/>
            <w:vAlign w:val="bottom"/>
          </w:tcPr>
          <w:p>
            <w:pPr>
              <w:spacing w:after="0"/>
              <w:rPr>
                <w:sz w:val="1"/>
                <w:szCs w:val="1"/>
                <w:color w:val="auto"/>
              </w:rPr>
            </w:pP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noninterest expense</w:t>
            </w:r>
          </w:p>
        </w:tc>
        <w:tc>
          <w:tcPr>
            <w:tcW w:w="18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19,221</w:t>
            </w:r>
          </w:p>
        </w:tc>
        <w:tc>
          <w:tcPr>
            <w:tcW w:w="8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13,369</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9,812</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56,546</w:t>
            </w:r>
          </w:p>
        </w:tc>
        <w:tc>
          <w:tcPr>
            <w:tcW w:w="60" w:type="dxa"/>
            <w:vAlign w:val="bottom"/>
            <w:shd w:val="clear" w:color="auto" w:fill="E0E7ED"/>
          </w:tcPr>
          <w:p>
            <w:pPr>
              <w:spacing w:after="0"/>
              <w:rPr>
                <w:sz w:val="16"/>
                <w:szCs w:val="16"/>
                <w:color w:val="auto"/>
              </w:rPr>
            </w:pPr>
          </w:p>
        </w:tc>
        <w:tc>
          <w:tcPr>
            <w:tcW w:w="280" w:type="dxa"/>
            <w:vAlign w:val="bottom"/>
            <w:tcBorders>
              <w:bottom w:val="single" w:sz="8" w:color="auto"/>
            </w:tcBorders>
            <w:shd w:val="clear" w:color="auto" w:fill="E0E7ED"/>
          </w:tcPr>
          <w:p>
            <w:pPr>
              <w:spacing w:after="0"/>
              <w:rPr>
                <w:sz w:val="16"/>
                <w:szCs w:val="16"/>
                <w:color w:val="auto"/>
              </w:rPr>
            </w:pPr>
          </w:p>
        </w:tc>
        <w:tc>
          <w:tcPr>
            <w:tcW w:w="98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37,757</w:t>
            </w:r>
          </w:p>
        </w:tc>
        <w:tc>
          <w:tcPr>
            <w:tcW w:w="0" w:type="dxa"/>
            <w:vAlign w:val="bottom"/>
          </w:tcPr>
          <w:p>
            <w:pPr>
              <w:spacing w:after="0"/>
              <w:rPr>
                <w:sz w:val="1"/>
                <w:szCs w:val="1"/>
                <w:color w:val="auto"/>
              </w:rPr>
            </w:pPr>
          </w:p>
        </w:tc>
      </w:tr>
      <w:tr>
        <w:trPr>
          <w:trHeight w:val="161"/>
        </w:trPr>
        <w:tc>
          <w:tcPr>
            <w:tcW w:w="4760" w:type="dxa"/>
            <w:vAlign w:val="bottom"/>
          </w:tcPr>
          <w:p>
            <w:pPr>
              <w:spacing w:after="0"/>
              <w:rPr>
                <w:sz w:val="20"/>
                <w:szCs w:val="20"/>
                <w:color w:val="auto"/>
              </w:rPr>
            </w:pPr>
            <w:r>
              <w:rPr>
                <w:rFonts w:ascii="Arial" w:cs="Arial" w:eastAsia="Arial" w:hAnsi="Arial"/>
                <w:sz w:val="12"/>
                <w:szCs w:val="12"/>
                <w:color w:val="auto"/>
              </w:rPr>
              <w:t>Adjusted noninterest expense (Non-GAAP)</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111,072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108,304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72,566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408,938</w:t>
            </w:r>
          </w:p>
        </w:tc>
        <w:tc>
          <w:tcPr>
            <w:tcW w:w="6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283,297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Noteworthy changes in noninterest expense during the quarter include:</w:t>
      </w:r>
    </w:p>
    <w:p>
      <w:pPr>
        <w:spacing w:after="0" w:line="123" w:lineRule="exact"/>
        <w:rPr>
          <w:sz w:val="20"/>
          <w:szCs w:val="20"/>
          <w:color w:val="auto"/>
        </w:rPr>
      </w:pPr>
    </w:p>
    <w:p>
      <w:pPr>
        <w:jc w:val="both"/>
        <w:ind w:left="420" w:hanging="212"/>
        <w:spacing w:after="0" w:line="262"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Salaries, wages, and employee benefits expenses declined by $5.2 million, or 6.9%, compared to the third quarter of 2025, with acquisition and restructuring expenses declining by $1.6 million. Compared to the fourth quarter of 2024, salaries, wages, and employee benefits expenses increased by $23.5 million, or 51.8%, of which $3.8 million was attributable to increases in acquisition and restructuring expenses. During 2025, Busey added 17 banking centers, largely in connection with the CrossFirst acquisition, resulting in the expansion of Busey’s workforce, including the addition of 405 full-time equivalent associates.</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8</w:t>
      </w:r>
    </w:p>
    <w:p>
      <w:pPr>
        <w:sectPr>
          <w:pgSz w:w="11900" w:h="16838" w:orient="portrait"/>
          <w:cols w:equalWidth="0" w:num="1">
            <w:col w:w="11300"/>
          </w:cols>
          <w:pgMar w:left="300" w:top="912" w:right="299" w:bottom="1440" w:gutter="0" w:footer="0" w:header="0"/>
        </w:sectPr>
      </w:pPr>
    </w:p>
    <w:bookmarkStart w:id="12" w:name="page13"/>
    <w:bookmarkEnd w:id="12"/>
    <w:p>
      <w:pPr>
        <w:ind w:left="420" w:right="20" w:hanging="212"/>
        <w:spacing w:after="0" w:line="286"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Other noninterest expense increased by $5.5 million, or 38.8%, compared to the third quarter of 2025, and increased by $9.5 million, or 93.6%, compared to the fourth quarter of 2024. Significant drivers of the increase included a $3.8 million operating loss recognized in the fourth quarter of 2025 tied to one relationship, loan expenses, and marketing and business development costs.</w:t>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Busey’s efficiency ratio</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57.4% for the fourth quarter of 2025, compared to 58.5% for the third quarter of 2025 and 64.8% for the fourth quarter of 2024. The adjusted efficiency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ratio was 55.0% for the fourth quarter of 2025, compared to 54.8% for the third quarter of 2025, and 61.8% for the fourth quarter of 2024. As our business grows, Busey remains focused on prudently managing our expense base and operating efficiently.</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Taxes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Busey's effective tax rate for the fourth quarter of 2025 declined to 21.6% compared to 26.1% for the third quarter. The decrease compared with the prior period resulted primarily from the utilization of purchased federal income tax credits and more favorable state apportionment outcomes. For the full year 2025, Busey’s effective tax rate was 27.5%.</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SHEET STRENGTH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Busey’s financial strength is built on a long-term conservative operating approach. That focus has endured over time and will continue to guide us in the future.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CONDENSED CONSOLIDATED BALANCE SHEETS </w:t>
      </w:r>
      <w:r>
        <w:rPr>
          <w:rFonts w:ascii="Arial" w:cs="Arial" w:eastAsia="Arial" w:hAnsi="Arial"/>
          <w:sz w:val="12"/>
          <w:szCs w:val="12"/>
          <w:b w:val="1"/>
          <w:bCs w:val="1"/>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4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7"/>
                <w:szCs w:val="7"/>
                <w:color w:val="auto"/>
              </w:rPr>
            </w:pPr>
          </w:p>
        </w:tc>
        <w:tc>
          <w:tcPr>
            <w:tcW w:w="1060" w:type="dxa"/>
            <w:vAlign w:val="bottom"/>
          </w:tcPr>
          <w:p>
            <w:pPr>
              <w:jc w:val="right"/>
              <w:ind w:right="261"/>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7400" w:type="dxa"/>
            <w:vAlign w:val="bottom"/>
            <w:tcBorders>
              <w:bottom w:val="single" w:sz="8" w:color="E0E7ED"/>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ASSETS</w:t>
            </w:r>
          </w:p>
        </w:tc>
        <w:tc>
          <w:tcPr>
            <w:tcW w:w="20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294,052</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385,474</w:t>
            </w:r>
          </w:p>
        </w:tc>
        <w:tc>
          <w:tcPr>
            <w:tcW w:w="6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697,659</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Debt securities available for sale</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2,162,548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2,099,259</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1,810,221</w:t>
            </w: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Debt securities held to maturity</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746,385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784,821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826,630</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Equity securities</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14,916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15,931</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15,862</w:t>
            </w: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Loans held for sale</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5,752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8,943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3,657</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Portfolio loans</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13,567,799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13,598,266</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7,697,087</w:t>
            </w: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Allowance for credit losses</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(174,023)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(174,181)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(83,404)</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Restricted bank stock</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77,006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77,006</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49,930</w:t>
            </w: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Premises and equipment, net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193,444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190,721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118,820</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480,729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485,203</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365,975</w:t>
            </w:r>
          </w:p>
        </w:tc>
        <w:tc>
          <w:tcPr>
            <w:tcW w:w="0" w:type="dxa"/>
            <w:vAlign w:val="bottom"/>
          </w:tcPr>
          <w:p>
            <w:pPr>
              <w:spacing w:after="0"/>
              <w:rPr>
                <w:sz w:val="1"/>
                <w:szCs w:val="1"/>
                <w:color w:val="auto"/>
              </w:rPr>
            </w:pPr>
          </w:p>
        </w:tc>
      </w:tr>
      <w:tr>
        <w:trPr>
          <w:trHeight w:val="172"/>
        </w:trPr>
        <w:tc>
          <w:tcPr>
            <w:tcW w:w="74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Other assets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736,128</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717,185</w:t>
            </w:r>
          </w:p>
        </w:tc>
        <w:tc>
          <w:tcPr>
            <w:tcW w:w="6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544,285</w:t>
            </w:r>
          </w:p>
        </w:tc>
        <w:tc>
          <w:tcPr>
            <w:tcW w:w="0" w:type="dxa"/>
            <w:vAlign w:val="bottom"/>
          </w:tcPr>
          <w:p>
            <w:pPr>
              <w:spacing w:after="0"/>
              <w:rPr>
                <w:sz w:val="1"/>
                <w:szCs w:val="1"/>
                <w:color w:val="auto"/>
              </w:rPr>
            </w:pPr>
          </w:p>
        </w:tc>
      </w:tr>
      <w:tr>
        <w:trPr>
          <w:trHeight w:val="193"/>
        </w:trPr>
        <w:tc>
          <w:tcPr>
            <w:tcW w:w="74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18,104,736</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18,188,628</w:t>
            </w:r>
          </w:p>
        </w:tc>
        <w:tc>
          <w:tcPr>
            <w:tcW w:w="6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12,046,722</w:t>
            </w:r>
          </w:p>
        </w:tc>
        <w:tc>
          <w:tcPr>
            <w:tcW w:w="0" w:type="dxa"/>
            <w:vAlign w:val="bottom"/>
          </w:tcPr>
          <w:p>
            <w:pPr>
              <w:spacing w:after="0"/>
              <w:rPr>
                <w:sz w:val="1"/>
                <w:szCs w:val="1"/>
                <w:color w:val="auto"/>
              </w:rPr>
            </w:pPr>
          </w:p>
        </w:tc>
      </w:t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LIABILITIES &amp; STOCKHOLDERS' EQUITY</w:t>
            </w:r>
          </w:p>
        </w:tc>
        <w:tc>
          <w:tcPr>
            <w:tcW w:w="20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120"/>
              <w:spacing w:after="0"/>
              <w:rPr>
                <w:sz w:val="20"/>
                <w:szCs w:val="20"/>
                <w:color w:val="auto"/>
              </w:rPr>
            </w:pPr>
            <w:r>
              <w:rPr>
                <w:rFonts w:ascii="Arial" w:cs="Arial" w:eastAsia="Arial" w:hAnsi="Arial"/>
                <w:sz w:val="12"/>
                <w:szCs w:val="12"/>
                <w:b w:val="1"/>
                <w:bCs w:val="1"/>
                <w:color w:val="auto"/>
              </w:rPr>
              <w:t>Liabilities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Total deposits</w:t>
            </w: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14,905,958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15,070,162</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9,982,490</w:t>
            </w:r>
          </w:p>
        </w:tc>
        <w:tc>
          <w:tcPr>
            <w:tcW w:w="0" w:type="dxa"/>
            <w:vAlign w:val="bottom"/>
          </w:tcPr>
          <w:p>
            <w:pPr>
              <w:spacing w:after="0"/>
              <w:rPr>
                <w:sz w:val="1"/>
                <w:szCs w:val="1"/>
                <w:color w:val="auto"/>
              </w:rPr>
            </w:pP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Securities sold under agreements to repurchase</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166,929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147,152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155,610</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Borrowings</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290,529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272,971</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302,538</w:t>
            </w:r>
          </w:p>
        </w:tc>
        <w:tc>
          <w:tcPr>
            <w:tcW w:w="0" w:type="dxa"/>
            <w:vAlign w:val="bottom"/>
          </w:tcPr>
          <w:p>
            <w:pPr>
              <w:spacing w:after="0"/>
              <w:rPr>
                <w:sz w:val="1"/>
                <w:szCs w:val="1"/>
                <w:color w:val="auto"/>
              </w:rPr>
            </w:pPr>
          </w:p>
        </w:tc>
      </w:tr>
      <w:tr>
        <w:trPr>
          <w:trHeight w:val="172"/>
        </w:trPr>
        <w:tc>
          <w:tcPr>
            <w:tcW w:w="7400" w:type="dxa"/>
            <w:vAlign w:val="bottom"/>
            <w:tcBorders>
              <w:bottom w:val="single" w:sz="8" w:color="E0E7ED"/>
            </w:tcBorders>
          </w:tcPr>
          <w:p>
            <w:pPr>
              <w:ind w:left="220"/>
              <w:spacing w:after="0"/>
              <w:rPr>
                <w:sz w:val="20"/>
                <w:szCs w:val="20"/>
                <w:color w:val="auto"/>
              </w:rPr>
            </w:pPr>
            <w:r>
              <w:rPr>
                <w:rFonts w:ascii="Arial" w:cs="Arial" w:eastAsia="Arial" w:hAnsi="Arial"/>
                <w:sz w:val="12"/>
                <w:szCs w:val="12"/>
                <w:color w:val="auto"/>
              </w:rPr>
              <w:t>Other liabilities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272,338</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249,508</w:t>
            </w:r>
          </w:p>
        </w:tc>
        <w:tc>
          <w:tcPr>
            <w:tcW w:w="6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222,815</w:t>
            </w:r>
          </w:p>
        </w:tc>
        <w:tc>
          <w:tcPr>
            <w:tcW w:w="0" w:type="dxa"/>
            <w:vAlign w:val="bottom"/>
          </w:tcPr>
          <w:p>
            <w:pPr>
              <w:spacing w:after="0"/>
              <w:rPr>
                <w:sz w:val="1"/>
                <w:szCs w:val="1"/>
                <w:color w:val="auto"/>
              </w:rPr>
            </w:pPr>
          </w:p>
        </w:tc>
      </w:tr>
      <w:tr>
        <w:trPr>
          <w:trHeight w:val="169"/>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Total liabilities</w:t>
            </w:r>
          </w:p>
        </w:tc>
        <w:tc>
          <w:tcPr>
            <w:tcW w:w="200" w:type="dxa"/>
            <w:vAlign w:val="bottom"/>
            <w:tcBorders>
              <w:bottom w:val="single" w:sz="8" w:color="auto"/>
            </w:tcBorders>
            <w:shd w:val="clear" w:color="auto" w:fill="E0E7ED"/>
          </w:tcPr>
          <w:p>
            <w:pPr>
              <w:spacing w:after="0"/>
              <w:rPr>
                <w:sz w:val="14"/>
                <w:szCs w:val="14"/>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15,635,754</w:t>
            </w:r>
          </w:p>
        </w:tc>
        <w:tc>
          <w:tcPr>
            <w:tcW w:w="8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15,739,793</w:t>
            </w:r>
          </w:p>
        </w:tc>
        <w:tc>
          <w:tcPr>
            <w:tcW w:w="6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10,663,453</w:t>
            </w:r>
          </w:p>
        </w:tc>
        <w:tc>
          <w:tcPr>
            <w:tcW w:w="0" w:type="dxa"/>
            <w:vAlign w:val="bottom"/>
          </w:tcPr>
          <w:p>
            <w:pPr>
              <w:spacing w:after="0"/>
              <w:rPr>
                <w:sz w:val="1"/>
                <w:szCs w:val="1"/>
                <w:color w:val="auto"/>
              </w:rPr>
            </w:pPr>
          </w:p>
        </w:tc>
      </w:tr>
      <w:tr>
        <w:trPr>
          <w:trHeight w:val="168"/>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b w:val="1"/>
                <w:bCs w:val="1"/>
                <w:color w:val="auto"/>
              </w:rPr>
              <w:t>Stockholders' equity</w:t>
            </w:r>
          </w:p>
        </w:tc>
        <w:tc>
          <w:tcPr>
            <w:tcW w:w="20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Retained earnings</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336,707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303,077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294,054</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Accumulated other comprehensive income (loss)</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(124,473)</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(136,801)</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(207,039)</w:t>
            </w:r>
          </w:p>
        </w:tc>
        <w:tc>
          <w:tcPr>
            <w:tcW w:w="0" w:type="dxa"/>
            <w:vAlign w:val="bottom"/>
          </w:tcPr>
          <w:p>
            <w:pPr>
              <w:spacing w:after="0"/>
              <w:rPr>
                <w:sz w:val="1"/>
                <w:szCs w:val="1"/>
                <w:color w:val="auto"/>
              </w:rPr>
            </w:pPr>
          </w:p>
        </w:tc>
      </w:tr>
      <w:tr>
        <w:trPr>
          <w:trHeight w:val="180"/>
        </w:trPr>
        <w:tc>
          <w:tcPr>
            <w:tcW w:w="7400" w:type="dxa"/>
            <w:vAlign w:val="bottom"/>
            <w:tcBorders>
              <w:bottom w:val="single" w:sz="8" w:color="E0E7ED"/>
            </w:tcBorders>
          </w:tcPr>
          <w:p>
            <w:pPr>
              <w:ind w:left="220"/>
              <w:spacing w:after="0"/>
              <w:rPr>
                <w:sz w:val="20"/>
                <w:szCs w:val="20"/>
                <w:color w:val="auto"/>
              </w:rPr>
            </w:pPr>
            <w:r>
              <w:rPr>
                <w:rFonts w:ascii="Arial" w:cs="Arial" w:eastAsia="Arial" w:hAnsi="Arial"/>
                <w:sz w:val="12"/>
                <w:szCs w:val="12"/>
                <w:color w:val="auto"/>
              </w:rPr>
              <w:t>Other stockholders' equity</w:t>
            </w:r>
            <w:r>
              <w:rPr>
                <w:rFonts w:ascii="Arial" w:cs="Arial" w:eastAsia="Arial" w:hAnsi="Arial"/>
                <w:sz w:val="15"/>
                <w:szCs w:val="15"/>
                <w:color w:val="auto"/>
                <w:vertAlign w:val="superscript"/>
              </w:rPr>
              <w:t>(i)</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2,256,748</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2,282,559</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1,296,254</w:t>
            </w:r>
          </w:p>
        </w:tc>
        <w:tc>
          <w:tcPr>
            <w:tcW w:w="0" w:type="dxa"/>
            <w:vAlign w:val="bottom"/>
          </w:tcPr>
          <w:p>
            <w:pPr>
              <w:spacing w:after="0"/>
              <w:rPr>
                <w:sz w:val="1"/>
                <w:szCs w:val="1"/>
                <w:color w:val="auto"/>
              </w:rPr>
            </w:pPr>
          </w:p>
        </w:tc>
      </w:tr>
      <w:tr>
        <w:trPr>
          <w:trHeight w:val="161"/>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Total stockholders' equity</w:t>
            </w:r>
          </w:p>
        </w:tc>
        <w:tc>
          <w:tcPr>
            <w:tcW w:w="200" w:type="dxa"/>
            <w:vAlign w:val="bottom"/>
            <w:tcBorders>
              <w:bottom w:val="single" w:sz="8" w:color="auto"/>
            </w:tcBorders>
            <w:shd w:val="clear" w:color="auto" w:fill="E0E7ED"/>
          </w:tcPr>
          <w:p>
            <w:pPr>
              <w:spacing w:after="0"/>
              <w:rPr>
                <w:sz w:val="14"/>
                <w:szCs w:val="14"/>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2,468,982</w:t>
            </w:r>
          </w:p>
        </w:tc>
        <w:tc>
          <w:tcPr>
            <w:tcW w:w="8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2,448,835</w:t>
            </w:r>
          </w:p>
        </w:tc>
        <w:tc>
          <w:tcPr>
            <w:tcW w:w="6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1,383,269</w:t>
            </w: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2"/>
                <w:szCs w:val="12"/>
                <w:b w:val="1"/>
                <w:bCs w:val="1"/>
                <w:color w:val="auto"/>
              </w:rPr>
              <w:t>Total liabilities &amp; stockholders' equity</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18,104,736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18,188,628</w:t>
            </w: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12,046,722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Net balance of preferred stock ($0.001 par value), common stock ($0.001 par value), additional paid-in capital, and treasury stock.</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9</w:t>
      </w:r>
    </w:p>
    <w:p>
      <w:pPr>
        <w:sectPr>
          <w:pgSz w:w="11900" w:h="16838" w:orient="portrait"/>
          <w:cols w:equalWidth="0" w:num="1">
            <w:col w:w="11300"/>
          </w:cols>
          <w:pgMar w:left="300" w:top="910"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Portfolio Loans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We remain steadfast in our conservative approach to underwriting and our disciplined approach to pricing. Busey’s loan portfolio was comprised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4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7"/>
                <w:szCs w:val="7"/>
                <w:color w:val="auto"/>
              </w:rPr>
            </w:pPr>
          </w:p>
        </w:tc>
        <w:tc>
          <w:tcPr>
            <w:tcW w:w="1060" w:type="dxa"/>
            <w:vAlign w:val="bottom"/>
          </w:tcPr>
          <w:p>
            <w:pPr>
              <w:jc w:val="right"/>
              <w:ind w:right="262"/>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7400" w:type="dxa"/>
            <w:vAlign w:val="bottom"/>
            <w:tcBorders>
              <w:bottom w:val="single" w:sz="8" w:color="E0E7ED"/>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PORTFOLIO LOANS</w:t>
            </w:r>
          </w:p>
        </w:tc>
        <w:tc>
          <w:tcPr>
            <w:tcW w:w="20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Commercial loans: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Commercial and industrial and other commercial</w:t>
            </w: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4,229,208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4,395,871</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1,904,515</w:t>
            </w:r>
          </w:p>
        </w:tc>
        <w:tc>
          <w:tcPr>
            <w:tcW w:w="0" w:type="dxa"/>
            <w:vAlign w:val="bottom"/>
          </w:tcPr>
          <w:p>
            <w:pPr>
              <w:spacing w:after="0"/>
              <w:rPr>
                <w:sz w:val="1"/>
                <w:szCs w:val="1"/>
                <w:color w:val="auto"/>
              </w:rPr>
            </w:pP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Commercial real estate</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5,550,018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5,424,095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3,269,564</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Real estate construction</w:t>
            </w:r>
          </w:p>
        </w:tc>
        <w:tc>
          <w:tcPr>
            <w:tcW w:w="20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1,039,289</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1,099,524</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378,209</w:t>
            </w:r>
          </w:p>
        </w:tc>
        <w:tc>
          <w:tcPr>
            <w:tcW w:w="0" w:type="dxa"/>
            <w:vAlign w:val="bottom"/>
          </w:tcPr>
          <w:p>
            <w:pPr>
              <w:spacing w:after="0"/>
              <w:rPr>
                <w:sz w:val="1"/>
                <w:szCs w:val="1"/>
                <w:color w:val="auto"/>
              </w:rPr>
            </w:pPr>
          </w:p>
        </w:tc>
      </w:tr>
      <w:tr>
        <w:trPr>
          <w:trHeight w:val="161"/>
        </w:trPr>
        <w:tc>
          <w:tcPr>
            <w:tcW w:w="74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Total commercial loans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10,818,515</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10,919,490</w:t>
            </w:r>
          </w:p>
        </w:tc>
        <w:tc>
          <w:tcPr>
            <w:tcW w:w="6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5,552,288</w:t>
            </w:r>
          </w:p>
        </w:tc>
        <w:tc>
          <w:tcPr>
            <w:tcW w:w="0" w:type="dxa"/>
            <w:vAlign w:val="bottom"/>
          </w:tcPr>
          <w:p>
            <w:pPr>
              <w:spacing w:after="0"/>
              <w:rPr>
                <w:sz w:val="1"/>
                <w:szCs w:val="1"/>
                <w:color w:val="auto"/>
              </w:rPr>
            </w:pPr>
          </w:p>
        </w:tc>
      </w:tr>
      <w:tr>
        <w:trPr>
          <w:trHeight w:val="16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Retail loans:</w:t>
            </w:r>
          </w:p>
        </w:tc>
        <w:tc>
          <w:tcPr>
            <w:tcW w:w="200" w:type="dxa"/>
            <w:vAlign w:val="bottom"/>
            <w:shd w:val="clear" w:color="auto" w:fill="E0E7ED"/>
          </w:tcPr>
          <w:p>
            <w:pPr>
              <w:spacing w:after="0"/>
              <w:rPr>
                <w:sz w:val="14"/>
                <w:szCs w:val="14"/>
                <w:color w:val="auto"/>
              </w:rPr>
            </w:pPr>
          </w:p>
        </w:tc>
        <w:tc>
          <w:tcPr>
            <w:tcW w:w="104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Retail real estate</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2,154,616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2,196,246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1,696,457</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Retail other</w:t>
            </w:r>
          </w:p>
        </w:tc>
        <w:tc>
          <w:tcPr>
            <w:tcW w:w="20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594,668</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482,530</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448,342</w:t>
            </w:r>
          </w:p>
        </w:tc>
        <w:tc>
          <w:tcPr>
            <w:tcW w:w="0" w:type="dxa"/>
            <w:vAlign w:val="bottom"/>
          </w:tcPr>
          <w:p>
            <w:pPr>
              <w:spacing w:after="0"/>
              <w:rPr>
                <w:sz w:val="1"/>
                <w:szCs w:val="1"/>
                <w:color w:val="auto"/>
              </w:rPr>
            </w:pPr>
          </w:p>
        </w:tc>
      </w:tr>
      <w:tr>
        <w:trPr>
          <w:trHeight w:val="161"/>
        </w:trPr>
        <w:tc>
          <w:tcPr>
            <w:tcW w:w="74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Total retail loans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2,749,284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2,678,776</w:t>
            </w:r>
          </w:p>
        </w:tc>
        <w:tc>
          <w:tcPr>
            <w:tcW w:w="6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2,144,799</w:t>
            </w:r>
          </w:p>
        </w:tc>
        <w:tc>
          <w:tcPr>
            <w:tcW w:w="0" w:type="dxa"/>
            <w:vAlign w:val="bottom"/>
          </w:tcPr>
          <w:p>
            <w:pPr>
              <w:spacing w:after="0"/>
              <w:rPr>
                <w:sz w:val="1"/>
                <w:szCs w:val="1"/>
                <w:color w:val="auto"/>
              </w:rPr>
            </w:pPr>
          </w:p>
        </w:tc>
      </w:tr>
      <w:tr>
        <w:trPr>
          <w:trHeight w:val="193"/>
        </w:trPr>
        <w:tc>
          <w:tcPr>
            <w:tcW w:w="74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Total portfolio loans</w:t>
            </w: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13,567,799</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13,598,266</w:t>
            </w:r>
          </w:p>
        </w:tc>
        <w:tc>
          <w:tcPr>
            <w:tcW w:w="6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7,697,087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Commercial real estate loans can be further disaggregated between loans for properties that are non-owner occupied and loans for properties that are owned by the occupants. Non-owner occupied commercial real estate is generally reliant on property cash flows generated by third-party tenants, whereas owner occupied commercial real estate is generally dependent on the performance of the borrowers’ businesses.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9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As of</w:t>
            </w: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9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020" w:type="dxa"/>
            <w:vAlign w:val="bottom"/>
          </w:tcPr>
          <w:p>
            <w:pPr>
              <w:jc w:val="right"/>
              <w:ind w:right="245"/>
              <w:spacing w:after="0" w:line="88" w:lineRule="exact"/>
              <w:rPr>
                <w:sz w:val="20"/>
                <w:szCs w:val="20"/>
                <w:color w:val="auto"/>
              </w:rPr>
            </w:pPr>
            <w:r>
              <w:rPr>
                <w:rFonts w:ascii="Arial" w:cs="Arial" w:eastAsia="Arial" w:hAnsi="Arial"/>
                <w:sz w:val="10"/>
                <w:szCs w:val="10"/>
                <w:b w:val="1"/>
                <w:bCs w:val="1"/>
                <w:color w:val="auto"/>
              </w:rPr>
              <w:t>December 31,</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7"/>
                <w:szCs w:val="7"/>
                <w:color w:val="auto"/>
              </w:rPr>
            </w:pPr>
          </w:p>
        </w:tc>
        <w:tc>
          <w:tcPr>
            <w:tcW w:w="1040" w:type="dxa"/>
            <w:vAlign w:val="bottom"/>
          </w:tcPr>
          <w:p>
            <w:pPr>
              <w:jc w:val="right"/>
              <w:ind w:right="245"/>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6960" w:type="dxa"/>
            <w:vAlign w:val="bottom"/>
            <w:tcBorders>
              <w:bottom w:val="single" w:sz="8" w:color="E0E7ED"/>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2025</w:t>
            </w:r>
          </w:p>
        </w:tc>
        <w:tc>
          <w:tcPr>
            <w:tcW w:w="600" w:type="dxa"/>
            <w:vAlign w:val="bottom"/>
            <w:tcBorders>
              <w:bottom w:val="single" w:sz="8" w:color="E0E7ED"/>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69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COMMERCIAL REAL ESTATE LOANS</w:t>
            </w:r>
          </w:p>
        </w:tc>
        <w:tc>
          <w:tcPr>
            <w:tcW w:w="20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c>
          <w:tcPr>
            <w:tcW w:w="600" w:type="dxa"/>
            <w:vAlign w:val="bottom"/>
            <w:shd w:val="clear" w:color="auto" w:fill="E0E7ED"/>
          </w:tcPr>
          <w:p>
            <w:pPr>
              <w:spacing w:after="0"/>
              <w:rPr>
                <w:sz w:val="13"/>
                <w:szCs w:val="13"/>
                <w:color w:val="auto"/>
              </w:rPr>
            </w:pPr>
          </w:p>
        </w:tc>
        <w:tc>
          <w:tcPr>
            <w:tcW w:w="16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960" w:type="dxa"/>
            <w:vAlign w:val="bottom"/>
          </w:tcPr>
          <w:p>
            <w:pPr>
              <w:ind w:left="120"/>
              <w:spacing w:after="0"/>
              <w:rPr>
                <w:sz w:val="20"/>
                <w:szCs w:val="20"/>
                <w:color w:val="auto"/>
              </w:rPr>
            </w:pPr>
            <w:r>
              <w:rPr>
                <w:rFonts w:ascii="Arial" w:cs="Arial" w:eastAsia="Arial" w:hAnsi="Arial"/>
                <w:sz w:val="12"/>
                <w:szCs w:val="12"/>
                <w:color w:val="auto"/>
              </w:rPr>
              <w:t>Non-owner occupied commercial real estate</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4,118,361</w:t>
            </w:r>
          </w:p>
        </w:tc>
        <w:tc>
          <w:tcPr>
            <w:tcW w:w="6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
              <w:spacing w:after="0"/>
              <w:rPr>
                <w:sz w:val="20"/>
                <w:szCs w:val="20"/>
                <w:color w:val="auto"/>
              </w:rPr>
            </w:pPr>
            <w:r>
              <w:rPr>
                <w:rFonts w:ascii="Arial" w:cs="Arial" w:eastAsia="Arial" w:hAnsi="Arial"/>
                <w:sz w:val="12"/>
                <w:szCs w:val="12"/>
                <w:color w:val="auto"/>
              </w:rPr>
              <w:t>4,034,429</w:t>
            </w:r>
          </w:p>
        </w:tc>
        <w:tc>
          <w:tcPr>
            <w:tcW w:w="8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5"/>
              <w:spacing w:after="0"/>
              <w:rPr>
                <w:sz w:val="20"/>
                <w:szCs w:val="20"/>
                <w:color w:val="auto"/>
              </w:rPr>
            </w:pPr>
            <w:r>
              <w:rPr>
                <w:rFonts w:ascii="Arial" w:cs="Arial" w:eastAsia="Arial" w:hAnsi="Arial"/>
                <w:sz w:val="12"/>
                <w:szCs w:val="12"/>
                <w:color w:val="auto"/>
              </w:rPr>
              <w:t>2,360,273</w:t>
            </w:r>
          </w:p>
        </w:tc>
        <w:tc>
          <w:tcPr>
            <w:tcW w:w="0" w:type="dxa"/>
            <w:vAlign w:val="bottom"/>
          </w:tcPr>
          <w:p>
            <w:pPr>
              <w:spacing w:after="0"/>
              <w:rPr>
                <w:sz w:val="1"/>
                <w:szCs w:val="1"/>
                <w:color w:val="auto"/>
              </w:rPr>
            </w:pPr>
          </w:p>
        </w:tc>
      </w:tr>
      <w:tr>
        <w:trPr>
          <w:trHeight w:val="180"/>
        </w:trPr>
        <w:tc>
          <w:tcPr>
            <w:tcW w:w="69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Owner-occupied commercial real estate</w:t>
            </w:r>
          </w:p>
        </w:tc>
        <w:tc>
          <w:tcPr>
            <w:tcW w:w="200" w:type="dxa"/>
            <w:vAlign w:val="bottom"/>
            <w:tcBorders>
              <w:bottom w:val="single" w:sz="8" w:color="auto"/>
            </w:tcBorders>
            <w:shd w:val="clear" w:color="auto" w:fill="E0E7ED"/>
          </w:tcPr>
          <w:p>
            <w:pPr>
              <w:spacing w:after="0"/>
              <w:rPr>
                <w:sz w:val="15"/>
                <w:szCs w:val="15"/>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1,431,657</w:t>
            </w:r>
          </w:p>
        </w:tc>
        <w:tc>
          <w:tcPr>
            <w:tcW w:w="600" w:type="dxa"/>
            <w:vAlign w:val="bottom"/>
            <w:shd w:val="clear" w:color="auto" w:fill="E0E7ED"/>
          </w:tcPr>
          <w:p>
            <w:pPr>
              <w:spacing w:after="0"/>
              <w:rPr>
                <w:sz w:val="15"/>
                <w:szCs w:val="15"/>
                <w:color w:val="auto"/>
              </w:rPr>
            </w:pPr>
          </w:p>
        </w:tc>
        <w:tc>
          <w:tcPr>
            <w:tcW w:w="16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ind w:right="6"/>
              <w:spacing w:after="0"/>
              <w:rPr>
                <w:sz w:val="20"/>
                <w:szCs w:val="20"/>
                <w:color w:val="auto"/>
              </w:rPr>
            </w:pPr>
            <w:r>
              <w:rPr>
                <w:rFonts w:ascii="Arial" w:cs="Arial" w:eastAsia="Arial" w:hAnsi="Arial"/>
                <w:sz w:val="12"/>
                <w:szCs w:val="12"/>
                <w:color w:val="auto"/>
              </w:rPr>
              <w:t>1,389,666</w:t>
            </w:r>
          </w:p>
        </w:tc>
        <w:tc>
          <w:tcPr>
            <w:tcW w:w="80" w:type="dxa"/>
            <w:vAlign w:val="bottom"/>
            <w:shd w:val="clear" w:color="auto" w:fill="E0E7ED"/>
          </w:tcPr>
          <w:p>
            <w:pPr>
              <w:spacing w:after="0"/>
              <w:rPr>
                <w:sz w:val="15"/>
                <w:szCs w:val="15"/>
                <w:color w:val="auto"/>
              </w:rPr>
            </w:pPr>
          </w:p>
        </w:tc>
        <w:tc>
          <w:tcPr>
            <w:tcW w:w="18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ind w:right="5"/>
              <w:spacing w:after="0"/>
              <w:rPr>
                <w:sz w:val="20"/>
                <w:szCs w:val="20"/>
                <w:color w:val="auto"/>
              </w:rPr>
            </w:pPr>
            <w:r>
              <w:rPr>
                <w:rFonts w:ascii="Arial" w:cs="Arial" w:eastAsia="Arial" w:hAnsi="Arial"/>
                <w:sz w:val="12"/>
                <w:szCs w:val="12"/>
                <w:color w:val="auto"/>
              </w:rPr>
              <w:t>909,291</w:t>
            </w:r>
          </w:p>
        </w:tc>
        <w:tc>
          <w:tcPr>
            <w:tcW w:w="0" w:type="dxa"/>
            <w:vAlign w:val="bottom"/>
          </w:tcPr>
          <w:p>
            <w:pPr>
              <w:spacing w:after="0"/>
              <w:rPr>
                <w:sz w:val="1"/>
                <w:szCs w:val="1"/>
                <w:color w:val="auto"/>
              </w:rPr>
            </w:pPr>
          </w:p>
        </w:tc>
      </w:tr>
      <w:tr>
        <w:trPr>
          <w:trHeight w:val="177"/>
        </w:trPr>
        <w:tc>
          <w:tcPr>
            <w:tcW w:w="6960" w:type="dxa"/>
            <w:vAlign w:val="bottom"/>
          </w:tcPr>
          <w:p>
            <w:pPr>
              <w:spacing w:after="0"/>
              <w:rPr>
                <w:sz w:val="20"/>
                <w:szCs w:val="20"/>
                <w:color w:val="auto"/>
              </w:rPr>
            </w:pPr>
            <w:r>
              <w:rPr>
                <w:rFonts w:ascii="Arial" w:cs="Arial" w:eastAsia="Arial" w:hAnsi="Arial"/>
                <w:sz w:val="12"/>
                <w:szCs w:val="12"/>
                <w:color w:val="auto"/>
              </w:rPr>
              <w:t>Total commercial real estate loans</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5,550,018</w:t>
            </w:r>
          </w:p>
        </w:tc>
        <w:tc>
          <w:tcPr>
            <w:tcW w:w="600" w:type="dxa"/>
            <w:vAlign w:val="bottom"/>
          </w:tcPr>
          <w:p>
            <w:pPr>
              <w:jc w:val="right"/>
              <w:spacing w:after="0"/>
              <w:rPr>
                <w:sz w:val="20"/>
                <w:szCs w:val="20"/>
                <w:color w:val="auto"/>
              </w:rPr>
            </w:pPr>
            <w:r>
              <w:rPr>
                <w:rFonts w:ascii="Arial" w:cs="Arial" w:eastAsia="Arial" w:hAnsi="Arial"/>
                <w:sz w:val="12"/>
                <w:szCs w:val="12"/>
                <w:color w:val="auto"/>
                <w:w w:val="97"/>
              </w:rPr>
              <w:t>5,550,018</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5,424,095</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3,269,564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10</w:t>
      </w:r>
    </w:p>
    <w:p>
      <w:pPr>
        <w:sectPr>
          <w:pgSz w:w="11900" w:h="16838" w:orient="portrait"/>
          <w:cols w:equalWidth="0" w:num="1">
            <w:col w:w="11300"/>
          </w:cols>
          <w:pgMar w:left="300" w:top="912"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Asset Quality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Asset quality continues to be strong. Busey Bank maintains a well-diversified loan portfolio and, as a matter of policy and practice, limits concentration exposure in any particular loan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As of</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1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0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7"/>
                <w:szCs w:val="7"/>
                <w:color w:val="auto"/>
              </w:rPr>
            </w:pPr>
          </w:p>
        </w:tc>
        <w:tc>
          <w:tcPr>
            <w:tcW w:w="1200" w:type="dxa"/>
            <w:vAlign w:val="bottom"/>
            <w:gridSpan w:val="2"/>
          </w:tcPr>
          <w:p>
            <w:pPr>
              <w:jc w:val="center"/>
              <w:ind w:right="30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7"/>
                <w:szCs w:val="7"/>
                <w:color w:val="auto"/>
              </w:rPr>
            </w:pPr>
          </w:p>
        </w:tc>
        <w:tc>
          <w:tcPr>
            <w:tcW w:w="1120" w:type="dxa"/>
            <w:vAlign w:val="bottom"/>
          </w:tcPr>
          <w:p>
            <w:pPr>
              <w:jc w:val="right"/>
              <w:ind w:right="302"/>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7120" w:type="dxa"/>
            <w:vAlign w:val="bottom"/>
            <w:tcBorders>
              <w:bottom w:val="single" w:sz="8" w:color="E0E7ED"/>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71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assets</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18,104,736</w:t>
            </w: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18,188,628</w:t>
            </w: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12,046,722</w:t>
            </w:r>
          </w:p>
        </w:tc>
        <w:tc>
          <w:tcPr>
            <w:tcW w:w="0" w:type="dxa"/>
            <w:vAlign w:val="bottom"/>
          </w:tcPr>
          <w:p>
            <w:pPr>
              <w:spacing w:after="0"/>
              <w:rPr>
                <w:sz w:val="1"/>
                <w:szCs w:val="1"/>
                <w:color w:val="auto"/>
              </w:rPr>
            </w:pPr>
          </w:p>
        </w:tc>
      </w:tr>
      <w:tr>
        <w:trPr>
          <w:trHeight w:val="175"/>
        </w:trPr>
        <w:tc>
          <w:tcPr>
            <w:tcW w:w="7120" w:type="dxa"/>
            <w:vAlign w:val="bottom"/>
          </w:tcPr>
          <w:p>
            <w:pPr>
              <w:spacing w:after="0"/>
              <w:rPr>
                <w:sz w:val="20"/>
                <w:szCs w:val="20"/>
                <w:color w:val="auto"/>
              </w:rPr>
            </w:pPr>
            <w:r>
              <w:rPr>
                <w:rFonts w:ascii="Arial" w:cs="Arial" w:eastAsia="Arial" w:hAnsi="Arial"/>
                <w:sz w:val="12"/>
                <w:szCs w:val="12"/>
                <w:b w:val="1"/>
                <w:bCs w:val="1"/>
                <w:color w:val="auto"/>
              </w:rPr>
              <w:t>Portfolio loans</w:t>
            </w:r>
          </w:p>
        </w:tc>
        <w:tc>
          <w:tcPr>
            <w:tcW w:w="220" w:type="dxa"/>
            <w:vAlign w:val="bottom"/>
          </w:tcPr>
          <w:p>
            <w:pPr>
              <w:spacing w:after="0"/>
              <w:rPr>
                <w:sz w:val="15"/>
                <w:szCs w:val="15"/>
                <w:color w:val="auto"/>
              </w:rPr>
            </w:pP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13,567,799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Arial" w:cs="Arial" w:eastAsia="Arial" w:hAnsi="Arial"/>
                <w:sz w:val="12"/>
                <w:szCs w:val="12"/>
                <w:color w:val="auto"/>
              </w:rPr>
              <w:t>13,598,266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7,697,087</w:t>
            </w:r>
          </w:p>
        </w:tc>
        <w:tc>
          <w:tcPr>
            <w:tcW w:w="0" w:type="dxa"/>
            <w:vAlign w:val="bottom"/>
          </w:tcPr>
          <w:p>
            <w:pPr>
              <w:spacing w:after="0"/>
              <w:rPr>
                <w:sz w:val="1"/>
                <w:szCs w:val="1"/>
                <w:color w:val="auto"/>
              </w:rPr>
            </w:pPr>
          </w:p>
        </w:tc>
      </w:tr>
      <w:tr>
        <w:trPr>
          <w:trHeight w:val="185"/>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Loans 30 – 89 days past due</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16,475</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18,914</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8,124</w:t>
            </w:r>
          </w:p>
        </w:tc>
        <w:tc>
          <w:tcPr>
            <w:tcW w:w="0" w:type="dxa"/>
            <w:vAlign w:val="bottom"/>
          </w:tcPr>
          <w:p>
            <w:pPr>
              <w:spacing w:after="0"/>
              <w:rPr>
                <w:sz w:val="1"/>
                <w:szCs w:val="1"/>
                <w:color w:val="auto"/>
              </w:rPr>
            </w:pPr>
          </w:p>
        </w:tc>
      </w:tr>
      <w:tr>
        <w:trPr>
          <w:trHeight w:val="172"/>
        </w:trPr>
        <w:tc>
          <w:tcPr>
            <w:tcW w:w="7120" w:type="dxa"/>
            <w:vAlign w:val="bottom"/>
          </w:tcPr>
          <w:p>
            <w:pPr>
              <w:spacing w:after="0"/>
              <w:rPr>
                <w:sz w:val="20"/>
                <w:szCs w:val="20"/>
                <w:color w:val="auto"/>
              </w:rPr>
            </w:pPr>
            <w:r>
              <w:rPr>
                <w:rFonts w:ascii="Arial" w:cs="Arial" w:eastAsia="Arial" w:hAnsi="Arial"/>
                <w:sz w:val="12"/>
                <w:szCs w:val="12"/>
                <w:color w:val="auto"/>
              </w:rPr>
              <w:t>Non-performing loans: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1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Non-accrual loans</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51,198</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46,096</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22,088</w:t>
            </w:r>
          </w:p>
        </w:tc>
        <w:tc>
          <w:tcPr>
            <w:tcW w:w="0" w:type="dxa"/>
            <w:vAlign w:val="bottom"/>
          </w:tcPr>
          <w:p>
            <w:pPr>
              <w:spacing w:after="0"/>
              <w:rPr>
                <w:sz w:val="1"/>
                <w:szCs w:val="1"/>
                <w:color w:val="auto"/>
              </w:rPr>
            </w:pPr>
          </w:p>
        </w:tc>
      </w:tr>
      <w:tr>
        <w:trPr>
          <w:trHeight w:val="172"/>
        </w:trPr>
        <w:tc>
          <w:tcPr>
            <w:tcW w:w="71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Loans 90+ days past due and still accruing</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2,288</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1,418</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r>
        <w:trPr>
          <w:trHeight w:val="177"/>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Non-performing loans</w:t>
            </w:r>
          </w:p>
        </w:tc>
        <w:tc>
          <w:tcPr>
            <w:tcW w:w="22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53,486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47,514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23,237</w:t>
            </w:r>
          </w:p>
        </w:tc>
        <w:tc>
          <w:tcPr>
            <w:tcW w:w="0" w:type="dxa"/>
            <w:vAlign w:val="bottom"/>
          </w:tcPr>
          <w:p>
            <w:pPr>
              <w:spacing w:after="0"/>
              <w:rPr>
                <w:sz w:val="1"/>
                <w:szCs w:val="1"/>
                <w:color w:val="auto"/>
              </w:rPr>
            </w:pPr>
          </w:p>
        </w:tc>
      </w:tr>
      <w:tr>
        <w:trPr>
          <w:trHeight w:val="172"/>
        </w:trPr>
        <w:tc>
          <w:tcPr>
            <w:tcW w:w="71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Other non-performing assets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4,626</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10,210</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77"/>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Non-performing assets</w:t>
            </w:r>
          </w:p>
        </w:tc>
        <w:tc>
          <w:tcPr>
            <w:tcW w:w="22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58,112</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57,724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23,300</w:t>
            </w:r>
          </w:p>
        </w:tc>
        <w:tc>
          <w:tcPr>
            <w:tcW w:w="0" w:type="dxa"/>
            <w:vAlign w:val="bottom"/>
          </w:tcPr>
          <w:p>
            <w:pPr>
              <w:spacing w:after="0"/>
              <w:rPr>
                <w:sz w:val="1"/>
                <w:szCs w:val="1"/>
                <w:color w:val="auto"/>
              </w:rPr>
            </w:pPr>
          </w:p>
        </w:tc>
      </w:tr>
      <w:tr>
        <w:trPr>
          <w:trHeight w:val="172"/>
        </w:trPr>
        <w:tc>
          <w:tcPr>
            <w:tcW w:w="71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Substandard (excludes 90+ days past due)</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116,402</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103,329</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62,023</w:t>
            </w:r>
          </w:p>
        </w:tc>
        <w:tc>
          <w:tcPr>
            <w:tcW w:w="0" w:type="dxa"/>
            <w:vAlign w:val="bottom"/>
          </w:tcPr>
          <w:p>
            <w:pPr>
              <w:spacing w:after="0"/>
              <w:rPr>
                <w:sz w:val="1"/>
                <w:szCs w:val="1"/>
                <w:color w:val="auto"/>
              </w:rPr>
            </w:pPr>
          </w:p>
        </w:tc>
      </w:tr>
      <w:tr>
        <w:trPr>
          <w:trHeight w:val="193"/>
        </w:trPr>
        <w:tc>
          <w:tcPr>
            <w:tcW w:w="712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Classified assets</w:t>
            </w: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174,514</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161,053</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85,323</w:t>
            </w:r>
          </w:p>
        </w:tc>
        <w:tc>
          <w:tcPr>
            <w:tcW w:w="0" w:type="dxa"/>
            <w:vAlign w:val="bottom"/>
          </w:tcPr>
          <w:p>
            <w:pPr>
              <w:spacing w:after="0"/>
              <w:rPr>
                <w:sz w:val="1"/>
                <w:szCs w:val="1"/>
                <w:color w:val="auto"/>
              </w:rPr>
            </w:pPr>
          </w:p>
        </w:tc>
      </w:tr>
      <w:tr>
        <w:trPr>
          <w:trHeight w:val="162"/>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Allowance for credit losses</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174,023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174,181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83,404</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RATIOS</w:t>
            </w:r>
          </w:p>
        </w:tc>
        <w:tc>
          <w:tcPr>
            <w:tcW w:w="3000" w:type="dxa"/>
            <w:vAlign w:val="bottom"/>
            <w:shd w:val="clear" w:color="auto" w:fill="E0E7ED"/>
          </w:tcPr>
          <w:p>
            <w:pPr>
              <w:spacing w:after="0"/>
              <w:rPr>
                <w:sz w:val="15"/>
                <w:szCs w:val="15"/>
                <w:color w:val="auto"/>
              </w:rPr>
            </w:pPr>
          </w:p>
        </w:tc>
        <w:tc>
          <w:tcPr>
            <w:tcW w:w="1400" w:type="dxa"/>
            <w:vAlign w:val="bottom"/>
            <w:shd w:val="clear" w:color="auto" w:fill="E0E7ED"/>
          </w:tcPr>
          <w:p>
            <w:pPr>
              <w:spacing w:after="0"/>
              <w:rPr>
                <w:sz w:val="15"/>
                <w:szCs w:val="15"/>
                <w:color w:val="auto"/>
              </w:rPr>
            </w:pPr>
          </w:p>
        </w:tc>
        <w:tc>
          <w:tcPr>
            <w:tcW w:w="920" w:type="dxa"/>
            <w:vAlign w:val="bottom"/>
            <w:shd w:val="clear" w:color="auto" w:fill="E0E7ED"/>
          </w:tcPr>
          <w:p>
            <w:pPr>
              <w:spacing w:after="0"/>
              <w:rPr>
                <w:sz w:val="15"/>
                <w:szCs w:val="15"/>
                <w:color w:val="auto"/>
              </w:rPr>
            </w:pPr>
          </w:p>
        </w:tc>
      </w:tr>
      <w:tr>
        <w:trPr>
          <w:trHeight w:val="172"/>
        </w:trPr>
        <w:tc>
          <w:tcPr>
            <w:tcW w:w="5980" w:type="dxa"/>
            <w:vAlign w:val="bottom"/>
          </w:tcPr>
          <w:p>
            <w:pPr>
              <w:spacing w:after="0"/>
              <w:rPr>
                <w:sz w:val="20"/>
                <w:szCs w:val="20"/>
                <w:color w:val="auto"/>
              </w:rPr>
            </w:pPr>
            <w:r>
              <w:rPr>
                <w:rFonts w:ascii="Arial" w:cs="Arial" w:eastAsia="Arial" w:hAnsi="Arial"/>
                <w:sz w:val="12"/>
                <w:szCs w:val="12"/>
                <w:color w:val="auto"/>
              </w:rPr>
              <w:t>Non-performing loans to portfolio loans</w:t>
            </w:r>
          </w:p>
        </w:tc>
        <w:tc>
          <w:tcPr>
            <w:tcW w:w="3000" w:type="dxa"/>
            <w:vAlign w:val="bottom"/>
          </w:tcPr>
          <w:p>
            <w:pPr>
              <w:jc w:val="right"/>
              <w:ind w:right="460"/>
              <w:spacing w:after="0"/>
              <w:rPr>
                <w:sz w:val="20"/>
                <w:szCs w:val="20"/>
                <w:color w:val="auto"/>
              </w:rPr>
            </w:pPr>
            <w:r>
              <w:rPr>
                <w:rFonts w:ascii="Arial" w:cs="Arial" w:eastAsia="Arial" w:hAnsi="Arial"/>
                <w:sz w:val="12"/>
                <w:szCs w:val="12"/>
                <w:color w:val="auto"/>
              </w:rPr>
              <w:t>0.39 %</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0.35 %</w:t>
            </w:r>
          </w:p>
        </w:tc>
        <w:tc>
          <w:tcPr>
            <w:tcW w:w="920" w:type="dxa"/>
            <w:vAlign w:val="bottom"/>
          </w:tcPr>
          <w:p>
            <w:pPr>
              <w:jc w:val="right"/>
              <w:spacing w:after="0"/>
              <w:rPr>
                <w:sz w:val="20"/>
                <w:szCs w:val="20"/>
                <w:color w:val="auto"/>
              </w:rPr>
            </w:pPr>
            <w:r>
              <w:rPr>
                <w:rFonts w:ascii="Arial" w:cs="Arial" w:eastAsia="Arial" w:hAnsi="Arial"/>
                <w:sz w:val="12"/>
                <w:szCs w:val="12"/>
                <w:color w:val="auto"/>
              </w:rPr>
              <w:t>0.30 %</w:t>
            </w:r>
          </w:p>
        </w:tc>
      </w:tr>
      <w:tr>
        <w:trPr>
          <w:trHeight w:val="188"/>
        </w:trPr>
        <w:tc>
          <w:tcPr>
            <w:tcW w:w="5980" w:type="dxa"/>
            <w:vAlign w:val="bottom"/>
            <w:shd w:val="clear" w:color="auto" w:fill="E0E7ED"/>
          </w:tcPr>
          <w:p>
            <w:pPr>
              <w:spacing w:after="0"/>
              <w:rPr>
                <w:sz w:val="20"/>
                <w:szCs w:val="20"/>
                <w:color w:val="auto"/>
              </w:rPr>
            </w:pPr>
            <w:r>
              <w:rPr>
                <w:rFonts w:ascii="Arial" w:cs="Arial" w:eastAsia="Arial" w:hAnsi="Arial"/>
                <w:sz w:val="12"/>
                <w:szCs w:val="12"/>
                <w:color w:val="auto"/>
              </w:rPr>
              <w:t>Non-performing assets to total assets</w:t>
            </w:r>
          </w:p>
        </w:tc>
        <w:tc>
          <w:tcPr>
            <w:tcW w:w="300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0.32 %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0.32 %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0.19 %</w:t>
            </w:r>
          </w:p>
        </w:tc>
      </w:tr>
      <w:tr>
        <w:trPr>
          <w:trHeight w:val="172"/>
        </w:trPr>
        <w:tc>
          <w:tcPr>
            <w:tcW w:w="5980" w:type="dxa"/>
            <w:vAlign w:val="bottom"/>
          </w:tcPr>
          <w:p>
            <w:pPr>
              <w:spacing w:after="0"/>
              <w:rPr>
                <w:sz w:val="20"/>
                <w:szCs w:val="20"/>
                <w:color w:val="auto"/>
              </w:rPr>
            </w:pPr>
            <w:r>
              <w:rPr>
                <w:rFonts w:ascii="Arial" w:cs="Arial" w:eastAsia="Arial" w:hAnsi="Arial"/>
                <w:sz w:val="12"/>
                <w:szCs w:val="12"/>
                <w:color w:val="auto"/>
              </w:rPr>
              <w:t>Non-performing assets to portfolio loans and other non-performing assets</w:t>
            </w:r>
          </w:p>
        </w:tc>
        <w:tc>
          <w:tcPr>
            <w:tcW w:w="3000" w:type="dxa"/>
            <w:vAlign w:val="bottom"/>
          </w:tcPr>
          <w:p>
            <w:pPr>
              <w:jc w:val="right"/>
              <w:ind w:right="460"/>
              <w:spacing w:after="0"/>
              <w:rPr>
                <w:sz w:val="20"/>
                <w:szCs w:val="20"/>
                <w:color w:val="auto"/>
              </w:rPr>
            </w:pPr>
            <w:r>
              <w:rPr>
                <w:rFonts w:ascii="Arial" w:cs="Arial" w:eastAsia="Arial" w:hAnsi="Arial"/>
                <w:sz w:val="12"/>
                <w:szCs w:val="12"/>
                <w:color w:val="auto"/>
              </w:rPr>
              <w:t>0.43 %</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0.42 %</w:t>
            </w:r>
          </w:p>
        </w:tc>
        <w:tc>
          <w:tcPr>
            <w:tcW w:w="920" w:type="dxa"/>
            <w:vAlign w:val="bottom"/>
          </w:tcPr>
          <w:p>
            <w:pPr>
              <w:jc w:val="right"/>
              <w:spacing w:after="0"/>
              <w:rPr>
                <w:sz w:val="20"/>
                <w:szCs w:val="20"/>
                <w:color w:val="auto"/>
              </w:rPr>
            </w:pPr>
            <w:r>
              <w:rPr>
                <w:rFonts w:ascii="Arial" w:cs="Arial" w:eastAsia="Arial" w:hAnsi="Arial"/>
                <w:sz w:val="12"/>
                <w:szCs w:val="12"/>
                <w:color w:val="auto"/>
              </w:rPr>
              <w:t>0.30 %</w:t>
            </w:r>
          </w:p>
        </w:tc>
      </w:tr>
      <w:tr>
        <w:trPr>
          <w:trHeight w:val="188"/>
        </w:trPr>
        <w:tc>
          <w:tcPr>
            <w:tcW w:w="5980" w:type="dxa"/>
            <w:vAlign w:val="bottom"/>
            <w:shd w:val="clear" w:color="auto" w:fill="E0E7ED"/>
          </w:tcPr>
          <w:p>
            <w:pPr>
              <w:spacing w:after="0"/>
              <w:rPr>
                <w:sz w:val="20"/>
                <w:szCs w:val="20"/>
                <w:color w:val="auto"/>
              </w:rPr>
            </w:pPr>
            <w:r>
              <w:rPr>
                <w:rFonts w:ascii="Arial" w:cs="Arial" w:eastAsia="Arial" w:hAnsi="Arial"/>
                <w:sz w:val="12"/>
                <w:szCs w:val="12"/>
                <w:color w:val="auto"/>
              </w:rPr>
              <w:t>Allowance for credit losses to portfolio loans</w:t>
            </w:r>
          </w:p>
        </w:tc>
        <w:tc>
          <w:tcPr>
            <w:tcW w:w="300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1.28 %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1.28 %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1.08 %</w:t>
            </w:r>
          </w:p>
        </w:tc>
      </w:tr>
      <w:tr>
        <w:trPr>
          <w:trHeight w:val="172"/>
        </w:trPr>
        <w:tc>
          <w:tcPr>
            <w:tcW w:w="5980" w:type="dxa"/>
            <w:vAlign w:val="bottom"/>
          </w:tcPr>
          <w:p>
            <w:pPr>
              <w:spacing w:after="0"/>
              <w:rPr>
                <w:sz w:val="20"/>
                <w:szCs w:val="20"/>
                <w:color w:val="auto"/>
              </w:rPr>
            </w:pPr>
            <w:r>
              <w:rPr>
                <w:rFonts w:ascii="Arial" w:cs="Arial" w:eastAsia="Arial" w:hAnsi="Arial"/>
                <w:sz w:val="12"/>
                <w:szCs w:val="12"/>
                <w:color w:val="auto"/>
              </w:rPr>
              <w:t>Coverage ratio of the allowance for credit losses to non-performing loans</w:t>
            </w:r>
          </w:p>
        </w:tc>
        <w:tc>
          <w:tcPr>
            <w:tcW w:w="3000" w:type="dxa"/>
            <w:vAlign w:val="bottom"/>
          </w:tcPr>
          <w:p>
            <w:pPr>
              <w:jc w:val="right"/>
              <w:ind w:right="460"/>
              <w:spacing w:after="0"/>
              <w:rPr>
                <w:sz w:val="20"/>
                <w:szCs w:val="20"/>
                <w:color w:val="auto"/>
              </w:rPr>
            </w:pPr>
            <w:r>
              <w:rPr>
                <w:rFonts w:ascii="Arial" w:cs="Arial" w:eastAsia="Arial" w:hAnsi="Arial"/>
                <w:sz w:val="12"/>
                <w:szCs w:val="12"/>
                <w:color w:val="auto"/>
              </w:rPr>
              <w:t>3.25 x</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3.67 x</w:t>
            </w:r>
          </w:p>
        </w:tc>
        <w:tc>
          <w:tcPr>
            <w:tcW w:w="920" w:type="dxa"/>
            <w:vAlign w:val="bottom"/>
          </w:tcPr>
          <w:p>
            <w:pPr>
              <w:jc w:val="right"/>
              <w:spacing w:after="0"/>
              <w:rPr>
                <w:sz w:val="20"/>
                <w:szCs w:val="20"/>
                <w:color w:val="auto"/>
              </w:rPr>
            </w:pPr>
            <w:r>
              <w:rPr>
                <w:rFonts w:ascii="Arial" w:cs="Arial" w:eastAsia="Arial" w:hAnsi="Arial"/>
                <w:sz w:val="12"/>
                <w:szCs w:val="12"/>
                <w:color w:val="auto"/>
              </w:rPr>
              <w:t>3.59 x</w:t>
            </w:r>
          </w:p>
        </w:tc>
      </w:tr>
      <w:tr>
        <w:trPr>
          <w:trHeight w:val="188"/>
        </w:trPr>
        <w:tc>
          <w:tcPr>
            <w:tcW w:w="5980" w:type="dxa"/>
            <w:vAlign w:val="bottom"/>
            <w:shd w:val="clear" w:color="auto" w:fill="E0E7ED"/>
          </w:tcPr>
          <w:p>
            <w:pPr>
              <w:spacing w:after="0"/>
              <w:rPr>
                <w:sz w:val="20"/>
                <w:szCs w:val="20"/>
                <w:color w:val="auto"/>
              </w:rPr>
            </w:pPr>
            <w:r>
              <w:rPr>
                <w:rFonts w:ascii="Arial" w:cs="Arial" w:eastAsia="Arial" w:hAnsi="Arial"/>
                <w:sz w:val="12"/>
                <w:szCs w:val="12"/>
                <w:color w:val="auto"/>
              </w:rPr>
              <w:t>Classified assets to Bank Tier 1 capital</w:t>
            </w:r>
            <w:r>
              <w:rPr>
                <w:rFonts w:ascii="Arial" w:cs="Arial" w:eastAsia="Arial" w:hAnsi="Arial"/>
                <w:sz w:val="15"/>
                <w:szCs w:val="15"/>
                <w:color w:val="auto"/>
                <w:vertAlign w:val="superscript"/>
              </w:rPr>
              <w:t>(i)</w:t>
            </w:r>
            <w:r>
              <w:rPr>
                <w:rFonts w:ascii="Arial" w:cs="Arial" w:eastAsia="Arial" w:hAnsi="Arial"/>
                <w:sz w:val="12"/>
                <w:szCs w:val="12"/>
                <w:color w:val="auto"/>
              </w:rPr>
              <w:t xml:space="preserve"> and reserves</w:t>
            </w:r>
          </w:p>
        </w:tc>
        <w:tc>
          <w:tcPr>
            <w:tcW w:w="300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7.51 %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7.03 %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5.61 %</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Capital amounts for the fourth quarter of 2025 are not yet finalized and are subject to change.</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Non-performing assets increased by $0.4 million compared to September 30, 2025, and increased by $34.8 million compared to December 31, 2024, with the increase compared to the prior year due primarily to the loans purchased with credit deterioration (“PCD”) assumed in the CrossFirst acquisition. Non-performing assets represented 0.32% of total assets as of both December 31, 2025, and September 30, 2025, a 13 basis point increase from December 31, 2024.</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Classified assets increased by $13.5 million compared to September 30, 2025, and increased by $89.2 million compared to December 31, 2024, with the increase compared to the prior year due primarily to the PCD loans assumed in the CrossFirst acquisition.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The allowance for credit losses was $174.0 million as of December 31, 2025, 3.25 times our non-performing loans balance and representing 1.28% of total portfolio loans outstanding.</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11</w:t>
      </w:r>
    </w:p>
    <w:p>
      <w:pPr>
        <w:sectPr>
          <w:pgSz w:w="11900" w:h="16838" w:orient="portrait"/>
          <w:cols w:equalWidth="0" w:num="1">
            <w:col w:w="11300"/>
          </w:cols>
          <w:pgMar w:left="300" w:top="910"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Busey’s net charge-offs and provision for credit losses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7"/>
                <w:szCs w:val="7"/>
                <w:color w:val="auto"/>
              </w:rPr>
            </w:pPr>
          </w:p>
        </w:tc>
        <w:tc>
          <w:tcPr>
            <w:tcW w:w="114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98"/>
              </w:rPr>
              <w:t>December 31,</w:t>
            </w:r>
          </w:p>
        </w:tc>
        <w:tc>
          <w:tcPr>
            <w:tcW w:w="120" w:type="dxa"/>
            <w:vAlign w:val="bottom"/>
          </w:tcPr>
          <w:p>
            <w:pPr>
              <w:spacing w:after="0"/>
              <w:rPr>
                <w:sz w:val="7"/>
                <w:szCs w:val="7"/>
                <w:color w:val="auto"/>
              </w:rPr>
            </w:pPr>
          </w:p>
        </w:tc>
        <w:tc>
          <w:tcPr>
            <w:tcW w:w="120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7"/>
                <w:szCs w:val="7"/>
                <w:color w:val="auto"/>
              </w:rPr>
            </w:pPr>
          </w:p>
        </w:tc>
        <w:tc>
          <w:tcPr>
            <w:tcW w:w="980" w:type="dxa"/>
            <w:vAlign w:val="bottom"/>
          </w:tcPr>
          <w:p>
            <w:pPr>
              <w:jc w:val="right"/>
              <w:ind w:right="264"/>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DBE2E9"/>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DBE2E9"/>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bottom w:val="single" w:sz="8" w:color="DBE2E9"/>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DBE2E9"/>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DBE2E9"/>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4760" w:type="dxa"/>
            <w:vAlign w:val="bottom"/>
            <w:shd w:val="clear" w:color="auto" w:fill="DBE2E9"/>
          </w:tcPr>
          <w:p>
            <w:pPr>
              <w:spacing w:after="0"/>
              <w:rPr>
                <w:sz w:val="20"/>
                <w:szCs w:val="20"/>
                <w:color w:val="auto"/>
              </w:rPr>
            </w:pPr>
            <w:r>
              <w:rPr>
                <w:rFonts w:ascii="Arial" w:cs="Arial" w:eastAsia="Arial" w:hAnsi="Arial"/>
                <w:sz w:val="12"/>
                <w:szCs w:val="12"/>
                <w:color w:val="auto"/>
              </w:rPr>
              <w:t>Net charge-offs</w:t>
            </w:r>
          </w:p>
        </w:tc>
        <w:tc>
          <w:tcPr>
            <w:tcW w:w="180" w:type="dxa"/>
            <w:vAlign w:val="bottom"/>
            <w:shd w:val="clear" w:color="auto" w:fill="DBE2E9"/>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DBE2E9"/>
          </w:tcPr>
          <w:p>
            <w:pPr>
              <w:jc w:val="center"/>
              <w:ind w:left="624"/>
              <w:spacing w:after="0"/>
              <w:rPr>
                <w:sz w:val="20"/>
                <w:szCs w:val="20"/>
                <w:color w:val="auto"/>
              </w:rPr>
            </w:pPr>
            <w:r>
              <w:rPr>
                <w:rFonts w:ascii="Arial" w:cs="Arial" w:eastAsia="Arial" w:hAnsi="Arial"/>
                <w:sz w:val="12"/>
                <w:szCs w:val="12"/>
                <w:color w:val="auto"/>
                <w:w w:val="99"/>
              </w:rPr>
              <w:t>5,752</w:t>
            </w:r>
          </w:p>
        </w:tc>
        <w:tc>
          <w:tcPr>
            <w:tcW w:w="80" w:type="dxa"/>
            <w:vAlign w:val="bottom"/>
            <w:shd w:val="clear" w:color="auto" w:fill="DBE2E9"/>
          </w:tcPr>
          <w:p>
            <w:pPr>
              <w:spacing w:after="0"/>
              <w:rPr>
                <w:sz w:val="14"/>
                <w:szCs w:val="14"/>
                <w:color w:val="auto"/>
              </w:rPr>
            </w:pPr>
          </w:p>
        </w:tc>
        <w:tc>
          <w:tcPr>
            <w:tcW w:w="120" w:type="dxa"/>
            <w:vAlign w:val="bottom"/>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5,848</w:t>
            </w:r>
          </w:p>
        </w:tc>
        <w:tc>
          <w:tcPr>
            <w:tcW w:w="80" w:type="dxa"/>
            <w:vAlign w:val="bottom"/>
            <w:shd w:val="clear" w:color="auto" w:fill="DBE2E9"/>
          </w:tcPr>
          <w:p>
            <w:pPr>
              <w:spacing w:after="0"/>
              <w:rPr>
                <w:sz w:val="14"/>
                <w:szCs w:val="14"/>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E2E9"/>
          </w:tcPr>
          <w:p>
            <w:pPr>
              <w:jc w:val="right"/>
              <w:spacing w:after="0"/>
              <w:rPr>
                <w:sz w:val="20"/>
                <w:szCs w:val="20"/>
                <w:color w:val="auto"/>
              </w:rPr>
            </w:pPr>
            <w:r>
              <w:rPr>
                <w:rFonts w:ascii="Arial" w:cs="Arial" w:eastAsia="Arial" w:hAnsi="Arial"/>
                <w:sz w:val="12"/>
                <w:szCs w:val="12"/>
                <w:color w:val="auto"/>
              </w:rPr>
              <w:t>2,850</w:t>
            </w:r>
          </w:p>
        </w:tc>
        <w:tc>
          <w:tcPr>
            <w:tcW w:w="80" w:type="dxa"/>
            <w:vAlign w:val="bottom"/>
            <w:shd w:val="clear" w:color="auto" w:fill="DBE2E9"/>
          </w:tcPr>
          <w:p>
            <w:pPr>
              <w:spacing w:after="0"/>
              <w:rPr>
                <w:sz w:val="14"/>
                <w:szCs w:val="14"/>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DBE2E9"/>
          </w:tcPr>
          <w:p>
            <w:pPr>
              <w:jc w:val="right"/>
              <w:ind w:right="5"/>
              <w:spacing w:after="0"/>
              <w:rPr>
                <w:sz w:val="20"/>
                <w:szCs w:val="20"/>
                <w:color w:val="auto"/>
              </w:rPr>
            </w:pPr>
            <w:r>
              <w:rPr>
                <w:rFonts w:ascii="Arial" w:cs="Arial" w:eastAsia="Arial" w:hAnsi="Arial"/>
                <w:sz w:val="12"/>
                <w:szCs w:val="12"/>
                <w:color w:val="auto"/>
              </w:rPr>
              <w:t>55,910</w:t>
            </w:r>
          </w:p>
        </w:tc>
        <w:tc>
          <w:tcPr>
            <w:tcW w:w="60" w:type="dxa"/>
            <w:vAlign w:val="bottom"/>
            <w:shd w:val="clear" w:color="auto" w:fill="DBE2E9"/>
          </w:tcPr>
          <w:p>
            <w:pPr>
              <w:spacing w:after="0"/>
              <w:rPr>
                <w:sz w:val="14"/>
                <w:szCs w:val="14"/>
                <w:color w:val="auto"/>
              </w:rPr>
            </w:pPr>
          </w:p>
        </w:tc>
        <w:tc>
          <w:tcPr>
            <w:tcW w:w="280" w:type="dxa"/>
            <w:vAlign w:val="bottom"/>
            <w:shd w:val="clear" w:color="auto" w:fill="DBE2E9"/>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E2E9"/>
          </w:tcPr>
          <w:p>
            <w:pPr>
              <w:jc w:val="right"/>
              <w:ind w:right="4"/>
              <w:spacing w:after="0"/>
              <w:rPr>
                <w:sz w:val="20"/>
                <w:szCs w:val="20"/>
                <w:color w:val="auto"/>
              </w:rPr>
            </w:pPr>
            <w:r>
              <w:rPr>
                <w:rFonts w:ascii="Arial" w:cs="Arial" w:eastAsia="Arial" w:hAnsi="Arial"/>
                <w:sz w:val="12"/>
                <w:szCs w:val="12"/>
                <w:color w:val="auto"/>
              </w:rPr>
              <w:t>18,169</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60" w:type="dxa"/>
            <w:vAlign w:val="bottom"/>
            <w:shd w:val="clear" w:color="auto" w:fill="DBE2E9"/>
          </w:tcPr>
          <w:p>
            <w:pPr>
              <w:spacing w:after="0"/>
              <w:rPr>
                <w:sz w:val="20"/>
                <w:szCs w:val="20"/>
                <w:color w:val="auto"/>
              </w:rPr>
            </w:pPr>
            <w:r>
              <w:rPr>
                <w:rFonts w:ascii="Arial" w:cs="Arial" w:eastAsia="Arial" w:hAnsi="Arial"/>
                <w:sz w:val="12"/>
                <w:szCs w:val="12"/>
                <w:color w:val="auto"/>
              </w:rPr>
              <w:t>Provision for loan losses</w:t>
            </w:r>
            <w:r>
              <w:rPr>
                <w:rFonts w:ascii="Arial" w:cs="Arial" w:eastAsia="Arial" w:hAnsi="Arial"/>
                <w:sz w:val="15"/>
                <w:szCs w:val="15"/>
                <w:color w:val="auto"/>
                <w:vertAlign w:val="superscript"/>
              </w:rPr>
              <w:t>(i)</w:t>
            </w:r>
          </w:p>
        </w:tc>
        <w:tc>
          <w:tcPr>
            <w:tcW w:w="180" w:type="dxa"/>
            <w:vAlign w:val="bottom"/>
            <w:shd w:val="clear" w:color="auto" w:fill="DBE2E9"/>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DBE2E9"/>
          </w:tcPr>
          <w:p>
            <w:pPr>
              <w:jc w:val="center"/>
              <w:ind w:left="624"/>
              <w:spacing w:after="0"/>
              <w:rPr>
                <w:sz w:val="20"/>
                <w:szCs w:val="20"/>
                <w:color w:val="auto"/>
              </w:rPr>
            </w:pPr>
            <w:r>
              <w:rPr>
                <w:rFonts w:ascii="Arial" w:cs="Arial" w:eastAsia="Arial" w:hAnsi="Arial"/>
                <w:sz w:val="12"/>
                <w:szCs w:val="12"/>
                <w:color w:val="auto"/>
                <w:w w:val="99"/>
              </w:rPr>
              <w:t>5,594</w:t>
            </w:r>
          </w:p>
        </w:tc>
        <w:tc>
          <w:tcPr>
            <w:tcW w:w="80" w:type="dxa"/>
            <w:vAlign w:val="bottom"/>
            <w:shd w:val="clear" w:color="auto" w:fill="DBE2E9"/>
          </w:tcPr>
          <w:p>
            <w:pPr>
              <w:spacing w:after="0"/>
              <w:rPr>
                <w:sz w:val="15"/>
                <w:szCs w:val="15"/>
                <w:color w:val="auto"/>
              </w:rPr>
            </w:pPr>
          </w:p>
        </w:tc>
        <w:tc>
          <w:tcPr>
            <w:tcW w:w="120" w:type="dxa"/>
            <w:vAlign w:val="bottom"/>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(3,305)</w:t>
            </w:r>
          </w:p>
        </w:tc>
        <w:tc>
          <w:tcPr>
            <w:tcW w:w="80" w:type="dxa"/>
            <w:vAlign w:val="bottom"/>
            <w:shd w:val="clear" w:color="auto" w:fill="DBE2E9"/>
          </w:tcPr>
          <w:p>
            <w:pPr>
              <w:spacing w:after="0"/>
              <w:rPr>
                <w:sz w:val="15"/>
                <w:szCs w:val="15"/>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E2E9"/>
          </w:tcPr>
          <w:p>
            <w:pPr>
              <w:jc w:val="right"/>
              <w:spacing w:after="0"/>
              <w:rPr>
                <w:sz w:val="20"/>
                <w:szCs w:val="20"/>
                <w:color w:val="auto"/>
              </w:rPr>
            </w:pPr>
            <w:r>
              <w:rPr>
                <w:rFonts w:ascii="Arial" w:cs="Arial" w:eastAsia="Arial" w:hAnsi="Arial"/>
                <w:sz w:val="12"/>
                <w:szCs w:val="12"/>
                <w:color w:val="auto"/>
              </w:rPr>
              <w:t>1,273</w:t>
            </w:r>
          </w:p>
        </w:tc>
        <w:tc>
          <w:tcPr>
            <w:tcW w:w="80" w:type="dxa"/>
            <w:vAlign w:val="bottom"/>
            <w:shd w:val="clear" w:color="auto" w:fill="DBE2E9"/>
          </w:tcPr>
          <w:p>
            <w:pPr>
              <w:spacing w:after="0"/>
              <w:rPr>
                <w:sz w:val="15"/>
                <w:szCs w:val="15"/>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DBE2E9"/>
          </w:tcPr>
          <w:p>
            <w:pPr>
              <w:jc w:val="right"/>
              <w:ind w:right="5"/>
              <w:spacing w:after="0"/>
              <w:rPr>
                <w:sz w:val="20"/>
                <w:szCs w:val="20"/>
                <w:color w:val="auto"/>
              </w:rPr>
            </w:pPr>
            <w:r>
              <w:rPr>
                <w:rFonts w:ascii="Arial" w:cs="Arial" w:eastAsia="Arial" w:hAnsi="Arial"/>
                <w:sz w:val="12"/>
                <w:szCs w:val="12"/>
                <w:color w:val="auto"/>
              </w:rPr>
              <w:t>45,746</w:t>
            </w:r>
          </w:p>
        </w:tc>
        <w:tc>
          <w:tcPr>
            <w:tcW w:w="60" w:type="dxa"/>
            <w:vAlign w:val="bottom"/>
            <w:shd w:val="clear" w:color="auto" w:fill="DBE2E9"/>
          </w:tcPr>
          <w:p>
            <w:pPr>
              <w:spacing w:after="0"/>
              <w:rPr>
                <w:sz w:val="15"/>
                <w:szCs w:val="15"/>
                <w:color w:val="auto"/>
              </w:rPr>
            </w:pPr>
          </w:p>
        </w:tc>
        <w:tc>
          <w:tcPr>
            <w:tcW w:w="280" w:type="dxa"/>
            <w:vAlign w:val="bottom"/>
            <w:shd w:val="clear" w:color="auto" w:fill="DBE2E9"/>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E2E9"/>
          </w:tcPr>
          <w:p>
            <w:pPr>
              <w:jc w:val="right"/>
              <w:ind w:right="4"/>
              <w:spacing w:after="0"/>
              <w:rPr>
                <w:sz w:val="20"/>
                <w:szCs w:val="20"/>
                <w:color w:val="auto"/>
              </w:rPr>
            </w:pPr>
            <w:r>
              <w:rPr>
                <w:rFonts w:ascii="Arial" w:cs="Arial" w:eastAsia="Arial" w:hAnsi="Arial"/>
                <w:sz w:val="12"/>
                <w:szCs w:val="12"/>
                <w:color w:val="auto"/>
              </w:rPr>
              <w:t>8,590</w:t>
            </w:r>
          </w:p>
        </w:tc>
        <w:tc>
          <w:tcPr>
            <w:tcW w:w="0" w:type="dxa"/>
            <w:vAlign w:val="bottom"/>
          </w:tcPr>
          <w:p>
            <w:pPr>
              <w:spacing w:after="0"/>
              <w:rPr>
                <w:sz w:val="1"/>
                <w:szCs w:val="1"/>
                <w:color w:val="auto"/>
              </w:rPr>
            </w:pPr>
          </w:p>
        </w:tc>
      </w:tr>
      <w:tr>
        <w:trPr>
          <w:trHeight w:val="180"/>
        </w:trPr>
        <w:tc>
          <w:tcPr>
            <w:tcW w:w="4760" w:type="dxa"/>
            <w:vAlign w:val="bottom"/>
            <w:tcBorders>
              <w:bottom w:val="single" w:sz="8" w:color="DBE2E9"/>
            </w:tcBorders>
          </w:tcPr>
          <w:p>
            <w:pPr>
              <w:spacing w:after="0"/>
              <w:rPr>
                <w:sz w:val="20"/>
                <w:szCs w:val="20"/>
                <w:color w:val="auto"/>
              </w:rPr>
            </w:pPr>
            <w:r>
              <w:rPr>
                <w:rFonts w:ascii="Arial" w:cs="Arial" w:eastAsia="Arial" w:hAnsi="Arial"/>
                <w:sz w:val="12"/>
                <w:szCs w:val="12"/>
                <w:color w:val="auto"/>
              </w:rPr>
              <w:t>Provision for unfunded commitments</w:t>
            </w:r>
            <w:r>
              <w:rPr>
                <w:rFonts w:ascii="Arial" w:cs="Arial" w:eastAsia="Arial" w:hAnsi="Arial"/>
                <w:sz w:val="15"/>
                <w:szCs w:val="15"/>
                <w:color w:val="auto"/>
                <w:vertAlign w:val="superscript"/>
              </w:rPr>
              <w:t>(ii)</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584"/>
              <w:spacing w:after="0"/>
              <w:rPr>
                <w:sz w:val="20"/>
                <w:szCs w:val="20"/>
                <w:color w:val="auto"/>
              </w:rPr>
            </w:pPr>
            <w:r>
              <w:rPr>
                <w:rFonts w:ascii="Arial" w:cs="Arial" w:eastAsia="Arial" w:hAnsi="Arial"/>
                <w:sz w:val="12"/>
                <w:szCs w:val="12"/>
                <w:color w:val="auto"/>
                <w:w w:val="99"/>
              </w:rPr>
              <w:t>(3,159)</w:t>
            </w:r>
          </w:p>
        </w:tc>
        <w:tc>
          <w:tcPr>
            <w:tcW w:w="80" w:type="dxa"/>
            <w:vAlign w:val="bottom"/>
            <w:tcBorders>
              <w:bottom w:val="single" w:sz="8" w:color="DBE2E9"/>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2,320</w:t>
            </w:r>
          </w:p>
        </w:tc>
        <w:tc>
          <w:tcPr>
            <w:tcW w:w="80" w:type="dxa"/>
            <w:vAlign w:val="bottom"/>
            <w:tcBorders>
              <w:bottom w:val="single" w:sz="8" w:color="DBE2E9"/>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w:t>
            </w:r>
          </w:p>
        </w:tc>
        <w:tc>
          <w:tcPr>
            <w:tcW w:w="80" w:type="dxa"/>
            <w:vAlign w:val="bottom"/>
            <w:tcBorders>
              <w:bottom w:val="single" w:sz="8" w:color="DBE2E9"/>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6,997</w:t>
            </w:r>
          </w:p>
        </w:tc>
        <w:tc>
          <w:tcPr>
            <w:tcW w:w="60" w:type="dxa"/>
            <w:vAlign w:val="bottom"/>
            <w:tcBorders>
              <w:bottom w:val="single" w:sz="8" w:color="DBE2E9"/>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(1,095)</w:t>
            </w:r>
          </w:p>
        </w:tc>
        <w:tc>
          <w:tcPr>
            <w:tcW w:w="0" w:type="dxa"/>
            <w:vAlign w:val="bottom"/>
          </w:tcPr>
          <w:p>
            <w:pPr>
              <w:spacing w:after="0"/>
              <w:rPr>
                <w:sz w:val="1"/>
                <w:szCs w:val="1"/>
                <w:color w:val="auto"/>
              </w:rPr>
            </w:pPr>
          </w:p>
        </w:tc>
      </w:tr>
      <w:tr>
        <w:trPr>
          <w:trHeight w:val="185"/>
        </w:trPr>
        <w:tc>
          <w:tcPr>
            <w:tcW w:w="4760" w:type="dxa"/>
            <w:vAlign w:val="bottom"/>
            <w:tcBorders>
              <w:bottom w:val="single" w:sz="8" w:color="DBE2E9"/>
            </w:tcBorders>
            <w:shd w:val="clear" w:color="auto" w:fill="DBE2E9"/>
          </w:tcPr>
          <w:p>
            <w:pPr>
              <w:spacing w:after="0" w:line="169" w:lineRule="exact"/>
              <w:rPr>
                <w:sz w:val="20"/>
                <w:szCs w:val="20"/>
                <w:color w:val="auto"/>
              </w:rPr>
            </w:pPr>
            <w:r>
              <w:rPr>
                <w:rFonts w:ascii="Arial" w:cs="Arial" w:eastAsia="Arial" w:hAnsi="Arial"/>
                <w:sz w:val="12"/>
                <w:szCs w:val="12"/>
                <w:color w:val="auto"/>
              </w:rPr>
              <w:t>Provision for credit losses</w:t>
            </w:r>
            <w:r>
              <w:rPr>
                <w:rFonts w:ascii="Arial" w:cs="Arial" w:eastAsia="Arial" w:hAnsi="Arial"/>
                <w:sz w:val="15"/>
                <w:szCs w:val="15"/>
                <w:color w:val="auto"/>
                <w:vertAlign w:val="superscript"/>
              </w:rPr>
              <w:t>(iii)</w:t>
            </w:r>
          </w:p>
        </w:tc>
        <w:tc>
          <w:tcPr>
            <w:tcW w:w="180" w:type="dxa"/>
            <w:vAlign w:val="bottom"/>
            <w:tcBorders>
              <w:bottom w:val="single" w:sz="8" w:color="auto"/>
            </w:tcBorders>
            <w:shd w:val="clear" w:color="auto" w:fill="DBE2E9"/>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DBE2E9"/>
          </w:tcPr>
          <w:p>
            <w:pPr>
              <w:jc w:val="center"/>
              <w:ind w:left="624"/>
              <w:spacing w:after="0"/>
              <w:rPr>
                <w:sz w:val="20"/>
                <w:szCs w:val="20"/>
                <w:color w:val="auto"/>
              </w:rPr>
            </w:pPr>
            <w:r>
              <w:rPr>
                <w:rFonts w:ascii="Arial" w:cs="Arial" w:eastAsia="Arial" w:hAnsi="Arial"/>
                <w:sz w:val="12"/>
                <w:szCs w:val="12"/>
                <w:color w:val="auto"/>
                <w:w w:val="99"/>
              </w:rPr>
              <w:t>2,435</w:t>
            </w:r>
          </w:p>
        </w:tc>
        <w:tc>
          <w:tcPr>
            <w:tcW w:w="80" w:type="dxa"/>
            <w:vAlign w:val="bottom"/>
            <w:tcBorders>
              <w:bottom w:val="single" w:sz="8" w:color="DBE2E9"/>
            </w:tcBorders>
            <w:shd w:val="clear" w:color="auto" w:fill="DBE2E9"/>
          </w:tcPr>
          <w:p>
            <w:pPr>
              <w:spacing w:after="0"/>
              <w:rPr>
                <w:sz w:val="16"/>
                <w:szCs w:val="16"/>
                <w:color w:val="auto"/>
              </w:rPr>
            </w:pPr>
          </w:p>
        </w:tc>
        <w:tc>
          <w:tcPr>
            <w:tcW w:w="12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rPr>
              <w:t>(985)</w:t>
            </w:r>
          </w:p>
        </w:tc>
        <w:tc>
          <w:tcPr>
            <w:tcW w:w="80" w:type="dxa"/>
            <w:vAlign w:val="bottom"/>
            <w:tcBorders>
              <w:bottom w:val="single" w:sz="8" w:color="DBE2E9"/>
            </w:tcBorders>
            <w:shd w:val="clear" w:color="auto" w:fill="DBE2E9"/>
          </w:tcPr>
          <w:p>
            <w:pPr>
              <w:spacing w:after="0"/>
              <w:rPr>
                <w:sz w:val="16"/>
                <w:szCs w:val="16"/>
                <w:color w:val="auto"/>
              </w:rPr>
            </w:pPr>
          </w:p>
        </w:tc>
        <w:tc>
          <w:tcPr>
            <w:tcW w:w="200" w:type="dxa"/>
            <w:vAlign w:val="bottom"/>
            <w:tcBorders>
              <w:bottom w:val="single" w:sz="8" w:color="auto"/>
            </w:tcBorders>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rPr>
              <w:t>818</w:t>
            </w:r>
          </w:p>
        </w:tc>
        <w:tc>
          <w:tcPr>
            <w:tcW w:w="80" w:type="dxa"/>
            <w:vAlign w:val="bottom"/>
            <w:tcBorders>
              <w:bottom w:val="single" w:sz="8" w:color="DBE2E9"/>
            </w:tcBorders>
            <w:shd w:val="clear" w:color="auto" w:fill="DBE2E9"/>
          </w:tcPr>
          <w:p>
            <w:pPr>
              <w:spacing w:after="0"/>
              <w:rPr>
                <w:sz w:val="16"/>
                <w:szCs w:val="16"/>
                <w:color w:val="auto"/>
              </w:rPr>
            </w:pPr>
          </w:p>
        </w:tc>
        <w:tc>
          <w:tcPr>
            <w:tcW w:w="200" w:type="dxa"/>
            <w:vAlign w:val="bottom"/>
            <w:tcBorders>
              <w:bottom w:val="single" w:sz="8" w:color="auto"/>
            </w:tcBorders>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DBE2E9"/>
          </w:tcPr>
          <w:p>
            <w:pPr>
              <w:jc w:val="right"/>
              <w:ind w:right="5"/>
              <w:spacing w:after="0"/>
              <w:rPr>
                <w:sz w:val="20"/>
                <w:szCs w:val="20"/>
                <w:color w:val="auto"/>
              </w:rPr>
            </w:pPr>
            <w:r>
              <w:rPr>
                <w:rFonts w:ascii="Arial" w:cs="Arial" w:eastAsia="Arial" w:hAnsi="Arial"/>
                <w:sz w:val="12"/>
                <w:szCs w:val="12"/>
                <w:color w:val="auto"/>
              </w:rPr>
              <w:t>52,743</w:t>
            </w:r>
          </w:p>
        </w:tc>
        <w:tc>
          <w:tcPr>
            <w:tcW w:w="60" w:type="dxa"/>
            <w:vAlign w:val="bottom"/>
            <w:tcBorders>
              <w:bottom w:val="single" w:sz="8" w:color="DBE2E9"/>
            </w:tcBorders>
            <w:shd w:val="clear" w:color="auto" w:fill="DBE2E9"/>
          </w:tcPr>
          <w:p>
            <w:pPr>
              <w:spacing w:after="0"/>
              <w:rPr>
                <w:sz w:val="16"/>
                <w:szCs w:val="16"/>
                <w:color w:val="auto"/>
              </w:rPr>
            </w:pPr>
          </w:p>
        </w:tc>
        <w:tc>
          <w:tcPr>
            <w:tcW w:w="280" w:type="dxa"/>
            <w:vAlign w:val="bottom"/>
            <w:tcBorders>
              <w:bottom w:val="single" w:sz="8" w:color="auto"/>
            </w:tcBorders>
            <w:shd w:val="clear" w:color="auto" w:fill="DBE2E9"/>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DBE2E9"/>
          </w:tcPr>
          <w:p>
            <w:pPr>
              <w:jc w:val="right"/>
              <w:ind w:right="4"/>
              <w:spacing w:after="0"/>
              <w:rPr>
                <w:sz w:val="20"/>
                <w:szCs w:val="20"/>
                <w:color w:val="auto"/>
              </w:rPr>
            </w:pPr>
            <w:r>
              <w:rPr>
                <w:rFonts w:ascii="Arial" w:cs="Arial" w:eastAsia="Arial" w:hAnsi="Arial"/>
                <w:sz w:val="12"/>
                <w:szCs w:val="12"/>
                <w:color w:val="auto"/>
              </w:rPr>
              <w:t>7,495</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 w:lineRule="exact"/>
        <w:rPr>
          <w:sz w:val="20"/>
          <w:szCs w:val="20"/>
          <w:color w:val="auto"/>
        </w:rPr>
      </w:pPr>
    </w:p>
    <w:p>
      <w:pPr>
        <w:ind w:left="320" w:hanging="220"/>
        <w:spacing w:after="0" w:line="244" w:lineRule="auto"/>
        <w:tabs>
          <w:tab w:leader="none" w:pos="333" w:val="left"/>
        </w:tabs>
        <w:numPr>
          <w:ilvl w:val="0"/>
          <w:numId w:val="11"/>
        </w:numPr>
        <w:rPr>
          <w:rFonts w:ascii="Arial" w:cs="Arial" w:eastAsia="Arial" w:hAnsi="Arial"/>
          <w:sz w:val="10"/>
          <w:szCs w:val="10"/>
          <w:color w:val="auto"/>
        </w:rPr>
      </w:pPr>
      <w:r>
        <w:rPr>
          <w:rFonts w:ascii="Arial" w:cs="Arial" w:eastAsia="Arial" w:hAnsi="Arial"/>
          <w:sz w:val="10"/>
          <w:szCs w:val="10"/>
          <w:color w:val="auto"/>
        </w:rPr>
        <w:t>Amounts reported as provision for loan losses for periods ending prior to June 30, 2025, were previously reported as provision for credit losses. The year ended December 31, 2025, included $42.4 million to establish an initial allowance for loan losses for loans purchased without credit deterioration (“non-PCD” loans) following the close of the CrossFirst acquisition.</w:t>
      </w:r>
    </w:p>
    <w:p>
      <w:pPr>
        <w:ind w:left="320" w:hanging="220"/>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The year ended December 31, 2025, included a total of $7.2 million to establish an initial allowance for unfunded commitments following the close of the CrossFirst acquisition and adoption of a new CECL model.</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Net charge-offs decreased by $0.1 million when compared to the third quarter of 2025, and increased by $2.9 million when compared with the fourth quarter of 2024. Net charge-offs during the year ended December 31, 2025, included $36.2 million related to PCD loans assumed in the CrossFirst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Provision expense recorded in the fourth quarter of 2025 included $4.5 million for PCD loans, driven by specific allocations/individual reserves.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Deposits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Busey’s deposits were comprised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4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12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2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7"/>
                <w:szCs w:val="7"/>
                <w:color w:val="auto"/>
              </w:rPr>
            </w:pPr>
          </w:p>
        </w:tc>
        <w:tc>
          <w:tcPr>
            <w:tcW w:w="1060" w:type="dxa"/>
            <w:vAlign w:val="bottom"/>
          </w:tcPr>
          <w:p>
            <w:pPr>
              <w:jc w:val="right"/>
              <w:ind w:right="263"/>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7400" w:type="dxa"/>
            <w:vAlign w:val="bottom"/>
            <w:tcBorders>
              <w:bottom w:val="single" w:sz="8" w:color="E0E7ED"/>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0"/>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DEPOSITS</w:t>
            </w:r>
          </w:p>
        </w:tc>
        <w:tc>
          <w:tcPr>
            <w:tcW w:w="20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Noninterest-bearing deposits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3,659,421</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5"/>
              <w:spacing w:after="0"/>
              <w:rPr>
                <w:sz w:val="20"/>
                <w:szCs w:val="20"/>
                <w:color w:val="auto"/>
              </w:rPr>
            </w:pPr>
            <w:r>
              <w:rPr>
                <w:rFonts w:ascii="Arial" w:cs="Arial" w:eastAsia="Arial" w:hAnsi="Arial"/>
                <w:sz w:val="12"/>
                <w:szCs w:val="12"/>
                <w:color w:val="auto"/>
              </w:rPr>
              <w:t>3,554,936</w:t>
            </w:r>
          </w:p>
        </w:tc>
        <w:tc>
          <w:tcPr>
            <w:tcW w:w="6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2,719,907</w:t>
            </w:r>
          </w:p>
        </w:tc>
        <w:tc>
          <w:tcPr>
            <w:tcW w:w="0" w:type="dxa"/>
            <w:vAlign w:val="bottom"/>
          </w:tcPr>
          <w:p>
            <w:pPr>
              <w:spacing w:after="0"/>
              <w:rPr>
                <w:sz w:val="1"/>
                <w:szCs w:val="1"/>
                <w:color w:val="auto"/>
              </w:rPr>
            </w:pP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Interest-bearing transaction deposits</w:t>
            </w:r>
          </w:p>
        </w:tc>
        <w:tc>
          <w:tcPr>
            <w:tcW w:w="20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3,119,475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5"/>
              <w:spacing w:after="0"/>
              <w:rPr>
                <w:sz w:val="20"/>
                <w:szCs w:val="20"/>
                <w:color w:val="auto"/>
              </w:rPr>
            </w:pPr>
            <w:r>
              <w:rPr>
                <w:rFonts w:ascii="Arial" w:cs="Arial" w:eastAsia="Arial" w:hAnsi="Arial"/>
                <w:sz w:val="12"/>
                <w:szCs w:val="12"/>
                <w:color w:val="auto"/>
              </w:rPr>
              <w:t>3,171,255</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2,423,237</w:t>
            </w:r>
          </w:p>
        </w:tc>
        <w:tc>
          <w:tcPr>
            <w:tcW w:w="0" w:type="dxa"/>
            <w:vAlign w:val="bottom"/>
          </w:tcPr>
          <w:p>
            <w:pPr>
              <w:spacing w:after="0"/>
              <w:rPr>
                <w:sz w:val="1"/>
                <w:szCs w:val="1"/>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Savings deposits and money market deposits</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5,697,172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Arial" w:cs="Arial" w:eastAsia="Arial" w:hAnsi="Arial"/>
                <w:sz w:val="12"/>
                <w:szCs w:val="12"/>
                <w:color w:val="auto"/>
              </w:rPr>
              <w:t>5,910,183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3,348,711</w:t>
            </w:r>
          </w:p>
        </w:tc>
        <w:tc>
          <w:tcPr>
            <w:tcW w:w="0" w:type="dxa"/>
            <w:vAlign w:val="bottom"/>
          </w:tcPr>
          <w:p>
            <w:pPr>
              <w:spacing w:after="0"/>
              <w:rPr>
                <w:sz w:val="1"/>
                <w:szCs w:val="1"/>
                <w:color w:val="auto"/>
              </w:rPr>
            </w:pPr>
          </w:p>
        </w:tc>
      </w:tr>
      <w:tr>
        <w:trPr>
          <w:trHeight w:val="180"/>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Time deposits</w:t>
            </w:r>
          </w:p>
        </w:tc>
        <w:tc>
          <w:tcPr>
            <w:tcW w:w="20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2,429,890</w:t>
            </w:r>
          </w:p>
        </w:tc>
        <w:tc>
          <w:tcPr>
            <w:tcW w:w="8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ind w:right="5"/>
              <w:spacing w:after="0"/>
              <w:rPr>
                <w:sz w:val="20"/>
                <w:szCs w:val="20"/>
                <w:color w:val="auto"/>
              </w:rPr>
            </w:pPr>
            <w:r>
              <w:rPr>
                <w:rFonts w:ascii="Arial" w:cs="Arial" w:eastAsia="Arial" w:hAnsi="Arial"/>
                <w:sz w:val="12"/>
                <w:szCs w:val="12"/>
                <w:color w:val="auto"/>
              </w:rPr>
              <w:t>2,433,788</w:t>
            </w:r>
          </w:p>
        </w:tc>
        <w:tc>
          <w:tcPr>
            <w:tcW w:w="6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1,490,635</w:t>
            </w: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2"/>
                <w:szCs w:val="12"/>
                <w:color w:val="auto"/>
              </w:rPr>
              <w:t>Total deposits</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14,905,958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15,070,162</w:t>
            </w: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9,982,490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In the fourth quarter of 2025, Busey continued executing on its strategic targeted reduction of high-cost, non-relationship deposits, resulting in the intentional runoff of $180.0 million of deposits, including $55.0 million of brokered deposits and $125.0 million of corporate deposits, bearing a weighted average cost of 4.16%. Excluding this targeted runoff, deposits grew by $15.8 million during the fourth quarter of 2025 despite seasonal outflows of $242.4 million of public funds, which we expect to recover through seasonal inflows of public funds in the second and third quarters of 2026.</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Core deposits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accounted for 93.7% of total deposits as of December 31, 2025. The quality of our core deposit franchise is a critical value driver of our institution. We estimated that 37% of our deposits were uninsured and uncollateralized</w:t>
      </w:r>
      <w:r>
        <w:rPr>
          <w:rFonts w:ascii="Arial" w:cs="Arial" w:eastAsia="Arial" w:hAnsi="Arial"/>
          <w:sz w:val="15"/>
          <w:szCs w:val="15"/>
          <w:color w:val="auto"/>
          <w:vertAlign w:val="superscript"/>
        </w:rPr>
        <w:t>5</w:t>
      </w:r>
      <w:r>
        <w:rPr>
          <w:rFonts w:ascii="Arial" w:cs="Arial" w:eastAsia="Arial" w:hAnsi="Arial"/>
          <w:sz w:val="12"/>
          <w:szCs w:val="12"/>
          <w:color w:val="auto"/>
        </w:rPr>
        <w:t xml:space="preserve"> as of December 31, 2025, and we have ample on- and off-balance sheet liquidity to manage deposit fluctuations and the liquidity needs of our customers.</w:t>
      </w:r>
    </w:p>
    <w:p>
      <w:pPr>
        <w:spacing w:after="0" w:line="51"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We have executed various deposit campaigns to attract term funding and savings accounts at a lower rate than our marginal cost of funds. New certificate of deposit production in the fourth quarter of 2025 had a weighted average term of 6.6 months at a rate of 3.64%, which was 27 basis points below our average marginal wholesale equivalent-term funding cost during the quarter.</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12</w:t>
      </w:r>
    </w:p>
    <w:p>
      <w:pPr>
        <w:sectPr>
          <w:pgSz w:w="11900" w:h="16838" w:orient="portrait"/>
          <w:cols w:equalWidth="0" w:num="1">
            <w:col w:w="11300"/>
          </w:cols>
          <w:pgMar w:left="300" w:top="928"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Liquidity</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As of December 31, 2025, Busey’s available sources of on- and off-balance sheet liquidity</w:t>
      </w:r>
      <w:r>
        <w:rPr>
          <w:rFonts w:ascii="Arial" w:cs="Arial" w:eastAsia="Arial" w:hAnsi="Arial"/>
          <w:sz w:val="15"/>
          <w:szCs w:val="15"/>
          <w:color w:val="auto"/>
          <w:vertAlign w:val="superscript"/>
        </w:rPr>
        <w:t>6</w:t>
      </w:r>
      <w:r>
        <w:rPr>
          <w:rFonts w:ascii="Arial" w:cs="Arial" w:eastAsia="Arial" w:hAnsi="Arial"/>
          <w:sz w:val="12"/>
          <w:szCs w:val="12"/>
          <w:color w:val="auto"/>
        </w:rPr>
        <w:t xml:space="preserve"> totaled $7.68 billion. Furthermore, Busey’s balance sheet liquidity profile continues to be aided by the cash flows expected from Busey’s relatively short-duration securities portfolio. Those cash flows were approximately $150.0 million in the fourth quarter of 2025. Cash flows from our securities portfolio are expected to be approximately $347.1 million for 2026, with a current book yield of 2.92%.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Strength</w:t>
      </w:r>
    </w:p>
    <w:p>
      <w:pPr>
        <w:spacing w:after="0" w:line="129" w:lineRule="exact"/>
        <w:rPr>
          <w:sz w:val="20"/>
          <w:szCs w:val="20"/>
          <w:color w:val="auto"/>
        </w:rPr>
      </w:pPr>
    </w:p>
    <w:p>
      <w:pPr>
        <w:jc w:val="both"/>
        <w:spacing w:after="0" w:line="222" w:lineRule="auto"/>
        <w:rPr>
          <w:sz w:val="20"/>
          <w:szCs w:val="20"/>
          <w:color w:val="auto"/>
        </w:rPr>
      </w:pPr>
      <w:r>
        <w:rPr>
          <w:rFonts w:ascii="Arial" w:cs="Arial" w:eastAsia="Arial" w:hAnsi="Arial"/>
          <w:sz w:val="12"/>
          <w:szCs w:val="12"/>
          <w:color w:val="auto"/>
        </w:rPr>
        <w:t>The strength of our balance sheet is also reflected in our capital foundation. Our capital ratios remain strong, and as of December 31, 2025, our estimated regulatory capital ratios</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continued to provide a buffer of more than $830 million above levels required in order to refrain from restrictions on dividends, equity repurchases, and discretionary bonus payments. The following table presents Busey’s capital estimates</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and tangible equity position: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8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As of</w:t>
            </w: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8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60" w:type="dxa"/>
            <w:vAlign w:val="bottom"/>
          </w:tcPr>
          <w:p>
            <w:pPr>
              <w:spacing w:after="0"/>
              <w:rPr>
                <w:sz w:val="7"/>
                <w:szCs w:val="7"/>
                <w:color w:val="auto"/>
              </w:rPr>
            </w:pPr>
          </w:p>
        </w:tc>
        <w:tc>
          <w:tcPr>
            <w:tcW w:w="1260" w:type="dxa"/>
            <w:vAlign w:val="bottom"/>
            <w:gridSpan w:val="2"/>
          </w:tcPr>
          <w:p>
            <w:pPr>
              <w:ind w:left="160"/>
              <w:spacing w:after="0" w:line="88" w:lineRule="exact"/>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7"/>
                <w:szCs w:val="7"/>
                <w:color w:val="auto"/>
              </w:rPr>
            </w:pPr>
          </w:p>
        </w:tc>
        <w:tc>
          <w:tcPr>
            <w:tcW w:w="1280" w:type="dxa"/>
            <w:vAlign w:val="bottom"/>
            <w:gridSpan w:val="2"/>
          </w:tcPr>
          <w:p>
            <w:pPr>
              <w:jc w:val="center"/>
              <w:ind w:right="30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60" w:type="dxa"/>
            <w:vAlign w:val="bottom"/>
          </w:tcPr>
          <w:p>
            <w:pPr>
              <w:spacing w:after="0"/>
              <w:rPr>
                <w:sz w:val="7"/>
                <w:szCs w:val="7"/>
                <w:color w:val="auto"/>
              </w:rPr>
            </w:pPr>
          </w:p>
        </w:tc>
        <w:tc>
          <w:tcPr>
            <w:tcW w:w="1200" w:type="dxa"/>
            <w:vAlign w:val="bottom"/>
          </w:tcPr>
          <w:p>
            <w:pPr>
              <w:jc w:val="right"/>
              <w:ind w:right="363"/>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E0E7ED"/>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185"/>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E0E7ED"/>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6800" w:type="dxa"/>
            <w:vAlign w:val="bottom"/>
            <w:shd w:val="clear" w:color="auto" w:fill="E0E7ED"/>
          </w:tcPr>
          <w:p>
            <w:pPr>
              <w:spacing w:after="0"/>
              <w:rPr>
                <w:sz w:val="20"/>
                <w:szCs w:val="20"/>
                <w:color w:val="auto"/>
              </w:rPr>
            </w:pPr>
            <w:r>
              <w:rPr>
                <w:rFonts w:ascii="Arial" w:cs="Arial" w:eastAsia="Arial" w:hAnsi="Arial"/>
                <w:sz w:val="12"/>
                <w:szCs w:val="12"/>
                <w:color w:val="auto"/>
              </w:rPr>
              <w:t>Common equity Tier 1 capital to risk weighted assets</w:t>
            </w:r>
            <w:r>
              <w:rPr>
                <w:rFonts w:ascii="Arial" w:cs="Arial" w:eastAsia="Arial" w:hAnsi="Arial"/>
                <w:sz w:val="7"/>
                <w:szCs w:val="7"/>
                <w:color w:val="auto"/>
              </w:rPr>
              <w:t>(i)</w:t>
            </w:r>
          </w:p>
        </w:tc>
        <w:tc>
          <w:tcPr>
            <w:tcW w:w="260" w:type="dxa"/>
            <w:vAlign w:val="bottom"/>
            <w:shd w:val="clear" w:color="auto" w:fill="E0E7ED"/>
          </w:tcPr>
          <w:p>
            <w:pPr>
              <w:spacing w:after="0"/>
              <w:rPr>
                <w:sz w:val="14"/>
                <w:szCs w:val="14"/>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12.44 %</w:t>
            </w:r>
          </w:p>
        </w:tc>
        <w:tc>
          <w:tcPr>
            <w:tcW w:w="6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12.33 %</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14.10 %</w:t>
            </w:r>
          </w:p>
        </w:tc>
        <w:tc>
          <w:tcPr>
            <w:tcW w:w="0" w:type="dxa"/>
            <w:vAlign w:val="bottom"/>
          </w:tcPr>
          <w:p>
            <w:pPr>
              <w:spacing w:after="0"/>
              <w:rPr>
                <w:sz w:val="1"/>
                <w:szCs w:val="1"/>
                <w:color w:val="auto"/>
              </w:rPr>
            </w:pPr>
          </w:p>
        </w:tc>
      </w:tr>
      <w:tr>
        <w:trPr>
          <w:trHeight w:val="172"/>
        </w:trPr>
        <w:tc>
          <w:tcPr>
            <w:tcW w:w="6800" w:type="dxa"/>
            <w:vAlign w:val="bottom"/>
          </w:tcPr>
          <w:p>
            <w:pPr>
              <w:spacing w:after="0"/>
              <w:rPr>
                <w:sz w:val="20"/>
                <w:szCs w:val="20"/>
                <w:color w:val="auto"/>
              </w:rPr>
            </w:pPr>
            <w:r>
              <w:rPr>
                <w:rFonts w:ascii="Arial" w:cs="Arial" w:eastAsia="Arial" w:hAnsi="Arial"/>
                <w:sz w:val="12"/>
                <w:szCs w:val="12"/>
                <w:color w:val="auto"/>
              </w:rPr>
              <w:t>Total capital to risk weighted assets</w:t>
            </w:r>
            <w:r>
              <w:rPr>
                <w:rFonts w:ascii="Arial" w:cs="Arial" w:eastAsia="Arial" w:hAnsi="Arial"/>
                <w:sz w:val="7"/>
                <w:szCs w:val="7"/>
                <w:color w:val="auto"/>
              </w:rPr>
              <w:t>(i)</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15.93 %</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15.89 %</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18.53 %</w:t>
            </w:r>
          </w:p>
        </w:tc>
        <w:tc>
          <w:tcPr>
            <w:tcW w:w="0" w:type="dxa"/>
            <w:vAlign w:val="bottom"/>
          </w:tcPr>
          <w:p>
            <w:pPr>
              <w:spacing w:after="0"/>
              <w:rPr>
                <w:sz w:val="1"/>
                <w:szCs w:val="1"/>
                <w:color w:val="auto"/>
              </w:rPr>
            </w:pPr>
          </w:p>
        </w:tc>
      </w:tr>
      <w:tr>
        <w:trPr>
          <w:trHeight w:val="188"/>
        </w:trPr>
        <w:tc>
          <w:tcPr>
            <w:tcW w:w="6800" w:type="dxa"/>
            <w:vAlign w:val="bottom"/>
            <w:shd w:val="clear" w:color="auto" w:fill="E0E7ED"/>
          </w:tcPr>
          <w:p>
            <w:pPr>
              <w:spacing w:after="0"/>
              <w:rPr>
                <w:sz w:val="20"/>
                <w:szCs w:val="20"/>
                <w:color w:val="auto"/>
              </w:rPr>
            </w:pPr>
            <w:r>
              <w:rPr>
                <w:rFonts w:ascii="Arial" w:cs="Arial" w:eastAsia="Arial" w:hAnsi="Arial"/>
                <w:sz w:val="12"/>
                <w:szCs w:val="12"/>
                <w:color w:val="auto"/>
              </w:rPr>
              <w:t>Tangible common equity</w:t>
            </w:r>
            <w:r>
              <w:rPr>
                <w:rFonts w:ascii="Arial" w:cs="Arial" w:eastAsia="Arial" w:hAnsi="Arial"/>
                <w:sz w:val="7"/>
                <w:szCs w:val="7"/>
                <w:color w:val="auto"/>
              </w:rPr>
              <w:t>(ii)</w:t>
            </w: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1,773,056</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5"/>
              <w:spacing w:after="0"/>
              <w:rPr>
                <w:sz w:val="20"/>
                <w:szCs w:val="20"/>
                <w:color w:val="auto"/>
              </w:rPr>
            </w:pPr>
            <w:r>
              <w:rPr>
                <w:rFonts w:ascii="Arial" w:cs="Arial" w:eastAsia="Arial" w:hAnsi="Arial"/>
                <w:sz w:val="12"/>
                <w:szCs w:val="12"/>
                <w:color w:val="auto"/>
              </w:rPr>
              <w:t>1,748,435</w:t>
            </w: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1,017,294</w:t>
            </w:r>
          </w:p>
        </w:tc>
        <w:tc>
          <w:tcPr>
            <w:tcW w:w="0" w:type="dxa"/>
            <w:vAlign w:val="bottom"/>
          </w:tcPr>
          <w:p>
            <w:pPr>
              <w:spacing w:after="0"/>
              <w:rPr>
                <w:sz w:val="1"/>
                <w:szCs w:val="1"/>
                <w:color w:val="auto"/>
              </w:rPr>
            </w:pPr>
          </w:p>
        </w:tc>
      </w:tr>
      <w:tr>
        <w:trPr>
          <w:trHeight w:val="172"/>
        </w:trPr>
        <w:tc>
          <w:tcPr>
            <w:tcW w:w="6800" w:type="dxa"/>
            <w:vAlign w:val="bottom"/>
          </w:tcPr>
          <w:p>
            <w:pPr>
              <w:spacing w:after="0"/>
              <w:rPr>
                <w:sz w:val="20"/>
                <w:szCs w:val="20"/>
                <w:color w:val="auto"/>
              </w:rPr>
            </w:pPr>
            <w:r>
              <w:rPr>
                <w:rFonts w:ascii="Arial" w:cs="Arial" w:eastAsia="Arial" w:hAnsi="Arial"/>
                <w:sz w:val="12"/>
                <w:szCs w:val="12"/>
                <w:color w:val="auto"/>
              </w:rPr>
              <w:t>Tangible common equity to tangible assets</w:t>
            </w:r>
            <w:r>
              <w:rPr>
                <w:rFonts w:ascii="Arial" w:cs="Arial" w:eastAsia="Arial" w:hAnsi="Arial"/>
                <w:sz w:val="7"/>
                <w:szCs w:val="7"/>
                <w:color w:val="auto"/>
              </w:rPr>
              <w:t>(ii)</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10.06 %</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9.88 %</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8.71 %</w:t>
            </w:r>
          </w:p>
        </w:tc>
        <w:tc>
          <w:tcPr>
            <w:tcW w:w="0" w:type="dxa"/>
            <w:vAlign w:val="bottom"/>
          </w:tcPr>
          <w:p>
            <w:pPr>
              <w:spacing w:after="0"/>
              <w:rPr>
                <w:sz w:val="1"/>
                <w:szCs w:val="1"/>
                <w:color w:val="auto"/>
              </w:rPr>
            </w:pPr>
          </w:p>
        </w:tc>
      </w:tr>
      <w:tr>
        <w:trPr>
          <w:trHeight w:val="188"/>
        </w:trPr>
        <w:tc>
          <w:tcPr>
            <w:tcW w:w="6800" w:type="dxa"/>
            <w:vAlign w:val="bottom"/>
            <w:shd w:val="clear" w:color="auto" w:fill="E0E7ED"/>
          </w:tcPr>
          <w:p>
            <w:pPr>
              <w:spacing w:after="0"/>
              <w:rPr>
                <w:sz w:val="20"/>
                <w:szCs w:val="20"/>
                <w:color w:val="auto"/>
              </w:rPr>
            </w:pPr>
            <w:r>
              <w:rPr>
                <w:rFonts w:ascii="Arial" w:cs="Arial" w:eastAsia="Arial" w:hAnsi="Arial"/>
                <w:sz w:val="12"/>
                <w:szCs w:val="12"/>
                <w:color w:val="auto"/>
              </w:rPr>
              <w:t>Tangible book value per common share</w:t>
            </w:r>
            <w:r>
              <w:rPr>
                <w:rFonts w:ascii="Arial" w:cs="Arial" w:eastAsia="Arial" w:hAnsi="Arial"/>
                <w:sz w:val="7"/>
                <w:szCs w:val="7"/>
                <w:color w:val="auto"/>
              </w:rPr>
              <w:t>(ii)</w:t>
            </w: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20.23</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5"/>
              <w:spacing w:after="0"/>
              <w:rPr>
                <w:sz w:val="20"/>
                <w:szCs w:val="20"/>
                <w:color w:val="auto"/>
              </w:rPr>
            </w:pPr>
            <w:r>
              <w:rPr>
                <w:rFonts w:ascii="Arial" w:cs="Arial" w:eastAsia="Arial" w:hAnsi="Arial"/>
                <w:sz w:val="12"/>
                <w:szCs w:val="12"/>
                <w:color w:val="auto"/>
              </w:rPr>
              <w:t>19.69</w:t>
            </w: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17.88</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1" w:lineRule="exact"/>
        <w:rPr>
          <w:sz w:val="20"/>
          <w:szCs w:val="20"/>
          <w:color w:val="auto"/>
        </w:rPr>
      </w:pPr>
    </w:p>
    <w:p>
      <w:pPr>
        <w:ind w:left="320" w:hanging="220"/>
        <w:spacing w:after="0"/>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Capital amounts and ratios as of December 31, 2025, are not yet finalized and are subject to change.</w:t>
      </w:r>
    </w:p>
    <w:p>
      <w:pPr>
        <w:spacing w:after="0" w:line="11" w:lineRule="exact"/>
        <w:rPr>
          <w:rFonts w:ascii="Arial" w:cs="Arial" w:eastAsia="Arial" w:hAnsi="Arial"/>
          <w:sz w:val="10"/>
          <w:szCs w:val="10"/>
          <w:color w:val="auto"/>
        </w:rPr>
      </w:pPr>
    </w:p>
    <w:p>
      <w:pPr>
        <w:ind w:left="320" w:hanging="220"/>
        <w:spacing w:after="0"/>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For a reconciliation of non-GAAP measures to the most directly comparable GAAP financial measures, see “</w:t>
      </w:r>
      <w:r>
        <w:rPr>
          <w:rFonts w:ascii="Arial" w:cs="Arial" w:eastAsia="Arial" w:hAnsi="Arial"/>
          <w:sz w:val="10"/>
          <w:szCs w:val="10"/>
          <w:u w:val="single" w:color="auto"/>
          <w:color w:val="0000FF"/>
        </w:rPr>
        <w:t>Non-GAAP Financial Information</w:t>
      </w:r>
      <w:r>
        <w:rPr>
          <w:rFonts w:ascii="Arial" w:cs="Arial" w:eastAsia="Arial" w:hAnsi="Arial"/>
          <w:sz w:val="10"/>
          <w:szCs w:val="10"/>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Dividends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Busey's strong capital levels, coupled with its earnings, have allowed the Company to provide a steady return to its stockholders through dividends. During the fourth quarter of 2025, Busey paid dividends of $0.25 per share on its outstanding shares of common stock, $20.00 per share on its outstanding shares of Series A Non-Cumulative Perpetual Preferred Stock, which was issued in connection with the CrossFirst acquisition, and $0.515625 per outstanding depositary share, each representing a 1/40th interest in a share of Busey’s 8.25% Fixed-Rate Series B Non-Cumulative Perpetual Preferred Stock.</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On January 30, 2026, Busey will pay a cash dividend of $0.26 per common share outstanding to stockholders of record as of January 23, 2026, which represents a 4% increase from the previous quarterly dividend of $0.25 per share. Busey has consistently paid dividends to its common stockholders since the bank holding company was organized in 1980.</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Share Repurchases</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During the fourth quarter of 2025, under its stock repurchase plan, Busey purchased 1,251,100 shares of its common stock at a weighted average price of $23.84 per share for a total of $29.8 million. For the full year 2025, Busey purchased 3,063,100 shares of its common stock at a weighted average price of $22.81 per share for a total of $69.9 million. As of December 31, 2025, Busey had 4,856,175 shares remaining available for repurchase under the plan.</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EARNINGS INVESTOR PRESENTATION</w:t>
      </w:r>
    </w:p>
    <w:p>
      <w:pPr>
        <w:spacing w:after="0" w:line="96" w:lineRule="exact"/>
        <w:rPr>
          <w:sz w:val="20"/>
          <w:szCs w:val="20"/>
          <w:color w:val="auto"/>
        </w:rPr>
      </w:pPr>
    </w:p>
    <w:p>
      <w:pPr>
        <w:jc w:val="both"/>
        <w:ind w:right="20"/>
        <w:spacing w:after="0" w:line="165" w:lineRule="exact"/>
        <w:rPr>
          <w:sz w:val="20"/>
          <w:szCs w:val="20"/>
          <w:color w:val="auto"/>
        </w:rPr>
      </w:pPr>
      <w:r>
        <w:rPr>
          <w:rFonts w:ascii="Arial" w:cs="Arial" w:eastAsia="Arial" w:hAnsi="Arial"/>
          <w:sz w:val="12"/>
          <w:szCs w:val="12"/>
          <w:color w:val="auto"/>
        </w:rPr>
        <w:t xml:space="preserve">For additional information on Busey’s financial condition and operating results, please refer to our </w:t>
      </w:r>
      <w:r>
        <w:rPr>
          <w:rFonts w:ascii="Arial" w:cs="Arial" w:eastAsia="Arial" w:hAnsi="Arial"/>
          <w:sz w:val="12"/>
          <w:szCs w:val="12"/>
          <w:b w:val="1"/>
          <w:bCs w:val="1"/>
          <w:i w:val="1"/>
          <w:iCs w:val="1"/>
          <w:color w:val="auto"/>
        </w:rPr>
        <w:t>Q4 2025 Earnings Investor Presentation</w:t>
      </w:r>
      <w:r>
        <w:rPr>
          <w:rFonts w:ascii="Arial" w:cs="Arial" w:eastAsia="Arial" w:hAnsi="Arial"/>
          <w:sz w:val="12"/>
          <w:szCs w:val="12"/>
          <w:color w:val="auto"/>
        </w:rPr>
        <w:t xml:space="preserve"> furnished via Form 8</w:t>
      </w:r>
      <w:r>
        <w:rPr>
          <w:rFonts w:ascii="MS PGothic" w:cs="MS PGothic" w:eastAsia="MS PGothic" w:hAnsi="MS PGothic"/>
          <w:sz w:val="12"/>
          <w:szCs w:val="12"/>
          <w:color w:val="auto"/>
        </w:rPr>
        <w:t>‑</w:t>
      </w:r>
      <w:r>
        <w:rPr>
          <w:rFonts w:ascii="Arial" w:cs="Arial" w:eastAsia="Arial" w:hAnsi="Arial"/>
          <w:sz w:val="12"/>
          <w:szCs w:val="12"/>
          <w:color w:val="auto"/>
        </w:rPr>
        <w:t>K on January 27, 2026, in connection with this earnings release.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PROFILE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2025, First Busey Corporation (Nasdaq: BUSE) was an $18.10 billion financial holding company headquartered in Leawood, Kansas.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13</w:t>
      </w:r>
    </w:p>
    <w:p>
      <w:pPr>
        <w:sectPr>
          <w:pgSz w:w="11900" w:h="16838" w:orient="portrait"/>
          <w:cols w:equalWidth="0" w:num="1">
            <w:col w:w="11300"/>
          </w:cols>
          <w:pgMar w:left="300" w:top="912" w:right="299" w:bottom="1440" w:gutter="0" w:footer="0" w:header="0"/>
        </w:sectPr>
      </w:pPr>
    </w:p>
    <w:bookmarkStart w:id="17" w:name="page18"/>
    <w:bookmarkEnd w:id="17"/>
    <w:p>
      <w:pPr>
        <w:jc w:val="both"/>
        <w:spacing w:after="0" w:line="26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Busey Bank, a wholly-owned bank subsidiary of First Busey Corporation headquartered in Champaign, Illinois, had total assets of $18.05 billion as of December 31, 2025. Busey Bank currently has 79 banking centers, with 21 in central Illinois markets, 17 in suburban Chicago markets, 20 in the St. Louis Metropolitan Statistical Area, four in the Dallas-Fort Worth Metropolitan Statistical Area, three in the Kansas City Metropolitan Statistical Area, three in southwest Florida, three in Oklahoma, three in Colorado, two in Arizona, one in Indianapolis, Indiana, one in Wichita, Kansas, and one in Clayton, New Mexico. More information about Busey Bank can be found at busey.com.</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Through Busey’s Wealth Management division, the Company provides a full range of asset management, investment, brokerage, fiduciary, philanthropic advisory, tax preparation, and farm management services to individuals, businesses, and foundations. Assets under care totaled $15.66 billion as of December 31, 2025. More information about Busey’s Wealth Management services can be found at busey.com/wealth-management.</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Busey Bank’s wholly-owned subsidiary, FirsTech, Inc. (“FirsTech”) specializes in the evolving financial technology needs of small and medium-sized businesses, highly regulated enterprise industries, and financial institutions. FirsTech provides comprehensive and innovative payment technology solutions, including online, mobile, and voice-recognition bill payments; money and data movement; merchant services; direct debit services; lockbox remittance processing for payments made by mail; and walk-in payments at retail agents. Additionally, FirsTech simplifies client workflows through integrations enabling support with billing, reconciliation, bill reminders, and treasury services. More information about FirsTech can be found at firstechpayments.com.</w:t>
      </w:r>
    </w:p>
    <w:p>
      <w:pPr>
        <w:spacing w:after="0" w:line="108"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 xml:space="preserve">For the fourth consecutive year, Busey was named among </w:t>
      </w:r>
      <w:r>
        <w:rPr>
          <w:rFonts w:ascii="Arial" w:cs="Arial" w:eastAsia="Arial" w:hAnsi="Arial"/>
          <w:sz w:val="12"/>
          <w:szCs w:val="12"/>
          <w:i w:val="1"/>
          <w:iCs w:val="1"/>
          <w:color w:val="auto"/>
        </w:rPr>
        <w:t>Forbes</w:t>
      </w:r>
      <w:r>
        <w:rPr>
          <w:rFonts w:ascii="Arial" w:cs="Arial" w:eastAsia="Arial" w:hAnsi="Arial"/>
          <w:sz w:val="12"/>
          <w:szCs w:val="12"/>
          <w:color w:val="auto"/>
        </w:rPr>
        <w:t xml:space="preserve">’ 2025’s America’s Best Banks. In 2025, </w:t>
      </w:r>
      <w:r>
        <w:rPr>
          <w:rFonts w:ascii="Arial" w:cs="Arial" w:eastAsia="Arial" w:hAnsi="Arial"/>
          <w:sz w:val="12"/>
          <w:szCs w:val="12"/>
          <w:i w:val="1"/>
          <w:iCs w:val="1"/>
          <w:color w:val="auto"/>
        </w:rPr>
        <w:t>Forbes</w:t>
      </w:r>
      <w:r>
        <w:rPr>
          <w:rFonts w:ascii="Arial" w:cs="Arial" w:eastAsia="Arial" w:hAnsi="Arial"/>
          <w:sz w:val="12"/>
          <w:szCs w:val="12"/>
          <w:color w:val="auto"/>
        </w:rPr>
        <w:t xml:space="preserve"> also recognized Busey as a Best-in-State Bank, based on rankings of customer service, quality of financial advice, fee structures, ease of digital services, accessing help at branch locations and the degree of trust inspired. Busey was also named among the 2025 Best Banks to Work For by </w:t>
      </w:r>
      <w:r>
        <w:rPr>
          <w:rFonts w:ascii="Arial" w:cs="Arial" w:eastAsia="Arial" w:hAnsi="Arial"/>
          <w:sz w:val="12"/>
          <w:szCs w:val="12"/>
          <w:i w:val="1"/>
          <w:iCs w:val="1"/>
          <w:color w:val="auto"/>
        </w:rPr>
        <w:t>American Banker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w:t>
      </w:r>
      <w:r>
        <w:rPr>
          <w:rFonts w:ascii="Arial" w:cs="Arial" w:eastAsia="Arial" w:hAnsi="Arial"/>
          <w:sz w:val="12"/>
          <w:szCs w:val="12"/>
          <w:color w:val="auto"/>
        </w:rPr>
        <w:t>the 2025 Best Places to Work in Money Management by</w:t>
      </w:r>
      <w:r>
        <w:rPr>
          <w:rFonts w:ascii="Arial" w:cs="Arial" w:eastAsia="Arial" w:hAnsi="Arial"/>
          <w:sz w:val="12"/>
          <w:szCs w:val="12"/>
          <w:i w:val="1"/>
          <w:iCs w:val="1"/>
          <w:color w:val="auto"/>
        </w:rPr>
        <w:t xml:space="preserve"> Pensions and Investments. </w:t>
      </w:r>
      <w:r>
        <w:rPr>
          <w:rFonts w:ascii="Arial" w:cs="Arial" w:eastAsia="Arial" w:hAnsi="Arial"/>
          <w:sz w:val="12"/>
          <w:szCs w:val="12"/>
          <w:color w:val="auto"/>
        </w:rPr>
        <w:t>We are honored to be consistently recognized as an outstanding financial services organization with an engaged culture of</w:t>
      </w:r>
      <w:r>
        <w:rPr>
          <w:rFonts w:ascii="Arial" w:cs="Arial" w:eastAsia="Arial" w:hAnsi="Arial"/>
          <w:sz w:val="12"/>
          <w:szCs w:val="12"/>
          <w:i w:val="1"/>
          <w:iCs w:val="1"/>
          <w:color w:val="auto"/>
        </w:rPr>
        <w:t xml:space="preserve"> </w:t>
      </w:r>
      <w:r>
        <w:rPr>
          <w:rFonts w:ascii="Arial" w:cs="Arial" w:eastAsia="Arial" w:hAnsi="Arial"/>
          <w:sz w:val="12"/>
          <w:szCs w:val="12"/>
          <w:color w:val="auto"/>
        </w:rPr>
        <w:t>integrity and commitment to community development.</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14</w:t>
      </w:r>
    </w:p>
    <w:p>
      <w:pPr>
        <w:sectPr>
          <w:pgSz w:w="11900" w:h="16838" w:orient="portrait"/>
          <w:cols w:equalWidth="0" w:num="1">
            <w:col w:w="11300"/>
          </w:cols>
          <w:pgMar w:left="300" w:top="910"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NON-GAAP FINANCIAL INFORMATION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This earnings release contains certain financial information determined by methods other than GAAP. Management uses these non-GAAP measures, together with the related GAAP measures, in analysis of Busey’s performance and in making business decisions, as well as for comparison to Busey’s peers. Busey believes the adjusted measures are useful for investors and management to understand the effects of certain non-core and non-recurring items and provide additional perspective on Busey’s performance over time.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reconciliations between these non-GAAP measures and what management believes to be the most directly comparable GAAP financial measures.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These non-GAAP disclosures have inherent limitations and are not audited. They should not be considered in isolation or as a substitute for operating results reported in accordance with GAAP, nor are they necessarily comparable to non-GAAP performance measures that may be presented by other companies. Tax effected numbers included in these non-GAAP disclosures are based on estimated statutory rates, estimated federal income tax rates, or effective tax rates, as noted with the tables below.</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15</w:t>
      </w:r>
    </w:p>
    <w:p>
      <w:pPr>
        <w:sectPr>
          <w:pgSz w:w="11900" w:h="16838" w:orient="portrait"/>
          <w:cols w:equalWidth="0" w:num="1">
            <w:col w:w="11300"/>
          </w:cols>
          <w:pgMar w:left="300" w:top="910"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Pre-Provision Net Revenue and Related Measures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6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7"/>
                <w:szCs w:val="7"/>
                <w:color w:val="auto"/>
              </w:rPr>
            </w:pPr>
          </w:p>
        </w:tc>
        <w:tc>
          <w:tcPr>
            <w:tcW w:w="124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7"/>
                <w:szCs w:val="7"/>
                <w:color w:val="auto"/>
              </w:rPr>
            </w:pPr>
          </w:p>
        </w:tc>
        <w:tc>
          <w:tcPr>
            <w:tcW w:w="118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7"/>
                <w:szCs w:val="7"/>
                <w:color w:val="auto"/>
              </w:rPr>
            </w:pPr>
          </w:p>
        </w:tc>
        <w:tc>
          <w:tcPr>
            <w:tcW w:w="1020" w:type="dxa"/>
            <w:vAlign w:val="bottom"/>
          </w:tcPr>
          <w:p>
            <w:pPr>
              <w:jc w:val="right"/>
              <w:ind w:right="302"/>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3620" w:type="dxa"/>
            <w:vAlign w:val="bottom"/>
            <w:tcBorders>
              <w:bottom w:val="single" w:sz="8" w:color="E0E7ED"/>
            </w:tcBorders>
            <w:vMerge w:val="continue"/>
          </w:tcPr>
          <w:p>
            <w:pPr>
              <w:spacing w:after="0"/>
              <w:rPr>
                <w:sz w:val="10"/>
                <w:szCs w:val="10"/>
                <w:color w:val="auto"/>
              </w:rPr>
            </w:pPr>
          </w:p>
        </w:tc>
        <w:tc>
          <w:tcPr>
            <w:tcW w:w="80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36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800" w:type="dxa"/>
            <w:vAlign w:val="bottom"/>
            <w:shd w:val="clear" w:color="auto" w:fill="E0E7ED"/>
          </w:tcPr>
          <w:p>
            <w:pPr>
              <w:spacing w:after="0"/>
              <w:rPr>
                <w:sz w:val="14"/>
                <w:szCs w:val="14"/>
                <w:color w:val="auto"/>
              </w:rPr>
            </w:pPr>
          </w:p>
        </w:tc>
        <w:tc>
          <w:tcPr>
            <w:tcW w:w="200" w:type="dxa"/>
            <w:vAlign w:val="bottom"/>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157,558</w:t>
            </w:r>
          </w:p>
        </w:tc>
        <w:tc>
          <w:tcPr>
            <w:tcW w:w="80" w:type="dxa"/>
            <w:vAlign w:val="bottom"/>
            <w:shd w:val="clear" w:color="auto" w:fill="E0E7ED"/>
          </w:tcPr>
          <w:p>
            <w:pPr>
              <w:spacing w:after="0"/>
              <w:rPr>
                <w:sz w:val="14"/>
                <w:szCs w:val="14"/>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155,137</w:t>
            </w: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81,578</w:t>
            </w: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569,609</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322,611</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Arial" w:cs="Arial" w:eastAsia="Arial" w:hAnsi="Arial"/>
                <w:sz w:val="12"/>
                <w:szCs w:val="12"/>
                <w:b w:val="1"/>
                <w:bCs w:val="1"/>
                <w:color w:val="auto"/>
              </w:rPr>
              <w:t>Total noninterest income (GAAP)</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42,691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03"/>
              <w:spacing w:after="0"/>
              <w:rPr>
                <w:sz w:val="20"/>
                <w:szCs w:val="20"/>
                <w:color w:val="auto"/>
              </w:rPr>
            </w:pPr>
            <w:r>
              <w:rPr>
                <w:rFonts w:ascii="Arial" w:cs="Arial" w:eastAsia="Arial" w:hAnsi="Arial"/>
                <w:sz w:val="12"/>
                <w:szCs w:val="12"/>
                <w:color w:val="auto"/>
              </w:rPr>
              <w:t>41,198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35,221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Arial" w:cs="Arial" w:eastAsia="Arial" w:hAnsi="Arial"/>
                <w:sz w:val="12"/>
                <w:szCs w:val="12"/>
                <w:color w:val="auto"/>
              </w:rPr>
              <w:t>149,975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139,682</w:t>
            </w:r>
          </w:p>
        </w:tc>
        <w:tc>
          <w:tcPr>
            <w:tcW w:w="0" w:type="dxa"/>
            <w:vAlign w:val="bottom"/>
          </w:tcPr>
          <w:p>
            <w:pPr>
              <w:spacing w:after="0"/>
              <w:rPr>
                <w:sz w:val="1"/>
                <w:szCs w:val="1"/>
                <w:color w:val="auto"/>
              </w:rPr>
            </w:pPr>
          </w:p>
        </w:tc>
      </w:tr>
      <w:tr>
        <w:trPr>
          <w:trHeight w:val="185"/>
        </w:trPr>
        <w:tc>
          <w:tcPr>
            <w:tcW w:w="36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security (gains) losses (GAAP)</w:t>
            </w:r>
          </w:p>
        </w:tc>
        <w:tc>
          <w:tcPr>
            <w:tcW w:w="8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667</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288</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196</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10,726</w:t>
            </w: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6,102</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E0E7ED"/>
            </w:tcBorders>
          </w:tcPr>
          <w:p>
            <w:pPr>
              <w:spacing w:after="0"/>
              <w:rPr>
                <w:sz w:val="20"/>
                <w:szCs w:val="20"/>
                <w:color w:val="auto"/>
              </w:rPr>
            </w:pPr>
            <w:r>
              <w:rPr>
                <w:rFonts w:ascii="Arial" w:cs="Arial" w:eastAsia="Arial" w:hAnsi="Arial"/>
                <w:sz w:val="12"/>
                <w:szCs w:val="12"/>
                <w:b w:val="1"/>
                <w:bCs w:val="1"/>
                <w:color w:val="auto"/>
              </w:rPr>
              <w:t>Total noninterest expense (GAAP)</w:t>
            </w:r>
            <w:r>
              <w:rPr>
                <w:rFonts w:ascii="Arial" w:cs="Arial" w:eastAsia="Arial" w:hAnsi="Arial"/>
                <w:sz w:val="15"/>
                <w:szCs w:val="15"/>
                <w:b w:val="1"/>
                <w:bCs w:val="1"/>
                <w:color w:val="auto"/>
                <w:vertAlign w:val="superscript"/>
              </w:rPr>
              <w:t>(i)</w:t>
            </w:r>
          </w:p>
        </w:tc>
        <w:tc>
          <w:tcPr>
            <w:tcW w:w="80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(120,320)</w:t>
            </w:r>
          </w:p>
        </w:tc>
        <w:tc>
          <w:tcPr>
            <w:tcW w:w="8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(120,018)</w:t>
            </w:r>
          </w:p>
        </w:tc>
        <w:tc>
          <w:tcPr>
            <w:tcW w:w="6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(78,622)</w:t>
            </w: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(480,201)</w:t>
            </w:r>
          </w:p>
        </w:tc>
        <w:tc>
          <w:tcPr>
            <w:tcW w:w="8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(301,494)</w:t>
            </w:r>
          </w:p>
        </w:tc>
        <w:tc>
          <w:tcPr>
            <w:tcW w:w="0" w:type="dxa"/>
            <w:vAlign w:val="bottom"/>
          </w:tcPr>
          <w:p>
            <w:pPr>
              <w:spacing w:after="0"/>
              <w:rPr>
                <w:sz w:val="1"/>
                <w:szCs w:val="1"/>
                <w:color w:val="auto"/>
              </w:rPr>
            </w:pPr>
          </w:p>
        </w:tc>
      </w:tr>
      <w:tr>
        <w:trPr>
          <w:trHeight w:val="169"/>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Pre-provision net revenue (Non-GAAP)</w:t>
            </w:r>
          </w:p>
        </w:tc>
        <w:tc>
          <w:tcPr>
            <w:tcW w:w="800" w:type="dxa"/>
            <w:vAlign w:val="bottom"/>
            <w:shd w:val="clear" w:color="auto" w:fill="E0E7ED"/>
          </w:tcPr>
          <w:p>
            <w:pPr>
              <w:ind w:left="40"/>
              <w:spacing w:after="0"/>
              <w:rPr>
                <w:sz w:val="20"/>
                <w:szCs w:val="20"/>
                <w:color w:val="auto"/>
              </w:rPr>
            </w:pPr>
            <w:r>
              <w:rPr>
                <w:rFonts w:ascii="Arial" w:cs="Arial" w:eastAsia="Arial" w:hAnsi="Arial"/>
                <w:sz w:val="12"/>
                <w:szCs w:val="12"/>
                <w:color w:val="auto"/>
              </w:rPr>
              <w:t>[a]</w:t>
            </w:r>
          </w:p>
        </w:tc>
        <w:tc>
          <w:tcPr>
            <w:tcW w:w="20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80,596</w:t>
            </w:r>
          </w:p>
        </w:tc>
        <w:tc>
          <w:tcPr>
            <w:tcW w:w="80" w:type="dxa"/>
            <w:vAlign w:val="bottom"/>
            <w:shd w:val="clear" w:color="auto" w:fill="E0E7ED"/>
          </w:tcPr>
          <w:p>
            <w:pPr>
              <w:spacing w:after="0"/>
              <w:rPr>
                <w:sz w:val="14"/>
                <w:szCs w:val="14"/>
                <w:color w:val="auto"/>
              </w:rPr>
            </w:pPr>
          </w:p>
        </w:tc>
        <w:tc>
          <w:tcPr>
            <w:tcW w:w="140" w:type="dxa"/>
            <w:vAlign w:val="bottom"/>
            <w:shd w:val="clear" w:color="auto" w:fill="E0E7ED"/>
          </w:tcPr>
          <w:p>
            <w:pPr>
              <w:spacing w:after="0"/>
              <w:rPr>
                <w:sz w:val="14"/>
                <w:szCs w:val="14"/>
                <w:color w:val="auto"/>
              </w:rPr>
            </w:pP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76,605</w:t>
            </w: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38,373</w:t>
            </w: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250,109</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166,901</w:t>
            </w:r>
          </w:p>
        </w:tc>
        <w:tc>
          <w:tcPr>
            <w:tcW w:w="0" w:type="dxa"/>
            <w:vAlign w:val="bottom"/>
          </w:tcPr>
          <w:p>
            <w:pPr>
              <w:spacing w:after="0"/>
              <w:rPr>
                <w:sz w:val="1"/>
                <w:szCs w:val="1"/>
                <w:color w:val="auto"/>
              </w:rPr>
            </w:pPr>
          </w:p>
        </w:tc>
      </w:tr>
      <w:tr>
        <w:trPr>
          <w:trHeight w:val="149"/>
        </w:trPr>
        <w:tc>
          <w:tcPr>
            <w:tcW w:w="3620" w:type="dxa"/>
            <w:vAlign w:val="bottom"/>
          </w:tcPr>
          <w:p>
            <w:pPr>
              <w:ind w:left="120"/>
              <w:spacing w:after="0"/>
              <w:rPr>
                <w:sz w:val="20"/>
                <w:szCs w:val="20"/>
                <w:color w:val="auto"/>
              </w:rPr>
            </w:pPr>
            <w:r>
              <w:rPr>
                <w:rFonts w:ascii="Arial" w:cs="Arial" w:eastAsia="Arial" w:hAnsi="Arial"/>
                <w:sz w:val="12"/>
                <w:szCs w:val="12"/>
                <w:color w:val="auto"/>
              </w:rPr>
              <w:t>Acquisition and restructuring (income) expenses, excluding initial</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20"/>
              <w:spacing w:after="0"/>
              <w:rPr>
                <w:sz w:val="20"/>
                <w:szCs w:val="20"/>
                <w:color w:val="auto"/>
              </w:rPr>
            </w:pPr>
            <w:r>
              <w:rPr>
                <w:rFonts w:ascii="Arial" w:cs="Arial" w:eastAsia="Arial" w:hAnsi="Arial"/>
                <w:sz w:val="12"/>
                <w:szCs w:val="12"/>
                <w:color w:val="auto"/>
              </w:rPr>
              <w:t>provision expenses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4,816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03"/>
              <w:spacing w:after="0"/>
              <w:rPr>
                <w:sz w:val="20"/>
                <w:szCs w:val="20"/>
                <w:color w:val="auto"/>
              </w:rPr>
            </w:pPr>
            <w:r>
              <w:rPr>
                <w:rFonts w:ascii="Arial" w:cs="Arial" w:eastAsia="Arial" w:hAnsi="Arial"/>
                <w:sz w:val="12"/>
                <w:szCs w:val="12"/>
                <w:color w:val="auto"/>
              </w:rPr>
              <w:t>7,251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3,585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2"/>
                <w:szCs w:val="12"/>
                <w:color w:val="auto"/>
              </w:rPr>
              <w:t>54,693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8,140</w:t>
            </w:r>
          </w:p>
        </w:tc>
        <w:tc>
          <w:tcPr>
            <w:tcW w:w="0" w:type="dxa"/>
            <w:vAlign w:val="bottom"/>
          </w:tcPr>
          <w:p>
            <w:pPr>
              <w:spacing w:after="0"/>
              <w:rPr>
                <w:sz w:val="1"/>
                <w:szCs w:val="1"/>
                <w:color w:val="auto"/>
              </w:rPr>
            </w:pPr>
          </w:p>
        </w:tc>
      </w:tr>
      <w:tr>
        <w:trPr>
          <w:trHeight w:val="180"/>
        </w:trPr>
        <w:tc>
          <w:tcPr>
            <w:tcW w:w="36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Realized net (gains) losses on the sale of mortgage service rights</w:t>
            </w:r>
          </w:p>
        </w:tc>
        <w:tc>
          <w:tcPr>
            <w:tcW w:w="8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7ED"/>
          </w:tcPr>
          <w:p>
            <w:pPr>
              <w:spacing w:after="0"/>
              <w:rPr>
                <w:sz w:val="15"/>
                <w:szCs w:val="15"/>
                <w:color w:val="auto"/>
              </w:rPr>
            </w:pPr>
          </w:p>
        </w:tc>
        <w:tc>
          <w:tcPr>
            <w:tcW w:w="124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62"/>
              <w:spacing w:after="0"/>
              <w:rPr>
                <w:sz w:val="20"/>
                <w:szCs w:val="20"/>
                <w:color w:val="auto"/>
              </w:rPr>
            </w:pPr>
            <w:r>
              <w:rPr>
                <w:rFonts w:ascii="Arial" w:cs="Arial" w:eastAsia="Arial" w:hAnsi="Arial"/>
                <w:sz w:val="12"/>
                <w:szCs w:val="12"/>
                <w:color w:val="auto"/>
              </w:rPr>
              <w:t>(7,724)</w:t>
            </w:r>
          </w:p>
        </w:tc>
        <w:tc>
          <w:tcPr>
            <w:tcW w:w="0" w:type="dxa"/>
            <w:vAlign w:val="bottom"/>
          </w:tcPr>
          <w:p>
            <w:pPr>
              <w:spacing w:after="0"/>
              <w:rPr>
                <w:sz w:val="1"/>
                <w:szCs w:val="1"/>
                <w:color w:val="auto"/>
              </w:rPr>
            </w:pPr>
          </w:p>
        </w:tc>
      </w:tr>
      <w:tr>
        <w:trPr>
          <w:trHeight w:val="193"/>
        </w:trPr>
        <w:tc>
          <w:tcPr>
            <w:tcW w:w="36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Adjusted pre-provision net revenue (Non-GAAP)</w:t>
            </w:r>
          </w:p>
        </w:tc>
        <w:tc>
          <w:tcPr>
            <w:tcW w:w="800" w:type="dxa"/>
            <w:vAlign w:val="bottom"/>
            <w:tcBorders>
              <w:bottom w:val="single" w:sz="8" w:color="E0E7ED"/>
            </w:tcBorders>
          </w:tcPr>
          <w:p>
            <w:pPr>
              <w:ind w:left="40"/>
              <w:spacing w:after="0"/>
              <w:rPr>
                <w:sz w:val="20"/>
                <w:szCs w:val="20"/>
                <w:color w:val="auto"/>
              </w:rPr>
            </w:pPr>
            <w:r>
              <w:rPr>
                <w:rFonts w:ascii="Arial" w:cs="Arial" w:eastAsia="Arial" w:hAnsi="Arial"/>
                <w:sz w:val="12"/>
                <w:szCs w:val="12"/>
                <w:color w:val="auto"/>
              </w:rPr>
              <w:t>[b]</w:t>
            </w: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85,412</w:t>
            </w:r>
          </w:p>
        </w:tc>
        <w:tc>
          <w:tcPr>
            <w:tcW w:w="80" w:type="dxa"/>
            <w:vAlign w:val="bottom"/>
            <w:tcBorders>
              <w:bottom w:val="single" w:sz="8" w:color="E0E7ED"/>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2"/>
                <w:szCs w:val="12"/>
                <w:color w:val="auto"/>
              </w:rPr>
              <w:t>83,856</w:t>
            </w:r>
          </w:p>
        </w:tc>
        <w:tc>
          <w:tcPr>
            <w:tcW w:w="60" w:type="dxa"/>
            <w:vAlign w:val="bottom"/>
            <w:tcBorders>
              <w:bottom w:val="single" w:sz="8" w:color="E0E7ED"/>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41,958</w:t>
            </w:r>
          </w:p>
        </w:tc>
        <w:tc>
          <w:tcPr>
            <w:tcW w:w="80" w:type="dxa"/>
            <w:vAlign w:val="bottom"/>
            <w:tcBorders>
              <w:bottom w:val="single" w:sz="8" w:color="E0E7ED"/>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2"/>
                <w:szCs w:val="12"/>
                <w:color w:val="auto"/>
              </w:rPr>
              <w:t>304,802</w:t>
            </w:r>
          </w:p>
        </w:tc>
        <w:tc>
          <w:tcPr>
            <w:tcW w:w="80" w:type="dxa"/>
            <w:vAlign w:val="bottom"/>
            <w:tcBorders>
              <w:bottom w:val="single" w:sz="8" w:color="E0E7ED"/>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167,317</w:t>
            </w:r>
          </w:p>
        </w:tc>
        <w:tc>
          <w:tcPr>
            <w:tcW w:w="0" w:type="dxa"/>
            <w:vAlign w:val="bottom"/>
          </w:tcPr>
          <w:p>
            <w:pPr>
              <w:spacing w:after="0"/>
              <w:rPr>
                <w:sz w:val="1"/>
                <w:szCs w:val="1"/>
                <w:color w:val="auto"/>
              </w:rPr>
            </w:pPr>
          </w:p>
        </w:tc>
      </w:tr>
      <w:tr>
        <w:trPr>
          <w:trHeight w:val="162"/>
        </w:trPr>
        <w:tc>
          <w:tcPr>
            <w:tcW w:w="3620" w:type="dxa"/>
            <w:vAlign w:val="bottom"/>
            <w:shd w:val="clear" w:color="auto" w:fill="E0E7ED"/>
          </w:tcPr>
          <w:p>
            <w:pPr>
              <w:spacing w:after="0"/>
              <w:rPr>
                <w:sz w:val="14"/>
                <w:szCs w:val="14"/>
                <w:color w:val="auto"/>
              </w:rPr>
            </w:pPr>
          </w:p>
        </w:tc>
        <w:tc>
          <w:tcPr>
            <w:tcW w:w="8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40" w:type="dxa"/>
            <w:vAlign w:val="bottom"/>
            <w:shd w:val="clear" w:color="auto" w:fill="E0E7ED"/>
          </w:tcPr>
          <w:p>
            <w:pPr>
              <w:spacing w:after="0"/>
              <w:rPr>
                <w:sz w:val="14"/>
                <w:szCs w:val="14"/>
                <w:color w:val="auto"/>
              </w:rPr>
            </w:pPr>
          </w:p>
        </w:tc>
        <w:tc>
          <w:tcPr>
            <w:tcW w:w="118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2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Arial" w:cs="Arial" w:eastAsia="Arial" w:hAnsi="Arial"/>
                <w:sz w:val="12"/>
                <w:szCs w:val="12"/>
                <w:color w:val="auto"/>
              </w:rPr>
              <w:t>Average total assets</w:t>
            </w:r>
          </w:p>
        </w:tc>
        <w:tc>
          <w:tcPr>
            <w:tcW w:w="800" w:type="dxa"/>
            <w:vAlign w:val="bottom"/>
          </w:tcPr>
          <w:p>
            <w:pPr>
              <w:ind w:left="40"/>
              <w:spacing w:after="0"/>
              <w:rPr>
                <w:sz w:val="20"/>
                <w:szCs w:val="20"/>
                <w:color w:val="auto"/>
              </w:rPr>
            </w:pPr>
            <w:r>
              <w:rPr>
                <w:rFonts w:ascii="Arial" w:cs="Arial" w:eastAsia="Arial" w:hAnsi="Arial"/>
                <w:sz w:val="12"/>
                <w:szCs w:val="12"/>
                <w:color w:val="auto"/>
              </w:rPr>
              <w:t>[c]</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18,309,250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03"/>
              <w:spacing w:after="0"/>
              <w:rPr>
                <w:sz w:val="20"/>
                <w:szCs w:val="20"/>
                <w:color w:val="auto"/>
              </w:rPr>
            </w:pPr>
            <w:r>
              <w:rPr>
                <w:rFonts w:ascii="Arial" w:cs="Arial" w:eastAsia="Arial" w:hAnsi="Arial"/>
                <w:sz w:val="12"/>
                <w:szCs w:val="12"/>
                <w:color w:val="auto"/>
              </w:rPr>
              <w:t>18,662,449</w:t>
            </w:r>
          </w:p>
        </w:tc>
        <w:tc>
          <w:tcPr>
            <w:tcW w:w="6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12,085,993</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3"/>
              <w:spacing w:after="0"/>
              <w:rPr>
                <w:sz w:val="20"/>
                <w:szCs w:val="20"/>
                <w:color w:val="auto"/>
              </w:rPr>
            </w:pPr>
            <w:r>
              <w:rPr>
                <w:rFonts w:ascii="Arial" w:cs="Arial" w:eastAsia="Arial" w:hAnsi="Arial"/>
                <w:sz w:val="12"/>
                <w:szCs w:val="12"/>
                <w:color w:val="auto"/>
              </w:rPr>
              <w:t>17,729,887</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12,051,871</w:t>
            </w:r>
          </w:p>
        </w:tc>
        <w:tc>
          <w:tcPr>
            <w:tcW w:w="0" w:type="dxa"/>
            <w:vAlign w:val="bottom"/>
          </w:tcPr>
          <w:p>
            <w:pPr>
              <w:spacing w:after="0"/>
              <w:rPr>
                <w:sz w:val="1"/>
                <w:szCs w:val="1"/>
                <w:color w:val="auto"/>
              </w:rPr>
            </w:pPr>
          </w:p>
        </w:tc>
      </w:tr>
      <w:tr>
        <w:trPr>
          <w:trHeight w:val="188"/>
        </w:trPr>
        <w:tc>
          <w:tcPr>
            <w:tcW w:w="362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rPr>
                <w:sz w:val="20"/>
                <w:szCs w:val="20"/>
                <w:color w:val="auto"/>
              </w:rPr>
            </w:pPr>
            <w:r>
              <w:rPr>
                <w:rFonts w:ascii="Arial" w:cs="Arial" w:eastAsia="Arial" w:hAnsi="Arial"/>
                <w:sz w:val="12"/>
                <w:szCs w:val="12"/>
                <w:color w:val="auto"/>
              </w:rPr>
              <w:t>Pre-provision net revenue to average total assets (Non-GAAP)</w:t>
            </w:r>
            <w:r>
              <w:rPr>
                <w:rFonts w:ascii="Arial" w:cs="Arial" w:eastAsia="Arial" w:hAnsi="Arial"/>
                <w:sz w:val="15"/>
                <w:szCs w:val="15"/>
                <w:color w:val="auto"/>
                <w:vertAlign w:val="superscript"/>
              </w:rPr>
              <w:t>(ii)</w:t>
            </w:r>
          </w:p>
        </w:tc>
        <w:tc>
          <w:tcPr>
            <w:tcW w:w="800" w:type="dxa"/>
            <w:vAlign w:val="bottom"/>
          </w:tcPr>
          <w:p>
            <w:pPr>
              <w:ind w:left="40"/>
              <w:spacing w:after="0"/>
              <w:rPr>
                <w:sz w:val="20"/>
                <w:szCs w:val="20"/>
                <w:color w:val="auto"/>
              </w:rPr>
            </w:pPr>
            <w:r>
              <w:rPr>
                <w:rFonts w:ascii="Arial" w:cs="Arial" w:eastAsia="Arial" w:hAnsi="Arial"/>
                <w:sz w:val="12"/>
                <w:szCs w:val="12"/>
                <w:color w:val="auto"/>
              </w:rPr>
              <w:t>[a÷c]</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1.63 %</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1.26 %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1.38 %</w:t>
            </w:r>
          </w:p>
        </w:tc>
        <w:tc>
          <w:tcPr>
            <w:tcW w:w="0" w:type="dxa"/>
            <w:vAlign w:val="bottom"/>
          </w:tcPr>
          <w:p>
            <w:pPr>
              <w:spacing w:after="0"/>
              <w:rPr>
                <w:sz w:val="1"/>
                <w:szCs w:val="1"/>
                <w:color w:val="auto"/>
              </w:rPr>
            </w:pPr>
          </w:p>
        </w:tc>
      </w:tr>
      <w:tr>
        <w:trPr>
          <w:trHeight w:val="148"/>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Adjusted pre-provision net revenue to average total assets (Non-</w:t>
            </w:r>
          </w:p>
        </w:tc>
        <w:tc>
          <w:tcPr>
            <w:tcW w:w="80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11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11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102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GAAP)</w:t>
            </w:r>
            <w:r>
              <w:rPr>
                <w:rFonts w:ascii="Arial" w:cs="Arial" w:eastAsia="Arial" w:hAnsi="Arial"/>
                <w:sz w:val="15"/>
                <w:szCs w:val="15"/>
                <w:color w:val="auto"/>
                <w:vertAlign w:val="superscript"/>
              </w:rPr>
              <w:t>(ii)</w:t>
            </w:r>
          </w:p>
        </w:tc>
        <w:tc>
          <w:tcPr>
            <w:tcW w:w="800" w:type="dxa"/>
            <w:vAlign w:val="bottom"/>
            <w:shd w:val="clear" w:color="auto" w:fill="E0E7ED"/>
          </w:tcPr>
          <w:p>
            <w:pPr>
              <w:ind w:left="40"/>
              <w:spacing w:after="0"/>
              <w:rPr>
                <w:sz w:val="20"/>
                <w:szCs w:val="20"/>
                <w:color w:val="auto"/>
              </w:rPr>
            </w:pPr>
            <w:r>
              <w:rPr>
                <w:rFonts w:ascii="Arial" w:cs="Arial" w:eastAsia="Arial" w:hAnsi="Arial"/>
                <w:sz w:val="12"/>
                <w:szCs w:val="12"/>
                <w:color w:val="auto"/>
              </w:rPr>
              <w:t>[b÷c]</w:t>
            </w: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1.85 %</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1.78 %</w:t>
            </w: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1.38 %</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1.72 %</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1.39 %</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line="244" w:lineRule="auto"/>
        <w:tabs>
          <w:tab w:leader="none" w:pos="333" w:val="left"/>
        </w:tabs>
        <w:numPr>
          <w:ilvl w:val="0"/>
          <w:numId w:val="13"/>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w:t>
      </w:r>
    </w:p>
    <w:p>
      <w:pPr>
        <w:ind w:left="320" w:hanging="220"/>
        <w:spacing w:after="0"/>
        <w:tabs>
          <w:tab w:leader="none" w:pos="3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For quarterly periods, measures are annualized.</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16</w:t>
      </w:r>
    </w:p>
    <w:p>
      <w:pPr>
        <w:sectPr>
          <w:pgSz w:w="11900" w:h="16838" w:orient="portrait"/>
          <w:cols w:equalWidth="0" w:num="1">
            <w:col w:w="11300"/>
          </w:cols>
          <w:pgMar w:left="300" w:top="910" w:right="29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Adjusted Net Income, Average Tangible Common Equity, and Related Ratios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5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7"/>
                <w:szCs w:val="7"/>
                <w:color w:val="auto"/>
              </w:rPr>
            </w:pPr>
          </w:p>
        </w:tc>
        <w:tc>
          <w:tcPr>
            <w:tcW w:w="124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7"/>
                <w:szCs w:val="7"/>
                <w:color w:val="auto"/>
              </w:rPr>
            </w:pPr>
          </w:p>
        </w:tc>
        <w:tc>
          <w:tcPr>
            <w:tcW w:w="118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7"/>
                <w:szCs w:val="7"/>
                <w:color w:val="auto"/>
              </w:rPr>
            </w:pPr>
          </w:p>
        </w:tc>
        <w:tc>
          <w:tcPr>
            <w:tcW w:w="1020" w:type="dxa"/>
            <w:vAlign w:val="bottom"/>
          </w:tcPr>
          <w:p>
            <w:pPr>
              <w:jc w:val="right"/>
              <w:ind w:right="301"/>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3580" w:type="dxa"/>
            <w:vAlign w:val="bottom"/>
            <w:tcBorders>
              <w:bottom w:val="single" w:sz="8" w:color="E0E7ED"/>
            </w:tcBorders>
            <w:vMerge w:val="continue"/>
          </w:tcPr>
          <w:p>
            <w:pPr>
              <w:spacing w:after="0"/>
              <w:rPr>
                <w:sz w:val="10"/>
                <w:szCs w:val="10"/>
                <w:color w:val="auto"/>
              </w:rPr>
            </w:pPr>
          </w:p>
        </w:tc>
        <w:tc>
          <w:tcPr>
            <w:tcW w:w="84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35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income (GAAP)</w:t>
            </w:r>
          </w:p>
        </w:tc>
        <w:tc>
          <w:tcPr>
            <w:tcW w:w="840" w:type="dxa"/>
            <w:vAlign w:val="bottom"/>
            <w:shd w:val="clear" w:color="auto" w:fill="E0E7ED"/>
          </w:tcPr>
          <w:p>
            <w:pPr>
              <w:ind w:left="80"/>
              <w:spacing w:after="0"/>
              <w:rPr>
                <w:sz w:val="20"/>
                <w:szCs w:val="20"/>
                <w:color w:val="auto"/>
              </w:rPr>
            </w:pPr>
            <w:r>
              <w:rPr>
                <w:rFonts w:ascii="Arial" w:cs="Arial" w:eastAsia="Arial" w:hAnsi="Arial"/>
                <w:sz w:val="12"/>
                <w:szCs w:val="12"/>
                <w:color w:val="auto"/>
              </w:rPr>
              <w:t>[a]</w:t>
            </w:r>
          </w:p>
        </w:tc>
        <w:tc>
          <w:tcPr>
            <w:tcW w:w="200" w:type="dxa"/>
            <w:vAlign w:val="bottom"/>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60,750</w:t>
            </w:r>
          </w:p>
        </w:tc>
        <w:tc>
          <w:tcPr>
            <w:tcW w:w="80" w:type="dxa"/>
            <w:vAlign w:val="bottom"/>
            <w:shd w:val="clear" w:color="auto" w:fill="E0E7ED"/>
          </w:tcPr>
          <w:p>
            <w:pPr>
              <w:spacing w:after="0"/>
              <w:rPr>
                <w:sz w:val="14"/>
                <w:szCs w:val="14"/>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57,098</w:t>
            </w: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28,105</w:t>
            </w: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135,262</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113,691</w:t>
            </w:r>
          </w:p>
        </w:tc>
        <w:tc>
          <w:tcPr>
            <w:tcW w:w="0" w:type="dxa"/>
            <w:vAlign w:val="bottom"/>
          </w:tcPr>
          <w:p>
            <w:pPr>
              <w:spacing w:after="0"/>
              <w:rPr>
                <w:sz w:val="1"/>
                <w:szCs w:val="1"/>
                <w:color w:val="auto"/>
              </w:rPr>
            </w:pPr>
          </w:p>
        </w:tc>
      </w:tr>
      <w:tr>
        <w:trPr>
          <w:trHeight w:val="180"/>
        </w:trPr>
        <w:tc>
          <w:tcPr>
            <w:tcW w:w="3580" w:type="dxa"/>
            <w:vAlign w:val="bottom"/>
          </w:tcPr>
          <w:p>
            <w:pPr>
              <w:ind w:left="120"/>
              <w:spacing w:after="0"/>
              <w:rPr>
                <w:sz w:val="20"/>
                <w:szCs w:val="20"/>
                <w:color w:val="auto"/>
              </w:rPr>
            </w:pPr>
            <w:r>
              <w:rPr>
                <w:rFonts w:ascii="Arial" w:cs="Arial" w:eastAsia="Arial" w:hAnsi="Arial"/>
                <w:sz w:val="12"/>
                <w:szCs w:val="12"/>
                <w:color w:val="auto"/>
              </w:rPr>
              <w:t>Day 2 provision for credit losses</w:t>
            </w:r>
            <w:r>
              <w:rPr>
                <w:rFonts w:ascii="Arial" w:cs="Arial" w:eastAsia="Arial" w:hAnsi="Arial"/>
                <w:sz w:val="15"/>
                <w:szCs w:val="15"/>
                <w:color w:val="auto"/>
                <w:vertAlign w:val="superscript"/>
              </w:rPr>
              <w:t>(i)</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45,572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Adjustment of initial provision for unfunded commitments due to</w:t>
            </w:r>
          </w:p>
        </w:tc>
        <w:tc>
          <w:tcPr>
            <w:tcW w:w="84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11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11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102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adoption of new model</w:t>
            </w:r>
            <w:r>
              <w:rPr>
                <w:rFonts w:ascii="Arial" w:cs="Arial" w:eastAsia="Arial" w:hAnsi="Arial"/>
                <w:sz w:val="15"/>
                <w:szCs w:val="15"/>
                <w:color w:val="auto"/>
                <w:vertAlign w:val="superscript"/>
              </w:rPr>
              <w:t>(ii)</w:t>
            </w:r>
          </w:p>
        </w:tc>
        <w:tc>
          <w:tcPr>
            <w:tcW w:w="84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7ED"/>
          </w:tcPr>
          <w:p>
            <w:pPr>
              <w:spacing w:after="0"/>
              <w:rPr>
                <w:sz w:val="15"/>
                <w:szCs w:val="15"/>
                <w:color w:val="auto"/>
              </w:rPr>
            </w:pPr>
          </w:p>
        </w:tc>
        <w:tc>
          <w:tcPr>
            <w:tcW w:w="124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4,030</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3580" w:type="dxa"/>
            <w:vAlign w:val="bottom"/>
          </w:tcPr>
          <w:p>
            <w:pPr>
              <w:ind w:left="120"/>
              <w:spacing w:after="0"/>
              <w:rPr>
                <w:sz w:val="20"/>
                <w:szCs w:val="20"/>
                <w:color w:val="auto"/>
              </w:rPr>
            </w:pPr>
            <w:r>
              <w:rPr>
                <w:rFonts w:ascii="Arial" w:cs="Arial" w:eastAsia="Arial" w:hAnsi="Arial"/>
                <w:sz w:val="12"/>
                <w:szCs w:val="12"/>
                <w:color w:val="auto"/>
              </w:rPr>
              <w:t>Other acquisition (income) expenses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4,859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7,251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2,469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54,736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6,901</w:t>
            </w:r>
          </w:p>
        </w:tc>
        <w:tc>
          <w:tcPr>
            <w:tcW w:w="0" w:type="dxa"/>
            <w:vAlign w:val="bottom"/>
          </w:tcPr>
          <w:p>
            <w:pPr>
              <w:spacing w:after="0"/>
              <w:rPr>
                <w:sz w:val="1"/>
                <w:szCs w:val="1"/>
                <w:color w:val="auto"/>
              </w:rPr>
            </w:pPr>
          </w:p>
        </w:tc>
      </w:tr>
      <w:tr>
        <w:trPr>
          <w:trHeight w:val="188"/>
        </w:trPr>
        <w:tc>
          <w:tcPr>
            <w:tcW w:w="35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Restructuring expenses</w:t>
            </w:r>
          </w:p>
        </w:tc>
        <w:tc>
          <w:tcPr>
            <w:tcW w:w="84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61"/>
              <w:spacing w:after="0"/>
              <w:rPr>
                <w:sz w:val="20"/>
                <w:szCs w:val="20"/>
                <w:color w:val="auto"/>
              </w:rPr>
            </w:pPr>
            <w:r>
              <w:rPr>
                <w:rFonts w:ascii="Arial" w:cs="Arial" w:eastAsia="Arial" w:hAnsi="Arial"/>
                <w:sz w:val="12"/>
                <w:szCs w:val="12"/>
                <w:color w:val="auto"/>
              </w:rPr>
              <w:t>(43)</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24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1,116</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62"/>
              <w:spacing w:after="0"/>
              <w:rPr>
                <w:sz w:val="20"/>
                <w:szCs w:val="20"/>
                <w:color w:val="auto"/>
              </w:rPr>
            </w:pPr>
            <w:r>
              <w:rPr>
                <w:rFonts w:ascii="Arial" w:cs="Arial" w:eastAsia="Arial" w:hAnsi="Arial"/>
                <w:sz w:val="12"/>
                <w:szCs w:val="12"/>
                <w:color w:val="auto"/>
              </w:rPr>
              <w:t>(43)</w:t>
            </w: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1,239</w:t>
            </w:r>
          </w:p>
        </w:tc>
        <w:tc>
          <w:tcPr>
            <w:tcW w:w="0" w:type="dxa"/>
            <w:vAlign w:val="bottom"/>
          </w:tcPr>
          <w:p>
            <w:pPr>
              <w:spacing w:after="0"/>
              <w:rPr>
                <w:sz w:val="1"/>
                <w:szCs w:val="1"/>
                <w:color w:val="auto"/>
              </w:rPr>
            </w:pPr>
          </w:p>
        </w:tc>
      </w:tr>
      <w:tr>
        <w:trPr>
          <w:trHeight w:val="149"/>
        </w:trPr>
        <w:tc>
          <w:tcPr>
            <w:tcW w:w="3580" w:type="dxa"/>
            <w:vAlign w:val="bottom"/>
          </w:tcPr>
          <w:p>
            <w:pPr>
              <w:ind w:left="120"/>
              <w:spacing w:after="0"/>
              <w:rPr>
                <w:sz w:val="20"/>
                <w:szCs w:val="20"/>
                <w:color w:val="auto"/>
              </w:rPr>
            </w:pPr>
            <w:r>
              <w:rPr>
                <w:rFonts w:ascii="Arial" w:cs="Arial" w:eastAsia="Arial" w:hAnsi="Arial"/>
                <w:sz w:val="12"/>
                <w:szCs w:val="12"/>
                <w:color w:val="auto"/>
              </w:rPr>
              <w:t>Realized net (gains) losses on the sale of mortgage servicing</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vMerge w:val="restart"/>
          </w:tcPr>
          <w:p>
            <w:pPr>
              <w:jc w:val="right"/>
              <w:ind w:right="61"/>
              <w:spacing w:after="0"/>
              <w:rPr>
                <w:sz w:val="20"/>
                <w:szCs w:val="20"/>
                <w:color w:val="auto"/>
              </w:rPr>
            </w:pPr>
            <w:r>
              <w:rPr>
                <w:rFonts w:ascii="Arial" w:cs="Arial" w:eastAsia="Arial" w:hAnsi="Arial"/>
                <w:sz w:val="12"/>
                <w:szCs w:val="12"/>
                <w:color w:val="auto"/>
              </w:rPr>
              <w:t>(7,724)</w:t>
            </w:r>
          </w:p>
        </w:tc>
        <w:tc>
          <w:tcPr>
            <w:tcW w:w="0" w:type="dxa"/>
            <w:vAlign w:val="bottom"/>
          </w:tcPr>
          <w:p>
            <w:pPr>
              <w:spacing w:after="0"/>
              <w:rPr>
                <w:sz w:val="1"/>
                <w:szCs w:val="1"/>
                <w:color w:val="auto"/>
              </w:rPr>
            </w:pPr>
          </w:p>
        </w:tc>
      </w:tr>
      <w:tr>
        <w:trPr>
          <w:trHeight w:val="87"/>
        </w:trPr>
        <w:tc>
          <w:tcPr>
            <w:tcW w:w="3580" w:type="dxa"/>
            <w:vAlign w:val="bottom"/>
            <w:vMerge w:val="restart"/>
          </w:tcPr>
          <w:p>
            <w:pPr>
              <w:ind w:left="120"/>
              <w:spacing w:after="0"/>
              <w:rPr>
                <w:sz w:val="20"/>
                <w:szCs w:val="20"/>
                <w:color w:val="auto"/>
              </w:rPr>
            </w:pPr>
            <w:r>
              <w:rPr>
                <w:rFonts w:ascii="Arial" w:cs="Arial" w:eastAsia="Arial" w:hAnsi="Arial"/>
                <w:sz w:val="12"/>
                <w:szCs w:val="12"/>
                <w:color w:val="auto"/>
              </w:rPr>
              <w:t>rights</w:t>
            </w: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35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5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Net securities (gains) losses</w:t>
            </w:r>
          </w:p>
        </w:tc>
        <w:tc>
          <w:tcPr>
            <w:tcW w:w="84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667</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288</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196</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10,726</w:t>
            </w: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6,102</w:t>
            </w:r>
          </w:p>
        </w:tc>
        <w:tc>
          <w:tcPr>
            <w:tcW w:w="0" w:type="dxa"/>
            <w:vAlign w:val="bottom"/>
          </w:tcPr>
          <w:p>
            <w:pPr>
              <w:spacing w:after="0"/>
              <w:rPr>
                <w:sz w:val="1"/>
                <w:szCs w:val="1"/>
                <w:color w:val="auto"/>
              </w:rPr>
            </w:pPr>
          </w:p>
        </w:tc>
      </w:tr>
      <w:tr>
        <w:trPr>
          <w:trHeight w:val="180"/>
        </w:trPr>
        <w:tc>
          <w:tcPr>
            <w:tcW w:w="3580" w:type="dxa"/>
            <w:vAlign w:val="bottom"/>
          </w:tcPr>
          <w:p>
            <w:pPr>
              <w:ind w:left="120"/>
              <w:spacing w:after="0"/>
              <w:rPr>
                <w:sz w:val="20"/>
                <w:szCs w:val="20"/>
                <w:color w:val="auto"/>
              </w:rPr>
            </w:pPr>
            <w:r>
              <w:rPr>
                <w:rFonts w:ascii="Arial" w:cs="Arial" w:eastAsia="Arial" w:hAnsi="Arial"/>
                <w:sz w:val="12"/>
                <w:szCs w:val="12"/>
                <w:color w:val="auto"/>
              </w:rPr>
              <w:t>Related tax (benefit) expense</w:t>
            </w:r>
            <w:r>
              <w:rPr>
                <w:rFonts w:ascii="Arial" w:cs="Arial" w:eastAsia="Arial" w:hAnsi="Arial"/>
                <w:sz w:val="15"/>
                <w:szCs w:val="15"/>
                <w:color w:val="auto"/>
                <w:vertAlign w:val="superscript"/>
              </w:rPr>
              <w:t>(iii)</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(1,047)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(2,141)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(1,014)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(30,228)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(1,622)</w:t>
            </w:r>
          </w:p>
        </w:tc>
        <w:tc>
          <w:tcPr>
            <w:tcW w:w="0" w:type="dxa"/>
            <w:vAlign w:val="bottom"/>
          </w:tcPr>
          <w:p>
            <w:pPr>
              <w:spacing w:after="0"/>
              <w:rPr>
                <w:sz w:val="1"/>
                <w:szCs w:val="1"/>
                <w:color w:val="auto"/>
              </w:rPr>
            </w:pPr>
          </w:p>
        </w:tc>
      </w:tr>
      <w:tr>
        <w:trPr>
          <w:trHeight w:val="180"/>
        </w:trPr>
        <w:tc>
          <w:tcPr>
            <w:tcW w:w="35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Non-recurring deferred tax adjustment</w:t>
            </w:r>
            <w:r>
              <w:rPr>
                <w:rFonts w:ascii="Arial" w:cs="Arial" w:eastAsia="Arial" w:hAnsi="Arial"/>
                <w:sz w:val="15"/>
                <w:szCs w:val="15"/>
                <w:color w:val="auto"/>
                <w:vertAlign w:val="superscript"/>
              </w:rPr>
              <w:t>(iv)</w:t>
            </w:r>
          </w:p>
        </w:tc>
        <w:tc>
          <w:tcPr>
            <w:tcW w:w="84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7ED"/>
          </w:tcPr>
          <w:p>
            <w:pPr>
              <w:spacing w:after="0"/>
              <w:rPr>
                <w:sz w:val="15"/>
                <w:szCs w:val="15"/>
                <w:color w:val="auto"/>
              </w:rPr>
            </w:pPr>
          </w:p>
        </w:tc>
        <w:tc>
          <w:tcPr>
            <w:tcW w:w="124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4,919</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1,446</w:t>
            </w:r>
          </w:p>
        </w:tc>
        <w:tc>
          <w:tcPr>
            <w:tcW w:w="0" w:type="dxa"/>
            <w:vAlign w:val="bottom"/>
          </w:tcPr>
          <w:p>
            <w:pPr>
              <w:spacing w:after="0"/>
              <w:rPr>
                <w:sz w:val="1"/>
                <w:szCs w:val="1"/>
                <w:color w:val="auto"/>
              </w:rPr>
            </w:pPr>
          </w:p>
        </w:tc>
      </w:tr>
      <w:tr>
        <w:trPr>
          <w:trHeight w:val="169"/>
        </w:trPr>
        <w:tc>
          <w:tcPr>
            <w:tcW w:w="3580" w:type="dxa"/>
            <w:vAlign w:val="bottom"/>
          </w:tcPr>
          <w:p>
            <w:pPr>
              <w:spacing w:after="0" w:line="169" w:lineRule="exact"/>
              <w:rPr>
                <w:sz w:val="20"/>
                <w:szCs w:val="20"/>
                <w:color w:val="auto"/>
              </w:rPr>
            </w:pPr>
            <w:r>
              <w:rPr>
                <w:rFonts w:ascii="Arial" w:cs="Arial" w:eastAsia="Arial" w:hAnsi="Arial"/>
                <w:sz w:val="12"/>
                <w:szCs w:val="12"/>
                <w:color w:val="auto"/>
              </w:rPr>
              <w:t>Adjusted net income (Non-GAAP)</w:t>
            </w:r>
            <w:r>
              <w:rPr>
                <w:rFonts w:ascii="Arial" w:cs="Arial" w:eastAsia="Arial" w:hAnsi="Arial"/>
                <w:sz w:val="15"/>
                <w:szCs w:val="15"/>
                <w:color w:val="auto"/>
                <w:vertAlign w:val="superscript"/>
              </w:rPr>
              <w:t>(v)</w:t>
            </w:r>
          </w:p>
        </w:tc>
        <w:tc>
          <w:tcPr>
            <w:tcW w:w="840" w:type="dxa"/>
            <w:vAlign w:val="bottom"/>
          </w:tcPr>
          <w:p>
            <w:pPr>
              <w:ind w:left="80"/>
              <w:spacing w:after="0"/>
              <w:rPr>
                <w:sz w:val="20"/>
                <w:szCs w:val="20"/>
                <w:color w:val="auto"/>
              </w:rPr>
            </w:pPr>
            <w:r>
              <w:rPr>
                <w:rFonts w:ascii="Arial" w:cs="Arial" w:eastAsia="Arial" w:hAnsi="Arial"/>
                <w:sz w:val="12"/>
                <w:szCs w:val="12"/>
                <w:color w:val="auto"/>
              </w:rPr>
              <w:t>[b]</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65,186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color w:val="auto"/>
              </w:rPr>
              <w:t>62,496</w:t>
            </w: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30,872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color w:val="auto"/>
              </w:rPr>
              <w:t>224,974</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120,033</w:t>
            </w:r>
          </w:p>
        </w:tc>
        <w:tc>
          <w:tcPr>
            <w:tcW w:w="0" w:type="dxa"/>
            <w:vAlign w:val="bottom"/>
          </w:tcPr>
          <w:p>
            <w:pPr>
              <w:spacing w:after="0"/>
              <w:rPr>
                <w:sz w:val="1"/>
                <w:szCs w:val="1"/>
                <w:color w:val="auto"/>
              </w:rPr>
            </w:pPr>
          </w:p>
        </w:tc>
      </w:tr>
      <w:tr>
        <w:trPr>
          <w:trHeight w:val="180"/>
        </w:trPr>
        <w:tc>
          <w:tcPr>
            <w:tcW w:w="35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Preferred dividends</w:t>
            </w:r>
          </w:p>
        </w:tc>
        <w:tc>
          <w:tcPr>
            <w:tcW w:w="840" w:type="dxa"/>
            <w:vAlign w:val="bottom"/>
            <w:shd w:val="clear" w:color="auto" w:fill="E0E7ED"/>
          </w:tcPr>
          <w:p>
            <w:pPr>
              <w:ind w:left="80"/>
              <w:spacing w:after="0"/>
              <w:rPr>
                <w:sz w:val="20"/>
                <w:szCs w:val="20"/>
                <w:color w:val="auto"/>
              </w:rPr>
            </w:pPr>
            <w:r>
              <w:rPr>
                <w:rFonts w:ascii="Arial" w:cs="Arial" w:eastAsia="Arial" w:hAnsi="Arial"/>
                <w:sz w:val="12"/>
                <w:szCs w:val="12"/>
                <w:color w:val="auto"/>
              </w:rPr>
              <w:t>[c]</w:t>
            </w: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4,590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5,131</w:t>
            </w: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9,876</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580" w:type="dxa"/>
            <w:vAlign w:val="bottom"/>
          </w:tcPr>
          <w:p>
            <w:pPr>
              <w:spacing w:after="0" w:line="130" w:lineRule="exact"/>
              <w:rPr>
                <w:sz w:val="20"/>
                <w:szCs w:val="20"/>
                <w:color w:val="auto"/>
              </w:rPr>
            </w:pPr>
            <w:r>
              <w:rPr>
                <w:rFonts w:ascii="Arial" w:cs="Arial" w:eastAsia="Arial" w:hAnsi="Arial"/>
                <w:sz w:val="12"/>
                <w:szCs w:val="12"/>
                <w:color w:val="auto"/>
              </w:rPr>
              <w:t>Adjusted net income available to common stockholders (Non-</w:t>
            </w:r>
          </w:p>
        </w:tc>
        <w:tc>
          <w:tcPr>
            <w:tcW w:w="84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2"/>
                <w:szCs w:val="12"/>
                <w:color w:val="auto"/>
              </w:rPr>
              <w:t>60,596</w:t>
            </w:r>
          </w:p>
        </w:tc>
        <w:tc>
          <w:tcPr>
            <w:tcW w:w="8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2"/>
                <w:szCs w:val="12"/>
                <w:color w:val="auto"/>
              </w:rPr>
              <w:t>57,365</w:t>
            </w:r>
          </w:p>
        </w:tc>
        <w:tc>
          <w:tcPr>
            <w:tcW w:w="6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2"/>
                <w:szCs w:val="12"/>
                <w:color w:val="auto"/>
              </w:rPr>
              <w:t>30,872</w:t>
            </w:r>
          </w:p>
        </w:tc>
        <w:tc>
          <w:tcPr>
            <w:tcW w:w="8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2"/>
                <w:szCs w:val="12"/>
                <w:color w:val="auto"/>
              </w:rPr>
              <w:t>215,098</w:t>
            </w:r>
          </w:p>
        </w:tc>
        <w:tc>
          <w:tcPr>
            <w:tcW w:w="8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2"/>
                <w:szCs w:val="12"/>
                <w:color w:val="auto"/>
              </w:rPr>
              <w:t>120,033</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E0E7ED"/>
            </w:tcBorders>
          </w:tcPr>
          <w:p>
            <w:pPr>
              <w:spacing w:after="0" w:line="156" w:lineRule="exact"/>
              <w:rPr>
                <w:sz w:val="20"/>
                <w:szCs w:val="20"/>
                <w:color w:val="auto"/>
              </w:rPr>
            </w:pPr>
            <w:r>
              <w:rPr>
                <w:rFonts w:ascii="Arial" w:cs="Arial" w:eastAsia="Arial" w:hAnsi="Arial"/>
                <w:sz w:val="12"/>
                <w:szCs w:val="12"/>
                <w:color w:val="auto"/>
              </w:rPr>
              <w:t>GAAP)</w:t>
            </w:r>
            <w:r>
              <w:rPr>
                <w:rFonts w:ascii="Arial" w:cs="Arial" w:eastAsia="Arial" w:hAnsi="Arial"/>
                <w:sz w:val="15"/>
                <w:szCs w:val="15"/>
                <w:color w:val="auto"/>
                <w:vertAlign w:val="superscript"/>
              </w:rPr>
              <w:t>(v)</w:t>
            </w:r>
          </w:p>
        </w:tc>
        <w:tc>
          <w:tcPr>
            <w:tcW w:w="840" w:type="dxa"/>
            <w:vAlign w:val="bottom"/>
            <w:tcBorders>
              <w:bottom w:val="single" w:sz="8" w:color="E0E7ED"/>
            </w:tcBorders>
          </w:tcPr>
          <w:p>
            <w:pPr>
              <w:ind w:left="80"/>
              <w:spacing w:after="0"/>
              <w:rPr>
                <w:sz w:val="20"/>
                <w:szCs w:val="20"/>
                <w:color w:val="auto"/>
              </w:rPr>
            </w:pPr>
            <w:r>
              <w:rPr>
                <w:rFonts w:ascii="Arial" w:cs="Arial" w:eastAsia="Arial" w:hAnsi="Arial"/>
                <w:sz w:val="12"/>
                <w:szCs w:val="12"/>
                <w:color w:val="auto"/>
              </w:rPr>
              <w:t>[d]</w:t>
            </w:r>
          </w:p>
        </w:tc>
        <w:tc>
          <w:tcPr>
            <w:tcW w:w="2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580" w:type="dxa"/>
            <w:vAlign w:val="bottom"/>
            <w:shd w:val="clear" w:color="auto" w:fill="E0E7ED"/>
          </w:tcPr>
          <w:p>
            <w:pPr>
              <w:spacing w:after="0"/>
              <w:rPr>
                <w:sz w:val="10"/>
                <w:szCs w:val="10"/>
                <w:color w:val="auto"/>
              </w:rPr>
            </w:pPr>
          </w:p>
        </w:tc>
        <w:tc>
          <w:tcPr>
            <w:tcW w:w="840" w:type="dxa"/>
            <w:vAlign w:val="bottom"/>
            <w:shd w:val="clear" w:color="auto" w:fill="E0E7ED"/>
          </w:tcPr>
          <w:p>
            <w:pPr>
              <w:spacing w:after="0"/>
              <w:rPr>
                <w:sz w:val="10"/>
                <w:szCs w:val="10"/>
                <w:color w:val="auto"/>
              </w:rPr>
            </w:pPr>
          </w:p>
        </w:tc>
        <w:tc>
          <w:tcPr>
            <w:tcW w:w="200" w:type="dxa"/>
            <w:vAlign w:val="bottom"/>
            <w:shd w:val="clear" w:color="auto" w:fill="E0E7ED"/>
          </w:tcPr>
          <w:p>
            <w:pPr>
              <w:spacing w:after="0"/>
              <w:rPr>
                <w:sz w:val="10"/>
                <w:szCs w:val="10"/>
                <w:color w:val="auto"/>
              </w:rPr>
            </w:pPr>
          </w:p>
        </w:tc>
        <w:tc>
          <w:tcPr>
            <w:tcW w:w="110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140" w:type="dxa"/>
            <w:vAlign w:val="bottom"/>
            <w:shd w:val="clear" w:color="auto" w:fill="E0E7ED"/>
          </w:tcPr>
          <w:p>
            <w:pPr>
              <w:spacing w:after="0"/>
              <w:rPr>
                <w:sz w:val="10"/>
                <w:szCs w:val="10"/>
                <w:color w:val="auto"/>
              </w:rPr>
            </w:pPr>
          </w:p>
        </w:tc>
        <w:tc>
          <w:tcPr>
            <w:tcW w:w="1180" w:type="dxa"/>
            <w:vAlign w:val="bottom"/>
            <w:shd w:val="clear" w:color="auto" w:fill="E0E7ED"/>
          </w:tcPr>
          <w:p>
            <w:pPr>
              <w:spacing w:after="0"/>
              <w:rPr>
                <w:sz w:val="10"/>
                <w:szCs w:val="10"/>
                <w:color w:val="auto"/>
              </w:rPr>
            </w:pPr>
          </w:p>
        </w:tc>
        <w:tc>
          <w:tcPr>
            <w:tcW w:w="60" w:type="dxa"/>
            <w:vAlign w:val="bottom"/>
            <w:shd w:val="clear" w:color="auto" w:fill="E0E7ED"/>
          </w:tcPr>
          <w:p>
            <w:pPr>
              <w:spacing w:after="0"/>
              <w:rPr>
                <w:sz w:val="10"/>
                <w:szCs w:val="10"/>
                <w:color w:val="auto"/>
              </w:rPr>
            </w:pPr>
          </w:p>
        </w:tc>
        <w:tc>
          <w:tcPr>
            <w:tcW w:w="220" w:type="dxa"/>
            <w:vAlign w:val="bottom"/>
            <w:shd w:val="clear" w:color="auto" w:fill="E0E7ED"/>
          </w:tcPr>
          <w:p>
            <w:pPr>
              <w:spacing w:after="0"/>
              <w:rPr>
                <w:sz w:val="10"/>
                <w:szCs w:val="10"/>
                <w:color w:val="auto"/>
              </w:rPr>
            </w:pPr>
          </w:p>
        </w:tc>
        <w:tc>
          <w:tcPr>
            <w:tcW w:w="110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220" w:type="dxa"/>
            <w:vAlign w:val="bottom"/>
            <w:shd w:val="clear" w:color="auto" w:fill="E0E7ED"/>
          </w:tcPr>
          <w:p>
            <w:pPr>
              <w:spacing w:after="0"/>
              <w:rPr>
                <w:sz w:val="10"/>
                <w:szCs w:val="10"/>
                <w:color w:val="auto"/>
              </w:rPr>
            </w:pPr>
          </w:p>
        </w:tc>
        <w:tc>
          <w:tcPr>
            <w:tcW w:w="110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00" w:type="dxa"/>
            <w:vAlign w:val="bottom"/>
            <w:shd w:val="clear" w:color="auto" w:fill="E0E7ED"/>
          </w:tcPr>
          <w:p>
            <w:pPr>
              <w:spacing w:after="0"/>
              <w:rPr>
                <w:sz w:val="10"/>
                <w:szCs w:val="10"/>
                <w:color w:val="auto"/>
              </w:rPr>
            </w:pPr>
          </w:p>
        </w:tc>
        <w:tc>
          <w:tcPr>
            <w:tcW w:w="1020" w:type="dxa"/>
            <w:vAlign w:val="bottom"/>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20"/>
                <w:szCs w:val="20"/>
                <w:color w:val="auto"/>
              </w:rPr>
            </w:pPr>
            <w:r>
              <w:rPr>
                <w:rFonts w:ascii="Arial" w:cs="Arial" w:eastAsia="Arial" w:hAnsi="Arial"/>
                <w:sz w:val="12"/>
                <w:szCs w:val="12"/>
                <w:b w:val="1"/>
                <w:bCs w:val="1"/>
                <w:color w:val="auto"/>
              </w:rPr>
              <w:t>Weighted average number of common shares outstanding,</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Arial" w:cs="Arial" w:eastAsia="Arial" w:hAnsi="Arial"/>
                <w:sz w:val="12"/>
                <w:szCs w:val="12"/>
                <w:b w:val="1"/>
                <w:bCs w:val="1"/>
                <w:color w:val="auto"/>
              </w:rPr>
              <w:t>diluted (GAAP)</w:t>
            </w:r>
          </w:p>
        </w:tc>
        <w:tc>
          <w:tcPr>
            <w:tcW w:w="840" w:type="dxa"/>
            <w:vAlign w:val="bottom"/>
          </w:tcPr>
          <w:p>
            <w:pPr>
              <w:ind w:left="80"/>
              <w:spacing w:after="0"/>
              <w:rPr>
                <w:sz w:val="20"/>
                <w:szCs w:val="20"/>
                <w:color w:val="auto"/>
              </w:rPr>
            </w:pPr>
            <w:r>
              <w:rPr>
                <w:rFonts w:ascii="Arial" w:cs="Arial" w:eastAsia="Arial" w:hAnsi="Arial"/>
                <w:sz w:val="12"/>
                <w:szCs w:val="12"/>
                <w:color w:val="auto"/>
              </w:rPr>
              <w:t>[e]</w:t>
            </w:r>
          </w:p>
        </w:tc>
        <w:tc>
          <w:tcPr>
            <w:tcW w:w="20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89,655,632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90,218,382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57,934,812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85,133,626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57,543,001</w:t>
            </w:r>
          </w:p>
        </w:tc>
        <w:tc>
          <w:tcPr>
            <w:tcW w:w="0" w:type="dxa"/>
            <w:vAlign w:val="bottom"/>
          </w:tcPr>
          <w:p>
            <w:pPr>
              <w:spacing w:after="0"/>
              <w:rPr>
                <w:sz w:val="1"/>
                <w:szCs w:val="1"/>
                <w:color w:val="auto"/>
              </w:rPr>
            </w:pPr>
          </w:p>
        </w:tc>
      </w:tr>
      <w:tr>
        <w:trPr>
          <w:trHeight w:val="185"/>
        </w:trPr>
        <w:tc>
          <w:tcPr>
            <w:tcW w:w="35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Diluted earnings per common share (GAAP)</w:t>
            </w:r>
          </w:p>
        </w:tc>
        <w:tc>
          <w:tcPr>
            <w:tcW w:w="840" w:type="dxa"/>
            <w:vAlign w:val="bottom"/>
            <w:shd w:val="clear" w:color="auto" w:fill="E0E7ED"/>
          </w:tcPr>
          <w:p>
            <w:pPr>
              <w:ind w:left="80"/>
              <w:spacing w:after="0"/>
              <w:rPr>
                <w:sz w:val="20"/>
                <w:szCs w:val="20"/>
                <w:color w:val="auto"/>
              </w:rPr>
            </w:pPr>
            <w:r>
              <w:rPr>
                <w:rFonts w:ascii="Arial" w:cs="Arial" w:eastAsia="Arial" w:hAnsi="Arial"/>
                <w:sz w:val="12"/>
                <w:szCs w:val="12"/>
                <w:color w:val="auto"/>
              </w:rPr>
              <w:t>[(a-c)÷e]</w:t>
            </w:r>
          </w:p>
        </w:tc>
        <w:tc>
          <w:tcPr>
            <w:tcW w:w="200" w:type="dxa"/>
            <w:vAlign w:val="bottom"/>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0.63</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0.58</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0.49</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1.47</w:t>
            </w: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20"/>
                <w:szCs w:val="20"/>
                <w:color w:val="auto"/>
              </w:rPr>
            </w:pPr>
            <w:r>
              <w:rPr>
                <w:rFonts w:ascii="Arial" w:cs="Arial" w:eastAsia="Arial" w:hAnsi="Arial"/>
                <w:sz w:val="12"/>
                <w:szCs w:val="12"/>
                <w:color w:val="auto"/>
              </w:rPr>
              <w:t>Adjusted diluted earnings per common share (Non-GAAP)</w:t>
            </w:r>
            <w:r>
              <w:rPr>
                <w:rFonts w:ascii="Arial" w:cs="Arial" w:eastAsia="Arial" w:hAnsi="Arial"/>
                <w:sz w:val="15"/>
                <w:szCs w:val="15"/>
                <w:color w:val="auto"/>
                <w:vertAlign w:val="superscript"/>
              </w:rPr>
              <w:t>(v)</w:t>
            </w:r>
          </w:p>
        </w:tc>
        <w:tc>
          <w:tcPr>
            <w:tcW w:w="840" w:type="dxa"/>
            <w:vAlign w:val="bottom"/>
          </w:tcPr>
          <w:p>
            <w:pPr>
              <w:ind w:left="80"/>
              <w:spacing w:after="0"/>
              <w:rPr>
                <w:sz w:val="20"/>
                <w:szCs w:val="20"/>
                <w:color w:val="auto"/>
              </w:rPr>
            </w:pPr>
            <w:r>
              <w:rPr>
                <w:rFonts w:ascii="Arial" w:cs="Arial" w:eastAsia="Arial" w:hAnsi="Arial"/>
                <w:sz w:val="12"/>
                <w:szCs w:val="12"/>
                <w:color w:val="auto"/>
              </w:rPr>
              <w:t>[d÷e]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0.68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0.64</w:t>
            </w:r>
          </w:p>
        </w:tc>
        <w:tc>
          <w:tcPr>
            <w:tcW w:w="6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0.53</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80"/>
        </w:trPr>
        <w:tc>
          <w:tcPr>
            <w:tcW w:w="358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Average total assets</w:t>
            </w:r>
          </w:p>
        </w:tc>
        <w:tc>
          <w:tcPr>
            <w:tcW w:w="840" w:type="dxa"/>
            <w:vAlign w:val="bottom"/>
          </w:tcPr>
          <w:p>
            <w:pPr>
              <w:ind w:left="80"/>
              <w:spacing w:after="0"/>
              <w:rPr>
                <w:sz w:val="20"/>
                <w:szCs w:val="20"/>
                <w:color w:val="auto"/>
              </w:rPr>
            </w:pPr>
            <w:r>
              <w:rPr>
                <w:rFonts w:ascii="Arial" w:cs="Arial" w:eastAsia="Arial" w:hAnsi="Arial"/>
                <w:sz w:val="12"/>
                <w:szCs w:val="12"/>
                <w:color w:val="auto"/>
              </w:rPr>
              <w:t>[f]</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18,309,250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18,662,449</w:t>
            </w:r>
          </w:p>
        </w:tc>
        <w:tc>
          <w:tcPr>
            <w:tcW w:w="6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12,085,993</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17,729,887</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12,051,871</w:t>
            </w:r>
          </w:p>
        </w:tc>
        <w:tc>
          <w:tcPr>
            <w:tcW w:w="0" w:type="dxa"/>
            <w:vAlign w:val="bottom"/>
          </w:tcPr>
          <w:p>
            <w:pPr>
              <w:spacing w:after="0"/>
              <w:rPr>
                <w:sz w:val="1"/>
                <w:szCs w:val="1"/>
                <w:color w:val="auto"/>
              </w:rPr>
            </w:pPr>
          </w:p>
        </w:tc>
      </w:tr>
      <w:tr>
        <w:trPr>
          <w:trHeight w:val="188"/>
        </w:trPr>
        <w:tc>
          <w:tcPr>
            <w:tcW w:w="3580" w:type="dxa"/>
            <w:vAlign w:val="bottom"/>
            <w:shd w:val="clear" w:color="auto" w:fill="E0E7ED"/>
          </w:tcPr>
          <w:p>
            <w:pPr>
              <w:spacing w:after="0"/>
              <w:rPr>
                <w:sz w:val="20"/>
                <w:szCs w:val="20"/>
                <w:color w:val="auto"/>
              </w:rPr>
            </w:pPr>
            <w:r>
              <w:rPr>
                <w:rFonts w:ascii="Arial" w:cs="Arial" w:eastAsia="Arial" w:hAnsi="Arial"/>
                <w:sz w:val="12"/>
                <w:szCs w:val="12"/>
                <w:color w:val="auto"/>
              </w:rPr>
              <w:t>Return on average assets (Non-GAAP)</w:t>
            </w:r>
            <w:r>
              <w:rPr>
                <w:rFonts w:ascii="Arial" w:cs="Arial" w:eastAsia="Arial" w:hAnsi="Arial"/>
                <w:sz w:val="15"/>
                <w:szCs w:val="15"/>
                <w:color w:val="auto"/>
                <w:vertAlign w:val="superscript"/>
              </w:rPr>
              <w:t>(vi)</w:t>
            </w:r>
          </w:p>
        </w:tc>
        <w:tc>
          <w:tcPr>
            <w:tcW w:w="840" w:type="dxa"/>
            <w:vAlign w:val="bottom"/>
            <w:shd w:val="clear" w:color="auto" w:fill="E0E7ED"/>
          </w:tcPr>
          <w:p>
            <w:pPr>
              <w:ind w:left="80"/>
              <w:spacing w:after="0"/>
              <w:rPr>
                <w:sz w:val="20"/>
                <w:szCs w:val="20"/>
                <w:color w:val="auto"/>
              </w:rPr>
            </w:pPr>
            <w:r>
              <w:rPr>
                <w:rFonts w:ascii="Arial" w:cs="Arial" w:eastAsia="Arial" w:hAnsi="Arial"/>
                <w:sz w:val="12"/>
                <w:szCs w:val="12"/>
                <w:color w:val="auto"/>
              </w:rPr>
              <w:t>[a÷f]</w:t>
            </w: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1.32 %</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1.21 %</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0.93 %</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0.76 %</w:t>
            </w: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0.94 %</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20"/>
                <w:szCs w:val="20"/>
                <w:color w:val="auto"/>
              </w:rPr>
            </w:pPr>
            <w:r>
              <w:rPr>
                <w:rFonts w:ascii="Arial" w:cs="Arial" w:eastAsia="Arial" w:hAnsi="Arial"/>
                <w:sz w:val="12"/>
                <w:szCs w:val="12"/>
                <w:color w:val="auto"/>
              </w:rPr>
              <w:t>Adjusted return on average assets (Non-GAAP)</w:t>
            </w:r>
            <w:r>
              <w:rPr>
                <w:rFonts w:ascii="Arial" w:cs="Arial" w:eastAsia="Arial" w:hAnsi="Arial"/>
                <w:sz w:val="15"/>
                <w:szCs w:val="15"/>
                <w:color w:val="auto"/>
                <w:vertAlign w:val="superscript"/>
              </w:rPr>
              <w:t>(v)(vi)</w:t>
            </w:r>
          </w:p>
        </w:tc>
        <w:tc>
          <w:tcPr>
            <w:tcW w:w="840" w:type="dxa"/>
            <w:vAlign w:val="bottom"/>
          </w:tcPr>
          <w:p>
            <w:pPr>
              <w:ind w:left="80"/>
              <w:spacing w:after="0"/>
              <w:rPr>
                <w:sz w:val="20"/>
                <w:szCs w:val="20"/>
                <w:color w:val="auto"/>
              </w:rPr>
            </w:pPr>
            <w:r>
              <w:rPr>
                <w:rFonts w:ascii="Arial" w:cs="Arial" w:eastAsia="Arial" w:hAnsi="Arial"/>
                <w:sz w:val="12"/>
                <w:szCs w:val="12"/>
                <w:color w:val="auto"/>
              </w:rPr>
              <w:t>[b÷f]</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1.33 %</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1.02 %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1.27 %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80"/>
        </w:trPr>
        <w:tc>
          <w:tcPr>
            <w:tcW w:w="358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Average common equity</w:t>
            </w:r>
          </w:p>
        </w:tc>
        <w:tc>
          <w:tcPr>
            <w:tcW w:w="84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2,253,609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2,210,711</w:t>
            </w:r>
          </w:p>
        </w:tc>
        <w:tc>
          <w:tcPr>
            <w:tcW w:w="6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1,396,939</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2,145,484</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1,342,424</w:t>
            </w:r>
          </w:p>
        </w:tc>
        <w:tc>
          <w:tcPr>
            <w:tcW w:w="0" w:type="dxa"/>
            <w:vAlign w:val="bottom"/>
          </w:tcPr>
          <w:p>
            <w:pPr>
              <w:spacing w:after="0"/>
              <w:rPr>
                <w:sz w:val="1"/>
                <w:szCs w:val="1"/>
                <w:color w:val="auto"/>
              </w:rPr>
            </w:pPr>
          </w:p>
        </w:tc>
      </w:tr>
      <w:tr>
        <w:trPr>
          <w:trHeight w:val="188"/>
        </w:trPr>
        <w:tc>
          <w:tcPr>
            <w:tcW w:w="35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Average goodwill and other intangible assets, net</w:t>
            </w:r>
          </w:p>
        </w:tc>
        <w:tc>
          <w:tcPr>
            <w:tcW w:w="84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(483,640)</w:t>
            </w:r>
          </w:p>
        </w:tc>
        <w:tc>
          <w:tcPr>
            <w:tcW w:w="80" w:type="dxa"/>
            <w:vAlign w:val="bottom"/>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(486,625)</w:t>
            </w:r>
          </w:p>
        </w:tc>
        <w:tc>
          <w:tcPr>
            <w:tcW w:w="60" w:type="dxa"/>
            <w:vAlign w:val="bottom"/>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(367,400)</w:t>
            </w:r>
          </w:p>
        </w:tc>
        <w:tc>
          <w:tcPr>
            <w:tcW w:w="80" w:type="dxa"/>
            <w:vAlign w:val="bottom"/>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ind w:right="62"/>
              <w:spacing w:after="0"/>
              <w:rPr>
                <w:sz w:val="20"/>
                <w:szCs w:val="20"/>
                <w:color w:val="auto"/>
              </w:rPr>
            </w:pPr>
            <w:r>
              <w:rPr>
                <w:rFonts w:ascii="Arial" w:cs="Arial" w:eastAsia="Arial" w:hAnsi="Arial"/>
                <w:sz w:val="12"/>
                <w:szCs w:val="12"/>
                <w:color w:val="auto"/>
              </w:rPr>
              <w:t>(469,187)</w:t>
            </w:r>
          </w:p>
        </w:tc>
        <w:tc>
          <w:tcPr>
            <w:tcW w:w="8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02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(366,601)</w:t>
            </w:r>
          </w:p>
        </w:tc>
        <w:tc>
          <w:tcPr>
            <w:tcW w:w="0" w:type="dxa"/>
            <w:vAlign w:val="bottom"/>
          </w:tcPr>
          <w:p>
            <w:pPr>
              <w:spacing w:after="0"/>
              <w:rPr>
                <w:sz w:val="1"/>
                <w:szCs w:val="1"/>
                <w:color w:val="auto"/>
              </w:rPr>
            </w:pPr>
          </w:p>
        </w:tc>
      </w:tr>
      <w:tr>
        <w:trPr>
          <w:trHeight w:val="187"/>
        </w:trPr>
        <w:tc>
          <w:tcPr>
            <w:tcW w:w="358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Average tangible common equity (Non-GAAP)</w:t>
            </w:r>
          </w:p>
        </w:tc>
        <w:tc>
          <w:tcPr>
            <w:tcW w:w="840" w:type="dxa"/>
            <w:vAlign w:val="bottom"/>
            <w:tcBorders>
              <w:bottom w:val="single" w:sz="8" w:color="E0E7ED"/>
            </w:tcBorders>
          </w:tcPr>
          <w:p>
            <w:pPr>
              <w:ind w:left="80"/>
              <w:spacing w:after="0"/>
              <w:rPr>
                <w:sz w:val="20"/>
                <w:szCs w:val="20"/>
                <w:color w:val="auto"/>
              </w:rPr>
            </w:pPr>
            <w:r>
              <w:rPr>
                <w:rFonts w:ascii="Arial" w:cs="Arial" w:eastAsia="Arial" w:hAnsi="Arial"/>
                <w:sz w:val="12"/>
                <w:szCs w:val="12"/>
                <w:color w:val="auto"/>
              </w:rPr>
              <w:t>[g]</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1,769,969</w:t>
            </w:r>
          </w:p>
        </w:tc>
        <w:tc>
          <w:tcPr>
            <w:tcW w:w="80" w:type="dxa"/>
            <w:vAlign w:val="bottom"/>
            <w:tcBorders>
              <w:bottom w:val="single" w:sz="8" w:color="E0E7ED"/>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1,724,086</w:t>
            </w:r>
          </w:p>
        </w:tc>
        <w:tc>
          <w:tcPr>
            <w:tcW w:w="60" w:type="dxa"/>
            <w:vAlign w:val="bottom"/>
            <w:tcBorders>
              <w:bottom w:val="single" w:sz="8" w:color="E0E7ED"/>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1,029,539</w:t>
            </w:r>
          </w:p>
        </w:tc>
        <w:tc>
          <w:tcPr>
            <w:tcW w:w="80" w:type="dxa"/>
            <w:vAlign w:val="bottom"/>
            <w:tcBorders>
              <w:bottom w:val="single" w:sz="8" w:color="E0E7ED"/>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1,676,297</w:t>
            </w:r>
          </w:p>
        </w:tc>
        <w:tc>
          <w:tcPr>
            <w:tcW w:w="8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975,823</w:t>
            </w:r>
          </w:p>
        </w:tc>
        <w:tc>
          <w:tcPr>
            <w:tcW w:w="0" w:type="dxa"/>
            <w:vAlign w:val="bottom"/>
          </w:tcPr>
          <w:p>
            <w:pPr>
              <w:spacing w:after="0"/>
              <w:rPr>
                <w:sz w:val="1"/>
                <w:szCs w:val="1"/>
                <w:color w:val="auto"/>
              </w:rPr>
            </w:pPr>
          </w:p>
        </w:tc>
      </w:tr>
      <w:tr>
        <w:trPr>
          <w:trHeight w:val="160"/>
        </w:trPr>
        <w:tc>
          <w:tcPr>
            <w:tcW w:w="3580" w:type="dxa"/>
            <w:vAlign w:val="bottom"/>
            <w:shd w:val="clear" w:color="auto" w:fill="E0E7ED"/>
          </w:tcPr>
          <w:p>
            <w:pPr>
              <w:spacing w:after="0"/>
              <w:rPr>
                <w:sz w:val="13"/>
                <w:szCs w:val="13"/>
                <w:color w:val="auto"/>
              </w:rPr>
            </w:pPr>
          </w:p>
        </w:tc>
        <w:tc>
          <w:tcPr>
            <w:tcW w:w="84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1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40" w:type="dxa"/>
            <w:vAlign w:val="bottom"/>
            <w:shd w:val="clear" w:color="auto" w:fill="E0E7ED"/>
          </w:tcPr>
          <w:p>
            <w:pPr>
              <w:spacing w:after="0"/>
              <w:rPr>
                <w:sz w:val="13"/>
                <w:szCs w:val="13"/>
                <w:color w:val="auto"/>
              </w:rPr>
            </w:pPr>
          </w:p>
        </w:tc>
        <w:tc>
          <w:tcPr>
            <w:tcW w:w="118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1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1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300"/>
          </w:cols>
          <w:pgMar w:left="300" w:top="910" w:right="299" w:bottom="1440" w:gutter="0" w:footer="0" w:header="0"/>
        </w:sectPr>
      </w:pPr>
    </w:p>
    <w:p>
      <w:pPr>
        <w:spacing w:after="0"/>
        <w:rPr>
          <w:sz w:val="20"/>
          <w:szCs w:val="20"/>
          <w:color w:val="auto"/>
        </w:rPr>
      </w:pPr>
      <w:r>
        <w:rPr>
          <w:rFonts w:ascii="Arial" w:cs="Arial" w:eastAsia="Arial" w:hAnsi="Arial"/>
          <w:sz w:val="12"/>
          <w:szCs w:val="12"/>
          <w:color w:val="auto"/>
        </w:rPr>
        <w:t>Return on average tangible common equity (Non-GAAP)</w:t>
      </w:r>
      <w:r>
        <w:rPr>
          <w:rFonts w:ascii="Arial" w:cs="Arial" w:eastAsia="Arial" w:hAnsi="Arial"/>
          <w:sz w:val="15"/>
          <w:szCs w:val="15"/>
          <w:color w:val="auto"/>
          <w:vertAlign w:val="superscript"/>
        </w:rPr>
        <w:t>(vi)</w:t>
      </w:r>
    </w:p>
    <w:p>
      <w:pPr>
        <w:spacing w:after="0" w:line="193" w:lineRule="auto"/>
        <w:rPr>
          <w:sz w:val="20"/>
          <w:szCs w:val="20"/>
          <w:color w:val="auto"/>
        </w:rPr>
      </w:pPr>
      <w:r>
        <w:rPr>
          <w:rFonts w:ascii="Arial" w:cs="Arial" w:eastAsia="Arial" w:hAnsi="Arial"/>
          <w:sz w:val="11"/>
          <w:szCs w:val="11"/>
          <w:color w:val="auto"/>
        </w:rPr>
        <w:t>Adjusted return on average tangible common equity (Non-GAAP)</w:t>
      </w:r>
      <w:r>
        <w:rPr>
          <w:rFonts w:ascii="Arial" w:cs="Arial" w:eastAsia="Arial" w:hAnsi="Arial"/>
          <w:sz w:val="14"/>
          <w:szCs w:val="14"/>
          <w:color w:val="auto"/>
          <w:vertAlign w:val="superscript"/>
        </w:rPr>
        <w:t>(v)</w:t>
      </w:r>
    </w:p>
    <w:p>
      <w:pPr>
        <w:spacing w:after="0"/>
        <w:rPr>
          <w:sz w:val="20"/>
          <w:szCs w:val="20"/>
          <w:color w:val="auto"/>
        </w:rPr>
      </w:pPr>
      <w:r>
        <w:rPr>
          <w:rFonts w:ascii="Arial" w:cs="Arial" w:eastAsia="Arial" w:hAnsi="Arial"/>
          <w:sz w:val="8"/>
          <w:szCs w:val="8"/>
          <w:color w:val="auto"/>
        </w:rPr>
        <w:t>(vi)</w:t>
      </w:r>
    </w:p>
    <w:p>
      <w:pPr>
        <w:spacing w:after="0" w:line="10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[(a-c)÷g]</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[d÷g]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920" w:type="dxa"/>
            <w:vAlign w:val="bottom"/>
          </w:tcPr>
          <w:p>
            <w:pPr>
              <w:jc w:val="right"/>
              <w:ind w:right="400"/>
              <w:spacing w:after="0"/>
              <w:rPr>
                <w:sz w:val="20"/>
                <w:szCs w:val="20"/>
                <w:color w:val="auto"/>
              </w:rPr>
            </w:pPr>
            <w:r>
              <w:rPr>
                <w:rFonts w:ascii="Arial" w:cs="Arial" w:eastAsia="Arial" w:hAnsi="Arial"/>
                <w:sz w:val="12"/>
                <w:szCs w:val="12"/>
                <w:color w:val="auto"/>
                <w:w w:val="99"/>
              </w:rPr>
              <w:t>12.59 %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11.96 %</w:t>
            </w:r>
          </w:p>
        </w:tc>
        <w:tc>
          <w:tcPr>
            <w:tcW w:w="1380" w:type="dxa"/>
            <w:vAlign w:val="bottom"/>
          </w:tcPr>
          <w:p>
            <w:pPr>
              <w:jc w:val="right"/>
              <w:ind w:right="400"/>
              <w:spacing w:after="0"/>
              <w:rPr>
                <w:sz w:val="20"/>
                <w:szCs w:val="20"/>
                <w:color w:val="auto"/>
              </w:rPr>
            </w:pPr>
            <w:r>
              <w:rPr>
                <w:rFonts w:ascii="Arial" w:cs="Arial" w:eastAsia="Arial" w:hAnsi="Arial"/>
                <w:sz w:val="12"/>
                <w:szCs w:val="12"/>
                <w:color w:val="auto"/>
              </w:rPr>
              <w:t>10.86 %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7.48 %</w:t>
            </w:r>
          </w:p>
        </w:tc>
        <w:tc>
          <w:tcPr>
            <w:tcW w:w="920" w:type="dxa"/>
            <w:vAlign w:val="bottom"/>
          </w:tcPr>
          <w:p>
            <w:pPr>
              <w:jc w:val="right"/>
              <w:spacing w:after="0"/>
              <w:rPr>
                <w:sz w:val="20"/>
                <w:szCs w:val="20"/>
                <w:color w:val="auto"/>
              </w:rPr>
            </w:pPr>
            <w:r>
              <w:rPr>
                <w:rFonts w:ascii="Arial" w:cs="Arial" w:eastAsia="Arial" w:hAnsi="Arial"/>
                <w:sz w:val="12"/>
                <w:szCs w:val="12"/>
                <w:color w:val="auto"/>
              </w:rPr>
              <w:t>11.65 %</w:t>
            </w:r>
          </w:p>
        </w:tc>
      </w:tr>
      <w:tr>
        <w:trPr>
          <w:trHeight w:val="270"/>
        </w:trPr>
        <w:tc>
          <w:tcPr>
            <w:tcW w:w="920" w:type="dxa"/>
            <w:vAlign w:val="bottom"/>
          </w:tcPr>
          <w:p>
            <w:pPr>
              <w:jc w:val="right"/>
              <w:ind w:right="400"/>
              <w:spacing w:after="0"/>
              <w:rPr>
                <w:sz w:val="20"/>
                <w:szCs w:val="20"/>
                <w:color w:val="auto"/>
              </w:rPr>
            </w:pPr>
            <w:r>
              <w:rPr>
                <w:rFonts w:ascii="Arial" w:cs="Arial" w:eastAsia="Arial" w:hAnsi="Arial"/>
                <w:sz w:val="12"/>
                <w:szCs w:val="12"/>
                <w:color w:val="auto"/>
                <w:w w:val="99"/>
              </w:rPr>
              <w:t>13.58 %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13.20 %</w:t>
            </w:r>
          </w:p>
        </w:tc>
        <w:tc>
          <w:tcPr>
            <w:tcW w:w="1380" w:type="dxa"/>
            <w:vAlign w:val="bottom"/>
          </w:tcPr>
          <w:p>
            <w:pPr>
              <w:jc w:val="right"/>
              <w:ind w:right="400"/>
              <w:spacing w:after="0"/>
              <w:rPr>
                <w:sz w:val="20"/>
                <w:szCs w:val="20"/>
                <w:color w:val="auto"/>
              </w:rPr>
            </w:pPr>
            <w:r>
              <w:rPr>
                <w:rFonts w:ascii="Arial" w:cs="Arial" w:eastAsia="Arial" w:hAnsi="Arial"/>
                <w:sz w:val="12"/>
                <w:szCs w:val="12"/>
                <w:color w:val="auto"/>
              </w:rPr>
              <w:t>11.93 %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12.83 %</w:t>
            </w:r>
          </w:p>
        </w:tc>
        <w:tc>
          <w:tcPr>
            <w:tcW w:w="920" w:type="dxa"/>
            <w:vAlign w:val="bottom"/>
          </w:tcPr>
          <w:p>
            <w:pPr>
              <w:jc w:val="right"/>
              <w:spacing w:after="0"/>
              <w:rPr>
                <w:sz w:val="20"/>
                <w:szCs w:val="20"/>
                <w:color w:val="auto"/>
              </w:rPr>
            </w:pPr>
            <w:r>
              <w:rPr>
                <w:rFonts w:ascii="Arial" w:cs="Arial" w:eastAsia="Arial" w:hAnsi="Arial"/>
                <w:sz w:val="12"/>
                <w:szCs w:val="12"/>
                <w:color w:val="auto"/>
              </w:rPr>
              <w:t>12.30 %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-160655</wp:posOffset>
            </wp:positionV>
            <wp:extent cx="71780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3">
            <w:col w:w="3540" w:space="120"/>
            <w:col w:w="880" w:space="720"/>
            <w:col w:w="6040"/>
          </w:cols>
          <w:pgMar w:left="300" w:top="910" w:right="299" w:bottom="1440" w:gutter="0" w:footer="0" w:header="0"/>
          <w:type w:val="continuous"/>
        </w:sectPr>
      </w:pPr>
    </w:p>
    <w:p>
      <w:pPr>
        <w:ind w:left="320" w:right="20" w:hanging="220"/>
        <w:spacing w:after="0" w:line="234" w:lineRule="auto"/>
        <w:tabs>
          <w:tab w:leader="none" w:pos="333" w:val="left"/>
        </w:tabs>
        <w:numPr>
          <w:ilvl w:val="0"/>
          <w:numId w:val="14"/>
        </w:numPr>
        <w:rPr>
          <w:rFonts w:ascii="Arial" w:cs="Arial" w:eastAsia="Arial" w:hAnsi="Arial"/>
          <w:sz w:val="10"/>
          <w:szCs w:val="10"/>
          <w:color w:val="auto"/>
        </w:rPr>
      </w:pPr>
      <w:r>
        <w:rPr>
          <w:rFonts w:ascii="Arial" w:cs="Arial" w:eastAsia="Arial" w:hAnsi="Arial"/>
          <w:sz w:val="10"/>
          <w:szCs w:val="10"/>
          <w:color w:val="auto"/>
        </w:rPr>
        <w:t>The Day 2 provision represents the initial provision for credit losses recorded in connection with the CrossFirst acquisition to establish an allowance on non-PCD loans and unfunded commitments and is reflected within the provision for credit losses line on the Statement of Income.</w:t>
      </w:r>
    </w:p>
    <w:p>
      <w:pPr>
        <w:ind w:left="320" w:hanging="220"/>
        <w:spacing w:after="0" w:line="244" w:lineRule="auto"/>
        <w:tabs>
          <w:tab w:leader="none" w:pos="327"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 the second quarter of 2025, Busey recorded an adjustment to the initial provision for unfunded commitments for CrossFirst acquisition-date balances based on revised estimates resulting from implementation of a new Current Expected Credit Losses model.</w:t>
      </w:r>
    </w:p>
    <w:p>
      <w:pPr>
        <w:ind w:left="320" w:right="20" w:hanging="220"/>
        <w:spacing w:after="0" w:line="244" w:lineRule="auto"/>
        <w:tabs>
          <w:tab w:leader="none" w:pos="331" w:val="left"/>
        </w:tabs>
        <w:numPr>
          <w:ilvl w:val="0"/>
          <w:numId w:val="14"/>
        </w:numPr>
        <w:rPr>
          <w:rFonts w:ascii="Arial" w:cs="Arial" w:eastAsia="Arial" w:hAnsi="Arial"/>
          <w:sz w:val="10"/>
          <w:szCs w:val="10"/>
          <w:color w:val="auto"/>
        </w:rPr>
      </w:pPr>
      <w:r>
        <w:rPr>
          <w:rFonts w:ascii="Arial" w:cs="Arial" w:eastAsia="Arial" w:hAnsi="Arial"/>
          <w:sz w:val="10"/>
          <w:szCs w:val="10"/>
          <w:color w:val="auto"/>
        </w:rPr>
        <w:t>Tax benefits were calculated for the year-to-date periods using tax rates of 26.28% and 24.88% for the years ended December 31, 2025 and 2024, respectively. Tax benefits for the quarterly periods were calculated as the year-to-date tax amounts less the tax reported for previous quarters during the year.</w:t>
      </w:r>
    </w:p>
    <w:p>
      <w:pPr>
        <w:jc w:val="both"/>
        <w:ind w:left="320" w:hanging="220"/>
        <w:spacing w:after="0" w:line="237" w:lineRule="auto"/>
        <w:tabs>
          <w:tab w:leader="none" w:pos="336" w:val="left"/>
        </w:tabs>
        <w:numPr>
          <w:ilvl w:val="0"/>
          <w:numId w:val="14"/>
        </w:numPr>
        <w:rPr>
          <w:rFonts w:ascii="Arial" w:cs="Arial" w:eastAsia="Arial" w:hAnsi="Arial"/>
          <w:sz w:val="10"/>
          <w:szCs w:val="10"/>
          <w:color w:val="auto"/>
        </w:rPr>
      </w:pPr>
      <w:r>
        <w:rPr>
          <w:rFonts w:ascii="Arial" w:cs="Arial" w:eastAsia="Arial" w:hAnsi="Arial"/>
          <w:sz w:val="10"/>
          <w:szCs w:val="10"/>
          <w:color w:val="auto"/>
        </w:rPr>
        <w:t>A deferred valuation tax adjustment in 2025 was recorded in connection with the CrossFirst acquisition and the expansion of Busey’s footprint into new states. Additionally, 2025 includes a write-off of deferred tax assets related to non-deductible compensation and acquisition-related expenses. A deferred tax valuation adjustment in 2024 resulted from a change to Busey’s Illinois apportionment rate due to recently enacted regulations. Deferred tax adjustments are reflected within the income taxes line on the Statement of Income.</w:t>
      </w:r>
    </w:p>
    <w:p>
      <w:pPr>
        <w:spacing w:after="0" w:line="1" w:lineRule="exact"/>
        <w:rPr>
          <w:rFonts w:ascii="Arial" w:cs="Arial" w:eastAsia="Arial" w:hAnsi="Arial"/>
          <w:sz w:val="10"/>
          <w:szCs w:val="10"/>
          <w:color w:val="auto"/>
        </w:rPr>
      </w:pPr>
    </w:p>
    <w:p>
      <w:pPr>
        <w:ind w:left="320" w:hanging="220"/>
        <w:spacing w:after="0" w:line="244" w:lineRule="auto"/>
        <w:tabs>
          <w:tab w:leader="none" w:pos="333" w:val="left"/>
        </w:tabs>
        <w:numPr>
          <w:ilvl w:val="0"/>
          <w:numId w:val="14"/>
        </w:numPr>
        <w:rPr>
          <w:rFonts w:ascii="Arial" w:cs="Arial" w:eastAsia="Arial" w:hAnsi="Arial"/>
          <w:sz w:val="10"/>
          <w:szCs w:val="10"/>
          <w:color w:val="auto"/>
        </w:rPr>
      </w:pPr>
      <w:r>
        <w:rPr>
          <w:rFonts w:ascii="Arial" w:cs="Arial" w:eastAsia="Arial" w:hAnsi="Arial"/>
          <w:sz w:val="10"/>
          <w:szCs w:val="10"/>
          <w:color w:val="auto"/>
        </w:rPr>
        <w:t>Beginning in 2025, Busey revised its calculation of adjusted net income for all periods presented to include, as applicable, adjustments for net securities gains and losses, realized net gains and losses on the sale of mortgage servicing rights, and one-time deferred tax valuation adjustments. In 2024, these adjusting items were presented as further adjustments to adjusted net income.</w:t>
      </w:r>
    </w:p>
    <w:p>
      <w:pPr>
        <w:ind w:left="340" w:hanging="240"/>
        <w:spacing w:after="0"/>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For quarterly periods, measures are annualized.</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17</w:t>
      </w:r>
    </w:p>
    <w:p>
      <w:pPr>
        <w:sectPr>
          <w:pgSz w:w="11900" w:h="16838" w:orient="portrait"/>
          <w:cols w:equalWidth="0" w:num="1">
            <w:col w:w="11300"/>
          </w:cols>
          <w:pgMar w:left="300" w:top="910" w:right="29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Tax-Equivalent Net Interest Income, Adjusted Net Interest Income, Net Interest Margin, and Adjusted Net Interest Margin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6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7"/>
                <w:szCs w:val="7"/>
                <w:color w:val="auto"/>
              </w:rPr>
            </w:pPr>
          </w:p>
        </w:tc>
        <w:tc>
          <w:tcPr>
            <w:tcW w:w="126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7"/>
                <w:szCs w:val="7"/>
                <w:color w:val="auto"/>
              </w:rPr>
            </w:pPr>
          </w:p>
        </w:tc>
        <w:tc>
          <w:tcPr>
            <w:tcW w:w="118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7"/>
                <w:szCs w:val="7"/>
                <w:color w:val="auto"/>
              </w:rPr>
            </w:pPr>
          </w:p>
        </w:tc>
        <w:tc>
          <w:tcPr>
            <w:tcW w:w="1020" w:type="dxa"/>
            <w:vAlign w:val="bottom"/>
          </w:tcPr>
          <w:p>
            <w:pPr>
              <w:jc w:val="right"/>
              <w:ind w:right="302"/>
              <w:spacing w:after="0" w:line="88" w:lineRule="exact"/>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7"/>
        </w:trPr>
        <w:tc>
          <w:tcPr>
            <w:tcW w:w="3600" w:type="dxa"/>
            <w:vAlign w:val="bottom"/>
            <w:tcBorders>
              <w:bottom w:val="single" w:sz="8" w:color="E0E7ED"/>
            </w:tcBorders>
            <w:vMerge w:val="continue"/>
          </w:tcPr>
          <w:p>
            <w:pPr>
              <w:spacing w:after="0"/>
              <w:rPr>
                <w:sz w:val="10"/>
                <w:szCs w:val="10"/>
                <w:color w:val="auto"/>
              </w:rPr>
            </w:pPr>
          </w:p>
        </w:tc>
        <w:tc>
          <w:tcPr>
            <w:tcW w:w="82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36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82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157,558</w:t>
            </w:r>
          </w:p>
        </w:tc>
        <w:tc>
          <w:tcPr>
            <w:tcW w:w="60" w:type="dxa"/>
            <w:vAlign w:val="bottom"/>
            <w:shd w:val="clear" w:color="auto" w:fill="E0E7ED"/>
          </w:tcPr>
          <w:p>
            <w:pPr>
              <w:spacing w:after="0"/>
              <w:rPr>
                <w:sz w:val="14"/>
                <w:szCs w:val="14"/>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155,137</w:t>
            </w: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81,578</w:t>
            </w: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569,609</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322,611</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Tax-equivalent adjustment</w:t>
            </w:r>
            <w:r>
              <w:rPr>
                <w:rFonts w:ascii="Arial" w:cs="Arial" w:eastAsia="Arial" w:hAnsi="Arial"/>
                <w:sz w:val="15"/>
                <w:szCs w:val="15"/>
                <w:color w:val="auto"/>
                <w:vertAlign w:val="superscript"/>
              </w:rPr>
              <w:t>(i)</w:t>
            </w:r>
          </w:p>
        </w:tc>
        <w:tc>
          <w:tcPr>
            <w:tcW w:w="82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860</w:t>
            </w:r>
          </w:p>
        </w:tc>
        <w:tc>
          <w:tcPr>
            <w:tcW w:w="6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788</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446</w:t>
            </w: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2,976</w:t>
            </w:r>
          </w:p>
        </w:tc>
        <w:tc>
          <w:tcPr>
            <w:tcW w:w="8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1,693</w:t>
            </w:r>
          </w:p>
        </w:tc>
        <w:tc>
          <w:tcPr>
            <w:tcW w:w="0" w:type="dxa"/>
            <w:vAlign w:val="bottom"/>
          </w:tcPr>
          <w:p>
            <w:pPr>
              <w:spacing w:after="0"/>
              <w:rPr>
                <w:sz w:val="1"/>
                <w:szCs w:val="1"/>
                <w:color w:val="auto"/>
              </w:rPr>
            </w:pPr>
          </w:p>
        </w:tc>
      </w:tr>
      <w:tr>
        <w:trPr>
          <w:trHeight w:val="169"/>
        </w:trPr>
        <w:tc>
          <w:tcPr>
            <w:tcW w:w="36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Tax-equivalent net interest income (Non-GAAP)</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[a]</w:t>
            </w: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158,418</w:t>
            </w:r>
          </w:p>
        </w:tc>
        <w:tc>
          <w:tcPr>
            <w:tcW w:w="60" w:type="dxa"/>
            <w:vAlign w:val="bottom"/>
            <w:shd w:val="clear" w:color="auto" w:fill="E0E7ED"/>
          </w:tcPr>
          <w:p>
            <w:pPr>
              <w:spacing w:after="0"/>
              <w:rPr>
                <w:sz w:val="14"/>
                <w:szCs w:val="14"/>
                <w:color w:val="auto"/>
              </w:rPr>
            </w:pPr>
          </w:p>
        </w:tc>
        <w:tc>
          <w:tcPr>
            <w:tcW w:w="140" w:type="dxa"/>
            <w:vAlign w:val="bottom"/>
            <w:shd w:val="clear" w:color="auto" w:fill="E0E7ED"/>
          </w:tcPr>
          <w:p>
            <w:pPr>
              <w:spacing w:after="0"/>
              <w:rPr>
                <w:sz w:val="14"/>
                <w:szCs w:val="14"/>
                <w:color w:val="auto"/>
              </w:rPr>
            </w:pP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155,925</w:t>
            </w: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82,024</w:t>
            </w: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572,585</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324,304</w:t>
            </w:r>
          </w:p>
        </w:tc>
        <w:tc>
          <w:tcPr>
            <w:tcW w:w="0" w:type="dxa"/>
            <w:vAlign w:val="bottom"/>
          </w:tcPr>
          <w:p>
            <w:pPr>
              <w:spacing w:after="0"/>
              <w:rPr>
                <w:sz w:val="1"/>
                <w:szCs w:val="1"/>
                <w:color w:val="auto"/>
              </w:rPr>
            </w:pPr>
          </w:p>
        </w:tc>
      </w:tr>
      <w:tr>
        <w:trPr>
          <w:trHeight w:val="172"/>
        </w:trPr>
        <w:tc>
          <w:tcPr>
            <w:tcW w:w="36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Purchase accounting accretion related to business combinations</w:t>
            </w:r>
          </w:p>
        </w:tc>
        <w:tc>
          <w:tcPr>
            <w:tcW w:w="82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(5,200)</w:t>
            </w:r>
          </w:p>
        </w:tc>
        <w:tc>
          <w:tcPr>
            <w:tcW w:w="6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(5,854)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(812)</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(20,901)</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(3,166)</w:t>
            </w:r>
          </w:p>
        </w:tc>
        <w:tc>
          <w:tcPr>
            <w:tcW w:w="0" w:type="dxa"/>
            <w:vAlign w:val="bottom"/>
          </w:tcPr>
          <w:p>
            <w:pPr>
              <w:spacing w:after="0"/>
              <w:rPr>
                <w:sz w:val="1"/>
                <w:szCs w:val="1"/>
                <w:color w:val="auto"/>
              </w:rPr>
            </w:pPr>
          </w:p>
        </w:tc>
      </w:tr>
      <w:tr>
        <w:trPr>
          <w:trHeight w:val="193"/>
        </w:trPr>
        <w:tc>
          <w:tcPr>
            <w:tcW w:w="36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net interest income (Non-GAAP)</w:t>
            </w:r>
          </w:p>
        </w:tc>
        <w:tc>
          <w:tcPr>
            <w:tcW w:w="82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2"/>
                <w:szCs w:val="12"/>
                <w:color w:val="auto"/>
              </w:rPr>
              <w:t>[b]</w:t>
            </w: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153,218</w:t>
            </w:r>
          </w:p>
        </w:tc>
        <w:tc>
          <w:tcPr>
            <w:tcW w:w="6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150,071</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81,212</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551,684</w:t>
            </w:r>
          </w:p>
        </w:tc>
        <w:tc>
          <w:tcPr>
            <w:tcW w:w="80" w:type="dxa"/>
            <w:vAlign w:val="bottom"/>
            <w:tcBorders>
              <w:bottom w:val="single" w:sz="8" w:color="E0E7ED"/>
            </w:tcBorders>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321,138</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E0E7ED"/>
          </w:tcPr>
          <w:p>
            <w:pPr>
              <w:spacing w:after="0"/>
              <w:rPr>
                <w:sz w:val="20"/>
                <w:szCs w:val="20"/>
                <w:color w:val="auto"/>
              </w:rPr>
            </w:pPr>
            <w:r>
              <w:rPr>
                <w:rFonts w:ascii="Arial" w:cs="Arial" w:eastAsia="Arial" w:hAnsi="Arial"/>
                <w:sz w:val="12"/>
                <w:szCs w:val="12"/>
                <w:color w:val="auto"/>
              </w:rPr>
              <w:t>Average interest-earning assets (Non-GAAP)</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[c]</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16,941,000</w:t>
            </w: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17,272,362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11,048,350</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16,331,740</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10,999,424</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E0E7ED"/>
          </w:tcPr>
          <w:p>
            <w:pPr>
              <w:spacing w:after="0"/>
              <w:rPr>
                <w:sz w:val="20"/>
                <w:szCs w:val="20"/>
                <w:color w:val="auto"/>
              </w:rPr>
            </w:pPr>
            <w:r>
              <w:rPr>
                <w:rFonts w:ascii="Arial" w:cs="Arial" w:eastAsia="Arial" w:hAnsi="Arial"/>
                <w:sz w:val="12"/>
                <w:szCs w:val="12"/>
                <w:color w:val="auto"/>
              </w:rPr>
              <w:t>Net interest margin (Non-GAAP)</w:t>
            </w:r>
            <w:r>
              <w:rPr>
                <w:rFonts w:ascii="Arial" w:cs="Arial" w:eastAsia="Arial" w:hAnsi="Arial"/>
                <w:sz w:val="15"/>
                <w:szCs w:val="15"/>
                <w:color w:val="auto"/>
                <w:vertAlign w:val="superscript"/>
              </w:rPr>
              <w:t>(ii)</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[a÷c]</w:t>
            </w: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3.71 %</w:t>
            </w: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3.58 %</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2.95 %</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3.51 %</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2.95 %</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2"/>
                <w:szCs w:val="12"/>
                <w:color w:val="auto"/>
              </w:rPr>
              <w:t>Adjusted net interest margin (Non-GAAP)</w:t>
            </w:r>
            <w:r>
              <w:rPr>
                <w:rFonts w:ascii="Arial" w:cs="Arial" w:eastAsia="Arial" w:hAnsi="Arial"/>
                <w:sz w:val="15"/>
                <w:szCs w:val="15"/>
                <w:color w:val="auto"/>
                <w:vertAlign w:val="superscript"/>
              </w:rPr>
              <w:t>(ii)</w:t>
            </w:r>
          </w:p>
        </w:tc>
        <w:tc>
          <w:tcPr>
            <w:tcW w:w="820" w:type="dxa"/>
            <w:vAlign w:val="bottom"/>
          </w:tcPr>
          <w:p>
            <w:pPr>
              <w:ind w:left="60"/>
              <w:spacing w:after="0"/>
              <w:rPr>
                <w:sz w:val="20"/>
                <w:szCs w:val="20"/>
                <w:color w:val="auto"/>
              </w:rPr>
            </w:pPr>
            <w:r>
              <w:rPr>
                <w:rFonts w:ascii="Arial" w:cs="Arial" w:eastAsia="Arial" w:hAnsi="Arial"/>
                <w:sz w:val="12"/>
                <w:szCs w:val="12"/>
                <w:color w:val="auto"/>
              </w:rPr>
              <w:t>[b÷c]</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3.59 %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3.45 %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3.38 %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2.92 %</w:t>
            </w: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Tax-equivalent adjustments were calculated using an estimated federal income tax rate of 21%, applied to non-taxable interest income on investments and loans.</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For quarterly periods, measures are annualized.</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18</w:t>
      </w:r>
    </w:p>
    <w:p>
      <w:pPr>
        <w:sectPr>
          <w:pgSz w:w="11900" w:h="16838" w:orient="portrait"/>
          <w:cols w:equalWidth="0" w:num="1">
            <w:col w:w="11300"/>
          </w:cols>
          <w:pgMar w:left="300" w:top="910" w:right="29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Adjusted Noninterest Income, Revenue Measures, Adjusted Noninterest Expense, and Efficiency Ratios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4"/>
              </w:rPr>
              <w:t>Three Months Ended</w:t>
            </w: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64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7"/>
                <w:szCs w:val="7"/>
                <w:color w:val="auto"/>
              </w:rPr>
            </w:pPr>
          </w:p>
        </w:tc>
        <w:tc>
          <w:tcPr>
            <w:tcW w:w="124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7"/>
                <w:szCs w:val="7"/>
                <w:color w:val="auto"/>
              </w:rPr>
            </w:pPr>
          </w:p>
        </w:tc>
        <w:tc>
          <w:tcPr>
            <w:tcW w:w="118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7"/>
                <w:szCs w:val="7"/>
                <w:color w:val="auto"/>
              </w:rPr>
            </w:pPr>
          </w:p>
        </w:tc>
        <w:tc>
          <w:tcPr>
            <w:tcW w:w="1020" w:type="dxa"/>
            <w:vAlign w:val="bottom"/>
          </w:tcPr>
          <w:p>
            <w:pPr>
              <w:jc w:val="right"/>
              <w:ind w:right="282"/>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3640" w:type="dxa"/>
            <w:vAlign w:val="bottom"/>
            <w:tcBorders>
              <w:bottom w:val="single" w:sz="8" w:color="E0E7ED"/>
            </w:tcBorders>
            <w:vMerge w:val="continue"/>
          </w:tcPr>
          <w:p>
            <w:pPr>
              <w:spacing w:after="0"/>
              <w:rPr>
                <w:sz w:val="10"/>
                <w:szCs w:val="10"/>
                <w:color w:val="auto"/>
              </w:rPr>
            </w:pPr>
          </w:p>
        </w:tc>
        <w:tc>
          <w:tcPr>
            <w:tcW w:w="80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9"/>
              </w:rPr>
              <w:t>2025</w:t>
            </w:r>
          </w:p>
        </w:tc>
        <w:tc>
          <w:tcPr>
            <w:tcW w:w="6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364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800" w:type="dxa"/>
            <w:vAlign w:val="bottom"/>
            <w:shd w:val="clear" w:color="auto" w:fill="E0E7ED"/>
          </w:tcPr>
          <w:p>
            <w:pPr>
              <w:ind w:left="60"/>
              <w:spacing w:after="0"/>
              <w:rPr>
                <w:sz w:val="20"/>
                <w:szCs w:val="20"/>
                <w:color w:val="auto"/>
              </w:rPr>
            </w:pPr>
            <w:r>
              <w:rPr>
                <w:rFonts w:ascii="Arial" w:cs="Arial" w:eastAsia="Arial" w:hAnsi="Arial"/>
                <w:sz w:val="12"/>
                <w:szCs w:val="12"/>
                <w:color w:val="auto"/>
              </w:rPr>
              <w:t>[a]</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157,558</w:t>
            </w:r>
          </w:p>
        </w:tc>
        <w:tc>
          <w:tcPr>
            <w:tcW w:w="60" w:type="dxa"/>
            <w:vAlign w:val="bottom"/>
            <w:shd w:val="clear" w:color="auto" w:fill="E0E7ED"/>
          </w:tcPr>
          <w:p>
            <w:pPr>
              <w:spacing w:after="0"/>
              <w:rPr>
                <w:sz w:val="14"/>
                <w:szCs w:val="14"/>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155,137</w:t>
            </w: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81,578</w:t>
            </w: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569,609</w:t>
            </w: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322,611</w:t>
            </w:r>
          </w:p>
        </w:tc>
        <w:tc>
          <w:tcPr>
            <w:tcW w:w="0" w:type="dxa"/>
            <w:vAlign w:val="bottom"/>
          </w:tcPr>
          <w:p>
            <w:pPr>
              <w:spacing w:after="0"/>
              <w:rPr>
                <w:sz w:val="1"/>
                <w:szCs w:val="1"/>
                <w:color w:val="auto"/>
              </w:rPr>
            </w:pPr>
          </w:p>
        </w:tc>
      </w:tr>
      <w:tr>
        <w:trPr>
          <w:trHeight w:val="180"/>
        </w:trPr>
        <w:tc>
          <w:tcPr>
            <w:tcW w:w="364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Tax-equivalent adjustment</w:t>
            </w:r>
            <w:r>
              <w:rPr>
                <w:rFonts w:ascii="Arial" w:cs="Arial" w:eastAsia="Arial" w:hAnsi="Arial"/>
                <w:sz w:val="15"/>
                <w:szCs w:val="15"/>
                <w:color w:val="auto"/>
                <w:vertAlign w:val="superscript"/>
              </w:rPr>
              <w:t>(i)</w:t>
            </w:r>
          </w:p>
        </w:tc>
        <w:tc>
          <w:tcPr>
            <w:tcW w:w="8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860</w:t>
            </w:r>
          </w:p>
        </w:tc>
        <w:tc>
          <w:tcPr>
            <w:tcW w:w="6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788</w:t>
            </w:r>
          </w:p>
        </w:tc>
        <w:tc>
          <w:tcPr>
            <w:tcW w:w="6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446</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2,976</w:t>
            </w:r>
          </w:p>
        </w:tc>
        <w:tc>
          <w:tcPr>
            <w:tcW w:w="8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1,693</w:t>
            </w:r>
          </w:p>
        </w:tc>
        <w:tc>
          <w:tcPr>
            <w:tcW w:w="0" w:type="dxa"/>
            <w:vAlign w:val="bottom"/>
          </w:tcPr>
          <w:p>
            <w:pPr>
              <w:spacing w:after="0"/>
              <w:rPr>
                <w:sz w:val="1"/>
                <w:szCs w:val="1"/>
                <w:color w:val="auto"/>
              </w:rPr>
            </w:pPr>
          </w:p>
        </w:tc>
      </w:tr>
      <w:tr>
        <w:trPr>
          <w:trHeight w:val="161"/>
        </w:trPr>
        <w:tc>
          <w:tcPr>
            <w:tcW w:w="3640" w:type="dxa"/>
            <w:vAlign w:val="bottom"/>
            <w:shd w:val="clear" w:color="auto" w:fill="E0E7ED"/>
          </w:tcPr>
          <w:p>
            <w:pPr>
              <w:spacing w:after="0"/>
              <w:rPr>
                <w:sz w:val="20"/>
                <w:szCs w:val="20"/>
                <w:color w:val="auto"/>
              </w:rPr>
            </w:pPr>
            <w:r>
              <w:rPr>
                <w:rFonts w:ascii="Arial" w:cs="Arial" w:eastAsia="Arial" w:hAnsi="Arial"/>
                <w:sz w:val="12"/>
                <w:szCs w:val="12"/>
                <w:color w:val="auto"/>
              </w:rPr>
              <w:t>Tax-equivalent net interest income (Non-GAAP)</w:t>
            </w:r>
          </w:p>
        </w:tc>
        <w:tc>
          <w:tcPr>
            <w:tcW w:w="800" w:type="dxa"/>
            <w:vAlign w:val="bottom"/>
            <w:shd w:val="clear" w:color="auto" w:fill="E0E7ED"/>
          </w:tcPr>
          <w:p>
            <w:pPr>
              <w:ind w:left="60"/>
              <w:spacing w:after="0"/>
              <w:rPr>
                <w:sz w:val="20"/>
                <w:szCs w:val="20"/>
                <w:color w:val="auto"/>
              </w:rPr>
            </w:pPr>
            <w:r>
              <w:rPr>
                <w:rFonts w:ascii="Arial" w:cs="Arial" w:eastAsia="Arial" w:hAnsi="Arial"/>
                <w:sz w:val="12"/>
                <w:szCs w:val="12"/>
                <w:color w:val="auto"/>
              </w:rPr>
              <w:t>[b]</w:t>
            </w:r>
          </w:p>
        </w:tc>
        <w:tc>
          <w:tcPr>
            <w:tcW w:w="220" w:type="dxa"/>
            <w:vAlign w:val="bottom"/>
            <w:tcBorders>
              <w:bottom w:val="single" w:sz="8" w:color="auto"/>
            </w:tcBorders>
            <w:shd w:val="clear" w:color="auto" w:fill="E0E7ED"/>
          </w:tcPr>
          <w:p>
            <w:pPr>
              <w:spacing w:after="0"/>
              <w:rPr>
                <w:sz w:val="14"/>
                <w:szCs w:val="14"/>
                <w:color w:val="auto"/>
              </w:rPr>
            </w:pPr>
          </w:p>
        </w:tc>
        <w:tc>
          <w:tcPr>
            <w:tcW w:w="110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158,418</w:t>
            </w:r>
          </w:p>
        </w:tc>
        <w:tc>
          <w:tcPr>
            <w:tcW w:w="60" w:type="dxa"/>
            <w:vAlign w:val="bottom"/>
            <w:shd w:val="clear" w:color="auto" w:fill="E0E7ED"/>
          </w:tcPr>
          <w:p>
            <w:pPr>
              <w:spacing w:after="0"/>
              <w:rPr>
                <w:sz w:val="14"/>
                <w:szCs w:val="14"/>
                <w:color w:val="auto"/>
              </w:rPr>
            </w:pPr>
          </w:p>
        </w:tc>
        <w:tc>
          <w:tcPr>
            <w:tcW w:w="140" w:type="dxa"/>
            <w:vAlign w:val="bottom"/>
            <w:tcBorders>
              <w:bottom w:val="single" w:sz="8" w:color="auto"/>
            </w:tcBorders>
            <w:shd w:val="clear" w:color="auto" w:fill="E0E7ED"/>
          </w:tcPr>
          <w:p>
            <w:pPr>
              <w:spacing w:after="0"/>
              <w:rPr>
                <w:sz w:val="14"/>
                <w:szCs w:val="14"/>
                <w:color w:val="auto"/>
              </w:rPr>
            </w:pPr>
          </w:p>
        </w:tc>
        <w:tc>
          <w:tcPr>
            <w:tcW w:w="118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155,925</w:t>
            </w:r>
          </w:p>
        </w:tc>
        <w:tc>
          <w:tcPr>
            <w:tcW w:w="60" w:type="dxa"/>
            <w:vAlign w:val="bottom"/>
            <w:shd w:val="clear" w:color="auto" w:fill="E0E7ED"/>
          </w:tcPr>
          <w:p>
            <w:pPr>
              <w:spacing w:after="0"/>
              <w:rPr>
                <w:sz w:val="14"/>
                <w:szCs w:val="14"/>
                <w:color w:val="auto"/>
              </w:rPr>
            </w:pPr>
          </w:p>
        </w:tc>
        <w:tc>
          <w:tcPr>
            <w:tcW w:w="220" w:type="dxa"/>
            <w:vAlign w:val="bottom"/>
            <w:tcBorders>
              <w:bottom w:val="single" w:sz="8" w:color="auto"/>
            </w:tcBorders>
            <w:shd w:val="clear" w:color="auto" w:fill="E0E7ED"/>
          </w:tcPr>
          <w:p>
            <w:pPr>
              <w:spacing w:after="0"/>
              <w:rPr>
                <w:sz w:val="14"/>
                <w:szCs w:val="14"/>
                <w:color w:val="auto"/>
              </w:rPr>
            </w:pPr>
          </w:p>
        </w:tc>
        <w:tc>
          <w:tcPr>
            <w:tcW w:w="110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82,024</w:t>
            </w:r>
          </w:p>
        </w:tc>
        <w:tc>
          <w:tcPr>
            <w:tcW w:w="8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10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572,585</w:t>
            </w:r>
          </w:p>
        </w:tc>
        <w:tc>
          <w:tcPr>
            <w:tcW w:w="80" w:type="dxa"/>
            <w:vAlign w:val="bottom"/>
            <w:shd w:val="clear" w:color="auto" w:fill="E0E7ED"/>
          </w:tcPr>
          <w:p>
            <w:pPr>
              <w:spacing w:after="0"/>
              <w:rPr>
                <w:sz w:val="14"/>
                <w:szCs w:val="14"/>
                <w:color w:val="auto"/>
              </w:rPr>
            </w:pPr>
          </w:p>
        </w:tc>
        <w:tc>
          <w:tcPr>
            <w:tcW w:w="300" w:type="dxa"/>
            <w:vAlign w:val="bottom"/>
            <w:tcBorders>
              <w:bottom w:val="single" w:sz="8" w:color="auto"/>
            </w:tcBorders>
            <w:shd w:val="clear" w:color="auto" w:fill="E0E7ED"/>
          </w:tcPr>
          <w:p>
            <w:pPr>
              <w:spacing w:after="0"/>
              <w:rPr>
                <w:sz w:val="14"/>
                <w:szCs w:val="14"/>
                <w:color w:val="auto"/>
              </w:rPr>
            </w:pPr>
          </w:p>
        </w:tc>
        <w:tc>
          <w:tcPr>
            <w:tcW w:w="10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324,304</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noninterest income (GAAP)</w:t>
            </w:r>
          </w:p>
        </w:tc>
        <w:tc>
          <w:tcPr>
            <w:tcW w:w="8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42,691</w:t>
            </w: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41,198</w:t>
            </w: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35,221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149,975</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139,682</w:t>
            </w:r>
          </w:p>
        </w:tc>
        <w:tc>
          <w:tcPr>
            <w:tcW w:w="0" w:type="dxa"/>
            <w:vAlign w:val="bottom"/>
          </w:tcPr>
          <w:p>
            <w:pPr>
              <w:spacing w:after="0"/>
              <w:rPr>
                <w:sz w:val="1"/>
                <w:szCs w:val="1"/>
                <w:color w:val="auto"/>
              </w:rPr>
            </w:pPr>
          </w:p>
        </w:tc>
      </w:tr>
      <w:tr>
        <w:trPr>
          <w:trHeight w:val="172"/>
        </w:trPr>
        <w:tc>
          <w:tcPr>
            <w:tcW w:w="364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Net security (gains) losses</w:t>
            </w:r>
          </w:p>
        </w:tc>
        <w:tc>
          <w:tcPr>
            <w:tcW w:w="80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667</w:t>
            </w:r>
          </w:p>
        </w:tc>
        <w:tc>
          <w:tcPr>
            <w:tcW w:w="6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288</w:t>
            </w:r>
          </w:p>
        </w:tc>
        <w:tc>
          <w:tcPr>
            <w:tcW w:w="6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196</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10,726</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6,102</w:t>
            </w:r>
          </w:p>
        </w:tc>
        <w:tc>
          <w:tcPr>
            <w:tcW w:w="0" w:type="dxa"/>
            <w:vAlign w:val="bottom"/>
          </w:tcPr>
          <w:p>
            <w:pPr>
              <w:spacing w:after="0"/>
              <w:rPr>
                <w:sz w:val="1"/>
                <w:szCs w:val="1"/>
                <w:color w:val="auto"/>
              </w:rPr>
            </w:pPr>
          </w:p>
        </w:tc>
      </w:tr>
      <w:tr>
        <w:trPr>
          <w:trHeight w:val="137"/>
        </w:trPr>
        <w:tc>
          <w:tcPr>
            <w:tcW w:w="364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Noninterest income excluding net securities gains and losses</w:t>
            </w:r>
          </w:p>
        </w:tc>
        <w:tc>
          <w:tcPr>
            <w:tcW w:w="80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110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118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11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11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00" w:type="dxa"/>
            <w:vAlign w:val="bottom"/>
            <w:shd w:val="clear" w:color="auto" w:fill="E0E7ED"/>
          </w:tcPr>
          <w:p>
            <w:pPr>
              <w:spacing w:after="0"/>
              <w:rPr>
                <w:sz w:val="11"/>
                <w:szCs w:val="11"/>
                <w:color w:val="auto"/>
              </w:rPr>
            </w:pPr>
          </w:p>
        </w:tc>
        <w:tc>
          <w:tcPr>
            <w:tcW w:w="102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(Non-GAAP)</w:t>
            </w:r>
          </w:p>
        </w:tc>
        <w:tc>
          <w:tcPr>
            <w:tcW w:w="800" w:type="dxa"/>
            <w:vAlign w:val="bottom"/>
            <w:shd w:val="clear" w:color="auto" w:fill="E0E7ED"/>
          </w:tcPr>
          <w:p>
            <w:pPr>
              <w:ind w:left="60"/>
              <w:spacing w:after="0"/>
              <w:rPr>
                <w:sz w:val="20"/>
                <w:szCs w:val="20"/>
                <w:color w:val="auto"/>
              </w:rPr>
            </w:pPr>
            <w:r>
              <w:rPr>
                <w:rFonts w:ascii="Arial" w:cs="Arial" w:eastAsia="Arial" w:hAnsi="Arial"/>
                <w:sz w:val="12"/>
                <w:szCs w:val="12"/>
                <w:color w:val="auto"/>
              </w:rPr>
              <w:t>[c]</w:t>
            </w: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43,358</w:t>
            </w: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41,486</w:t>
            </w: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35,417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160,701</w:t>
            </w:r>
          </w:p>
        </w:tc>
        <w:tc>
          <w:tcPr>
            <w:tcW w:w="8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145,784</w:t>
            </w:r>
          </w:p>
        </w:tc>
        <w:tc>
          <w:tcPr>
            <w:tcW w:w="0" w:type="dxa"/>
            <w:vAlign w:val="bottom"/>
          </w:tcPr>
          <w:p>
            <w:pPr>
              <w:spacing w:after="0"/>
              <w:rPr>
                <w:sz w:val="1"/>
                <w:szCs w:val="1"/>
                <w:color w:val="auto"/>
              </w:rPr>
            </w:pPr>
          </w:p>
        </w:tc>
      </w:tr>
      <w:tr>
        <w:trPr>
          <w:trHeight w:val="172"/>
        </w:trPr>
        <w:tc>
          <w:tcPr>
            <w:tcW w:w="3640" w:type="dxa"/>
            <w:vAlign w:val="bottom"/>
          </w:tcPr>
          <w:p>
            <w:pPr>
              <w:ind w:left="120"/>
              <w:spacing w:after="0"/>
              <w:rPr>
                <w:sz w:val="20"/>
                <w:szCs w:val="20"/>
                <w:color w:val="auto"/>
              </w:rPr>
            </w:pPr>
            <w:r>
              <w:rPr>
                <w:rFonts w:ascii="Arial" w:cs="Arial" w:eastAsia="Arial" w:hAnsi="Arial"/>
                <w:sz w:val="12"/>
                <w:szCs w:val="12"/>
                <w:color w:val="auto"/>
              </w:rPr>
              <w:t>Acquisition and restructuring (gain) loss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44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364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Realized net (gains) losses on the sale of mortgage service rights</w:t>
            </w:r>
          </w:p>
        </w:tc>
        <w:tc>
          <w:tcPr>
            <w:tcW w:w="8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6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7ED"/>
          </w:tcPr>
          <w:p>
            <w:pPr>
              <w:spacing w:after="0"/>
              <w:rPr>
                <w:sz w:val="15"/>
                <w:szCs w:val="15"/>
                <w:color w:val="auto"/>
              </w:rPr>
            </w:pPr>
          </w:p>
        </w:tc>
        <w:tc>
          <w:tcPr>
            <w:tcW w:w="124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5"/>
                <w:szCs w:val="15"/>
                <w:color w:val="auto"/>
              </w:rPr>
            </w:pPr>
          </w:p>
        </w:tc>
        <w:tc>
          <w:tcPr>
            <w:tcW w:w="11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E0E7ED"/>
          </w:tcPr>
          <w:p>
            <w:pPr>
              <w:spacing w:after="0"/>
              <w:rPr>
                <w:sz w:val="15"/>
                <w:szCs w:val="15"/>
                <w:color w:val="auto"/>
              </w:rPr>
            </w:pPr>
          </w:p>
        </w:tc>
        <w:tc>
          <w:tcPr>
            <w:tcW w:w="1020" w:type="dxa"/>
            <w:vAlign w:val="bottom"/>
            <w:shd w:val="clear" w:color="auto" w:fill="E0E7ED"/>
          </w:tcPr>
          <w:p>
            <w:pPr>
              <w:jc w:val="right"/>
              <w:ind w:right="62"/>
              <w:spacing w:after="0"/>
              <w:rPr>
                <w:sz w:val="20"/>
                <w:szCs w:val="20"/>
                <w:color w:val="auto"/>
              </w:rPr>
            </w:pPr>
            <w:r>
              <w:rPr>
                <w:rFonts w:ascii="Arial" w:cs="Arial" w:eastAsia="Arial" w:hAnsi="Arial"/>
                <w:sz w:val="12"/>
                <w:szCs w:val="12"/>
                <w:color w:val="auto"/>
              </w:rPr>
              <w:t>(7,724)</w:t>
            </w:r>
          </w:p>
        </w:tc>
        <w:tc>
          <w:tcPr>
            <w:tcW w:w="0" w:type="dxa"/>
            <w:vAlign w:val="bottom"/>
          </w:tcPr>
          <w:p>
            <w:pPr>
              <w:spacing w:after="0"/>
              <w:rPr>
                <w:sz w:val="1"/>
                <w:szCs w:val="1"/>
                <w:color w:val="auto"/>
              </w:rPr>
            </w:pPr>
          </w:p>
        </w:tc>
      </w:tr>
      <w:tr>
        <w:trPr>
          <w:trHeight w:val="193"/>
        </w:trPr>
        <w:tc>
          <w:tcPr>
            <w:tcW w:w="364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Adjusted noninterest income (Non-GAAP)</w:t>
            </w:r>
          </w:p>
        </w:tc>
        <w:tc>
          <w:tcPr>
            <w:tcW w:w="800" w:type="dxa"/>
            <w:vAlign w:val="bottom"/>
            <w:tcBorders>
              <w:bottom w:val="single" w:sz="8" w:color="E0E7ED"/>
            </w:tcBorders>
          </w:tcPr>
          <w:p>
            <w:pPr>
              <w:ind w:left="60"/>
              <w:spacing w:after="0"/>
              <w:rPr>
                <w:sz w:val="20"/>
                <w:szCs w:val="20"/>
                <w:color w:val="auto"/>
              </w:rPr>
            </w:pPr>
            <w:r>
              <w:rPr>
                <w:rFonts w:ascii="Arial" w:cs="Arial" w:eastAsia="Arial" w:hAnsi="Arial"/>
                <w:sz w:val="12"/>
                <w:szCs w:val="12"/>
                <w:color w:val="auto"/>
              </w:rPr>
              <w:t>[d]</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43,358</w:t>
            </w:r>
          </w:p>
        </w:tc>
        <w:tc>
          <w:tcPr>
            <w:tcW w:w="60" w:type="dxa"/>
            <w:vAlign w:val="bottom"/>
            <w:tcBorders>
              <w:bottom w:val="single" w:sz="8" w:color="E0E7ED"/>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41,530</w:t>
            </w:r>
          </w:p>
        </w:tc>
        <w:tc>
          <w:tcPr>
            <w:tcW w:w="60" w:type="dxa"/>
            <w:vAlign w:val="bottom"/>
            <w:tcBorders>
              <w:bottom w:val="single" w:sz="8" w:color="E0E7ED"/>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35,417</w:t>
            </w:r>
          </w:p>
        </w:tc>
        <w:tc>
          <w:tcPr>
            <w:tcW w:w="80" w:type="dxa"/>
            <w:vAlign w:val="bottom"/>
            <w:tcBorders>
              <w:bottom w:val="single" w:sz="8" w:color="E0E7ED"/>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160,745</w:t>
            </w:r>
          </w:p>
        </w:tc>
        <w:tc>
          <w:tcPr>
            <w:tcW w:w="80" w:type="dxa"/>
            <w:vAlign w:val="bottom"/>
            <w:tcBorders>
              <w:bottom w:val="single" w:sz="8" w:color="E0E7ED"/>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138,060</w:t>
            </w:r>
          </w:p>
        </w:tc>
        <w:tc>
          <w:tcPr>
            <w:tcW w:w="0" w:type="dxa"/>
            <w:vAlign w:val="bottom"/>
          </w:tcPr>
          <w:p>
            <w:pPr>
              <w:spacing w:after="0"/>
              <w:rPr>
                <w:sz w:val="1"/>
                <w:szCs w:val="1"/>
                <w:color w:val="auto"/>
              </w:rPr>
            </w:pPr>
          </w:p>
        </w:tc>
      </w:tr>
      <w:tr>
        <w:trPr>
          <w:trHeight w:val="162"/>
        </w:trPr>
        <w:tc>
          <w:tcPr>
            <w:tcW w:w="3640" w:type="dxa"/>
            <w:vAlign w:val="bottom"/>
            <w:shd w:val="clear" w:color="auto" w:fill="E0E7ED"/>
          </w:tcPr>
          <w:p>
            <w:pPr>
              <w:spacing w:after="0"/>
              <w:rPr>
                <w:sz w:val="14"/>
                <w:szCs w:val="14"/>
                <w:color w:val="auto"/>
              </w:rPr>
            </w:pPr>
          </w:p>
        </w:tc>
        <w:tc>
          <w:tcPr>
            <w:tcW w:w="80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140" w:type="dxa"/>
            <w:vAlign w:val="bottom"/>
            <w:shd w:val="clear" w:color="auto" w:fill="E0E7ED"/>
          </w:tcPr>
          <w:p>
            <w:pPr>
              <w:spacing w:after="0"/>
              <w:rPr>
                <w:sz w:val="14"/>
                <w:szCs w:val="14"/>
                <w:color w:val="auto"/>
              </w:rPr>
            </w:pPr>
          </w:p>
        </w:tc>
        <w:tc>
          <w:tcPr>
            <w:tcW w:w="118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2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20"/>
                <w:szCs w:val="20"/>
                <w:color w:val="auto"/>
              </w:rPr>
            </w:pPr>
            <w:r>
              <w:rPr>
                <w:rFonts w:ascii="Arial" w:cs="Arial" w:eastAsia="Arial" w:hAnsi="Arial"/>
                <w:sz w:val="12"/>
                <w:szCs w:val="12"/>
                <w:color w:val="auto"/>
              </w:rPr>
              <w:t>Tax-equivalent revenue (Non-GAAP)</w:t>
            </w:r>
          </w:p>
        </w:tc>
        <w:tc>
          <w:tcPr>
            <w:tcW w:w="800" w:type="dxa"/>
            <w:vAlign w:val="bottom"/>
          </w:tcPr>
          <w:p>
            <w:pPr>
              <w:ind w:left="60"/>
              <w:spacing w:after="0"/>
              <w:rPr>
                <w:sz w:val="20"/>
                <w:szCs w:val="20"/>
                <w:color w:val="auto"/>
              </w:rPr>
            </w:pPr>
            <w:r>
              <w:rPr>
                <w:rFonts w:ascii="Arial" w:cs="Arial" w:eastAsia="Arial" w:hAnsi="Arial"/>
                <w:sz w:val="12"/>
                <w:szCs w:val="12"/>
                <w:color w:val="auto"/>
              </w:rPr>
              <w:t>[e = b+c]</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201,776</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197,411</w:t>
            </w:r>
          </w:p>
        </w:tc>
        <w:tc>
          <w:tcPr>
            <w:tcW w:w="6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117,441</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733,286</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470,088</w:t>
            </w:r>
          </w:p>
        </w:tc>
        <w:tc>
          <w:tcPr>
            <w:tcW w:w="0" w:type="dxa"/>
            <w:vAlign w:val="bottom"/>
          </w:tcPr>
          <w:p>
            <w:pPr>
              <w:spacing w:after="0"/>
              <w:rPr>
                <w:sz w:val="1"/>
                <w:szCs w:val="1"/>
                <w:color w:val="auto"/>
              </w:rPr>
            </w:pPr>
          </w:p>
        </w:tc>
      </w:tr>
      <w:tr>
        <w:trPr>
          <w:trHeight w:val="188"/>
        </w:trPr>
        <w:tc>
          <w:tcPr>
            <w:tcW w:w="3640" w:type="dxa"/>
            <w:vAlign w:val="bottom"/>
            <w:shd w:val="clear" w:color="auto" w:fill="E0E7ED"/>
          </w:tcPr>
          <w:p>
            <w:pPr>
              <w:spacing w:after="0"/>
              <w:rPr>
                <w:sz w:val="20"/>
                <w:szCs w:val="20"/>
                <w:color w:val="auto"/>
              </w:rPr>
            </w:pPr>
            <w:r>
              <w:rPr>
                <w:rFonts w:ascii="Arial" w:cs="Arial" w:eastAsia="Arial" w:hAnsi="Arial"/>
                <w:sz w:val="12"/>
                <w:szCs w:val="12"/>
                <w:color w:val="auto"/>
              </w:rPr>
              <w:t>Adjusted tax-equivalent revenue (Non-GAAP)</w:t>
            </w:r>
          </w:p>
        </w:tc>
        <w:tc>
          <w:tcPr>
            <w:tcW w:w="800" w:type="dxa"/>
            <w:vAlign w:val="bottom"/>
            <w:shd w:val="clear" w:color="auto" w:fill="E0E7ED"/>
          </w:tcPr>
          <w:p>
            <w:pPr>
              <w:ind w:left="60"/>
              <w:spacing w:after="0"/>
              <w:rPr>
                <w:sz w:val="20"/>
                <w:szCs w:val="20"/>
                <w:color w:val="auto"/>
              </w:rPr>
            </w:pPr>
            <w:r>
              <w:rPr>
                <w:rFonts w:ascii="Arial" w:cs="Arial" w:eastAsia="Arial" w:hAnsi="Arial"/>
                <w:sz w:val="12"/>
                <w:szCs w:val="12"/>
                <w:color w:val="auto"/>
              </w:rPr>
              <w:t>[f = b+d]</w:t>
            </w: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201,776</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197,455</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117,441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733,330</w:t>
            </w: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462,364</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20"/>
                <w:szCs w:val="20"/>
                <w:color w:val="auto"/>
              </w:rPr>
            </w:pPr>
            <w:r>
              <w:rPr>
                <w:rFonts w:ascii="Arial" w:cs="Arial" w:eastAsia="Arial" w:hAnsi="Arial"/>
                <w:sz w:val="12"/>
                <w:szCs w:val="12"/>
                <w:color w:val="auto"/>
              </w:rPr>
              <w:t>Operating revenue (Non-GAAP)</w:t>
            </w:r>
          </w:p>
        </w:tc>
        <w:tc>
          <w:tcPr>
            <w:tcW w:w="800" w:type="dxa"/>
            <w:vAlign w:val="bottom"/>
          </w:tcPr>
          <w:p>
            <w:pPr>
              <w:ind w:left="60"/>
              <w:spacing w:after="0"/>
              <w:rPr>
                <w:sz w:val="20"/>
                <w:szCs w:val="20"/>
                <w:color w:val="auto"/>
              </w:rPr>
            </w:pPr>
            <w:r>
              <w:rPr>
                <w:rFonts w:ascii="Arial" w:cs="Arial" w:eastAsia="Arial" w:hAnsi="Arial"/>
                <w:sz w:val="12"/>
                <w:szCs w:val="12"/>
                <w:color w:val="auto"/>
              </w:rPr>
              <w:t>[g = a+d]</w:t>
            </w:r>
          </w:p>
        </w:tc>
        <w:tc>
          <w:tcPr>
            <w:tcW w:w="220" w:type="dxa"/>
            <w:vAlign w:val="bottom"/>
          </w:tcPr>
          <w:p>
            <w:pPr>
              <w:spacing w:after="0"/>
              <w:rPr>
                <w:sz w:val="14"/>
                <w:szCs w:val="14"/>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200,916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196,667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116,995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730,354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460,671</w:t>
            </w:r>
          </w:p>
        </w:tc>
        <w:tc>
          <w:tcPr>
            <w:tcW w:w="0" w:type="dxa"/>
            <w:vAlign w:val="bottom"/>
          </w:tcPr>
          <w:p>
            <w:pPr>
              <w:spacing w:after="0"/>
              <w:rPr>
                <w:sz w:val="1"/>
                <w:szCs w:val="1"/>
                <w:color w:val="auto"/>
              </w:rPr>
            </w:pPr>
          </w:p>
        </w:tc>
      </w:tr>
      <w:tr>
        <w:trPr>
          <w:trHeight w:val="188"/>
        </w:trPr>
        <w:tc>
          <w:tcPr>
            <w:tcW w:w="364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20"/>
                <w:szCs w:val="20"/>
                <w:color w:val="auto"/>
              </w:rPr>
            </w:pPr>
            <w:r>
              <w:rPr>
                <w:rFonts w:ascii="Arial" w:cs="Arial" w:eastAsia="Arial" w:hAnsi="Arial"/>
                <w:sz w:val="12"/>
                <w:szCs w:val="12"/>
                <w:color w:val="auto"/>
              </w:rPr>
              <w:t>Adjusted noninterest income to operating revenue (Non-GAAP)</w:t>
            </w:r>
          </w:p>
        </w:tc>
        <w:tc>
          <w:tcPr>
            <w:tcW w:w="800" w:type="dxa"/>
            <w:vAlign w:val="bottom"/>
          </w:tcPr>
          <w:p>
            <w:pPr>
              <w:ind w:left="60"/>
              <w:spacing w:after="0"/>
              <w:rPr>
                <w:sz w:val="20"/>
                <w:szCs w:val="20"/>
                <w:color w:val="auto"/>
              </w:rPr>
            </w:pPr>
            <w:r>
              <w:rPr>
                <w:rFonts w:ascii="Arial" w:cs="Arial" w:eastAsia="Arial" w:hAnsi="Arial"/>
                <w:sz w:val="12"/>
                <w:szCs w:val="12"/>
                <w:color w:val="auto"/>
              </w:rPr>
              <w:t>[d÷g]</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21.58 %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21.12 %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30.27 %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22.01 %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29.97 %</w:t>
            </w:r>
          </w:p>
        </w:tc>
        <w:tc>
          <w:tcPr>
            <w:tcW w:w="0" w:type="dxa"/>
            <w:vAlign w:val="bottom"/>
          </w:tcPr>
          <w:p>
            <w:pPr>
              <w:spacing w:after="0"/>
              <w:rPr>
                <w:sz w:val="1"/>
                <w:szCs w:val="1"/>
                <w:color w:val="auto"/>
              </w:rPr>
            </w:pPr>
          </w:p>
        </w:tc>
      </w:tr>
      <w:tr>
        <w:trPr>
          <w:trHeight w:val="188"/>
        </w:trPr>
        <w:tc>
          <w:tcPr>
            <w:tcW w:w="364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300"/>
          </w:cols>
          <w:pgMar w:left="300" w:top="910" w:right="299" w:bottom="1440" w:gutter="0" w:footer="0" w:header="0"/>
        </w:sectPr>
      </w:pPr>
    </w:p>
    <w:p>
      <w:pPr>
        <w:spacing w:after="0"/>
        <w:rPr>
          <w:sz w:val="20"/>
          <w:szCs w:val="20"/>
          <w:color w:val="auto"/>
        </w:rPr>
      </w:pPr>
      <w:r>
        <w:rPr>
          <w:rFonts w:ascii="Arial" w:cs="Arial" w:eastAsia="Arial" w:hAnsi="Arial"/>
          <w:sz w:val="12"/>
          <w:szCs w:val="12"/>
          <w:b w:val="1"/>
          <w:bCs w:val="1"/>
          <w:color w:val="auto"/>
        </w:rPr>
        <w:t>Total noninterest expense (GAAP)</w:t>
      </w:r>
      <w:r>
        <w:rPr>
          <w:rFonts w:ascii="Arial" w:cs="Arial" w:eastAsia="Arial" w:hAnsi="Arial"/>
          <w:sz w:val="15"/>
          <w:szCs w:val="15"/>
          <w:b w:val="1"/>
          <w:bCs w:val="1"/>
          <w:color w:val="auto"/>
          <w:vertAlign w:val="superscript"/>
        </w:rPr>
        <w:t>(ii)</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Amortization of intangible assets</w:t>
      </w:r>
    </w:p>
    <w:p>
      <w:pPr>
        <w:spacing w:after="0" w:line="30" w:lineRule="exact"/>
        <w:rPr>
          <w:sz w:val="20"/>
          <w:szCs w:val="20"/>
          <w:color w:val="auto"/>
        </w:rPr>
      </w:pPr>
    </w:p>
    <w:p>
      <w:pPr>
        <w:ind w:left="120" w:right="60"/>
        <w:spacing w:after="0" w:line="259" w:lineRule="auto"/>
        <w:rPr>
          <w:sz w:val="20"/>
          <w:szCs w:val="20"/>
          <w:color w:val="auto"/>
        </w:rPr>
      </w:pPr>
      <w:r>
        <w:rPr>
          <w:rFonts w:ascii="Arial" w:cs="Arial" w:eastAsia="Arial" w:hAnsi="Arial"/>
          <w:sz w:val="12"/>
          <w:szCs w:val="12"/>
          <w:color w:val="auto"/>
        </w:rPr>
        <w:t>Noninterest expense excluding amortization of intangible assets (Non-GAAP)</w:t>
      </w:r>
      <w:r>
        <w:rPr>
          <w:rFonts w:ascii="Arial" w:cs="Arial" w:eastAsia="Arial" w:hAnsi="Arial"/>
          <w:sz w:val="15"/>
          <w:szCs w:val="15"/>
          <w:color w:val="auto"/>
          <w:vertAlign w:val="superscript"/>
        </w:rPr>
        <w:t>(ii)</w:t>
      </w:r>
    </w:p>
    <w:p>
      <w:pPr>
        <w:spacing w:after="0" w:line="1" w:lineRule="exact"/>
        <w:rPr>
          <w:sz w:val="20"/>
          <w:szCs w:val="20"/>
          <w:color w:val="auto"/>
        </w:rPr>
      </w:pPr>
    </w:p>
    <w:p>
      <w:pPr>
        <w:ind w:left="120"/>
        <w:spacing w:after="0" w:line="265" w:lineRule="auto"/>
        <w:rPr>
          <w:sz w:val="20"/>
          <w:szCs w:val="20"/>
          <w:color w:val="auto"/>
        </w:rPr>
      </w:pPr>
      <w:r>
        <w:rPr>
          <w:rFonts w:ascii="Arial" w:cs="Arial" w:eastAsia="Arial" w:hAnsi="Arial"/>
          <w:sz w:val="12"/>
          <w:szCs w:val="12"/>
          <w:color w:val="auto"/>
        </w:rPr>
        <w:t>Acquisition and restructuring (income) expenses, excluding initial provision expenses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Adjusted noninterest expense (Non-GAAP)</w:t>
      </w:r>
      <w:r>
        <w:rPr>
          <w:rFonts w:ascii="Arial" w:cs="Arial" w:eastAsia="Arial" w:hAnsi="Arial"/>
          <w:sz w:val="15"/>
          <w:szCs w:val="15"/>
          <w:color w:val="auto"/>
          <w:vertAlign w:val="superscript"/>
        </w:rPr>
        <w:t>(ii)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120,320</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120,018</w:t>
            </w:r>
          </w:p>
        </w:tc>
        <w:tc>
          <w:tcPr>
            <w:tcW w:w="6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78,622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480,201</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301,494</w:t>
            </w:r>
          </w:p>
        </w:tc>
        <w:tc>
          <w:tcPr>
            <w:tcW w:w="0" w:type="dxa"/>
            <w:vAlign w:val="bottom"/>
          </w:tcPr>
          <w:p>
            <w:pPr>
              <w:spacing w:after="0"/>
              <w:rPr>
                <w:sz w:val="1"/>
                <w:szCs w:val="1"/>
                <w:color w:val="auto"/>
              </w:rPr>
            </w:pPr>
          </w:p>
        </w:tc>
      </w:tr>
      <w:tr>
        <w:trPr>
          <w:trHeight w:val="185"/>
        </w:trPr>
        <w:tc>
          <w:tcPr>
            <w:tcW w:w="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(4,432)</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(4,507)</w:t>
            </w: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(2,471)</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(16,614)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(10,057)</w:t>
            </w:r>
          </w:p>
        </w:tc>
        <w:tc>
          <w:tcPr>
            <w:tcW w:w="0" w:type="dxa"/>
            <w:vAlign w:val="bottom"/>
          </w:tcPr>
          <w:p>
            <w:pPr>
              <w:spacing w:after="0"/>
              <w:rPr>
                <w:sz w:val="1"/>
                <w:szCs w:val="1"/>
                <w:color w:val="auto"/>
              </w:rPr>
            </w:pPr>
          </w:p>
        </w:tc>
      </w:tr>
      <w:tr>
        <w:trPr>
          <w:trHeight w:val="227"/>
        </w:trPr>
        <w:tc>
          <w:tcPr>
            <w:tcW w:w="740" w:type="dxa"/>
            <w:vAlign w:val="bottom"/>
          </w:tcPr>
          <w:p>
            <w:pPr>
              <w:spacing w:after="0"/>
              <w:rPr>
                <w:sz w:val="20"/>
                <w:szCs w:val="20"/>
                <w:color w:val="auto"/>
              </w:rPr>
            </w:pPr>
            <w:r>
              <w:rPr>
                <w:rFonts w:ascii="Arial" w:cs="Arial" w:eastAsia="Arial" w:hAnsi="Arial"/>
                <w:sz w:val="12"/>
                <w:szCs w:val="12"/>
                <w:color w:val="auto"/>
              </w:rPr>
              <w:t>[h]</w:t>
            </w:r>
          </w:p>
        </w:tc>
        <w:tc>
          <w:tcPr>
            <w:tcW w:w="400" w:type="dxa"/>
            <w:vAlign w:val="bottom"/>
          </w:tcPr>
          <w:p>
            <w:pPr>
              <w:spacing w:after="0"/>
              <w:rPr>
                <w:sz w:val="19"/>
                <w:szCs w:val="19"/>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2"/>
                <w:szCs w:val="12"/>
                <w:color w:val="auto"/>
              </w:rPr>
              <w:t>115,888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2"/>
                <w:szCs w:val="12"/>
                <w:color w:val="auto"/>
              </w:rPr>
              <w:t>115,511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2"/>
                <w:szCs w:val="12"/>
                <w:color w:val="auto"/>
              </w:rPr>
              <w:t>76,151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restart"/>
          </w:tcPr>
          <w:p>
            <w:pPr>
              <w:jc w:val="right"/>
              <w:ind w:right="80"/>
              <w:spacing w:after="0"/>
              <w:rPr>
                <w:sz w:val="20"/>
                <w:szCs w:val="20"/>
                <w:color w:val="auto"/>
              </w:rPr>
            </w:pPr>
            <w:r>
              <w:rPr>
                <w:rFonts w:ascii="Arial" w:cs="Arial" w:eastAsia="Arial" w:hAnsi="Arial"/>
                <w:sz w:val="12"/>
                <w:szCs w:val="12"/>
                <w:color w:val="auto"/>
              </w:rPr>
              <w:t>463,587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2"/>
                <w:szCs w:val="12"/>
                <w:color w:val="auto"/>
              </w:rPr>
              <w:t>291,437</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(4,816)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(7,207)</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(3,585)</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(54,649)</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(8,140)</w:t>
            </w:r>
          </w:p>
        </w:tc>
        <w:tc>
          <w:tcPr>
            <w:tcW w:w="0" w:type="dxa"/>
            <w:vAlign w:val="bottom"/>
          </w:tcPr>
          <w:p>
            <w:pPr>
              <w:spacing w:after="0"/>
              <w:rPr>
                <w:sz w:val="1"/>
                <w:szCs w:val="1"/>
                <w:color w:val="auto"/>
              </w:rPr>
            </w:pPr>
          </w:p>
        </w:tc>
      </w:tr>
      <w:tr>
        <w:trPr>
          <w:trHeight w:val="172"/>
        </w:trPr>
        <w:tc>
          <w:tcPr>
            <w:tcW w:w="740" w:type="dxa"/>
            <w:vAlign w:val="bottom"/>
          </w:tcPr>
          <w:p>
            <w:pPr>
              <w:spacing w:after="0"/>
              <w:rPr>
                <w:sz w:val="20"/>
                <w:szCs w:val="20"/>
                <w:color w:val="auto"/>
              </w:rPr>
            </w:pPr>
            <w:r>
              <w:rPr>
                <w:rFonts w:ascii="Arial" w:cs="Arial" w:eastAsia="Arial" w:hAnsi="Arial"/>
                <w:sz w:val="12"/>
                <w:szCs w:val="12"/>
                <w:color w:val="auto"/>
              </w:rPr>
              <w:t>[i]</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111,072</w:t>
            </w:r>
          </w:p>
        </w:tc>
        <w:tc>
          <w:tcPr>
            <w:tcW w:w="6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108,304</w:t>
            </w:r>
          </w:p>
        </w:tc>
        <w:tc>
          <w:tcPr>
            <w:tcW w:w="60" w:type="dxa"/>
            <w:vAlign w:val="bottom"/>
          </w:tcPr>
          <w:p>
            <w:pPr>
              <w:spacing w:after="0"/>
              <w:rPr>
                <w:sz w:val="14"/>
                <w:szCs w:val="14"/>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72,566</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408,938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283,297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-668020</wp:posOffset>
            </wp:positionV>
            <wp:extent cx="717804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-347980</wp:posOffset>
            </wp:positionV>
            <wp:extent cx="71780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2057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60" w:space="140"/>
            <w:col w:w="7600"/>
          </w:cols>
          <w:pgMar w:left="300" w:top="910" w:right="29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880" w:type="dxa"/>
            <w:vAlign w:val="bottom"/>
            <w:shd w:val="clear" w:color="auto" w:fill="E0E7ED"/>
          </w:tcPr>
          <w:p>
            <w:pPr>
              <w:spacing w:after="0"/>
              <w:rPr>
                <w:sz w:val="12"/>
                <w:szCs w:val="12"/>
                <w:color w:val="auto"/>
              </w:rPr>
            </w:pPr>
          </w:p>
        </w:tc>
        <w:tc>
          <w:tcPr>
            <w:tcW w:w="1740" w:type="dxa"/>
            <w:vAlign w:val="bottom"/>
            <w:shd w:val="clear" w:color="auto" w:fill="E0E7ED"/>
          </w:tcPr>
          <w:p>
            <w:pPr>
              <w:spacing w:after="0"/>
              <w:rPr>
                <w:sz w:val="12"/>
                <w:szCs w:val="12"/>
                <w:color w:val="auto"/>
              </w:rPr>
            </w:pPr>
          </w:p>
        </w:tc>
        <w:tc>
          <w:tcPr>
            <w:tcW w:w="1580" w:type="dxa"/>
            <w:vAlign w:val="bottom"/>
            <w:shd w:val="clear" w:color="auto" w:fill="E0E7ED"/>
          </w:tcPr>
          <w:p>
            <w:pPr>
              <w:spacing w:after="0"/>
              <w:rPr>
                <w:sz w:val="12"/>
                <w:szCs w:val="12"/>
                <w:color w:val="auto"/>
              </w:rPr>
            </w:pPr>
          </w:p>
        </w:tc>
        <w:tc>
          <w:tcPr>
            <w:tcW w:w="1400" w:type="dxa"/>
            <w:vAlign w:val="bottom"/>
            <w:shd w:val="clear" w:color="auto" w:fill="E0E7ED"/>
          </w:tcPr>
          <w:p>
            <w:pPr>
              <w:spacing w:after="0"/>
              <w:rPr>
                <w:sz w:val="12"/>
                <w:szCs w:val="12"/>
                <w:color w:val="auto"/>
              </w:rPr>
            </w:pPr>
          </w:p>
        </w:tc>
        <w:tc>
          <w:tcPr>
            <w:tcW w:w="1380" w:type="dxa"/>
            <w:vAlign w:val="bottom"/>
            <w:shd w:val="clear" w:color="auto" w:fill="E0E7ED"/>
          </w:tcPr>
          <w:p>
            <w:pPr>
              <w:spacing w:after="0"/>
              <w:rPr>
                <w:sz w:val="12"/>
                <w:szCs w:val="12"/>
                <w:color w:val="auto"/>
              </w:rPr>
            </w:pPr>
          </w:p>
        </w:tc>
        <w:tc>
          <w:tcPr>
            <w:tcW w:w="138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r>
      <w:tr>
        <w:trPr>
          <w:trHeight w:val="180"/>
        </w:trPr>
        <w:tc>
          <w:tcPr>
            <w:tcW w:w="2880" w:type="dxa"/>
            <w:vAlign w:val="bottom"/>
          </w:tcPr>
          <w:p>
            <w:pPr>
              <w:spacing w:after="0"/>
              <w:rPr>
                <w:sz w:val="20"/>
                <w:szCs w:val="20"/>
                <w:color w:val="auto"/>
              </w:rPr>
            </w:pPr>
            <w:r>
              <w:rPr>
                <w:rFonts w:ascii="Arial" w:cs="Arial" w:eastAsia="Arial" w:hAnsi="Arial"/>
                <w:sz w:val="12"/>
                <w:szCs w:val="12"/>
                <w:color w:val="auto"/>
              </w:rPr>
              <w:t>Efficiency ratio (Non-GAAP)</w:t>
            </w:r>
            <w:r>
              <w:rPr>
                <w:rFonts w:ascii="Arial" w:cs="Arial" w:eastAsia="Arial" w:hAnsi="Arial"/>
                <w:sz w:val="15"/>
                <w:szCs w:val="15"/>
                <w:color w:val="auto"/>
                <w:vertAlign w:val="superscript"/>
              </w:rPr>
              <w:t>(ii)</w:t>
            </w:r>
          </w:p>
        </w:tc>
        <w:tc>
          <w:tcPr>
            <w:tcW w:w="1740" w:type="dxa"/>
            <w:vAlign w:val="bottom"/>
          </w:tcPr>
          <w:p>
            <w:pPr>
              <w:ind w:left="820"/>
              <w:spacing w:after="0"/>
              <w:rPr>
                <w:sz w:val="20"/>
                <w:szCs w:val="20"/>
                <w:color w:val="auto"/>
              </w:rPr>
            </w:pPr>
            <w:r>
              <w:rPr>
                <w:rFonts w:ascii="Arial" w:cs="Arial" w:eastAsia="Arial" w:hAnsi="Arial"/>
                <w:sz w:val="12"/>
                <w:szCs w:val="12"/>
                <w:color w:val="auto"/>
              </w:rPr>
              <w:t>[h÷e]</w:t>
            </w:r>
          </w:p>
        </w:tc>
        <w:tc>
          <w:tcPr>
            <w:tcW w:w="1580" w:type="dxa"/>
            <w:vAlign w:val="bottom"/>
          </w:tcPr>
          <w:p>
            <w:pPr>
              <w:jc w:val="right"/>
              <w:ind w:right="400"/>
              <w:spacing w:after="0"/>
              <w:rPr>
                <w:sz w:val="20"/>
                <w:szCs w:val="20"/>
                <w:color w:val="auto"/>
              </w:rPr>
            </w:pPr>
            <w:r>
              <w:rPr>
                <w:rFonts w:ascii="Arial" w:cs="Arial" w:eastAsia="Arial" w:hAnsi="Arial"/>
                <w:sz w:val="12"/>
                <w:szCs w:val="12"/>
                <w:color w:val="auto"/>
              </w:rPr>
              <w:t>57.43 %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58.51 %</w:t>
            </w:r>
          </w:p>
        </w:tc>
        <w:tc>
          <w:tcPr>
            <w:tcW w:w="1380" w:type="dxa"/>
            <w:vAlign w:val="bottom"/>
          </w:tcPr>
          <w:p>
            <w:pPr>
              <w:jc w:val="right"/>
              <w:ind w:right="400"/>
              <w:spacing w:after="0"/>
              <w:rPr>
                <w:sz w:val="20"/>
                <w:szCs w:val="20"/>
                <w:color w:val="auto"/>
              </w:rPr>
            </w:pPr>
            <w:r>
              <w:rPr>
                <w:rFonts w:ascii="Arial" w:cs="Arial" w:eastAsia="Arial" w:hAnsi="Arial"/>
                <w:sz w:val="12"/>
                <w:szCs w:val="12"/>
                <w:color w:val="auto"/>
              </w:rPr>
              <w:t>64.84 %</w:t>
            </w:r>
          </w:p>
        </w:tc>
        <w:tc>
          <w:tcPr>
            <w:tcW w:w="1380" w:type="dxa"/>
            <w:vAlign w:val="bottom"/>
          </w:tcPr>
          <w:p>
            <w:pPr>
              <w:jc w:val="right"/>
              <w:ind w:right="400"/>
              <w:spacing w:after="0"/>
              <w:rPr>
                <w:sz w:val="20"/>
                <w:szCs w:val="20"/>
                <w:color w:val="auto"/>
              </w:rPr>
            </w:pPr>
            <w:r>
              <w:rPr>
                <w:rFonts w:ascii="Arial" w:cs="Arial" w:eastAsia="Arial" w:hAnsi="Arial"/>
                <w:sz w:val="12"/>
                <w:szCs w:val="12"/>
                <w:color w:val="auto"/>
              </w:rPr>
              <w:t>63.22 %</w:t>
            </w:r>
          </w:p>
        </w:tc>
        <w:tc>
          <w:tcPr>
            <w:tcW w:w="940" w:type="dxa"/>
            <w:vAlign w:val="bottom"/>
          </w:tcPr>
          <w:p>
            <w:pPr>
              <w:jc w:val="right"/>
              <w:spacing w:after="0"/>
              <w:rPr>
                <w:sz w:val="20"/>
                <w:szCs w:val="20"/>
                <w:color w:val="auto"/>
              </w:rPr>
            </w:pPr>
            <w:r>
              <w:rPr>
                <w:rFonts w:ascii="Arial" w:cs="Arial" w:eastAsia="Arial" w:hAnsi="Arial"/>
                <w:sz w:val="12"/>
                <w:szCs w:val="12"/>
                <w:color w:val="auto"/>
              </w:rPr>
              <w:t>62.00 %</w:t>
            </w:r>
          </w:p>
        </w:tc>
      </w:tr>
      <w:tr>
        <w:trPr>
          <w:trHeight w:val="180"/>
        </w:trPr>
        <w:tc>
          <w:tcPr>
            <w:tcW w:w="2880" w:type="dxa"/>
            <w:vAlign w:val="bottom"/>
            <w:shd w:val="clear" w:color="auto" w:fill="E0E7ED"/>
          </w:tcPr>
          <w:p>
            <w:pPr>
              <w:spacing w:after="0"/>
              <w:rPr>
                <w:sz w:val="20"/>
                <w:szCs w:val="20"/>
                <w:color w:val="auto"/>
              </w:rPr>
            </w:pPr>
            <w:r>
              <w:rPr>
                <w:rFonts w:ascii="Arial" w:cs="Arial" w:eastAsia="Arial" w:hAnsi="Arial"/>
                <w:sz w:val="12"/>
                <w:szCs w:val="12"/>
                <w:color w:val="auto"/>
              </w:rPr>
              <w:t>Adjusted efficiency ratio (Non-GAAP)</w:t>
            </w:r>
            <w:r>
              <w:rPr>
                <w:rFonts w:ascii="Arial" w:cs="Arial" w:eastAsia="Arial" w:hAnsi="Arial"/>
                <w:sz w:val="15"/>
                <w:szCs w:val="15"/>
                <w:color w:val="auto"/>
                <w:vertAlign w:val="superscript"/>
              </w:rPr>
              <w:t>(ii)</w:t>
            </w:r>
          </w:p>
        </w:tc>
        <w:tc>
          <w:tcPr>
            <w:tcW w:w="1740" w:type="dxa"/>
            <w:vAlign w:val="bottom"/>
            <w:shd w:val="clear" w:color="auto" w:fill="E0E7ED"/>
          </w:tcPr>
          <w:p>
            <w:pPr>
              <w:ind w:left="820"/>
              <w:spacing w:after="0"/>
              <w:rPr>
                <w:sz w:val="20"/>
                <w:szCs w:val="20"/>
                <w:color w:val="auto"/>
              </w:rPr>
            </w:pPr>
            <w:r>
              <w:rPr>
                <w:rFonts w:ascii="Arial" w:cs="Arial" w:eastAsia="Arial" w:hAnsi="Arial"/>
                <w:sz w:val="12"/>
                <w:szCs w:val="12"/>
                <w:color w:val="auto"/>
              </w:rPr>
              <w:t>[i÷f]</w:t>
            </w:r>
          </w:p>
        </w:tc>
        <w:tc>
          <w:tcPr>
            <w:tcW w:w="1580" w:type="dxa"/>
            <w:vAlign w:val="bottom"/>
            <w:shd w:val="clear" w:color="auto" w:fill="E0E7ED"/>
          </w:tcPr>
          <w:p>
            <w:pPr>
              <w:jc w:val="right"/>
              <w:ind w:right="400"/>
              <w:spacing w:after="0"/>
              <w:rPr>
                <w:sz w:val="20"/>
                <w:szCs w:val="20"/>
                <w:color w:val="auto"/>
              </w:rPr>
            </w:pPr>
            <w:r>
              <w:rPr>
                <w:rFonts w:ascii="Arial" w:cs="Arial" w:eastAsia="Arial" w:hAnsi="Arial"/>
                <w:sz w:val="12"/>
                <w:szCs w:val="12"/>
                <w:color w:val="auto"/>
              </w:rPr>
              <w:t>55.05 %</w:t>
            </w:r>
          </w:p>
        </w:tc>
        <w:tc>
          <w:tcPr>
            <w:tcW w:w="1400" w:type="dxa"/>
            <w:vAlign w:val="bottom"/>
            <w:shd w:val="clear" w:color="auto" w:fill="E0E7ED"/>
          </w:tcPr>
          <w:p>
            <w:pPr>
              <w:jc w:val="right"/>
              <w:ind w:right="420"/>
              <w:spacing w:after="0"/>
              <w:rPr>
                <w:sz w:val="20"/>
                <w:szCs w:val="20"/>
                <w:color w:val="auto"/>
              </w:rPr>
            </w:pPr>
            <w:r>
              <w:rPr>
                <w:rFonts w:ascii="Arial" w:cs="Arial" w:eastAsia="Arial" w:hAnsi="Arial"/>
                <w:sz w:val="12"/>
                <w:szCs w:val="12"/>
                <w:color w:val="auto"/>
              </w:rPr>
              <w:t>54.85 %</w:t>
            </w:r>
          </w:p>
        </w:tc>
        <w:tc>
          <w:tcPr>
            <w:tcW w:w="1380" w:type="dxa"/>
            <w:vAlign w:val="bottom"/>
            <w:shd w:val="clear" w:color="auto" w:fill="E0E7ED"/>
          </w:tcPr>
          <w:p>
            <w:pPr>
              <w:jc w:val="right"/>
              <w:ind w:right="400"/>
              <w:spacing w:after="0"/>
              <w:rPr>
                <w:sz w:val="20"/>
                <w:szCs w:val="20"/>
                <w:color w:val="auto"/>
              </w:rPr>
            </w:pPr>
            <w:r>
              <w:rPr>
                <w:rFonts w:ascii="Arial" w:cs="Arial" w:eastAsia="Arial" w:hAnsi="Arial"/>
                <w:sz w:val="12"/>
                <w:szCs w:val="12"/>
                <w:color w:val="auto"/>
              </w:rPr>
              <w:t>61.79 %</w:t>
            </w:r>
          </w:p>
        </w:tc>
        <w:tc>
          <w:tcPr>
            <w:tcW w:w="1380" w:type="dxa"/>
            <w:vAlign w:val="bottom"/>
            <w:shd w:val="clear" w:color="auto" w:fill="E0E7ED"/>
          </w:tcPr>
          <w:p>
            <w:pPr>
              <w:jc w:val="right"/>
              <w:ind w:right="400"/>
              <w:spacing w:after="0"/>
              <w:rPr>
                <w:sz w:val="20"/>
                <w:szCs w:val="20"/>
                <w:color w:val="auto"/>
              </w:rPr>
            </w:pPr>
            <w:r>
              <w:rPr>
                <w:rFonts w:ascii="Arial" w:cs="Arial" w:eastAsia="Arial" w:hAnsi="Arial"/>
                <w:sz w:val="12"/>
                <w:szCs w:val="12"/>
                <w:color w:val="auto"/>
              </w:rPr>
              <w:t>55.76 %</w:t>
            </w:r>
          </w:p>
        </w:tc>
        <w:tc>
          <w:tcPr>
            <w:tcW w:w="9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61.27 %</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Tax-equivalent adjustments were calculated using an estimated federal income tax rate of 21%, applied to non-taxable interest income on investments and loans.</w:t>
      </w:r>
    </w:p>
    <w:p>
      <w:pPr>
        <w:spacing w:after="0" w:line="2" w:lineRule="exact"/>
        <w:rPr>
          <w:rFonts w:ascii="Arial" w:cs="Arial" w:eastAsia="Arial" w:hAnsi="Arial"/>
          <w:sz w:val="10"/>
          <w:szCs w:val="10"/>
          <w:color w:val="auto"/>
        </w:rPr>
      </w:pPr>
    </w:p>
    <w:p>
      <w:pPr>
        <w:ind w:left="320" w:hanging="220"/>
        <w:spacing w:after="0" w:line="248" w:lineRule="auto"/>
        <w:tabs>
          <w:tab w:leader="none" w:pos="327" w:val="left"/>
        </w:tabs>
        <w:numPr>
          <w:ilvl w:val="0"/>
          <w:numId w:val="16"/>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 This change affects all measures and ratios derived from total noninterest expense.</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19</w:t>
      </w:r>
    </w:p>
    <w:p>
      <w:pPr>
        <w:sectPr>
          <w:pgSz w:w="11900" w:h="16838" w:orient="portrait"/>
          <w:cols w:equalWidth="0" w:num="1">
            <w:col w:w="11300"/>
          </w:cols>
          <w:pgMar w:left="300" w:top="910" w:right="29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Tangible Assets, Tangible Common Equity, and Related Measures and Ratio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As of</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9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7"/>
                <w:szCs w:val="7"/>
                <w:color w:val="auto"/>
              </w:rPr>
            </w:pPr>
          </w:p>
        </w:tc>
        <w:tc>
          <w:tcPr>
            <w:tcW w:w="1200" w:type="dxa"/>
            <w:vAlign w:val="bottom"/>
            <w:gridSpan w:val="2"/>
          </w:tcPr>
          <w:p>
            <w:pPr>
              <w:jc w:val="center"/>
              <w:ind w:right="30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7"/>
                <w:szCs w:val="7"/>
                <w:color w:val="auto"/>
              </w:rPr>
            </w:pPr>
          </w:p>
        </w:tc>
        <w:tc>
          <w:tcPr>
            <w:tcW w:w="1120" w:type="dxa"/>
            <w:vAlign w:val="bottom"/>
          </w:tcPr>
          <w:p>
            <w:pPr>
              <w:jc w:val="right"/>
              <w:ind w:right="302"/>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4920" w:type="dxa"/>
            <w:vAlign w:val="bottom"/>
            <w:tcBorders>
              <w:bottom w:val="single" w:sz="8" w:color="DBE2E9"/>
            </w:tcBorders>
            <w:vMerge w:val="continue"/>
          </w:tcPr>
          <w:p>
            <w:pPr>
              <w:spacing w:after="0"/>
              <w:rPr>
                <w:sz w:val="10"/>
                <w:szCs w:val="10"/>
                <w:color w:val="auto"/>
              </w:rPr>
            </w:pPr>
          </w:p>
        </w:tc>
        <w:tc>
          <w:tcPr>
            <w:tcW w:w="2200" w:type="dxa"/>
            <w:vAlign w:val="bottom"/>
            <w:tcBorders>
              <w:bottom w:val="single" w:sz="8" w:color="DBE2E9"/>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DBE2E9"/>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6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Borders>
              <w:bottom w:val="single" w:sz="8" w:color="DBE2E9"/>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9"/>
        </w:trPr>
        <w:tc>
          <w:tcPr>
            <w:tcW w:w="4920" w:type="dxa"/>
            <w:vAlign w:val="bottom"/>
            <w:shd w:val="clear" w:color="auto" w:fill="DBE2E9"/>
          </w:tcPr>
          <w:p>
            <w:pPr>
              <w:spacing w:after="0"/>
              <w:rPr>
                <w:sz w:val="20"/>
                <w:szCs w:val="20"/>
                <w:color w:val="auto"/>
              </w:rPr>
            </w:pPr>
            <w:r>
              <w:rPr>
                <w:rFonts w:ascii="Arial" w:cs="Arial" w:eastAsia="Arial" w:hAnsi="Arial"/>
                <w:sz w:val="12"/>
                <w:szCs w:val="12"/>
                <w:b w:val="1"/>
                <w:bCs w:val="1"/>
                <w:color w:val="auto"/>
              </w:rPr>
              <w:t>Total assets (GAAP)</w:t>
            </w:r>
          </w:p>
        </w:tc>
        <w:tc>
          <w:tcPr>
            <w:tcW w:w="2200" w:type="dxa"/>
            <w:vAlign w:val="bottom"/>
            <w:shd w:val="clear" w:color="auto" w:fill="DBE2E9"/>
          </w:tcPr>
          <w:p>
            <w:pPr>
              <w:spacing w:after="0"/>
              <w:rPr>
                <w:sz w:val="14"/>
                <w:szCs w:val="14"/>
                <w:color w:val="auto"/>
              </w:rPr>
            </w:pPr>
          </w:p>
        </w:tc>
        <w:tc>
          <w:tcPr>
            <w:tcW w:w="220" w:type="dxa"/>
            <w:vAlign w:val="bottom"/>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82"/>
              <w:spacing w:after="0"/>
              <w:rPr>
                <w:sz w:val="20"/>
                <w:szCs w:val="20"/>
                <w:color w:val="auto"/>
              </w:rPr>
            </w:pPr>
            <w:r>
              <w:rPr>
                <w:rFonts w:ascii="Arial" w:cs="Arial" w:eastAsia="Arial" w:hAnsi="Arial"/>
                <w:sz w:val="12"/>
                <w:szCs w:val="12"/>
                <w:color w:val="auto"/>
              </w:rPr>
              <w:t>18,104,736</w:t>
            </w:r>
          </w:p>
        </w:tc>
        <w:tc>
          <w:tcPr>
            <w:tcW w:w="80" w:type="dxa"/>
            <w:vAlign w:val="bottom"/>
            <w:shd w:val="clear" w:color="auto" w:fill="DBE2E9"/>
          </w:tcPr>
          <w:p>
            <w:pPr>
              <w:spacing w:after="0"/>
              <w:rPr>
                <w:sz w:val="14"/>
                <w:szCs w:val="14"/>
                <w:color w:val="auto"/>
              </w:rPr>
            </w:pPr>
          </w:p>
        </w:tc>
        <w:tc>
          <w:tcPr>
            <w:tcW w:w="220" w:type="dxa"/>
            <w:vAlign w:val="bottom"/>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18,188,628</w:t>
            </w:r>
          </w:p>
        </w:tc>
        <w:tc>
          <w:tcPr>
            <w:tcW w:w="80" w:type="dxa"/>
            <w:vAlign w:val="bottom"/>
            <w:shd w:val="clear" w:color="auto" w:fill="DBE2E9"/>
          </w:tcPr>
          <w:p>
            <w:pPr>
              <w:spacing w:after="0"/>
              <w:rPr>
                <w:sz w:val="14"/>
                <w:szCs w:val="14"/>
                <w:color w:val="auto"/>
              </w:rPr>
            </w:pPr>
          </w:p>
        </w:tc>
        <w:tc>
          <w:tcPr>
            <w:tcW w:w="220" w:type="dxa"/>
            <w:vAlign w:val="bottom"/>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12,046,722</w:t>
            </w:r>
          </w:p>
        </w:tc>
        <w:tc>
          <w:tcPr>
            <w:tcW w:w="0" w:type="dxa"/>
            <w:vAlign w:val="bottom"/>
          </w:tcPr>
          <w:p>
            <w:pPr>
              <w:spacing w:after="0"/>
              <w:rPr>
                <w:sz w:val="1"/>
                <w:szCs w:val="1"/>
                <w:color w:val="auto"/>
              </w:rPr>
            </w:pPr>
          </w:p>
        </w:tc>
      </w:tr>
      <w:tr>
        <w:trPr>
          <w:trHeight w:val="172"/>
        </w:trPr>
        <w:tc>
          <w:tcPr>
            <w:tcW w:w="4920" w:type="dxa"/>
            <w:vAlign w:val="bottom"/>
            <w:tcBorders>
              <w:bottom w:val="single" w:sz="8" w:color="DBE2E9"/>
            </w:tcBorders>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20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(480,729)</w:t>
            </w:r>
          </w:p>
        </w:tc>
        <w:tc>
          <w:tcPr>
            <w:tcW w:w="8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(485,203)</w:t>
            </w:r>
          </w:p>
        </w:tc>
        <w:tc>
          <w:tcPr>
            <w:tcW w:w="8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(365,975)</w:t>
            </w:r>
          </w:p>
        </w:tc>
        <w:tc>
          <w:tcPr>
            <w:tcW w:w="0" w:type="dxa"/>
            <w:vAlign w:val="bottom"/>
          </w:tcPr>
          <w:p>
            <w:pPr>
              <w:spacing w:after="0"/>
              <w:rPr>
                <w:sz w:val="1"/>
                <w:szCs w:val="1"/>
                <w:color w:val="auto"/>
              </w:rPr>
            </w:pPr>
          </w:p>
        </w:tc>
      </w:tr>
      <w:tr>
        <w:trPr>
          <w:trHeight w:val="193"/>
        </w:trPr>
        <w:tc>
          <w:tcPr>
            <w:tcW w:w="4920" w:type="dxa"/>
            <w:vAlign w:val="bottom"/>
            <w:tcBorders>
              <w:bottom w:val="single" w:sz="8" w:color="DBE2E9"/>
            </w:tcBorders>
            <w:shd w:val="clear" w:color="auto" w:fill="DBE2E9"/>
          </w:tcPr>
          <w:p>
            <w:pPr>
              <w:spacing w:after="0"/>
              <w:rPr>
                <w:sz w:val="20"/>
                <w:szCs w:val="20"/>
                <w:color w:val="auto"/>
              </w:rPr>
            </w:pPr>
            <w:r>
              <w:rPr>
                <w:rFonts w:ascii="Arial" w:cs="Arial" w:eastAsia="Arial" w:hAnsi="Arial"/>
                <w:sz w:val="12"/>
                <w:szCs w:val="12"/>
                <w:color w:val="auto"/>
              </w:rPr>
              <w:t>Tangible assets (Non-GAAP)</w:t>
            </w:r>
            <w:r>
              <w:rPr>
                <w:rFonts w:ascii="Arial" w:cs="Arial" w:eastAsia="Arial" w:hAnsi="Arial"/>
                <w:sz w:val="15"/>
                <w:szCs w:val="15"/>
                <w:color w:val="auto"/>
                <w:vertAlign w:val="superscript"/>
              </w:rPr>
              <w:t>(i)</w:t>
            </w:r>
          </w:p>
        </w:tc>
        <w:tc>
          <w:tcPr>
            <w:tcW w:w="2200" w:type="dxa"/>
            <w:vAlign w:val="bottom"/>
            <w:tcBorders>
              <w:bottom w:val="single" w:sz="8" w:color="DBE2E9"/>
            </w:tcBorders>
            <w:shd w:val="clear" w:color="auto" w:fill="DBE2E9"/>
          </w:tcPr>
          <w:p>
            <w:pPr>
              <w:ind w:left="1440"/>
              <w:spacing w:after="0"/>
              <w:rPr>
                <w:sz w:val="20"/>
                <w:szCs w:val="20"/>
                <w:color w:val="auto"/>
              </w:rPr>
            </w:pPr>
            <w:r>
              <w:rPr>
                <w:rFonts w:ascii="Arial" w:cs="Arial" w:eastAsia="Arial" w:hAnsi="Arial"/>
                <w:sz w:val="12"/>
                <w:szCs w:val="12"/>
                <w:color w:val="auto"/>
              </w:rPr>
              <w:t>[a]</w:t>
            </w:r>
          </w:p>
        </w:tc>
        <w:tc>
          <w:tcPr>
            <w:tcW w:w="220" w:type="dxa"/>
            <w:vAlign w:val="bottom"/>
            <w:tcBorders>
              <w:bottom w:val="single" w:sz="8" w:color="auto"/>
            </w:tcBorders>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82"/>
              <w:spacing w:after="0"/>
              <w:rPr>
                <w:sz w:val="20"/>
                <w:szCs w:val="20"/>
                <w:color w:val="auto"/>
              </w:rPr>
            </w:pPr>
            <w:r>
              <w:rPr>
                <w:rFonts w:ascii="Arial" w:cs="Arial" w:eastAsia="Arial" w:hAnsi="Arial"/>
                <w:sz w:val="12"/>
                <w:szCs w:val="12"/>
                <w:color w:val="auto"/>
              </w:rPr>
              <w:t>17,624,007</w:t>
            </w:r>
          </w:p>
        </w:tc>
        <w:tc>
          <w:tcPr>
            <w:tcW w:w="80" w:type="dxa"/>
            <w:vAlign w:val="bottom"/>
            <w:tcBorders>
              <w:bottom w:val="single" w:sz="8" w:color="DBE2E9"/>
            </w:tcBorders>
            <w:shd w:val="clear" w:color="auto" w:fill="DBE2E9"/>
          </w:tcPr>
          <w:p>
            <w:pPr>
              <w:spacing w:after="0"/>
              <w:rPr>
                <w:sz w:val="16"/>
                <w:szCs w:val="16"/>
                <w:color w:val="auto"/>
              </w:rPr>
            </w:pPr>
          </w:p>
        </w:tc>
        <w:tc>
          <w:tcPr>
            <w:tcW w:w="220" w:type="dxa"/>
            <w:vAlign w:val="bottom"/>
            <w:tcBorders>
              <w:bottom w:val="single" w:sz="8" w:color="auto"/>
            </w:tcBorders>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102"/>
              <w:spacing w:after="0"/>
              <w:rPr>
                <w:sz w:val="20"/>
                <w:szCs w:val="20"/>
                <w:color w:val="auto"/>
              </w:rPr>
            </w:pPr>
            <w:r>
              <w:rPr>
                <w:rFonts w:ascii="Arial" w:cs="Arial" w:eastAsia="Arial" w:hAnsi="Arial"/>
                <w:sz w:val="12"/>
                <w:szCs w:val="12"/>
                <w:color w:val="auto"/>
              </w:rPr>
              <w:t>17,703,425</w:t>
            </w:r>
          </w:p>
        </w:tc>
        <w:tc>
          <w:tcPr>
            <w:tcW w:w="80" w:type="dxa"/>
            <w:vAlign w:val="bottom"/>
            <w:tcBorders>
              <w:bottom w:val="single" w:sz="8" w:color="DBE2E9"/>
            </w:tcBorders>
            <w:shd w:val="clear" w:color="auto" w:fill="DBE2E9"/>
          </w:tcPr>
          <w:p>
            <w:pPr>
              <w:spacing w:after="0"/>
              <w:rPr>
                <w:sz w:val="16"/>
                <w:szCs w:val="16"/>
                <w:color w:val="auto"/>
              </w:rPr>
            </w:pPr>
          </w:p>
        </w:tc>
        <w:tc>
          <w:tcPr>
            <w:tcW w:w="220" w:type="dxa"/>
            <w:vAlign w:val="bottom"/>
            <w:tcBorders>
              <w:bottom w:val="single" w:sz="8" w:color="auto"/>
            </w:tcBorders>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102"/>
              <w:spacing w:after="0"/>
              <w:rPr>
                <w:sz w:val="20"/>
                <w:szCs w:val="20"/>
                <w:color w:val="auto"/>
              </w:rPr>
            </w:pPr>
            <w:r>
              <w:rPr>
                <w:rFonts w:ascii="Arial" w:cs="Arial" w:eastAsia="Arial" w:hAnsi="Arial"/>
                <w:sz w:val="12"/>
                <w:szCs w:val="12"/>
                <w:color w:val="auto"/>
              </w:rPr>
              <w:t>11,680,747</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DBE2E9"/>
          </w:tcPr>
          <w:p>
            <w:pPr>
              <w:spacing w:after="0"/>
              <w:rPr>
                <w:sz w:val="20"/>
                <w:szCs w:val="20"/>
                <w:color w:val="auto"/>
              </w:rPr>
            </w:pPr>
            <w:r>
              <w:rPr>
                <w:rFonts w:ascii="Arial" w:cs="Arial" w:eastAsia="Arial" w:hAnsi="Arial"/>
                <w:sz w:val="12"/>
                <w:szCs w:val="12"/>
                <w:b w:val="1"/>
                <w:bCs w:val="1"/>
                <w:color w:val="auto"/>
              </w:rPr>
              <w:t>Total stockholders' equity (GAAP)</w:t>
            </w:r>
          </w:p>
        </w:tc>
        <w:tc>
          <w:tcPr>
            <w:tcW w:w="2200" w:type="dxa"/>
            <w:vAlign w:val="bottom"/>
            <w:shd w:val="clear" w:color="auto" w:fill="DBE2E9"/>
          </w:tcPr>
          <w:p>
            <w:pPr>
              <w:spacing w:after="0"/>
              <w:rPr>
                <w:sz w:val="15"/>
                <w:szCs w:val="15"/>
                <w:color w:val="auto"/>
              </w:rPr>
            </w:pPr>
          </w:p>
        </w:tc>
        <w:tc>
          <w:tcPr>
            <w:tcW w:w="220" w:type="dxa"/>
            <w:vAlign w:val="bottom"/>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82"/>
              <w:spacing w:after="0"/>
              <w:rPr>
                <w:sz w:val="20"/>
                <w:szCs w:val="20"/>
                <w:color w:val="auto"/>
              </w:rPr>
            </w:pPr>
            <w:r>
              <w:rPr>
                <w:rFonts w:ascii="Arial" w:cs="Arial" w:eastAsia="Arial" w:hAnsi="Arial"/>
                <w:sz w:val="12"/>
                <w:szCs w:val="12"/>
                <w:color w:val="auto"/>
              </w:rPr>
              <w:t>2,468,982</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2,448,835</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1,383,269</w:t>
            </w:r>
          </w:p>
        </w:tc>
        <w:tc>
          <w:tcPr>
            <w:tcW w:w="0" w:type="dxa"/>
            <w:vAlign w:val="bottom"/>
          </w:tcPr>
          <w:p>
            <w:pPr>
              <w:spacing w:after="0"/>
              <w:rPr>
                <w:sz w:val="1"/>
                <w:szCs w:val="1"/>
                <w:color w:val="auto"/>
              </w:rPr>
            </w:pPr>
          </w:p>
        </w:tc>
      </w:tr>
      <w:tr>
        <w:trPr>
          <w:trHeight w:val="172"/>
        </w:trPr>
        <w:tc>
          <w:tcPr>
            <w:tcW w:w="4920" w:type="dxa"/>
            <w:vAlign w:val="bottom"/>
            <w:tcBorders>
              <w:bottom w:val="single" w:sz="8" w:color="DBE2E9"/>
            </w:tcBorders>
          </w:tcPr>
          <w:p>
            <w:pPr>
              <w:ind w:left="120"/>
              <w:spacing w:after="0"/>
              <w:rPr>
                <w:sz w:val="20"/>
                <w:szCs w:val="20"/>
                <w:color w:val="auto"/>
              </w:rPr>
            </w:pPr>
            <w:r>
              <w:rPr>
                <w:rFonts w:ascii="Arial" w:cs="Arial" w:eastAsia="Arial" w:hAnsi="Arial"/>
                <w:sz w:val="12"/>
                <w:szCs w:val="12"/>
                <w:color w:val="auto"/>
              </w:rPr>
              <w:t>Preferred stock and additional paid in capital on preferred stock</w:t>
            </w:r>
          </w:p>
        </w:tc>
        <w:tc>
          <w:tcPr>
            <w:tcW w:w="220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(215,197)</w:t>
            </w:r>
          </w:p>
        </w:tc>
        <w:tc>
          <w:tcPr>
            <w:tcW w:w="8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(215,197)</w:t>
            </w:r>
          </w:p>
        </w:tc>
        <w:tc>
          <w:tcPr>
            <w:tcW w:w="8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920" w:type="dxa"/>
            <w:vAlign w:val="bottom"/>
            <w:shd w:val="clear" w:color="auto" w:fill="DBE2E9"/>
          </w:tcPr>
          <w:p>
            <w:pPr>
              <w:spacing w:after="0"/>
              <w:rPr>
                <w:sz w:val="20"/>
                <w:szCs w:val="20"/>
                <w:color w:val="auto"/>
              </w:rPr>
            </w:pPr>
            <w:r>
              <w:rPr>
                <w:rFonts w:ascii="Arial" w:cs="Arial" w:eastAsia="Arial" w:hAnsi="Arial"/>
                <w:sz w:val="12"/>
                <w:szCs w:val="12"/>
                <w:color w:val="auto"/>
              </w:rPr>
              <w:t>Common equity</w:t>
            </w:r>
          </w:p>
        </w:tc>
        <w:tc>
          <w:tcPr>
            <w:tcW w:w="2200" w:type="dxa"/>
            <w:vAlign w:val="bottom"/>
            <w:shd w:val="clear" w:color="auto" w:fill="DBE2E9"/>
          </w:tcPr>
          <w:p>
            <w:pPr>
              <w:ind w:left="1440"/>
              <w:spacing w:after="0"/>
              <w:rPr>
                <w:sz w:val="20"/>
                <w:szCs w:val="20"/>
                <w:color w:val="auto"/>
              </w:rPr>
            </w:pPr>
            <w:r>
              <w:rPr>
                <w:rFonts w:ascii="Arial" w:cs="Arial" w:eastAsia="Arial" w:hAnsi="Arial"/>
                <w:sz w:val="12"/>
                <w:szCs w:val="12"/>
                <w:color w:val="auto"/>
              </w:rPr>
              <w:t>[b]</w:t>
            </w: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ind w:right="82"/>
              <w:spacing w:after="0"/>
              <w:rPr>
                <w:sz w:val="20"/>
                <w:szCs w:val="20"/>
                <w:color w:val="auto"/>
              </w:rPr>
            </w:pPr>
            <w:r>
              <w:rPr>
                <w:rFonts w:ascii="Arial" w:cs="Arial" w:eastAsia="Arial" w:hAnsi="Arial"/>
                <w:sz w:val="12"/>
                <w:szCs w:val="12"/>
                <w:color w:val="auto"/>
              </w:rPr>
              <w:t>2,253,785</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2,233,638</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1,383,269</w:t>
            </w:r>
          </w:p>
        </w:tc>
        <w:tc>
          <w:tcPr>
            <w:tcW w:w="0" w:type="dxa"/>
            <w:vAlign w:val="bottom"/>
          </w:tcPr>
          <w:p>
            <w:pPr>
              <w:spacing w:after="0"/>
              <w:rPr>
                <w:sz w:val="1"/>
                <w:szCs w:val="1"/>
                <w:color w:val="auto"/>
              </w:rPr>
            </w:pPr>
          </w:p>
        </w:tc>
      </w:tr>
      <w:tr>
        <w:trPr>
          <w:trHeight w:val="172"/>
        </w:trPr>
        <w:tc>
          <w:tcPr>
            <w:tcW w:w="4920" w:type="dxa"/>
            <w:vAlign w:val="bottom"/>
            <w:tcBorders>
              <w:bottom w:val="single" w:sz="8" w:color="DBE2E9"/>
            </w:tcBorders>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20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(480,729)</w:t>
            </w:r>
          </w:p>
        </w:tc>
        <w:tc>
          <w:tcPr>
            <w:tcW w:w="8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(485,203)</w:t>
            </w:r>
          </w:p>
        </w:tc>
        <w:tc>
          <w:tcPr>
            <w:tcW w:w="80" w:type="dxa"/>
            <w:vAlign w:val="bottom"/>
            <w:tcBorders>
              <w:bottom w:val="single" w:sz="8" w:color="DBE2E9"/>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(365,975)</w:t>
            </w:r>
          </w:p>
        </w:tc>
        <w:tc>
          <w:tcPr>
            <w:tcW w:w="0" w:type="dxa"/>
            <w:vAlign w:val="bottom"/>
          </w:tcPr>
          <w:p>
            <w:pPr>
              <w:spacing w:after="0"/>
              <w:rPr>
                <w:sz w:val="1"/>
                <w:szCs w:val="1"/>
                <w:color w:val="auto"/>
              </w:rPr>
            </w:pPr>
          </w:p>
        </w:tc>
      </w:tr>
      <w:tr>
        <w:trPr>
          <w:trHeight w:val="193"/>
        </w:trPr>
        <w:tc>
          <w:tcPr>
            <w:tcW w:w="4920" w:type="dxa"/>
            <w:vAlign w:val="bottom"/>
            <w:tcBorders>
              <w:bottom w:val="single" w:sz="8" w:color="DBE2E9"/>
            </w:tcBorders>
            <w:shd w:val="clear" w:color="auto" w:fill="DBE2E9"/>
          </w:tcPr>
          <w:p>
            <w:pPr>
              <w:spacing w:after="0"/>
              <w:rPr>
                <w:sz w:val="20"/>
                <w:szCs w:val="20"/>
                <w:color w:val="auto"/>
              </w:rPr>
            </w:pPr>
            <w:r>
              <w:rPr>
                <w:rFonts w:ascii="Arial" w:cs="Arial" w:eastAsia="Arial" w:hAnsi="Arial"/>
                <w:sz w:val="12"/>
                <w:szCs w:val="12"/>
                <w:color w:val="auto"/>
              </w:rPr>
              <w:t>Tangible common equity (Non-GAAP)</w:t>
            </w:r>
            <w:r>
              <w:rPr>
                <w:rFonts w:ascii="Arial" w:cs="Arial" w:eastAsia="Arial" w:hAnsi="Arial"/>
                <w:sz w:val="15"/>
                <w:szCs w:val="15"/>
                <w:color w:val="auto"/>
                <w:vertAlign w:val="superscript"/>
              </w:rPr>
              <w:t>(i)</w:t>
            </w:r>
          </w:p>
        </w:tc>
        <w:tc>
          <w:tcPr>
            <w:tcW w:w="2200" w:type="dxa"/>
            <w:vAlign w:val="bottom"/>
            <w:tcBorders>
              <w:bottom w:val="single" w:sz="8" w:color="DBE2E9"/>
            </w:tcBorders>
            <w:shd w:val="clear" w:color="auto" w:fill="DBE2E9"/>
          </w:tcPr>
          <w:p>
            <w:pPr>
              <w:ind w:left="1440"/>
              <w:spacing w:after="0"/>
              <w:rPr>
                <w:sz w:val="20"/>
                <w:szCs w:val="20"/>
                <w:color w:val="auto"/>
              </w:rPr>
            </w:pPr>
            <w:r>
              <w:rPr>
                <w:rFonts w:ascii="Arial" w:cs="Arial" w:eastAsia="Arial" w:hAnsi="Arial"/>
                <w:sz w:val="12"/>
                <w:szCs w:val="12"/>
                <w:color w:val="auto"/>
              </w:rPr>
              <w:t>[c]</w:t>
            </w:r>
          </w:p>
        </w:tc>
        <w:tc>
          <w:tcPr>
            <w:tcW w:w="220" w:type="dxa"/>
            <w:vAlign w:val="bottom"/>
            <w:tcBorders>
              <w:bottom w:val="single" w:sz="8" w:color="auto"/>
            </w:tcBorders>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82"/>
              <w:spacing w:after="0"/>
              <w:rPr>
                <w:sz w:val="20"/>
                <w:szCs w:val="20"/>
                <w:color w:val="auto"/>
              </w:rPr>
            </w:pPr>
            <w:r>
              <w:rPr>
                <w:rFonts w:ascii="Arial" w:cs="Arial" w:eastAsia="Arial" w:hAnsi="Arial"/>
                <w:sz w:val="12"/>
                <w:szCs w:val="12"/>
                <w:color w:val="auto"/>
              </w:rPr>
              <w:t>1,773,056</w:t>
            </w:r>
          </w:p>
        </w:tc>
        <w:tc>
          <w:tcPr>
            <w:tcW w:w="80" w:type="dxa"/>
            <w:vAlign w:val="bottom"/>
            <w:tcBorders>
              <w:bottom w:val="single" w:sz="8" w:color="DBE2E9"/>
            </w:tcBorders>
            <w:shd w:val="clear" w:color="auto" w:fill="DBE2E9"/>
          </w:tcPr>
          <w:p>
            <w:pPr>
              <w:spacing w:after="0"/>
              <w:rPr>
                <w:sz w:val="16"/>
                <w:szCs w:val="16"/>
                <w:color w:val="auto"/>
              </w:rPr>
            </w:pPr>
          </w:p>
        </w:tc>
        <w:tc>
          <w:tcPr>
            <w:tcW w:w="220" w:type="dxa"/>
            <w:vAlign w:val="bottom"/>
            <w:tcBorders>
              <w:bottom w:val="single" w:sz="8" w:color="auto"/>
            </w:tcBorders>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102"/>
              <w:spacing w:after="0"/>
              <w:rPr>
                <w:sz w:val="20"/>
                <w:szCs w:val="20"/>
                <w:color w:val="auto"/>
              </w:rPr>
            </w:pPr>
            <w:r>
              <w:rPr>
                <w:rFonts w:ascii="Arial" w:cs="Arial" w:eastAsia="Arial" w:hAnsi="Arial"/>
                <w:sz w:val="12"/>
                <w:szCs w:val="12"/>
                <w:color w:val="auto"/>
              </w:rPr>
              <w:t>1,748,435</w:t>
            </w:r>
          </w:p>
        </w:tc>
        <w:tc>
          <w:tcPr>
            <w:tcW w:w="80" w:type="dxa"/>
            <w:vAlign w:val="bottom"/>
            <w:tcBorders>
              <w:bottom w:val="single" w:sz="8" w:color="DBE2E9"/>
            </w:tcBorders>
            <w:shd w:val="clear" w:color="auto" w:fill="DBE2E9"/>
          </w:tcPr>
          <w:p>
            <w:pPr>
              <w:spacing w:after="0"/>
              <w:rPr>
                <w:sz w:val="16"/>
                <w:szCs w:val="16"/>
                <w:color w:val="auto"/>
              </w:rPr>
            </w:pPr>
          </w:p>
        </w:tc>
        <w:tc>
          <w:tcPr>
            <w:tcW w:w="220" w:type="dxa"/>
            <w:vAlign w:val="bottom"/>
            <w:tcBorders>
              <w:bottom w:val="single" w:sz="8" w:color="auto"/>
            </w:tcBorders>
            <w:shd w:val="clear" w:color="auto" w:fill="DBE2E9"/>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102"/>
              <w:spacing w:after="0"/>
              <w:rPr>
                <w:sz w:val="20"/>
                <w:szCs w:val="20"/>
                <w:color w:val="auto"/>
              </w:rPr>
            </w:pPr>
            <w:r>
              <w:rPr>
                <w:rFonts w:ascii="Arial" w:cs="Arial" w:eastAsia="Arial" w:hAnsi="Arial"/>
                <w:sz w:val="12"/>
                <w:szCs w:val="12"/>
                <w:color w:val="auto"/>
              </w:rPr>
              <w:t>1,017,294</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DBE2E9"/>
          </w:tcPr>
          <w:p>
            <w:pPr>
              <w:spacing w:after="0"/>
              <w:rPr>
                <w:sz w:val="20"/>
                <w:szCs w:val="20"/>
                <w:color w:val="auto"/>
              </w:rPr>
            </w:pPr>
            <w:r>
              <w:rPr>
                <w:rFonts w:ascii="Arial" w:cs="Arial" w:eastAsia="Arial" w:hAnsi="Arial"/>
                <w:sz w:val="12"/>
                <w:szCs w:val="12"/>
                <w:color w:val="auto"/>
              </w:rPr>
              <w:t>Tangible common equity to tangible assets (Non-GAAP)</w:t>
            </w:r>
            <w:r>
              <w:rPr>
                <w:rFonts w:ascii="Arial" w:cs="Arial" w:eastAsia="Arial" w:hAnsi="Arial"/>
                <w:sz w:val="15"/>
                <w:szCs w:val="15"/>
                <w:color w:val="auto"/>
                <w:vertAlign w:val="superscript"/>
              </w:rPr>
              <w:t>(i)</w:t>
            </w:r>
          </w:p>
        </w:tc>
        <w:tc>
          <w:tcPr>
            <w:tcW w:w="2200" w:type="dxa"/>
            <w:vAlign w:val="bottom"/>
            <w:shd w:val="clear" w:color="auto" w:fill="DBE2E9"/>
          </w:tcPr>
          <w:p>
            <w:pPr>
              <w:ind w:left="1440"/>
              <w:spacing w:after="0"/>
              <w:rPr>
                <w:sz w:val="20"/>
                <w:szCs w:val="20"/>
                <w:color w:val="auto"/>
              </w:rPr>
            </w:pPr>
            <w:r>
              <w:rPr>
                <w:rFonts w:ascii="Arial" w:cs="Arial" w:eastAsia="Arial" w:hAnsi="Arial"/>
                <w:sz w:val="12"/>
                <w:szCs w:val="12"/>
                <w:color w:val="auto"/>
              </w:rPr>
              <w:t>[c÷a]</w:t>
            </w: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10.06 %</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9.88 %</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8.71 %</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DBE2E9"/>
          </w:tcPr>
          <w:p>
            <w:pPr>
              <w:spacing w:after="0"/>
              <w:rPr>
                <w:sz w:val="20"/>
                <w:szCs w:val="20"/>
                <w:color w:val="auto"/>
              </w:rPr>
            </w:pPr>
            <w:r>
              <w:rPr>
                <w:rFonts w:ascii="Arial" w:cs="Arial" w:eastAsia="Arial" w:hAnsi="Arial"/>
                <w:sz w:val="12"/>
                <w:szCs w:val="12"/>
                <w:color w:val="auto"/>
              </w:rPr>
              <w:t>Ending number of common shares outstanding (GAAP)</w:t>
            </w:r>
          </w:p>
        </w:tc>
        <w:tc>
          <w:tcPr>
            <w:tcW w:w="2200" w:type="dxa"/>
            <w:vAlign w:val="bottom"/>
            <w:shd w:val="clear" w:color="auto" w:fill="DBE2E9"/>
          </w:tcPr>
          <w:p>
            <w:pPr>
              <w:ind w:left="1440"/>
              <w:spacing w:after="0"/>
              <w:rPr>
                <w:sz w:val="20"/>
                <w:szCs w:val="20"/>
                <w:color w:val="auto"/>
              </w:rPr>
            </w:pPr>
            <w:r>
              <w:rPr>
                <w:rFonts w:ascii="Arial" w:cs="Arial" w:eastAsia="Arial" w:hAnsi="Arial"/>
                <w:sz w:val="12"/>
                <w:szCs w:val="12"/>
                <w:color w:val="auto"/>
              </w:rPr>
              <w:t>[d]</w:t>
            </w: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ind w:right="82"/>
              <w:spacing w:after="0"/>
              <w:rPr>
                <w:sz w:val="20"/>
                <w:szCs w:val="20"/>
                <w:color w:val="auto"/>
              </w:rPr>
            </w:pPr>
            <w:r>
              <w:rPr>
                <w:rFonts w:ascii="Arial" w:cs="Arial" w:eastAsia="Arial" w:hAnsi="Arial"/>
                <w:sz w:val="12"/>
                <w:szCs w:val="12"/>
                <w:color w:val="auto"/>
              </w:rPr>
              <w:t>87,624,430</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88,789,043</w:t>
            </w:r>
          </w:p>
        </w:tc>
        <w:tc>
          <w:tcPr>
            <w:tcW w:w="80" w:type="dxa"/>
            <w:vAlign w:val="bottom"/>
            <w:shd w:val="clear" w:color="auto" w:fill="DBE2E9"/>
          </w:tcPr>
          <w:p>
            <w:pPr>
              <w:spacing w:after="0"/>
              <w:rPr>
                <w:sz w:val="15"/>
                <w:szCs w:val="15"/>
                <w:color w:val="auto"/>
              </w:rPr>
            </w:pPr>
          </w:p>
        </w:tc>
        <w:tc>
          <w:tcPr>
            <w:tcW w:w="220" w:type="dxa"/>
            <w:vAlign w:val="bottom"/>
            <w:shd w:val="clear" w:color="auto" w:fill="DBE2E9"/>
          </w:tcPr>
          <w:p>
            <w:pPr>
              <w:spacing w:after="0"/>
              <w:rPr>
                <w:sz w:val="15"/>
                <w:szCs w:val="15"/>
                <w:color w:val="auto"/>
              </w:rPr>
            </w:pPr>
          </w:p>
        </w:tc>
        <w:tc>
          <w:tcPr>
            <w:tcW w:w="1120" w:type="dxa"/>
            <w:vAlign w:val="bottom"/>
            <w:shd w:val="clear" w:color="auto" w:fill="DBE2E9"/>
          </w:tcPr>
          <w:p>
            <w:pPr>
              <w:jc w:val="right"/>
              <w:ind w:right="102"/>
              <w:spacing w:after="0"/>
              <w:rPr>
                <w:sz w:val="20"/>
                <w:szCs w:val="20"/>
                <w:color w:val="auto"/>
              </w:rPr>
            </w:pPr>
            <w:r>
              <w:rPr>
                <w:rFonts w:ascii="Arial" w:cs="Arial" w:eastAsia="Arial" w:hAnsi="Arial"/>
                <w:sz w:val="12"/>
                <w:szCs w:val="12"/>
                <w:color w:val="auto"/>
              </w:rPr>
              <w:t>56,895,981</w:t>
            </w:r>
          </w:p>
        </w:tc>
        <w:tc>
          <w:tcPr>
            <w:tcW w:w="0" w:type="dxa"/>
            <w:vAlign w:val="bottom"/>
          </w:tcPr>
          <w:p>
            <w:pPr>
              <w:spacing w:after="0"/>
              <w:rPr>
                <w:sz w:val="1"/>
                <w:szCs w:val="1"/>
                <w:color w:val="auto"/>
              </w:rPr>
            </w:pPr>
          </w:p>
        </w:tc>
      </w:tr>
      <w:tr>
        <w:trPr>
          <w:trHeight w:val="164"/>
        </w:trPr>
        <w:tc>
          <w:tcPr>
            <w:tcW w:w="4920" w:type="dxa"/>
            <w:vAlign w:val="bottom"/>
          </w:tcPr>
          <w:p>
            <w:pPr>
              <w:spacing w:after="0"/>
              <w:rPr>
                <w:sz w:val="20"/>
                <w:szCs w:val="20"/>
                <w:color w:val="auto"/>
              </w:rPr>
            </w:pPr>
            <w:r>
              <w:rPr>
                <w:rFonts w:ascii="Arial" w:cs="Arial" w:eastAsia="Arial" w:hAnsi="Arial"/>
                <w:sz w:val="12"/>
                <w:szCs w:val="12"/>
                <w:color w:val="auto"/>
              </w:rPr>
              <w:t>Book value per common share (Non-GAAP)</w:t>
            </w:r>
          </w:p>
        </w:tc>
        <w:tc>
          <w:tcPr>
            <w:tcW w:w="2200" w:type="dxa"/>
            <w:vAlign w:val="bottom"/>
          </w:tcPr>
          <w:p>
            <w:pPr>
              <w:ind w:left="1440"/>
              <w:spacing w:after="0"/>
              <w:rPr>
                <w:sz w:val="20"/>
                <w:szCs w:val="20"/>
                <w:color w:val="auto"/>
              </w:rPr>
            </w:pPr>
            <w:r>
              <w:rPr>
                <w:rFonts w:ascii="Arial" w:cs="Arial" w:eastAsia="Arial" w:hAnsi="Arial"/>
                <w:sz w:val="12"/>
                <w:szCs w:val="12"/>
                <w:color w:val="auto"/>
              </w:rPr>
              <w:t>[b÷d]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25.72</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25.16</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24.31</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2"/>
                <w:szCs w:val="12"/>
                <w:color w:val="auto"/>
              </w:rPr>
              <w:t>Tangible book value per common share (Non-GAAP)</w:t>
            </w:r>
          </w:p>
        </w:tc>
        <w:tc>
          <w:tcPr>
            <w:tcW w:w="2200" w:type="dxa"/>
            <w:vAlign w:val="bottom"/>
          </w:tcPr>
          <w:p>
            <w:pPr>
              <w:ind w:left="1440"/>
              <w:spacing w:after="0"/>
              <w:rPr>
                <w:sz w:val="20"/>
                <w:szCs w:val="20"/>
                <w:color w:val="auto"/>
              </w:rPr>
            </w:pPr>
            <w:r>
              <w:rPr>
                <w:rFonts w:ascii="Arial" w:cs="Arial" w:eastAsia="Arial" w:hAnsi="Arial"/>
                <w:sz w:val="12"/>
                <w:szCs w:val="12"/>
                <w:color w:val="auto"/>
              </w:rPr>
              <w:t>[c÷d]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20.23</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19.69</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17.88</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Beginning in 2025, Busey revised its calculation of tangible assets and tangible common equity for all periods presented to exclude any tax adjustment.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Core Deposits and Related Ratio</w:t>
      </w:r>
    </w:p>
    <w:p>
      <w:pPr>
        <w:sectPr>
          <w:pgSz w:w="11900" w:h="16838" w:orient="portrait"/>
          <w:cols w:equalWidth="0" w:num="1">
            <w:col w:w="11300"/>
          </w:cols>
          <w:pgMar w:left="300" w:top="910" w:right="2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thousands)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deposits (GAAP)</w:t>
      </w:r>
    </w:p>
    <w:p>
      <w:pPr>
        <w:spacing w:after="0" w:line="42" w:lineRule="exact"/>
        <w:rPr>
          <w:sz w:val="20"/>
          <w:szCs w:val="20"/>
          <w:color w:val="auto"/>
        </w:rPr>
      </w:pPr>
    </w:p>
    <w:p>
      <w:pPr>
        <w:ind w:left="120" w:right="1620"/>
        <w:spacing w:after="0" w:line="336" w:lineRule="auto"/>
        <w:rPr>
          <w:sz w:val="20"/>
          <w:szCs w:val="20"/>
          <w:color w:val="auto"/>
        </w:rPr>
      </w:pPr>
      <w:r>
        <w:rPr>
          <w:rFonts w:ascii="Arial" w:cs="Arial" w:eastAsia="Arial" w:hAnsi="Arial"/>
          <w:sz w:val="12"/>
          <w:szCs w:val="12"/>
          <w:color w:val="auto"/>
        </w:rPr>
        <w:t>Brokered deposits, excluding brokered time deposits of $250,000 or more Time deposits of $250,000 or more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Core deposits (Non-GAAP)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7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As of</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7"/>
                <w:szCs w:val="7"/>
                <w:color w:val="auto"/>
              </w:rPr>
            </w:pPr>
          </w:p>
        </w:tc>
        <w:tc>
          <w:tcPr>
            <w:tcW w:w="1200" w:type="dxa"/>
            <w:vAlign w:val="bottom"/>
            <w:gridSpan w:val="2"/>
          </w:tcPr>
          <w:p>
            <w:pPr>
              <w:jc w:val="center"/>
              <w:ind w:right="300"/>
              <w:spacing w:after="0" w:line="88" w:lineRule="exact"/>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7"/>
                <w:szCs w:val="7"/>
                <w:color w:val="auto"/>
              </w:rPr>
            </w:pPr>
          </w:p>
        </w:tc>
        <w:tc>
          <w:tcPr>
            <w:tcW w:w="1120" w:type="dxa"/>
            <w:vAlign w:val="bottom"/>
          </w:tcPr>
          <w:p>
            <w:pPr>
              <w:jc w:val="right"/>
              <w:ind w:right="304"/>
              <w:spacing w:after="0" w:line="8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760" w:type="dxa"/>
            <w:vAlign w:val="bottom"/>
            <w:vMerge w:val="restart"/>
          </w:tcPr>
          <w:p>
            <w:pPr>
              <w:spacing w:after="0"/>
              <w:rPr>
                <w:sz w:val="20"/>
                <w:szCs w:val="20"/>
                <w:color w:val="auto"/>
              </w:rPr>
            </w:pPr>
            <w:r>
              <w:rPr>
                <w:rFonts w:ascii="Arial" w:cs="Arial" w:eastAsia="Arial" w:hAnsi="Arial"/>
                <w:sz w:val="12"/>
                <w:szCs w:val="12"/>
                <w:color w:val="auto"/>
              </w:rPr>
              <w:t>[a]</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53"/>
        </w:trPr>
        <w:tc>
          <w:tcPr>
            <w:tcW w:w="760" w:type="dxa"/>
            <w:vAlign w:val="bottom"/>
            <w:vMerge w:val="continue"/>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4"/>
              <w:spacing w:after="0"/>
              <w:rPr>
                <w:sz w:val="20"/>
                <w:szCs w:val="20"/>
                <w:color w:val="auto"/>
              </w:rPr>
            </w:pPr>
            <w:r>
              <w:rPr>
                <w:rFonts w:ascii="Arial" w:cs="Arial" w:eastAsia="Arial" w:hAnsi="Arial"/>
                <w:sz w:val="12"/>
                <w:szCs w:val="12"/>
                <w:color w:val="auto"/>
              </w:rPr>
              <w:t>14,905,958</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5"/>
              <w:spacing w:after="0"/>
              <w:rPr>
                <w:sz w:val="20"/>
                <w:szCs w:val="20"/>
                <w:color w:val="auto"/>
              </w:rPr>
            </w:pPr>
            <w:r>
              <w:rPr>
                <w:rFonts w:ascii="Arial" w:cs="Arial" w:eastAsia="Arial" w:hAnsi="Arial"/>
                <w:sz w:val="12"/>
                <w:szCs w:val="12"/>
                <w:color w:val="auto"/>
              </w:rPr>
              <w:t>15,070,162</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4"/>
              <w:spacing w:after="0"/>
              <w:rPr>
                <w:sz w:val="20"/>
                <w:szCs w:val="20"/>
                <w:color w:val="auto"/>
              </w:rPr>
            </w:pPr>
            <w:r>
              <w:rPr>
                <w:rFonts w:ascii="Arial" w:cs="Arial" w:eastAsia="Arial" w:hAnsi="Arial"/>
                <w:sz w:val="12"/>
                <w:szCs w:val="12"/>
                <w:color w:val="auto"/>
              </w:rPr>
              <w:t>9,982,490</w:t>
            </w: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64"/>
              <w:spacing w:after="0"/>
              <w:rPr>
                <w:sz w:val="20"/>
                <w:szCs w:val="20"/>
                <w:color w:val="auto"/>
              </w:rPr>
            </w:pPr>
            <w:r>
              <w:rPr>
                <w:rFonts w:ascii="Arial" w:cs="Arial" w:eastAsia="Arial" w:hAnsi="Arial"/>
                <w:sz w:val="12"/>
                <w:szCs w:val="12"/>
                <w:color w:val="auto"/>
              </w:rPr>
              <w:t>(70,140)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Arial" w:cs="Arial" w:eastAsia="Arial" w:hAnsi="Arial"/>
                <w:sz w:val="12"/>
                <w:szCs w:val="12"/>
                <w:color w:val="auto"/>
              </w:rPr>
              <w:t>(125,432)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64"/>
              <w:spacing w:after="0"/>
              <w:rPr>
                <w:sz w:val="20"/>
                <w:szCs w:val="20"/>
                <w:color w:val="auto"/>
              </w:rPr>
            </w:pPr>
            <w:r>
              <w:rPr>
                <w:rFonts w:ascii="Arial" w:cs="Arial" w:eastAsia="Arial" w:hAnsi="Arial"/>
                <w:sz w:val="12"/>
                <w:szCs w:val="12"/>
                <w:color w:val="auto"/>
              </w:rPr>
              <w:t>(13,090)</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(876,207)</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(807,378)</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(334,503)</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20"/>
                <w:szCs w:val="20"/>
                <w:color w:val="auto"/>
              </w:rPr>
            </w:pPr>
            <w:r>
              <w:rPr>
                <w:rFonts w:ascii="Arial" w:cs="Arial" w:eastAsia="Arial" w:hAnsi="Arial"/>
                <w:sz w:val="12"/>
                <w:szCs w:val="12"/>
                <w:color w:val="auto"/>
              </w:rPr>
              <w:t>[b]</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13,959,611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color w:val="auto"/>
              </w:rPr>
              <w:t>14,137,352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rPr>
              <w:t>9,634,897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-490855</wp:posOffset>
            </wp:positionV>
            <wp:extent cx="717804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-256540</wp:posOffset>
            </wp:positionV>
            <wp:extent cx="7178040"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-10795</wp:posOffset>
            </wp:positionV>
            <wp:extent cx="7178040" cy="108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5640" w:space="720"/>
            <w:col w:w="4940"/>
          </w:cols>
          <w:pgMar w:left="300" w:top="910" w:right="299" w:bottom="1440" w:gutter="0" w:footer="0" w:header="0"/>
          <w:type w:val="continuous"/>
        </w:sectPr>
      </w:pPr>
    </w:p>
    <w:p>
      <w:pPr>
        <w:spacing w:after="0"/>
        <w:tabs>
          <w:tab w:leader="none" w:pos="6340" w:val="left"/>
          <w:tab w:leader="none" w:pos="8000" w:val="left"/>
          <w:tab w:leader="none" w:pos="9400" w:val="left"/>
          <w:tab w:leader="none" w:pos="10820" w:val="left"/>
        </w:tabs>
        <w:rPr>
          <w:sz w:val="20"/>
          <w:szCs w:val="20"/>
          <w:color w:val="auto"/>
        </w:rPr>
      </w:pPr>
      <w:r>
        <w:rPr>
          <w:rFonts w:ascii="Arial" w:cs="Arial" w:eastAsia="Arial" w:hAnsi="Arial"/>
          <w:sz w:val="12"/>
          <w:szCs w:val="12"/>
          <w:color w:val="auto"/>
        </w:rPr>
        <w:t>Core deposits to total deposits (Non-GAAP)</w:t>
      </w:r>
      <w:r>
        <w:rPr>
          <w:sz w:val="20"/>
          <w:szCs w:val="20"/>
          <w:color w:val="auto"/>
        </w:rPr>
        <w:tab/>
      </w:r>
      <w:r>
        <w:rPr>
          <w:rFonts w:ascii="Arial" w:cs="Arial" w:eastAsia="Arial" w:hAnsi="Arial"/>
          <w:sz w:val="12"/>
          <w:szCs w:val="12"/>
          <w:color w:val="auto"/>
        </w:rPr>
        <w:t>[b÷a]</w:t>
      </w:r>
      <w:r>
        <w:rPr>
          <w:sz w:val="20"/>
          <w:szCs w:val="20"/>
          <w:color w:val="auto"/>
        </w:rPr>
        <w:tab/>
      </w:r>
      <w:r>
        <w:rPr>
          <w:rFonts w:ascii="Arial" w:cs="Arial" w:eastAsia="Arial" w:hAnsi="Arial"/>
          <w:sz w:val="12"/>
          <w:szCs w:val="12"/>
          <w:color w:val="auto"/>
        </w:rPr>
        <w:t>93.65 %</w:t>
      </w:r>
      <w:r>
        <w:rPr>
          <w:sz w:val="20"/>
          <w:szCs w:val="20"/>
          <w:color w:val="auto"/>
        </w:rPr>
        <w:tab/>
      </w:r>
      <w:r>
        <w:rPr>
          <w:rFonts w:ascii="Arial" w:cs="Arial" w:eastAsia="Arial" w:hAnsi="Arial"/>
          <w:sz w:val="12"/>
          <w:szCs w:val="12"/>
          <w:color w:val="auto"/>
        </w:rPr>
        <w:t>93.81 %</w:t>
      </w:r>
      <w:r>
        <w:rPr>
          <w:sz w:val="20"/>
          <w:szCs w:val="20"/>
          <w:color w:val="auto"/>
        </w:rPr>
        <w:tab/>
      </w:r>
      <w:r>
        <w:rPr>
          <w:rFonts w:ascii="Arial" w:cs="Arial" w:eastAsia="Arial" w:hAnsi="Arial"/>
          <w:sz w:val="11"/>
          <w:szCs w:val="11"/>
          <w:color w:val="auto"/>
        </w:rPr>
        <w:t>96.52 %</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20</w:t>
      </w:r>
    </w:p>
    <w:p>
      <w:pPr>
        <w:sectPr>
          <w:pgSz w:w="11900" w:h="16838" w:orient="portrait"/>
          <w:cols w:equalWidth="0" w:num="1">
            <w:col w:w="11300"/>
          </w:cols>
          <w:pgMar w:left="300" w:top="910" w:right="2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FORWARD-LOOKING STATEMENTS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This press release may contain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 the date they are made, and Busey undertakes no obligation to update any statement in light of new information or future events.</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 number of factors, many of which are beyond Busey’s ability to control or predict, could cause actual results to differ materially from those in any forward-looking statements. These factors include, among others, the following: (1) the strength of the local, state, national, and international economies and financial markets (including effects of inflationary pressures, the threat or implementation of tariffs, trade wars, and changes to immigration policy); (2) changes in, and the interpretation and prioritization of, local, state, and federal laws, regulations, and governmental policies (including those concerning Busey's general business); (3) the economic impact of any future terrorist threats or attacks, widespread disease or pandemics, military conflicts, acts of war or threats thereof, or other adverse external events that could cause economic deterioration or instability in credit markets (including Russia’s invasion of Ukraine, the conflicts in the Middle East, and recent military activity in Venezuela); (4) unexpected results of acquisitions, including the acquisition of CrossFirst, which may include the failure to realize the anticipated benefits of the acquisitions and the possibility that the transaction and integration costs may be greater than anticipated; (5) the imposition of tariffs or other governmental policies impacting the value of products produced by Busey's commercial borrowers; (6) new or revised accounting policies and practices as may be adopted by state and federal regulatory banking agencies, the Financial Accounting Standards Board, the Securities and Exchange Commission, or the Public Company Accounting Oversight Board; (7) changes in interest rates and prepayment rates of Busey’s assets (including the impact of sustained elevated interest rates); (8) increased competition in the financial services sector (including from non-bank competitors such as credit unions, private credit, and fintech companies) and the inability to attract new customers; (9) technological changes implemented by us and other parties, including our third-party vendors, which may have unforeseen consequences to us and our customers, including the development and implementation of tools incorporating artificial intelligence; (10) the loss of key executives or associates, talent shortages, and employee turnover; (11) unexpected outcomes and costs of existing or new litigation, investigations, or other legal proceedings, inquiries, and regulatory actions involving Busey (including with respect to Busey’s Illinois franchise taxes); (12) fluctuations in the value of securities held in Busey’s securities portfolio, including as a result of changes in interest rates; (13) credit risk and risk from concentrations (by type of borrower, geographic area, collateral, and industry), within Busey's loan portfolio and large loans to certain borrowers (including commercial real estate loans); (14) the concentration of large deposits from certain clients who have balances above current Federal Deposit Insurance Corporation insurance limits and may withdraw deposits to diversify their exposure; (15) the level of non-performing assets on Busey’s balance sheets; (16) interruptions involving information technology and communications systems or third-party servicers; (17) breaches or failures of information security controls or cybersecurity-related incidents; (18) the economic impact on Busey and its customers of climate change, natural disasters, and exceptional weather occurrences such as tornadoes, hurricanes, floods, blizzards, and droughts; (19) the ability to successfully manage liquidity risk, which may increase dependence on non-core funding sources such as brokered deposits, and may negatively impact Busey's cost of funds; (20) the ability to maintain an adequate level of allowance for credit losses on loans; (21) the effectiveness of Busey’s risk management framework; and (22) the ability of Busey to manage the risks associated with the foregoing. These risks and uncertainties should be considered in evaluating forward-looking statements and undue reliance should not be placed on such statements.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Additional information concerning Busey and its business, including additional factors that could materially affect Busey’s financial results, is included in Busey’s filings with the Securities and Exchange Commission.</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21</w:t>
      </w:r>
    </w:p>
    <w:p>
      <w:pPr>
        <w:sectPr>
          <w:pgSz w:w="11900" w:h="16838" w:orient="portrait"/>
          <w:cols w:equalWidth="0" w:num="1">
            <w:col w:w="11300"/>
          </w:cols>
          <w:pgMar w:left="300" w:top="910"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END NOTES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 Annualized measure.</w:t>
      </w:r>
    </w:p>
    <w:p>
      <w:pPr>
        <w:spacing w:after="0" w:line="42" w:lineRule="exact"/>
        <w:rPr>
          <w:sz w:val="20"/>
          <w:szCs w:val="20"/>
          <w:color w:val="auto"/>
        </w:rPr>
      </w:pPr>
    </w:p>
    <w:p>
      <w:pPr>
        <w:ind w:left="420" w:right="160" w:hanging="90"/>
        <w:spacing w:after="0" w:line="281" w:lineRule="auto"/>
        <w:rPr>
          <w:sz w:val="20"/>
          <w:szCs w:val="20"/>
          <w:color w:val="auto"/>
        </w:rPr>
      </w:pPr>
      <w:r>
        <w:rPr>
          <w:rFonts w:ascii="Arial" w:cs="Arial" w:eastAsia="Arial" w:hAnsi="Arial"/>
          <w:sz w:val="12"/>
          <w:szCs w:val="12"/>
          <w:color w:val="auto"/>
        </w:rPr>
        <w:t>2 Represents a non-GAAP financial measure. For a reconciliation to the most directly comparable financial measure calculated and presented in accordance with Generally Accepted Accounting Principles (“GAAP”), see "</w:t>
      </w:r>
      <w:r>
        <w:rPr>
          <w:rFonts w:ascii="Arial" w:cs="Arial" w:eastAsia="Arial" w:hAnsi="Arial"/>
          <w:sz w:val="12"/>
          <w:szCs w:val="12"/>
          <w:u w:val="single" w:color="auto"/>
          <w:color w:val="0000FF"/>
        </w:rPr>
        <w:t>Non-GAAP Financial Information</w:t>
      </w:r>
      <w:r>
        <w:rPr>
          <w:rFonts w:ascii="Arial" w:cs="Arial" w:eastAsia="Arial" w:hAnsi="Arial"/>
          <w:sz w:val="12"/>
          <w:szCs w:val="12"/>
          <w:color w:val="auto"/>
        </w:rPr>
        <w: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 Capital amounts and ratios as of December 31, 2025, are not yet finalized and are subject to change.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4 The blended benchmark consists of 60% MSCI All Country World Index and 40% Bloomberg Intermediate US Government/Credit Total Return Index.</w:t>
      </w:r>
    </w:p>
    <w:p>
      <w:pPr>
        <w:spacing w:after="0" w:line="42" w:lineRule="exact"/>
        <w:rPr>
          <w:sz w:val="20"/>
          <w:szCs w:val="20"/>
          <w:color w:val="auto"/>
        </w:rPr>
      </w:pPr>
    </w:p>
    <w:p>
      <w:pPr>
        <w:ind w:left="420" w:right="560" w:hanging="90"/>
        <w:spacing w:after="0" w:line="281" w:lineRule="auto"/>
        <w:rPr>
          <w:sz w:val="20"/>
          <w:szCs w:val="20"/>
          <w:color w:val="auto"/>
        </w:rPr>
      </w:pPr>
      <w:r>
        <w:rPr>
          <w:rFonts w:ascii="Arial" w:cs="Arial" w:eastAsia="Arial" w:hAnsi="Arial"/>
          <w:sz w:val="12"/>
          <w:szCs w:val="12"/>
          <w:color w:val="auto"/>
        </w:rPr>
        <w:t>5 Estimated uninsured and uncollateralized deposits consist of account balances in excess of the $250,000 Federal Deposit Insurance Corporation insurance limit, less intercompany accounts, fully collateralized accounts (including preferred deposits), and pass-through accounts where clients have deposit insurance at the correspondent financial institution.</w:t>
      </w:r>
    </w:p>
    <w:p>
      <w:pPr>
        <w:spacing w:after="0" w:line="1" w:lineRule="exact"/>
        <w:rPr>
          <w:sz w:val="20"/>
          <w:szCs w:val="20"/>
          <w:color w:val="auto"/>
        </w:rPr>
      </w:pPr>
    </w:p>
    <w:p>
      <w:pPr>
        <w:ind w:left="420" w:right="40" w:hanging="90"/>
        <w:spacing w:after="0" w:line="286" w:lineRule="auto"/>
        <w:rPr>
          <w:sz w:val="20"/>
          <w:szCs w:val="20"/>
          <w:color w:val="auto"/>
        </w:rPr>
      </w:pPr>
      <w:r>
        <w:rPr>
          <w:rFonts w:ascii="Arial" w:cs="Arial" w:eastAsia="Arial" w:hAnsi="Arial"/>
          <w:sz w:val="12"/>
          <w:szCs w:val="12"/>
          <w:color w:val="auto"/>
        </w:rPr>
        <w:t>6 On- and off-balance sheet liquidity is comprised of cash and cash equivalents, debt securities excluding those pledged as collateral, brokered deposits, and Busey’s borrowing capacity through its revolving credit facility, the FHLB, the Federal Reserve Bank, and federal funds purchased lines.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Q4</w:t>
      </w:r>
      <w:r>
        <w:rPr>
          <w:rFonts w:ascii="Arial" w:cs="Arial" w:eastAsia="Arial" w:hAnsi="Arial"/>
          <w:sz w:val="12"/>
          <w:szCs w:val="12"/>
          <w:color w:val="808285"/>
        </w:rPr>
        <w:t xml:space="preserve"> — </w:t>
      </w:r>
      <w:r>
        <w:rPr>
          <w:rFonts w:ascii="Arial" w:cs="Arial" w:eastAsia="Arial" w:hAnsi="Arial"/>
          <w:sz w:val="12"/>
          <w:szCs w:val="12"/>
          <w:b w:val="1"/>
          <w:bCs w:val="1"/>
          <w:color w:val="376484"/>
        </w:rPr>
        <w:t>22</w:t>
      </w:r>
    </w:p>
    <w:p>
      <w:pPr>
        <w:sectPr>
          <w:pgSz w:w="11900" w:h="16838" w:orient="portrait"/>
          <w:cols w:equalWidth="0" w:num="1">
            <w:col w:w="11300"/>
          </w:cols>
          <w:pgMar w:left="300" w:top="910" w:right="299" w:bottom="1440" w:gutter="0" w:footer="0" w:header="0"/>
        </w:sectPr>
      </w:pPr>
    </w:p>
    <w:bookmarkStart w:id="26" w:name="page27"/>
    <w:bookmarkEnd w:id="26"/>
    <w:p>
      <w:pPr>
        <w:jc w:val="center"/>
        <w:ind w:right="380"/>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185420</wp:posOffset>
            </wp:positionH>
            <wp:positionV relativeFrom="page">
              <wp:posOffset>163195</wp:posOffset>
            </wp:positionV>
            <wp:extent cx="7178040" cy="3131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131820"/>
                    </a:xfrm>
                    <a:prstGeom prst="rect">
                      <a:avLst/>
                    </a:prstGeom>
                    <a:noFill/>
                  </pic:spPr>
                </pic:pic>
              </a:graphicData>
            </a:graphic>
          </wp:anchor>
        </w:drawing>
        <w:t>First Busey Corporation</w:t>
      </w:r>
    </w:p>
    <w:p>
      <w:pPr>
        <w:spacing w:after="0" w:line="40"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FFFFFF"/>
        </w:rPr>
        <w:t>11440 Tomahawk Creek Parkway</w:t>
      </w:r>
      <w:r>
        <w:rPr>
          <w:rFonts w:ascii="Arial" w:cs="Arial" w:eastAsia="Arial" w:hAnsi="Arial"/>
          <w:sz w:val="13"/>
          <w:szCs w:val="13"/>
          <w:color w:val="FFFFFF"/>
        </w:rPr>
        <w:t>,</w:t>
      </w:r>
      <w:r>
        <w:rPr>
          <w:rFonts w:ascii="Arial" w:cs="Arial" w:eastAsia="Arial" w:hAnsi="Arial"/>
          <w:sz w:val="12"/>
          <w:szCs w:val="12"/>
          <w:color w:val="FFFFFF"/>
        </w:rPr>
        <w:t xml:space="preserve"> Leawood</w:t>
      </w:r>
      <w:r>
        <w:rPr>
          <w:rFonts w:ascii="Arial" w:cs="Arial" w:eastAsia="Arial" w:hAnsi="Arial"/>
          <w:sz w:val="13"/>
          <w:szCs w:val="13"/>
          <w:color w:val="FFFFFF"/>
        </w:rPr>
        <w:t>,</w:t>
      </w:r>
      <w:r>
        <w:rPr>
          <w:rFonts w:ascii="Arial" w:cs="Arial" w:eastAsia="Arial" w:hAnsi="Arial"/>
          <w:sz w:val="12"/>
          <w:szCs w:val="12"/>
          <w:color w:val="FFFFFF"/>
        </w:rPr>
        <w:t xml:space="preserve"> KS 66211</w:t>
      </w:r>
    </w:p>
    <w:p>
      <w:pPr>
        <w:spacing w:after="0" w:line="40"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FFFFFF"/>
        </w:rPr>
        <w:t>NASDAQ: BUSE</w:t>
      </w:r>
    </w:p>
    <w:p>
      <w:pPr>
        <w:spacing w:after="0" w:line="40"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FFFFFF"/>
        </w:rPr>
        <w:t>Busey 2025 | All Rights Reserved</w:t>
      </w:r>
    </w:p>
    <w:p>
      <w:pPr>
        <w:spacing w:after="0" w:line="200" w:lineRule="exact"/>
        <w:rPr>
          <w:sz w:val="20"/>
          <w:szCs w:val="20"/>
          <w:color w:val="auto"/>
        </w:rPr>
      </w:pPr>
    </w:p>
    <w:p>
      <w:pPr>
        <w:spacing w:after="0" w:line="263"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FFFFFF"/>
        </w:rPr>
        <w:t>Busey’s Financial Suite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260" w:val="left"/>
        </w:tabs>
        <w:rPr>
          <w:sz w:val="20"/>
          <w:szCs w:val="20"/>
          <w:color w:val="auto"/>
        </w:rPr>
      </w:pPr>
      <w:r>
        <w:rPr>
          <w:rFonts w:ascii="Arial" w:cs="Arial" w:eastAsia="Arial" w:hAnsi="Arial"/>
          <w:sz w:val="12"/>
          <w:szCs w:val="12"/>
          <w:color w:val="FFFFFF"/>
        </w:rPr>
        <w:t>Member FDIC</w:t>
      </w:r>
      <w:r>
        <w:rPr>
          <w:sz w:val="20"/>
          <w:szCs w:val="20"/>
          <w:color w:val="auto"/>
        </w:rPr>
        <w:tab/>
      </w:r>
      <w:r>
        <w:rPr>
          <w:rFonts w:ascii="Arial" w:cs="Arial" w:eastAsia="Arial" w:hAnsi="Arial"/>
          <w:sz w:val="11"/>
          <w:szCs w:val="11"/>
          <w:b w:val="1"/>
          <w:bCs w:val="1"/>
          <w:color w:val="FFFFFF"/>
        </w:rPr>
        <w:t>busey.com</w:t>
      </w:r>
    </w:p>
    <w:p>
      <w:pPr>
        <w:sectPr>
          <w:pgSz w:w="11900" w:h="16838" w:orient="portrait"/>
          <w:cols w:equalWidth="0" w:num="1">
            <w:col w:w="10900"/>
          </w:cols>
          <w:pgMar w:left="680" w:top="1250" w:right="319" w:bottom="1440" w:gutter="0" w:footer="0" w:header="0"/>
        </w:sectPr>
      </w:pPr>
    </w:p>
    <w:bookmarkStart w:id="27" w:name="page28"/>
    <w:bookmarkEnd w:id="27"/>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2026-01-27T16:58:30Z</dcterms:created>
  <dcterms:modified xsi:type="dcterms:W3CDTF">2026-01-27T16:58:30Z</dcterms:modified>
</cp:coreProperties>
</file>