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3/31/2017</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0-15950</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FIRST BUSEY CORPORATION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260" w:type="dxa"/>
        <w:tblCellMar>
          <w:top w:w="0" w:type="dxa"/>
          <w:left w:w="0" w:type="dxa"/>
          <w:bottom w:w="0" w:type="dxa"/>
          <w:right w:w="0" w:type="dxa"/>
        </w:tblCellMar>
      </w:tblPr>
      <w:tr>
        <w:trPr>
          <w:trHeight w:val="220"/>
        </w:trPr>
        <w:tc>
          <w:tcPr>
            <w:tcW w:w="45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Nevada</w:t>
            </w:r>
          </w:p>
        </w:tc>
        <w:tc>
          <w:tcPr>
            <w:tcW w:w="410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r>
      <w:tr>
        <w:trPr>
          <w:trHeight w:val="216"/>
        </w:trPr>
        <w:tc>
          <w:tcPr>
            <w:tcW w:w="4580" w:type="dxa"/>
            <w:vAlign w:val="bottom"/>
          </w:tcPr>
          <w:p>
            <w:pPr>
              <w:jc w:val="center"/>
              <w:ind w:right="1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13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580" w:type="dxa"/>
            <w:vAlign w:val="bottom"/>
          </w:tcPr>
          <w:p>
            <w:pPr>
              <w:jc w:val="center"/>
              <w:ind w:right="1390"/>
              <w:spacing w:after="0"/>
              <w:rPr>
                <w:sz w:val="20"/>
                <w:szCs w:val="20"/>
                <w:color w:val="auto"/>
              </w:rPr>
            </w:pPr>
            <w:r>
              <w:rPr>
                <w:rFonts w:ascii="Arial" w:cs="Arial" w:eastAsia="Arial" w:hAnsi="Arial"/>
                <w:sz w:val="18"/>
                <w:szCs w:val="18"/>
                <w:color w:val="auto"/>
                <w:w w:val="91"/>
              </w:rPr>
              <w:t>or organization)</w:t>
            </w:r>
          </w:p>
        </w:tc>
        <w:tc>
          <w:tcPr>
            <w:tcW w:w="4100" w:type="dxa"/>
            <w:vAlign w:val="bottom"/>
          </w:tcPr>
          <w:p>
            <w:pPr>
              <w:spacing w:after="0"/>
              <w:rPr>
                <w:sz w:val="20"/>
                <w:szCs w:val="20"/>
                <w:color w:val="auto"/>
              </w:rPr>
            </w:pPr>
          </w:p>
        </w:tc>
      </w:tr>
      <w:tr>
        <w:trPr>
          <w:trHeight w:val="414"/>
        </w:trPr>
        <w:tc>
          <w:tcPr>
            <w:tcW w:w="458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100 W. University Ave.</w:t>
            </w:r>
          </w:p>
        </w:tc>
        <w:tc>
          <w:tcPr>
            <w:tcW w:w="4100" w:type="dxa"/>
            <w:vAlign w:val="bottom"/>
          </w:tcPr>
          <w:p>
            <w:pPr>
              <w:spacing w:after="0"/>
              <w:rPr>
                <w:sz w:val="24"/>
                <w:szCs w:val="24"/>
                <w:color w:val="auto"/>
              </w:rPr>
            </w:pPr>
          </w:p>
        </w:tc>
      </w:tr>
      <w:tr>
        <w:trPr>
          <w:trHeight w:val="220"/>
        </w:trPr>
        <w:tc>
          <w:tcPr>
            <w:tcW w:w="4580" w:type="dxa"/>
            <w:vAlign w:val="bottom"/>
          </w:tcPr>
          <w:p>
            <w:pPr>
              <w:jc w:val="center"/>
              <w:ind w:right="1370"/>
              <w:spacing w:after="0"/>
              <w:rPr>
                <w:sz w:val="20"/>
                <w:szCs w:val="20"/>
                <w:color w:val="auto"/>
              </w:rPr>
            </w:pPr>
            <w:r>
              <w:rPr>
                <w:rFonts w:ascii="Arial" w:cs="Arial" w:eastAsia="Arial" w:hAnsi="Arial"/>
                <w:sz w:val="18"/>
                <w:szCs w:val="18"/>
                <w:b w:val="1"/>
                <w:bCs w:val="1"/>
                <w:color w:val="auto"/>
                <w:w w:val="92"/>
              </w:rPr>
              <w:t>Champaign, Illinois</w:t>
            </w:r>
          </w:p>
        </w:tc>
        <w:tc>
          <w:tcPr>
            <w:tcW w:w="4100" w:type="dxa"/>
            <w:vAlign w:val="bottom"/>
          </w:tcPr>
          <w:p>
            <w:pPr>
              <w:jc w:val="right"/>
              <w:ind w:right="1010"/>
              <w:spacing w:after="0"/>
              <w:rPr>
                <w:sz w:val="20"/>
                <w:szCs w:val="20"/>
                <w:color w:val="auto"/>
              </w:rPr>
            </w:pPr>
            <w:r>
              <w:rPr>
                <w:rFonts w:ascii="Arial" w:cs="Arial" w:eastAsia="Arial" w:hAnsi="Arial"/>
                <w:sz w:val="18"/>
                <w:szCs w:val="18"/>
                <w:b w:val="1"/>
                <w:bCs w:val="1"/>
                <w:color w:val="auto"/>
              </w:rPr>
              <w:t>61820</w:t>
            </w:r>
          </w:p>
        </w:tc>
      </w:tr>
      <w:tr>
        <w:trPr>
          <w:trHeight w:val="230"/>
        </w:trPr>
        <w:tc>
          <w:tcPr>
            <w:tcW w:w="4580" w:type="dxa"/>
            <w:vAlign w:val="bottom"/>
          </w:tcPr>
          <w:p>
            <w:pPr>
              <w:jc w:val="center"/>
              <w:ind w:right="1390"/>
              <w:spacing w:after="0"/>
              <w:rPr>
                <w:sz w:val="20"/>
                <w:szCs w:val="20"/>
                <w:color w:val="auto"/>
              </w:rPr>
            </w:pPr>
            <w:r>
              <w:rPr>
                <w:rFonts w:ascii="Arial" w:cs="Arial" w:eastAsia="Arial" w:hAnsi="Arial"/>
                <w:sz w:val="18"/>
                <w:szCs w:val="18"/>
                <w:color w:val="auto"/>
                <w:w w:val="92"/>
              </w:rPr>
              <w:t>(Address of principal executive offices)</w:t>
            </w:r>
          </w:p>
        </w:tc>
        <w:tc>
          <w:tcPr>
            <w:tcW w:w="4100" w:type="dxa"/>
            <w:vAlign w:val="bottom"/>
          </w:tcPr>
          <w:p>
            <w:pPr>
              <w:jc w:val="center"/>
              <w:ind w:left="137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80" w:firstLine="38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80" w:firstLine="38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40"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0"/>
              </w:rPr>
              <w:t>Large accelerated filer x</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2"/>
              </w:rPr>
              <w:t>Accelerated filer o</w:t>
            </w:r>
          </w:p>
        </w:tc>
      </w:tr>
      <w:tr>
        <w:trPr>
          <w:trHeight w:val="216"/>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Non-accelerated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Smaller reporting company o</w:t>
            </w:r>
          </w:p>
        </w:tc>
      </w:t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(Do not check if a smaller reporting company)</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Emerging growth company o</w:t>
            </w:r>
          </w:p>
        </w:tc>
      </w:tr>
    </w:tbl>
    <w:p>
      <w:pPr>
        <w:spacing w:after="0" w:line="202" w:lineRule="exact"/>
        <w:rPr>
          <w:sz w:val="24"/>
          <w:szCs w:val="24"/>
          <w:color w:val="auto"/>
        </w:rPr>
      </w:pPr>
    </w:p>
    <w:p>
      <w:pPr>
        <w:ind w:right="220" w:firstLine="38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transaction period for complying with any new or revised financial accounting standards provided pursuant to Section 13(a) of the Exchange Act. o</w:t>
      </w:r>
    </w:p>
    <w:p>
      <w:pPr>
        <w:spacing w:after="0" w:line="170" w:lineRule="exact"/>
        <w:rPr>
          <w:sz w:val="24"/>
          <w:szCs w:val="24"/>
          <w:color w:val="auto"/>
        </w:rPr>
      </w:pPr>
    </w:p>
    <w:p>
      <w:pPr>
        <w:ind w:left="4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40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Class</w:t>
            </w: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 at May 9, 2017</w:t>
            </w: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116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80" w:type="dxa"/>
            <w:vAlign w:val="bottom"/>
          </w:tcPr>
          <w:p>
            <w:pPr>
              <w:spacing w:after="0"/>
              <w:rPr>
                <w:sz w:val="19"/>
                <w:szCs w:val="19"/>
                <w:color w:val="auto"/>
              </w:rPr>
            </w:pPr>
          </w:p>
        </w:tc>
        <w:tc>
          <w:tcPr>
            <w:tcW w:w="4380" w:type="dxa"/>
            <w:vAlign w:val="bottom"/>
            <w:tcBorders>
              <w:top w:val="single" w:sz="8" w:color="auto"/>
            </w:tcBorders>
          </w:tcPr>
          <w:p>
            <w:pPr>
              <w:jc w:val="right"/>
              <w:ind w:right="1719"/>
              <w:spacing w:after="0"/>
              <w:rPr>
                <w:sz w:val="20"/>
                <w:szCs w:val="20"/>
                <w:color w:val="auto"/>
              </w:rPr>
            </w:pPr>
            <w:r>
              <w:rPr>
                <w:rFonts w:ascii="Arial" w:cs="Arial" w:eastAsia="Arial" w:hAnsi="Arial"/>
                <w:sz w:val="18"/>
                <w:szCs w:val="18"/>
                <w:color w:val="auto"/>
              </w:rPr>
              <w:t>38,244,696</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116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1160" w:type="dxa"/>
            <w:vAlign w:val="bottom"/>
            <w:tcBorders>
              <w:bottom w:val="single" w:sz="8" w:color="auto"/>
            </w:tcBorders>
          </w:tcPr>
          <w:p>
            <w:pPr>
              <w:spacing w:after="0"/>
              <w:rPr>
                <w:sz w:val="7"/>
                <w:szCs w:val="7"/>
                <w:color w:val="auto"/>
              </w:rPr>
            </w:pPr>
          </w:p>
        </w:tc>
        <w:tc>
          <w:tcPr>
            <w:tcW w:w="44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3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116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March 31, 2017 and December 31, 2016</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60"/>
          </w:cols>
          <w:pgMar w:left="240" w:top="544" w:right="199" w:bottom="0" w:gutter="0" w:footer="0" w:header="0"/>
        </w:sectPr>
      </w:pPr>
    </w:p>
    <w:bookmarkStart w:id="1" w:name="page2"/>
    <w:bookmarkEnd w:id="1"/>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gridSpan w:val="5"/>
          </w:tcPr>
          <w:p>
            <w:pPr>
              <w:jc w:val="right"/>
              <w:ind w:right="1111"/>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due from banks (interest-bearing 2017 $354,822; 2016 $75,006)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439,511</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166,097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439,511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166,706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Securities available for sale, at fair value</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654,216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759,811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Securities held to maturity, at amortized cost</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89,660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Loans held for sale</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96,444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256,319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 (net of allowance for loan losses 2017 $48,442; 2016 $47,795)</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3,824,510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3,831,105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77,967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77,861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102,814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17,255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18,462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bank owned life insurance</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Deferred tax asset, net</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19,284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20,224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5,438,935</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5,425,170</w:t>
            </w:r>
          </w:p>
        </w:tc>
        <w:tc>
          <w:tcPr>
            <w:tcW w:w="10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Noninterest-bearing</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1,206,324</w:t>
            </w:r>
          </w:p>
        </w:tc>
        <w:tc>
          <w:tcPr>
            <w:tcW w:w="18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1,134,133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Interest-bearing</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3,279,219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3,240,165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rPr>
              <w:t>Total deposits</w:t>
            </w: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4,485,543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4,374,298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163,081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189,157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debt owed to unconsolidated trusts</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70,903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37,061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41,533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4,836,588</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4,830,856</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Commitments and contingencies (See “Note 14: Outstanding Commitments and Contingent</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authorized 66,666,667 shares; shares issued 2017 and 2016</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38,869,519</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780,427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781,716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(155,507)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(163,689)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28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 before treasury stock</w:t>
            </w: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624,824</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618,102</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shares held in treasury at cost, 2017 626,408; 2016 633,232</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602,347</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594,314</w:t>
            </w:r>
          </w:p>
        </w:tc>
        <w:tc>
          <w:tcPr>
            <w:tcW w:w="10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5,438,935</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5,425,170</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outstanding at period end</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38,243,111</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38,236,287</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20" w:type="dxa"/>
            <w:vAlign w:val="bottom"/>
            <w:gridSpan w:val="2"/>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jc w:val="center"/>
              <w:ind w:left="3710"/>
              <w:spacing w:after="0"/>
              <w:rPr>
                <w:sz w:val="20"/>
                <w:szCs w:val="20"/>
                <w:color w:val="auto"/>
              </w:rPr>
            </w:pPr>
            <w:r>
              <w:rPr>
                <w:rFonts w:ascii="Arial" w:cs="Arial" w:eastAsia="Arial" w:hAnsi="Arial"/>
                <w:sz w:val="18"/>
                <w:szCs w:val="18"/>
                <w:color w:val="auto"/>
                <w:w w:val="99"/>
              </w:rPr>
              <w:t>3</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880" w:type="dxa"/>
            <w:vAlign w:val="bottom"/>
            <w:tcBorders>
              <w:bottom w:val="single" w:sz="8" w:color="808080"/>
            </w:tcBorders>
            <w:gridSpan w:val="2"/>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7880" w:type="dxa"/>
            <w:vAlign w:val="bottom"/>
            <w:gridSpan w:val="2"/>
          </w:tcPr>
          <w:p>
            <w:pPr>
              <w:jc w:val="center"/>
              <w:ind w:left="341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jc w:val="center"/>
              <w:ind w:left="3710"/>
              <w:spacing w:after="0"/>
              <w:rPr>
                <w:sz w:val="20"/>
                <w:szCs w:val="20"/>
                <w:color w:val="auto"/>
              </w:rPr>
            </w:pPr>
            <w:r>
              <w:rPr>
                <w:rFonts w:ascii="Arial" w:cs="Arial" w:eastAsia="Arial" w:hAnsi="Arial"/>
                <w:sz w:val="18"/>
                <w:szCs w:val="18"/>
                <w:b w:val="1"/>
                <w:bCs w:val="1"/>
                <w:color w:val="auto"/>
              </w:rPr>
              <w:t>CONSOLIDATED STATEMENTS OF INCOME</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jc w:val="center"/>
              <w:ind w:left="3410"/>
              <w:spacing w:after="0"/>
              <w:rPr>
                <w:sz w:val="20"/>
                <w:szCs w:val="20"/>
                <w:color w:val="auto"/>
              </w:rPr>
            </w:pPr>
            <w:r>
              <w:rPr>
                <w:rFonts w:ascii="Arial" w:cs="Arial" w:eastAsia="Arial" w:hAnsi="Arial"/>
                <w:sz w:val="18"/>
                <w:szCs w:val="18"/>
                <w:b w:val="1"/>
                <w:bCs w:val="1"/>
                <w:color w:val="auto"/>
                <w:w w:val="91"/>
              </w:rPr>
              <w:t>For the Three Months Ended March 31, 2017 and 2016</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tcPr>
          <w:p>
            <w:pPr>
              <w:jc w:val="center"/>
              <w:ind w:left="3690"/>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20" w:type="dxa"/>
            <w:vAlign w:val="bottom"/>
            <w:gridSpan w:val="5"/>
          </w:tcPr>
          <w:p>
            <w:pPr>
              <w:jc w:val="right"/>
              <w:ind w:right="291"/>
              <w:spacing w:after="0" w:line="142" w:lineRule="exact"/>
              <w:rPr>
                <w:sz w:val="20"/>
                <w:szCs w:val="20"/>
                <w:color w:val="auto"/>
              </w:rPr>
            </w:pPr>
            <w:r>
              <w:rPr>
                <w:rFonts w:ascii="Arial" w:cs="Arial" w:eastAsia="Arial" w:hAnsi="Arial"/>
                <w:sz w:val="14"/>
                <w:szCs w:val="14"/>
                <w:b w:val="1"/>
                <w:bCs w:val="1"/>
                <w:color w:val="auto"/>
                <w:w w:val="92"/>
              </w:rPr>
              <w:t>(dollars in thousands, except per share 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Interest and fees on loans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40,597</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25,144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dividends on investment securities: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rPr>
              <w:t>Taxable interest income</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Non-taxable interest income</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interest income</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44,927</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29,524</w:t>
            </w:r>
          </w:p>
        </w:tc>
        <w:tc>
          <w:tcPr>
            <w:tcW w:w="10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2,044</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-2882900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-2882900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60"/>
          </w:cols>
          <w:pgMar w:left="240" w:top="333"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Junior subordinated debt owed to unconsolidated trusts</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expense</w:t>
            </w:r>
          </w:p>
        </w:tc>
        <w:tc>
          <w:tcPr>
            <w:tcW w:w="7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60"/>
              <w:spacing w:after="0"/>
              <w:rPr>
                <w:sz w:val="20"/>
                <w:szCs w:val="20"/>
                <w:color w:val="auto"/>
              </w:rPr>
            </w:pPr>
            <w:r>
              <w:rPr>
                <w:rFonts w:ascii="Arial" w:cs="Arial" w:eastAsia="Arial" w:hAnsi="Arial"/>
                <w:sz w:val="18"/>
                <w:szCs w:val="18"/>
                <w:color w:val="auto"/>
              </w:rPr>
              <w:t>Net interest income</w:t>
            </w:r>
          </w:p>
        </w:tc>
        <w:tc>
          <w:tcPr>
            <w:tcW w:w="72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42,013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interest income after provision for loan losses</w:t>
            </w:r>
          </w:p>
        </w:tc>
        <w:tc>
          <w:tcPr>
            <w:tcW w:w="7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41,513</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26,942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Trust fees</w:t>
            </w:r>
          </w:p>
        </w:tc>
        <w:tc>
          <w:tcPr>
            <w:tcW w:w="10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6,190</w:t>
            </w:r>
          </w:p>
        </w:tc>
        <w:tc>
          <w:tcPr>
            <w:tcW w:w="20" w:type="dxa"/>
            <w:vAlign w:val="bottom"/>
          </w:tcPr>
          <w:p>
            <w:pPr>
              <w:spacing w:after="0"/>
              <w:rPr>
                <w:sz w:val="19"/>
                <w:szCs w:val="19"/>
                <w:color w:val="auto"/>
              </w:rPr>
            </w:pPr>
          </w:p>
        </w:tc>
        <w:tc>
          <w:tcPr>
            <w:tcW w:w="260" w:type="dxa"/>
            <w:vAlign w:val="bottom"/>
            <w:gridSpan w:val="2"/>
          </w:tcPr>
          <w:p>
            <w:pPr>
              <w:jc w:val="right"/>
              <w:ind w:right="6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5,547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 and brokers’ fees, net</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Remittance processing</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2,845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3,125</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Other service charges and fees</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1,581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revenue</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Security gains, net</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income</w:t>
            </w:r>
          </w:p>
        </w:tc>
        <w:tc>
          <w:tcPr>
            <w:tcW w:w="7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20,014</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Salaries, wages and employee benefits</w:t>
            </w:r>
          </w:p>
        </w:tc>
        <w:tc>
          <w:tcPr>
            <w:tcW w:w="10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21,890</w:t>
            </w:r>
          </w:p>
        </w:tc>
        <w:tc>
          <w:tcPr>
            <w:tcW w:w="20" w:type="dxa"/>
            <w:vAlign w:val="bottom"/>
          </w:tcPr>
          <w:p>
            <w:pPr>
              <w:spacing w:after="0"/>
              <w:rPr>
                <w:sz w:val="19"/>
                <w:szCs w:val="19"/>
                <w:color w:val="auto"/>
              </w:rPr>
            </w:pPr>
          </w:p>
        </w:tc>
        <w:tc>
          <w:tcPr>
            <w:tcW w:w="260" w:type="dxa"/>
            <w:vAlign w:val="bottom"/>
            <w:gridSpan w:val="2"/>
          </w:tcPr>
          <w:p>
            <w:pPr>
              <w:jc w:val="right"/>
              <w:ind w:right="6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15,366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occupancy expense of premises</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2,167</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Furniture and equipment expenses</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Data processing</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3,232</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1,207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Regulatory expense</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5,528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4,485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non-interest expense</w:t>
            </w:r>
          </w:p>
        </w:tc>
        <w:tc>
          <w:tcPr>
            <w:tcW w:w="7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37,619</w:t>
            </w: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72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23,908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8,738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5,666</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income</w:t>
            </w:r>
          </w:p>
        </w:tc>
        <w:tc>
          <w:tcPr>
            <w:tcW w:w="7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15,170</w:t>
            </w: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earnings per common share</w:t>
            </w: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7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vMerge w:val="continue"/>
          </w:tcPr>
          <w:p>
            <w:pPr>
              <w:spacing w:after="0"/>
              <w:rPr>
                <w:sz w:val="21"/>
                <w:szCs w:val="21"/>
                <w:color w:val="auto"/>
              </w:rPr>
            </w:pPr>
          </w:p>
        </w:tc>
        <w:tc>
          <w:tcPr>
            <w:tcW w:w="720" w:type="dxa"/>
            <w:vAlign w:val="bottom"/>
            <w:tcBorders>
              <w:bottom w:val="single" w:sz="8" w:color="CCEEFF"/>
            </w:tcBorders>
            <w:vMerge w:val="continue"/>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Borders>
              <w:bottom w:val="single" w:sz="8" w:color="CCEEFF"/>
            </w:tcBorders>
            <w:vMerge w:val="continue"/>
          </w:tcPr>
          <w:p>
            <w:pPr>
              <w:spacing w:after="0"/>
              <w:rPr>
                <w:sz w:val="21"/>
                <w:szCs w:val="21"/>
                <w:color w:val="auto"/>
              </w:rPr>
            </w:pPr>
          </w:p>
        </w:tc>
        <w:tc>
          <w:tcPr>
            <w:tcW w:w="20" w:type="dxa"/>
            <w:vAlign w:val="bottom"/>
            <w:tcBorders>
              <w:bottom w:val="single" w:sz="8" w:color="CCEEFF"/>
            </w:tcBorders>
            <w:vMerge w:val="continue"/>
          </w:tcPr>
          <w:p>
            <w:pPr>
              <w:spacing w:after="0"/>
              <w:rPr>
                <w:sz w:val="21"/>
                <w:szCs w:val="21"/>
                <w:color w:val="auto"/>
              </w:rPr>
            </w:pPr>
          </w:p>
        </w:tc>
        <w:tc>
          <w:tcPr>
            <w:tcW w:w="40" w:type="dxa"/>
            <w:vAlign w:val="bottom"/>
            <w:tcBorders>
              <w:bottom w:val="single" w:sz="8" w:color="CCEEFF"/>
            </w:tcBorders>
            <w:vMerge w:val="continue"/>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Dividends declared per share of common stock</w:t>
            </w: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0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gridSpan w:val="2"/>
          </w:tcPr>
          <w:p>
            <w:pPr>
              <w:jc w:val="center"/>
              <w:ind w:left="4430"/>
              <w:spacing w:after="0"/>
              <w:rPr>
                <w:sz w:val="20"/>
                <w:szCs w:val="20"/>
                <w:color w:val="auto"/>
              </w:rPr>
            </w:pPr>
            <w:r>
              <w:rPr>
                <w:rFonts w:ascii="Arial" w:cs="Arial" w:eastAsia="Arial" w:hAnsi="Arial"/>
                <w:sz w:val="18"/>
                <w:szCs w:val="18"/>
                <w:color w:val="auto"/>
                <w:w w:val="99"/>
              </w:rPr>
              <w:t>4</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920" w:type="dxa"/>
            <w:vAlign w:val="bottom"/>
            <w:tcBorders>
              <w:bottom w:val="single" w:sz="8" w:color="808080"/>
            </w:tcBorders>
            <w:gridSpan w:val="3"/>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7920" w:type="dxa"/>
            <w:vAlign w:val="bottom"/>
            <w:gridSpan w:val="3"/>
          </w:tcPr>
          <w:p>
            <w:pPr>
              <w:jc w:val="center"/>
              <w:ind w:left="337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8"/>
          </w:tcPr>
          <w:p>
            <w:pPr>
              <w:jc w:val="center"/>
              <w:ind w:left="1730"/>
              <w:spacing w:after="0"/>
              <w:rPr>
                <w:sz w:val="20"/>
                <w:szCs w:val="20"/>
                <w:color w:val="auto"/>
              </w:rPr>
            </w:pPr>
            <w:r>
              <w:rPr>
                <w:rFonts w:ascii="Arial" w:cs="Arial" w:eastAsia="Arial" w:hAnsi="Arial"/>
                <w:sz w:val="18"/>
                <w:szCs w:val="18"/>
                <w:b w:val="1"/>
                <w:bCs w:val="1"/>
                <w:color w:val="auto"/>
              </w:rPr>
              <w:t>CONSOLIDATED STATEMENTS OF OTHER COMPREHENSIVE INCOME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jc w:val="center"/>
              <w:ind w:left="3370"/>
              <w:spacing w:after="0"/>
              <w:rPr>
                <w:sz w:val="20"/>
                <w:szCs w:val="20"/>
                <w:color w:val="auto"/>
              </w:rPr>
            </w:pPr>
            <w:r>
              <w:rPr>
                <w:rFonts w:ascii="Arial" w:cs="Arial" w:eastAsia="Arial" w:hAnsi="Arial"/>
                <w:sz w:val="18"/>
                <w:szCs w:val="18"/>
                <w:b w:val="1"/>
                <w:bCs w:val="1"/>
                <w:color w:val="auto"/>
                <w:w w:val="91"/>
              </w:rPr>
              <w:t>For the Three Months Ended March 31, 2017 and 2016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80" w:type="dxa"/>
            <w:vAlign w:val="bottom"/>
          </w:tcPr>
          <w:p>
            <w:pPr>
              <w:jc w:val="center"/>
              <w:ind w:left="4410"/>
              <w:spacing w:after="0"/>
              <w:rPr>
                <w:sz w:val="20"/>
                <w:szCs w:val="20"/>
                <w:color w:val="auto"/>
              </w:rPr>
            </w:pPr>
            <w:r>
              <w:rPr>
                <w:rFonts w:ascii="Arial" w:cs="Arial" w:eastAsia="Arial" w:hAnsi="Arial"/>
                <w:sz w:val="18"/>
                <w:szCs w:val="18"/>
                <w:b w:val="1"/>
                <w:bCs w:val="1"/>
                <w:color w:val="auto"/>
                <w:w w:val="93"/>
              </w:rPr>
              <w:t>(Unaudited)</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7"/>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15,170</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10,434</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comprehensive (loss) income, before tax:</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available for sale:</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360"/>
              <w:spacing w:after="0"/>
              <w:rPr>
                <w:sz w:val="20"/>
                <w:szCs w:val="20"/>
                <w:color w:val="auto"/>
              </w:rPr>
            </w:pPr>
            <w:r>
              <w:rPr>
                <w:rFonts w:ascii="Arial" w:cs="Arial" w:eastAsia="Arial" w:hAnsi="Arial"/>
                <w:sz w:val="18"/>
                <w:szCs w:val="18"/>
                <w:color w:val="auto"/>
              </w:rPr>
              <w:t>Unrealized net gains on securities:</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Unrealized net holding gains arising during period</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7,699</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540"/>
              <w:spacing w:after="0"/>
              <w:rPr>
                <w:sz w:val="20"/>
                <w:szCs w:val="20"/>
                <w:color w:val="auto"/>
              </w:rPr>
            </w:pPr>
            <w:r>
              <w:rPr>
                <w:rFonts w:ascii="Arial" w:cs="Arial" w:eastAsia="Arial" w:hAnsi="Arial"/>
                <w:sz w:val="18"/>
                <w:szCs w:val="18"/>
                <w:color w:val="auto"/>
              </w:rPr>
              <w:t>Reclassification adjustment for (gains) included in net income</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5"/>
          </w:tcPr>
          <w:p>
            <w:pPr>
              <w:jc w:val="right"/>
              <w:ind w:right="145"/>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income, before tax</w:t>
            </w:r>
          </w:p>
        </w:tc>
        <w:tc>
          <w:tcPr>
            <w:tcW w:w="7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Borders>
              <w:top w:val="single" w:sz="8" w:color="CCEEFF"/>
            </w:tcBorders>
            <w:gridSpan w:val="3"/>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360"/>
              <w:spacing w:after="0"/>
              <w:rPr>
                <w:sz w:val="20"/>
                <w:szCs w:val="20"/>
                <w:color w:val="auto"/>
              </w:rPr>
            </w:pPr>
            <w:r>
              <w:rPr>
                <w:rFonts w:ascii="Arial" w:cs="Arial" w:eastAsia="Arial" w:hAnsi="Arial"/>
                <w:sz w:val="18"/>
                <w:szCs w:val="18"/>
                <w:color w:val="auto"/>
              </w:rPr>
              <w:t>Income tax (benefit) expense related to items of other comprehensive income</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5"/>
          </w:tcPr>
          <w:p>
            <w:pPr>
              <w:jc w:val="right"/>
              <w:ind w:right="145"/>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2,655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(loss) income, net of tax</w:t>
            </w:r>
          </w:p>
        </w:tc>
        <w:tc>
          <w:tcPr>
            <w:tcW w:w="7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Borders>
              <w:top w:val="single" w:sz="8" w:color="CCEEFF"/>
            </w:tcBorders>
            <w:gridSpan w:val="3"/>
            <w:shd w:val="clear" w:color="auto" w:fill="CCEEFF"/>
          </w:tcPr>
          <w:p>
            <w:pPr>
              <w:jc w:val="right"/>
              <w:ind w:right="145"/>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60"/>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14,999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-2926080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-2926080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1400" w:type="dxa"/>
            <w:vAlign w:val="bottom"/>
            <w:gridSpan w:val="2"/>
            <w:vMerge w:val="continue"/>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360" w:type="dxa"/>
            <w:vAlign w:val="bottom"/>
            <w:gridSpan w:val="2"/>
            <w:vMerge w:val="continue"/>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360" w:type="dxa"/>
            <w:vAlign w:val="bottom"/>
            <w:gridSpan w:val="2"/>
            <w:vMerge w:val="continue"/>
          </w:tcPr>
          <w:p>
            <w:pPr>
              <w:spacing w:after="0"/>
              <w:rPr>
                <w:sz w:val="12"/>
                <w:szCs w:val="12"/>
                <w:color w:val="auto"/>
              </w:rPr>
            </w:pP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Deficit</w:t>
            </w: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0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591,053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(190,265)</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(29,971)</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10,434</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3,977</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treasury stock for employee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purchase plan</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Net issuance of treasury stock for</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restricted stock unit vesting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related tax benefit</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common stock at $0.17</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(4,879)</w:t>
            </w: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Stock dividend equivalents restricted</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stock units at $0.17 per share</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Stock-based employee compensation</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591,076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(184,792)</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(29,366)</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781,716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(163,689)</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(23,788)</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594,314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15,170</w:t>
            </w: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treasury stock for employee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purchase plan</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Net issuance of treasury stock for</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restricted stock unit vesting and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related tax benefit</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issuance of stock options exercised,</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of shares redeemed</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Cash dividends common stock at $0.18</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(6,879)</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(6,879)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 dividend equivalents restricted</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units at $0.18 per share</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Stock dividend accrued on restricted</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stock awards assumed with the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Pulaski Financial Corp. acquisition at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$0.18 per share</w:t>
            </w: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Return of 28,648 equity trust shares</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Stock-based employee compensation</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Balance, March 31, 2017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780,427</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(155,507)</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(22,477)</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602,347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900" w:type="dxa"/>
            <w:vAlign w:val="bottom"/>
            <w:gridSpan w:val="9"/>
          </w:tcPr>
          <w:p>
            <w:pPr>
              <w:spacing w:after="0"/>
              <w:rPr>
                <w:sz w:val="20"/>
                <w:szCs w:val="20"/>
                <w:color w:val="auto"/>
              </w:rPr>
            </w:pPr>
            <w:r>
              <w:rPr>
                <w:rFonts w:ascii="Arial" w:cs="Arial" w:eastAsia="Arial" w:hAnsi="Arial"/>
                <w:sz w:val="18"/>
                <w:szCs w:val="18"/>
                <w:color w:val="auto"/>
                <w:w w:val="98"/>
              </w:rPr>
              <w:t>See accompanying notes to unaudited Consolidated Financial Statements.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gridSpan w:val="11"/>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1"/>
              </w:rPr>
              <w:t>For the Three Months Ended March 31, 2017 and 2016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Cash Flows from Operating Activities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15,170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10"/>
            <w:shd w:val="clear" w:color="auto" w:fill="CCEEFF"/>
          </w:tcPr>
          <w:p>
            <w:pPr>
              <w:ind w:left="16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2"/>
          </w:tcPr>
          <w:p>
            <w:pPr>
              <w:ind w:left="340"/>
              <w:spacing w:after="0"/>
              <w:rPr>
                <w:sz w:val="20"/>
                <w:szCs w:val="20"/>
                <w:color w:val="auto"/>
              </w:rPr>
            </w:pPr>
            <w:r>
              <w:rPr>
                <w:rFonts w:ascii="Arial" w:cs="Arial" w:eastAsia="Arial" w:hAnsi="Arial"/>
                <w:sz w:val="18"/>
                <w:szCs w:val="18"/>
                <w:color w:val="auto"/>
                <w:w w:val="92"/>
              </w:rPr>
              <w:t>Stock-based and non-cash compensation</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1,949</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1,207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w w:val="99"/>
              </w:rPr>
              <w:t>Provision for deferred income taxes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1,053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98"/>
              </w:rPr>
              <w:t>Amortization of security premiums and discounts, net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1,334</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gridSpan w:val="12"/>
          </w:tcPr>
          <w:p>
            <w:pPr>
              <w:ind w:left="340"/>
              <w:spacing w:after="0"/>
              <w:rPr>
                <w:sz w:val="20"/>
                <w:szCs w:val="20"/>
                <w:color w:val="auto"/>
              </w:rPr>
            </w:pPr>
            <w:r>
              <w:rPr>
                <w:rFonts w:ascii="Arial" w:cs="Arial" w:eastAsia="Arial" w:hAnsi="Arial"/>
                <w:sz w:val="18"/>
                <w:szCs w:val="18"/>
                <w:color w:val="auto"/>
                <w:w w:val="99"/>
              </w:rPr>
              <w:t>Accretion of premiums and discounts on time deposits and trust preferred securities, net</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w w:val="97"/>
              </w:rPr>
              <w:t>Accretion of premiums and discounts on portfolio loans, net</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(1,748)</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Net security gains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(857)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92"/>
              </w:rPr>
              <w:t>Gain on sales of mortgage loans, net of origination costs</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(13,964)</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Mortgage loans originated for sale</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w w:val="95"/>
              </w:rPr>
              <w:t>(325,525)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(35,677)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Proceeds from sales of mortgage loans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493,621</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gridSpan w:val="4"/>
          </w:tcPr>
          <w:p>
            <w:pPr>
              <w:ind w:left="340"/>
              <w:spacing w:after="0"/>
              <w:rPr>
                <w:sz w:val="20"/>
                <w:szCs w:val="20"/>
                <w:color w:val="auto"/>
              </w:rPr>
            </w:pPr>
            <w:r>
              <w:rPr>
                <w:rFonts w:ascii="Arial" w:cs="Arial" w:eastAsia="Arial" w:hAnsi="Arial"/>
                <w:sz w:val="18"/>
                <w:szCs w:val="18"/>
                <w:color w:val="auto"/>
              </w:rPr>
              <w:t>Net gains on disposition of premises and equipment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w w:val="93"/>
              </w:rPr>
              <w:t>Increase in cash surrender value of bank owned life insurance</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Change in assets and liabilities: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Decrease (increase) in other assets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14,372</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-4040505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-4040505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Decrease in other liabilities</w:t>
            </w:r>
          </w:p>
        </w:tc>
        <w:tc>
          <w:tcPr>
            <w:tcW w:w="3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(6,943)</w:t>
            </w:r>
          </w:p>
        </w:tc>
        <w:tc>
          <w:tcPr>
            <w:tcW w:w="52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Decrease in interest payable</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5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Decrease (increase) in income taxes receivable</w:t>
            </w:r>
          </w:p>
        </w:tc>
        <w:tc>
          <w:tcPr>
            <w:tcW w:w="3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6,401</w:t>
            </w:r>
          </w:p>
        </w:tc>
        <w:tc>
          <w:tcPr>
            <w:tcW w:w="5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Net cash provided by operating activities before activities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186,570</w:t>
            </w:r>
          </w:p>
        </w:tc>
        <w:tc>
          <w:tcPr>
            <w:tcW w:w="2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Proceeds from sales of securities classified available for sale</w:t>
            </w:r>
          </w:p>
        </w:tc>
        <w:tc>
          <w:tcPr>
            <w:tcW w:w="3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121,993</w:t>
            </w:r>
          </w:p>
        </w:tc>
        <w:tc>
          <w:tcPr>
            <w:tcW w:w="5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35,588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maturities of securities classified available for sale</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47,872</w:t>
            </w: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49,608</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Proceeds from maturities of securities classified held to maturity</w:t>
            </w:r>
          </w:p>
        </w:tc>
        <w:tc>
          <w:tcPr>
            <w:tcW w:w="3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874</w:t>
            </w:r>
          </w:p>
        </w:tc>
        <w:tc>
          <w:tcPr>
            <w:tcW w:w="5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securities classified available for sale</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(64,619)</w:t>
            </w:r>
          </w:p>
        </w:tc>
        <w:tc>
          <w:tcPr>
            <w:tcW w:w="5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Purchase of securities classified held to maturity</w:t>
            </w: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(43,126)</w:t>
            </w:r>
          </w:p>
        </w:tc>
        <w:tc>
          <w:tcPr>
            <w:tcW w:w="5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 portfolio loans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13,396</w:t>
            </w: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52,060</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Proceeds from disposition of premises and equipment</w:t>
            </w:r>
          </w:p>
        </w:tc>
        <w:tc>
          <w:tcPr>
            <w:tcW w:w="3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other real estate owned (“OREO”) properties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3,229</w:t>
            </w: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Purchases of premises and equipment</w:t>
            </w: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(2,095)</w:t>
            </w:r>
          </w:p>
        </w:tc>
        <w:tc>
          <w:tcPr>
            <w:tcW w:w="5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(1,235)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redemption of Federal Home Loan Bank (“FHLB”) stock</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6,365</w:t>
            </w:r>
          </w:p>
        </w:tc>
        <w:tc>
          <w:tcPr>
            <w:tcW w:w="5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Arial" w:cs="Arial" w:eastAsia="Arial" w:hAnsi="Arial"/>
                <w:sz w:val="18"/>
                <w:szCs w:val="18"/>
                <w:b w:val="1"/>
                <w:bCs w:val="1"/>
                <w:color w:val="auto"/>
              </w:rPr>
              <w:t>Net cash provided by investing activities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83,933</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7"/>
          </w:tcPr>
          <w:p>
            <w:pPr>
              <w:ind w:left="1000"/>
              <w:spacing w:after="0"/>
              <w:rPr>
                <w:sz w:val="20"/>
                <w:szCs w:val="20"/>
                <w:color w:val="auto"/>
              </w:rPr>
            </w:pPr>
            <w:r>
              <w:rPr>
                <w:rFonts w:ascii="Arial" w:cs="Arial" w:eastAsia="Arial" w:hAnsi="Arial"/>
                <w:sz w:val="18"/>
                <w:szCs w:val="18"/>
                <w:color w:val="auto"/>
                <w:w w:val="91"/>
              </w:rPr>
              <w:t>(continued on next page)</w:t>
            </w:r>
          </w:p>
        </w:tc>
        <w:tc>
          <w:tcPr>
            <w:tcW w:w="0" w:type="dxa"/>
            <w:vAlign w:val="bottom"/>
          </w:tcPr>
          <w:p>
            <w:pPr>
              <w:spacing w:after="0"/>
              <w:rPr>
                <w:sz w:val="1"/>
                <w:szCs w:val="1"/>
                <w:color w:val="auto"/>
              </w:rPr>
            </w:pPr>
          </w:p>
        </w:tc>
      </w:tr>
      <w:tr>
        <w:trPr>
          <w:trHeight w:val="432"/>
        </w:trPr>
        <w:tc>
          <w:tcPr>
            <w:tcW w:w="8300" w:type="dxa"/>
            <w:vAlign w:val="bottom"/>
            <w:gridSpan w:val="2"/>
          </w:tcPr>
          <w:p>
            <w:pPr>
              <w:jc w:val="center"/>
              <w:ind w:left="3030"/>
              <w:spacing w:after="0"/>
              <w:rPr>
                <w:sz w:val="20"/>
                <w:szCs w:val="20"/>
                <w:color w:val="auto"/>
              </w:rPr>
            </w:pPr>
            <w:r>
              <w:rPr>
                <w:rFonts w:ascii="Arial" w:cs="Arial" w:eastAsia="Arial" w:hAnsi="Arial"/>
                <w:sz w:val="18"/>
                <w:szCs w:val="18"/>
                <w:color w:val="auto"/>
                <w:w w:val="99"/>
              </w:rPr>
              <w:t>7</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w w:val="97"/>
              </w:rPr>
              <w:t>CONSOLIDATED STATEMENTS OF CASH FLOWS (continued)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For the Three Months Ended March 31, 2017 and 2016</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93"/>
              </w:rPr>
              <w:t>(Unaudited)</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Net decrease in 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(23,588)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(16,717)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demand, money market and savings deposits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134,967</w:t>
            </w:r>
          </w:p>
        </w:tc>
        <w:tc>
          <w:tcPr>
            <w:tcW w:w="5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(90,661)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Repayment of short-term borrowings</w:t>
            </w: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5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paid</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(6,879)</w:t>
            </w:r>
          </w:p>
        </w:tc>
        <w:tc>
          <w:tcPr>
            <w:tcW w:w="5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ind w:left="160"/>
              <w:spacing w:after="0" w:line="201" w:lineRule="exact"/>
              <w:rPr>
                <w:sz w:val="20"/>
                <w:szCs w:val="20"/>
                <w:color w:val="auto"/>
              </w:rPr>
            </w:pPr>
            <w:r>
              <w:rPr>
                <w:rFonts w:ascii="Arial" w:cs="Arial" w:eastAsia="Arial" w:hAnsi="Arial"/>
                <w:sz w:val="18"/>
                <w:szCs w:val="18"/>
                <w:color w:val="auto"/>
              </w:rPr>
              <w:t>Value of shares surrendered upon vesting to satisfy tax withholding obligations of stock-based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3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(1,259)</w:t>
            </w:r>
          </w:p>
        </w:tc>
        <w:tc>
          <w:tcPr>
            <w:tcW w:w="52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stock options exercised</w:t>
            </w: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5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Net decrease in securities sold under agreements to repurchase</w:t>
            </w: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(26,076)</w:t>
            </w:r>
          </w:p>
        </w:tc>
        <w:tc>
          <w:tcPr>
            <w:tcW w:w="5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(6,831)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2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(119,098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340"/>
              <w:spacing w:after="0"/>
              <w:rPr>
                <w:sz w:val="20"/>
                <w:szCs w:val="20"/>
                <w:color w:val="auto"/>
              </w:rPr>
            </w:pPr>
            <w:r>
              <w:rPr>
                <w:rFonts w:ascii="Arial" w:cs="Arial" w:eastAsia="Arial" w:hAnsi="Arial"/>
                <w:sz w:val="18"/>
                <w:szCs w:val="18"/>
                <w:b w:val="1"/>
                <w:bCs w:val="1"/>
                <w:color w:val="auto"/>
              </w:rPr>
              <w:t>Net increase in 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272,805</w:t>
            </w:r>
          </w:p>
        </w:tc>
        <w:tc>
          <w:tcPr>
            <w:tcW w:w="2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166,706</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319,280</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ending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439,511</w:t>
            </w:r>
          </w:p>
        </w:tc>
        <w:tc>
          <w:tcPr>
            <w:tcW w:w="28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320,960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Cash payments for:</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Real estate acquired in settlement of loans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300" w:type="dxa"/>
            <w:vAlign w:val="bottom"/>
            <w:gridSpan w:val="2"/>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gridSpan w:val="2"/>
          </w:tcPr>
          <w:p>
            <w:pPr>
              <w:jc w:val="center"/>
              <w:ind w:left="3030"/>
              <w:spacing w:after="0"/>
              <w:rPr>
                <w:sz w:val="20"/>
                <w:szCs w:val="20"/>
                <w:color w:val="auto"/>
              </w:rPr>
            </w:pPr>
            <w:r>
              <w:rPr>
                <w:rFonts w:ascii="Arial" w:cs="Arial" w:eastAsia="Arial" w:hAnsi="Arial"/>
                <w:sz w:val="18"/>
                <w:szCs w:val="18"/>
                <w:color w:val="auto"/>
                <w:w w:val="99"/>
              </w:rPr>
              <w:t>8</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8280" w:type="dxa"/>
            <w:vAlign w:val="bottom"/>
          </w:tcPr>
          <w:p>
            <w:pPr>
              <w:jc w:val="center"/>
              <w:ind w:left="301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-5515610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-5515610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accompanying unaudited Consolidated Financial Statements of First Busey Corporation (“First Busey” or the “Company”), a Nevada corporation, have been prepared pursuant to the rules and regulations of the Securities and Exchange Commission (“SEC”) for interim financial information and with the instructions to Form 10-Q, and do not include certain information and footnote disclosures required by U.S. generally accepted accounting principles (“GAAP”) for complete annual financial statements. Accordingly, these financial statements should be read in conjunction with the Company’s Annual Report on Form 10-K for the year ended December 31, 2016 on file with the SEC.</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accompanying Consolidated Balance Sheet as of December 31, 2016, which has been derived from audited financial statements, and the unaudited Consolidated Financial Statements have been prepared in accordance with GAAP and reflect all adjustments that are, in the opinion of management, necessary for the fair presentation of the financial position and results of operations as of the dates and for the periods presented. All such adjustments are of a</w:t>
      </w:r>
    </w:p>
    <w:p>
      <w:pPr>
        <w:sectPr>
          <w:pgSz w:w="11900" w:h="16838" w:orient="portrait"/>
          <w:cols w:equalWidth="0" w:num="1">
            <w:col w:w="11460"/>
          </w:cols>
          <w:pgMar w:left="240" w:top="125" w:right="199" w:bottom="0" w:gutter="0" w:footer="0" w:header="0"/>
        </w:sectPr>
      </w:pPr>
    </w:p>
    <w:bookmarkStart w:id="5" w:name="page6"/>
    <w:bookmarkEnd w:id="5"/>
    <w:p>
      <w:pPr>
        <w:ind w:right="660"/>
        <w:spacing w:after="0" w:line="277" w:lineRule="auto"/>
        <w:rPr>
          <w:sz w:val="20"/>
          <w:szCs w:val="20"/>
          <w:color w:val="auto"/>
        </w:rPr>
      </w:pPr>
      <w:r>
        <w:rPr>
          <w:rFonts w:ascii="Arial" w:cs="Arial" w:eastAsia="Arial" w:hAnsi="Arial"/>
          <w:sz w:val="18"/>
          <w:szCs w:val="18"/>
          <w:color w:val="auto"/>
        </w:rPr>
        <w:t>normal recurring nature. The results of operations for the three months ended March 31, 2017 are not necessarily indicative of the results that may be expected for the year ending December 31, 2017.</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April 30, 2016, First Busey acquired Pulaski Financial Corp., a Missouri corporation (“Pulaski”), and its wholly-owned bank subsidiary, Pulaski Bank, National Association (“Pulaski Bank”). First Busey operated Pulaski Bank as a separate banking subsidiary from May 1, 2016 until November 4, 2016, when it was merged with and into Busey Bank. At that time, Pulaski Bank’s branches became branches of Busey Bank. The unaudited Consolidated Financial Statements include the accounts of the Company, Busey Bank and Busey Bank’s wholly owned subsidiaries, FirsTech, Inc. and Pulaski Service Corporation (as of the date of acquisition, April 30, 2016) and Busey Wealth Management, Inc. and its wholly owned subsidiary, Busey Trust Company. All material intercompany transactions and balances have been eliminated in consolidation. Certain prior-year amounts have been reclassified to conform to the current presentation with no effect on net income or stockholders’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On February 6, 2017, the Company entered into an Agreement and Plan of Merger (“Merger Agreement FCFP”) with First Community Financial</w:t>
      </w:r>
    </w:p>
    <w:p>
      <w:pPr>
        <w:spacing w:after="0" w:line="2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Partners, Inc., an Illinois corporation (“First Community”), pursuant to which First Community will merge into First Busey, with First Busey as the surviving corporation (“Merger FCFP”). It is anticipated that First Community Financial Bank, First Community’s wholly-owned bank subsidiary, will be merged with and into First Busey’s bank subsidiary, Busey Bank, at a date following the completion of the holding company merger. At the time of the bank merger, First Community Financial Bank’s banking offices will become branches of Busey Bank. Merger FCFP is anticipated to be completed in mid-2017, and is subject to the satisfaction of customary closing conditions contained in Merger Agreement FCFP, including the approval of the appropriate regulatory authorities and the stockholders of First Community. First Community’s special meeting of stockholders to approve Merger FCFP is scheduled for June 7, 2017. First Busey has received approval of Merger FCFP from the Board of Governors of the Federal Reserve System, contingent on First Busey receiving all other regulatory approvals, including approval from the bank regulators of the bank merger. As of March 31, 2017, First Community had total consolidated assets of</w:t>
      </w:r>
    </w:p>
    <w:p>
      <w:pPr>
        <w:spacing w:after="0" w:line="5"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$1.3 billion, total loans of $1.1 billion and total deposits of $1.1 billion. See “Note 2: Acquisitions” for further information relating to this planned acquisition.</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Further, on March 13, 2017, the Company entered into an Agreement and Plan of Merger (“Merger Agreement MIB”) with Mid Illinois Bancorp, Inc., an Illinois corporation (“Mid Illinois”), pursuant to which Mid Illinois will merge into First Busey, with First Busey as the surviving corporation (“Merger MIB”). It is anticipated that South Side Trust &amp; Savings Bank of Peoria, Mid Illinois’s wholly-owned bank subsidiary (“South Side”), will be merged with and into First Busey’s bank subsidiary, Busey Bank, at a date following the completion of the holding company merger. At the time of the bank merger, South Side’s banking offices will become branches of Busey Bank. As of March 31, 2017, Mid Illinois had total consolidated assets of $674.8 million, total loans of $369.3 million and total deposits of $528.4 million. Merger MIB is anticipated to be completed in the second half of 2017, and is subject to the satisfaction of customary closing conditions in Merger Agreement MIB and the approval of the appropriate regulatory authorities and of the stockholders of Mid Illinois. See “Note 2: Acquisitions” for further information relating to this planned acquisition.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preparing the accompanying unaudited Consolidated Financial Statements, the Company’s management is required to make estimates and assumptions that affect the reported amounts of assets and liabilities as of the date of the financial statements and the reported amounts of revenues and expenses for the reporting period. Actual results could differ from those estimates. Material estimates that are particularly susceptible to significant change in the near term relate to the fair value of investment securities, the fair value of assets acquired and liabilities assumed in business combinations and the determination of the allowance for loan losses.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evaluated subsequent events for potential recognition and/or disclosure through the date the unaudited Consolidated Financial Statements included in this Quarterly Report on Form 10-Q were issued. There were no significant subsequent events for the quarter ended March 31, 2017 through the issuance date of these unaudited Consolidated Financial Statements that warranted adjustment to or disclosure in the unaudited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Pulaski Financial Corp.</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April 30, 2016, First Busey completed its acquisition of Pulaski, which was headquartered in St. Louis, Missouri. Pulaski Bank, which was Pulaski’s wholly owned bank subsidiary prior to the acquisition, offers a full line of quality retail and commercial banking products through thirteen full-service branch offices in the St. Louis metropolitan area. Pulaski Bank also offers mortgage loan products through loan production offices in the St. Louis, Kansas</w:t>
      </w:r>
    </w:p>
    <w:p>
      <w:pPr>
        <w:ind w:right="220"/>
        <w:spacing w:after="0" w:line="277" w:lineRule="auto"/>
        <w:rPr>
          <w:sz w:val="20"/>
          <w:szCs w:val="20"/>
          <w:color w:val="auto"/>
        </w:rPr>
      </w:pPr>
      <w:r>
        <w:rPr>
          <w:rFonts w:ascii="Arial" w:cs="Arial" w:eastAsia="Arial" w:hAnsi="Arial"/>
          <w:sz w:val="17"/>
          <w:szCs w:val="17"/>
          <w:color w:val="auto"/>
        </w:rPr>
        <w:t>City, Chicago, and Omaha-Council Bluffs metropolitan areas and other locations across the Midwest. The operating results of Pulaski are included with the Company’s results of operations since the date of acquisition. First Busey operated Pulaski Bank as a separate subsidiary from May 1, 2016 until November 4, 2016 when it was merged with and into Busey Bank. At that time, Pulaski Bank’s branches became branches of Busey Bank.</w:t>
      </w:r>
    </w:p>
    <w:p>
      <w:pPr>
        <w:spacing w:after="0" w:line="173"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Under the terms of the definitive agreement, at the effective time of the acquisition, each share of Pulaski common stock issued and outstanding was converted into 0.79 shares of First Busey common stock and cash in lieu of fractional shares. The market value of the 9.4 million shares of First Busey common stock issued at the effective time of the acquisition was approximately $193.0 million based on First Busey’s closing stock price of $20.44 on April 29, 2016. In addition, all of the options to purchase shares of Pulaski common stock that were outstanding at the acquisition date were converted into options to purchase shares of First Busey common stock, adjusted for the 0.79 exchange ratio.</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transaction was accounted for using the acquisition method of accounting and, accordingly, assets acquired, liabilities assumed, and consideration exchanged were recorded at their estimated fair values on the date of acquisition. Fair values are subject to refinement for up to one year after the closing date of April 30, 2016 as additional information regarding the closing date fair values becomes available; however, no further adjustments will be made. The total consideration paid, which was used to determine the amount of goodwill resulting from the transaction, also included the fair value of outstanding Pulaski stock options that were converted into options to purchase common shares of First Busey. As the total consideration paid for Pulaski exceeded the net assets acquired, goodwill of $77.3 million was recorded as a result of the acquisition. Goodwill recorded in the transaction, which reflects the synergies expected from the acquisition and the enhanced revenue opportunities from the Company’s broader service capabilities in the St. Louis market, is not tax deductible, and was assigned to the Banking operating segment.</w:t>
      </w:r>
    </w:p>
    <w:p>
      <w:pPr>
        <w:spacing w:after="0" w:line="17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First Busey incurred an insignificant amount of expenses related to the acquisition of Pulaski for the three months ended March 31, 2017. First Busey incurred $0.2 million in pre-tax expenses related to the acquisition of Pulaski for the three months ended March 31, 2016, primarily for professional and legal</w:t>
      </w:r>
    </w:p>
    <w:p>
      <w:pPr>
        <w:sectPr>
          <w:pgSz w:w="11900" w:h="16838" w:orient="portrait"/>
          <w:cols w:equalWidth="0" w:num="1">
            <w:col w:w="11420"/>
          </w:cols>
          <w:pgMar w:left="240" w:top="125" w:right="239" w:bottom="0" w:gutter="0" w:footer="0" w:header="0"/>
        </w:sectPr>
      </w:pPr>
    </w:p>
    <w:bookmarkStart w:id="6" w:name="page7"/>
    <w:bookmarkEnd w:id="6"/>
    <w:p>
      <w:pPr>
        <w:spacing w:after="0" w:line="1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fees, to directly consummate the acquisition, all of which are reported as a component of non-interest expense in the accompanying unaudited Consolidated Financial Statements.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assets acquired and liabilities assumed of Pulaski as of April 30, 2016 and their fair value estimates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27"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As Recorded by</w:t>
            </w:r>
          </w:p>
        </w:tc>
        <w:tc>
          <w:tcPr>
            <w:tcW w:w="20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Fair Value</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As Recorded by</w:t>
            </w:r>
          </w:p>
        </w:tc>
      </w:tr>
      <w:tr>
        <w:trPr>
          <w:trHeight w:val="17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Pulaski</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Adjustments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First Busey</w:t>
            </w:r>
          </w:p>
        </w:tc>
      </w:tr>
      <w:tr>
        <w:trPr>
          <w:trHeight w:val="210"/>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8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25,580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25,580</w:t>
            </w:r>
          </w:p>
        </w:tc>
        <w:tc>
          <w:tcPr>
            <w:tcW w:w="100" w:type="dxa"/>
            <w:vAlign w:val="bottom"/>
          </w:tcPr>
          <w:p>
            <w:pPr>
              <w:spacing w:after="0"/>
              <w:rPr>
                <w:sz w:val="19"/>
                <w:szCs w:val="19"/>
                <w:color w:val="auto"/>
              </w:rPr>
            </w:pPr>
          </w:p>
        </w:tc>
      </w:tr>
      <w:tr>
        <w:trPr>
          <w:trHeight w:val="230"/>
        </w:trPr>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47,895</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Pr>
          <w:p>
            <w:pPr>
              <w:ind w:left="20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184,856</w:t>
            </w: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184,856</w:t>
            </w:r>
          </w:p>
        </w:tc>
        <w:tc>
          <w:tcPr>
            <w:tcW w:w="100" w:type="dxa"/>
            <w:vAlign w:val="bottom"/>
          </w:tcPr>
          <w:p>
            <w:pPr>
              <w:spacing w:after="0"/>
              <w:rPr>
                <w:sz w:val="19"/>
                <w:szCs w:val="19"/>
                <w:color w:val="auto"/>
              </w:rPr>
            </w:pPr>
          </w:p>
        </w:tc>
      </w:tr>
      <w:tr>
        <w:trPr>
          <w:trHeight w:val="230"/>
        </w:trPr>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Portfolio loans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1,243,913</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(14,452)</w:t>
            </w: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1,229,461</w:t>
            </w: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Pr>
          <w:p>
            <w:pPr>
              <w:ind w:left="200"/>
              <w:spacing w:after="0"/>
              <w:rPr>
                <w:sz w:val="20"/>
                <w:szCs w:val="20"/>
                <w:color w:val="auto"/>
              </w:rPr>
            </w:pPr>
            <w:r>
              <w:rPr>
                <w:rFonts w:ascii="Arial" w:cs="Arial" w:eastAsia="Arial" w:hAnsi="Arial"/>
                <w:sz w:val="18"/>
                <w:szCs w:val="18"/>
                <w:color w:val="auto"/>
              </w:rPr>
              <w:t>Premises and equipment</w:t>
            </w:r>
          </w:p>
        </w:tc>
        <w:tc>
          <w:tcPr>
            <w:tcW w:w="1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17,236</w:t>
            </w:r>
          </w:p>
        </w:tc>
        <w:tc>
          <w:tcPr>
            <w:tcW w:w="2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760" w:type="dxa"/>
            <w:vAlign w:val="bottom"/>
          </w:tcPr>
          <w:p>
            <w:pPr>
              <w:ind w:left="180"/>
              <w:spacing w:after="0"/>
              <w:rPr>
                <w:sz w:val="20"/>
                <w:szCs w:val="20"/>
                <w:color w:val="auto"/>
              </w:rPr>
            </w:pPr>
            <w:r>
              <w:rPr>
                <w:rFonts w:ascii="Arial" w:cs="Arial" w:eastAsia="Arial" w:hAnsi="Arial"/>
                <w:sz w:val="18"/>
                <w:szCs w:val="18"/>
                <w:color w:val="auto"/>
              </w:rPr>
              <w:t>(c)</w:t>
            </w:r>
          </w:p>
        </w:tc>
        <w:tc>
          <w:tcPr>
            <w:tcW w:w="1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16,569</w:t>
            </w:r>
          </w:p>
        </w:tc>
        <w:tc>
          <w:tcPr>
            <w:tcW w:w="100" w:type="dxa"/>
            <w:vAlign w:val="bottom"/>
          </w:tcPr>
          <w:p>
            <w:pPr>
              <w:spacing w:after="0"/>
              <w:rPr>
                <w:sz w:val="19"/>
                <w:szCs w:val="19"/>
                <w:color w:val="auto"/>
              </w:rPr>
            </w:pPr>
          </w:p>
        </w:tc>
      </w:tr>
      <w:tr>
        <w:trPr>
          <w:trHeight w:val="230"/>
        </w:trPr>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OREO</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5,022</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w:t>
            </w: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3,939</w:t>
            </w:r>
          </w:p>
        </w:tc>
        <w:tc>
          <w:tcPr>
            <w:tcW w:w="2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(3,939)</w:t>
            </w:r>
          </w:p>
        </w:tc>
        <w:tc>
          <w:tcPr>
            <w:tcW w:w="760" w:type="dxa"/>
            <w:vAlign w:val="bottom"/>
          </w:tcPr>
          <w:p>
            <w:pPr>
              <w:ind w:left="180"/>
              <w:spacing w:after="0"/>
              <w:rPr>
                <w:sz w:val="20"/>
                <w:szCs w:val="20"/>
                <w:color w:val="auto"/>
              </w:rPr>
            </w:pPr>
            <w:r>
              <w:rPr>
                <w:rFonts w:ascii="Arial" w:cs="Arial" w:eastAsia="Arial" w:hAnsi="Arial"/>
                <w:sz w:val="18"/>
                <w:szCs w:val="18"/>
                <w:color w:val="auto"/>
              </w:rPr>
              <w:t>(e)</w:t>
            </w:r>
          </w:p>
        </w:tc>
        <w:tc>
          <w:tcPr>
            <w:tcW w:w="140" w:type="dxa"/>
            <w:vAlign w:val="bottom"/>
          </w:tcPr>
          <w:p>
            <w:pPr>
              <w:spacing w:after="0"/>
              <w:rPr>
                <w:sz w:val="19"/>
                <w:szCs w:val="19"/>
                <w:color w:val="auto"/>
              </w:rPr>
            </w:pPr>
          </w:p>
        </w:tc>
        <w:tc>
          <w:tcPr>
            <w:tcW w:w="1320" w:type="dxa"/>
            <w:vAlign w:val="bottom"/>
            <w:gridSpan w:val="3"/>
          </w:tcPr>
          <w:p>
            <w:pPr>
              <w:ind w:left="1020"/>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15,468</w:t>
            </w: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15,468</w:t>
            </w: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70,365</w:t>
            </w:r>
          </w:p>
        </w:tc>
        <w:tc>
          <w:tcPr>
            <w:tcW w:w="2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760" w:type="dxa"/>
            <w:vAlign w:val="bottom"/>
          </w:tcPr>
          <w:p>
            <w:pPr>
              <w:ind w:left="160"/>
              <w:spacing w:after="0"/>
              <w:rPr>
                <w:sz w:val="20"/>
                <w:szCs w:val="20"/>
                <w:color w:val="auto"/>
              </w:rPr>
            </w:pPr>
            <w:r>
              <w:rPr>
                <w:rFonts w:ascii="Arial" w:cs="Arial" w:eastAsia="Arial" w:hAnsi="Arial"/>
                <w:sz w:val="18"/>
                <w:szCs w:val="18"/>
                <w:color w:val="auto"/>
              </w:rPr>
              <w:t>(g)</w:t>
            </w:r>
          </w:p>
        </w:tc>
        <w:tc>
          <w:tcPr>
            <w:tcW w:w="1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70,243</w:t>
            </w:r>
          </w:p>
        </w:tc>
        <w:tc>
          <w:tcPr>
            <w:tcW w:w="100" w:type="dxa"/>
            <w:vAlign w:val="bottom"/>
          </w:tcPr>
          <w:p>
            <w:pPr>
              <w:spacing w:after="0"/>
              <w:rPr>
                <w:sz w:val="19"/>
                <w:szCs w:val="19"/>
                <w:color w:val="auto"/>
              </w:rPr>
            </w:pPr>
          </w:p>
        </w:tc>
      </w:tr>
      <w:tr>
        <w:trPr>
          <w:trHeight w:val="223"/>
        </w:trPr>
        <w:tc>
          <w:tcPr>
            <w:tcW w:w="38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1,598,806</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1,592,665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23"/>
        </w:trPr>
        <w:tc>
          <w:tcPr>
            <w:tcW w:w="3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assumed: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Pr>
          <w:p>
            <w:pPr>
              <w:ind w:left="20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1,226,906</w:t>
            </w: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1,102</w:t>
            </w:r>
          </w:p>
        </w:tc>
        <w:tc>
          <w:tcPr>
            <w:tcW w:w="760" w:type="dxa"/>
            <w:vAlign w:val="bottom"/>
          </w:tcPr>
          <w:p>
            <w:pPr>
              <w:ind w:left="160"/>
              <w:spacing w:after="0"/>
              <w:rPr>
                <w:sz w:val="20"/>
                <w:szCs w:val="20"/>
                <w:color w:val="auto"/>
              </w:rPr>
            </w:pPr>
            <w:r>
              <w:rPr>
                <w:rFonts w:ascii="Arial" w:cs="Arial" w:eastAsia="Arial" w:hAnsi="Arial"/>
                <w:sz w:val="18"/>
                <w:szCs w:val="18"/>
                <w:color w:val="auto"/>
              </w:rPr>
              <w:t>(h)</w:t>
            </w:r>
          </w:p>
        </w:tc>
        <w:tc>
          <w:tcPr>
            <w:tcW w:w="1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1,228,008</w:t>
            </w:r>
          </w:p>
        </w:tc>
        <w:tc>
          <w:tcPr>
            <w:tcW w:w="100" w:type="dxa"/>
            <w:vAlign w:val="bottom"/>
          </w:tcPr>
          <w:p>
            <w:pPr>
              <w:spacing w:after="0"/>
              <w:rPr>
                <w:sz w:val="19"/>
                <w:szCs w:val="19"/>
                <w:color w:val="auto"/>
              </w:rPr>
            </w:pPr>
          </w:p>
        </w:tc>
      </w:tr>
      <w:tr>
        <w:trPr>
          <w:trHeight w:val="230"/>
        </w:trPr>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borrowings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205,840</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w:t>
            </w:r>
          </w:p>
        </w:tc>
        <w:tc>
          <w:tcPr>
            <w:tcW w:w="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206,746</w:t>
            </w: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Pr>
          <w:p>
            <w:pPr>
              <w:ind w:left="200"/>
              <w:spacing w:after="0"/>
              <w:rPr>
                <w:sz w:val="20"/>
                <w:szCs w:val="20"/>
                <w:color w:val="auto"/>
              </w:rPr>
            </w:pPr>
            <w:r>
              <w:rPr>
                <w:rFonts w:ascii="Arial" w:cs="Arial" w:eastAsia="Arial" w:hAnsi="Arial"/>
                <w:sz w:val="18"/>
                <w:szCs w:val="18"/>
                <w:color w:val="auto"/>
              </w:rPr>
              <w:t>Trust preferred securities</w:t>
            </w:r>
          </w:p>
        </w:tc>
        <w:tc>
          <w:tcPr>
            <w:tcW w:w="14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19,589</w:t>
            </w:r>
          </w:p>
        </w:tc>
        <w:tc>
          <w:tcPr>
            <w:tcW w:w="2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(3,805)</w:t>
            </w:r>
          </w:p>
        </w:tc>
        <w:tc>
          <w:tcPr>
            <w:tcW w:w="760" w:type="dxa"/>
            <w:vAlign w:val="bottom"/>
          </w:tcPr>
          <w:p>
            <w:pPr>
              <w:ind w:left="180"/>
              <w:spacing w:after="0"/>
              <w:rPr>
                <w:sz w:val="20"/>
                <w:szCs w:val="20"/>
                <w:color w:val="auto"/>
              </w:rPr>
            </w:pPr>
            <w:r>
              <w:rPr>
                <w:rFonts w:ascii="Arial" w:cs="Arial" w:eastAsia="Arial" w:hAnsi="Arial"/>
                <w:sz w:val="18"/>
                <w:szCs w:val="18"/>
                <w:color w:val="auto"/>
              </w:rPr>
              <w:t>(j)</w:t>
            </w:r>
          </w:p>
        </w:tc>
        <w:tc>
          <w:tcPr>
            <w:tcW w:w="1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15,784</w:t>
            </w:r>
          </w:p>
        </w:tc>
        <w:tc>
          <w:tcPr>
            <w:tcW w:w="100" w:type="dxa"/>
            <w:vAlign w:val="bottom"/>
          </w:tcPr>
          <w:p>
            <w:pPr>
              <w:spacing w:after="0"/>
              <w:rPr>
                <w:sz w:val="19"/>
                <w:szCs w:val="19"/>
                <w:color w:val="auto"/>
              </w:rPr>
            </w:pPr>
          </w:p>
        </w:tc>
      </w:tr>
      <w:tr>
        <w:trPr>
          <w:trHeight w:val="230"/>
        </w:trPr>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24,594</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c>
          <w:tcPr>
            <w:tcW w:w="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23,982</w:t>
            </w:r>
          </w:p>
        </w:tc>
        <w:tc>
          <w:tcPr>
            <w:tcW w:w="100" w:type="dxa"/>
            <w:vAlign w:val="bottom"/>
            <w:shd w:val="clear" w:color="auto" w:fill="CCEEFF"/>
          </w:tcPr>
          <w:p>
            <w:pPr>
              <w:spacing w:after="0"/>
              <w:rPr>
                <w:sz w:val="19"/>
                <w:szCs w:val="19"/>
                <w:color w:val="auto"/>
              </w:rPr>
            </w:pPr>
          </w:p>
        </w:tc>
      </w:tr>
      <w:tr>
        <w:trPr>
          <w:trHeight w:val="223"/>
        </w:trPr>
        <w:tc>
          <w:tcPr>
            <w:tcW w:w="3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1,476,929</w:t>
            </w:r>
          </w:p>
        </w:tc>
        <w:tc>
          <w:tcPr>
            <w:tcW w:w="2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7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1,474,520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3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70"/>
        </w:trPr>
        <w:tc>
          <w:tcPr>
            <w:tcW w:w="388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121,877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(3,732)</w:t>
            </w:r>
          </w:p>
        </w:tc>
        <w:tc>
          <w:tcPr>
            <w:tcW w:w="7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118,145</w:t>
            </w:r>
          </w:p>
        </w:tc>
        <w:tc>
          <w:tcPr>
            <w:tcW w:w="100" w:type="dxa"/>
            <w:vAlign w:val="bottom"/>
          </w:tcPr>
          <w:p>
            <w:pPr>
              <w:spacing w:after="0"/>
              <w:rPr>
                <w:sz w:val="23"/>
                <w:szCs w:val="23"/>
                <w:color w:val="auto"/>
              </w:rPr>
            </w:pPr>
          </w:p>
        </w:tc>
      </w:tr>
      <w:tr>
        <w:trPr>
          <w:trHeight w:val="210"/>
        </w:trPr>
        <w:tc>
          <w:tcPr>
            <w:tcW w:w="3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Consideration paid: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r>
      <w:tr>
        <w:trPr>
          <w:trHeight w:val="230"/>
        </w:trPr>
        <w:tc>
          <w:tcPr>
            <w:tcW w:w="388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192,990</w:t>
            </w:r>
          </w:p>
        </w:tc>
        <w:tc>
          <w:tcPr>
            <w:tcW w:w="100" w:type="dxa"/>
            <w:vAlign w:val="bottom"/>
          </w:tcPr>
          <w:p>
            <w:pPr>
              <w:spacing w:after="0"/>
              <w:rPr>
                <w:sz w:val="19"/>
                <w:szCs w:val="19"/>
                <w:color w:val="auto"/>
              </w:rPr>
            </w:pPr>
          </w:p>
        </w:tc>
      </w:tr>
      <w:tr>
        <w:trPr>
          <w:trHeight w:val="230"/>
        </w:trPr>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 of stock options assumed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CCEEFF"/>
          </w:tcPr>
          <w:p>
            <w:pPr>
              <w:spacing w:after="0"/>
              <w:rPr>
                <w:sz w:val="19"/>
                <w:szCs w:val="19"/>
                <w:color w:val="auto"/>
              </w:rPr>
            </w:pPr>
          </w:p>
        </w:tc>
      </w:tr>
      <w:tr>
        <w:trPr>
          <w:trHeight w:val="263"/>
        </w:trPr>
        <w:tc>
          <w:tcPr>
            <w:tcW w:w="3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consideration paid</w:t>
            </w:r>
          </w:p>
        </w:tc>
        <w:tc>
          <w:tcPr>
            <w:tcW w:w="1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195,449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210"/>
        </w:trPr>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77,304</w:t>
            </w:r>
          </w:p>
        </w:tc>
        <w:tc>
          <w:tcPr>
            <w:tcW w:w="10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Explanation:</w:t>
      </w:r>
    </w:p>
    <w:p>
      <w:pPr>
        <w:spacing w:after="0" w:line="23" w:lineRule="exact"/>
        <w:rPr>
          <w:sz w:val="20"/>
          <w:szCs w:val="20"/>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adjustments of the securities portfolio as of the acquisition date.</w:t>
      </w:r>
    </w:p>
    <w:p>
      <w:pPr>
        <w:spacing w:after="0" w:line="9" w:lineRule="exact"/>
        <w:rPr>
          <w:rFonts w:ascii="Arial" w:cs="Arial" w:eastAsia="Arial" w:hAnsi="Arial"/>
          <w:sz w:val="18"/>
          <w:szCs w:val="18"/>
          <w:color w:val="auto"/>
        </w:rPr>
      </w:pPr>
    </w:p>
    <w:p>
      <w:pPr>
        <w:jc w:val="both"/>
        <w:ind w:left="500" w:right="260" w:hanging="492"/>
        <w:spacing w:after="0" w:line="25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adjustments based on the Company’s evaluation of the acquired loan portfolio, write-off of net deferred loan costs and elimination of the allowance for loan losses recorded by Pulaski. $16.9 million is expected to be accreted over the estimated four year remaining life of the respective loans in a manner that approximates the level yield method.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adjustments based on the Company’s evaluation of the acquired premises and equipment.</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based on the Company’s evaluation of the acquired OREO portfolio.</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Eliminate Pulaski’s existing goodwill.</w:t>
      </w:r>
    </w:p>
    <w:p>
      <w:pPr>
        <w:spacing w:after="0" w:line="9" w:lineRule="exact"/>
        <w:rPr>
          <w:rFonts w:ascii="Arial" w:cs="Arial" w:eastAsia="Arial" w:hAnsi="Arial"/>
          <w:sz w:val="18"/>
          <w:szCs w:val="18"/>
          <w:color w:val="auto"/>
        </w:rPr>
      </w:pPr>
    </w:p>
    <w:p>
      <w:pPr>
        <w:ind w:left="500" w:right="60" w:hanging="492"/>
        <w:spacing w:after="0" w:line="25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Recording of the core deposit intangible asset on the acquired core deposit accounts. Amount to be amortized using a sum of years digits method over a 14 year useful life.</w:t>
      </w: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of other assets at the acquisition date.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to time deposits. Amount to be accreted over two years in a manner that approximates the level yield method.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Fair value adjustment to the FHLB borrowings. Such borrowings were repaid shortly after the acquisition date, so there will be no discount accretion.</w:t>
      </w:r>
    </w:p>
    <w:p>
      <w:pPr>
        <w:spacing w:after="0" w:line="32" w:lineRule="exact"/>
        <w:rPr>
          <w:rFonts w:ascii="Arial" w:cs="Arial" w:eastAsia="Arial" w:hAnsi="Arial"/>
          <w:sz w:val="16"/>
          <w:szCs w:val="16"/>
          <w:color w:val="auto"/>
        </w:rPr>
      </w:pPr>
    </w:p>
    <w:p>
      <w:pPr>
        <w:ind w:left="500" w:right="300" w:hanging="492"/>
        <w:spacing w:after="0" w:line="25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to the trust preferred securities at the acquisition date. Amount to be accreted over the weighted average remaining life of 18 years in a manner that approximates the level yield method.</w:t>
      </w: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of other liabilities at the acquisition date.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loans acquired in this transaction were recorded at fair value with no carryover of any existing allowance for loan losses. Loans that were not deemed to be credit-impaired at the acquisition date were accounted for under Financial Accounting Standards Board (“FASB”) Accounting Standards Codification (“ASC”) 310-20, Receivables-Nonrefundable Fees and Other Costs, and were subsequently considered as part of the Company’s determination of the adequacy of the allowance for loan losses. PCI loans, which are loans with evidence of credit quality deterioration at the date of acquisition, were accounted for under ASC 310-30, Receivables — Loans and Debt Securities Acquired with Deteriorated Credit Quality. As of the acquisition date, the aggregate principal outstanding and aggregate fair value of the acquired performing loans, including loans held for sale, both rounded to $1.4 billion. The difference between the aggregate principal balance outstanding and aggregate fair value of $16.6 million is expected to be accreted over the estimated four year remaining life of the respective loans in a manner that approximates the level yield method. As of the acquisition date, the aggregate principal balance outstanding of PCI loans totaled $21.2 million and the aggregate fair value of PCI loans totaled $9.7 million, which became such loans’ new carrying value. At March 31, 2017, PCI loans with a carrying value of $1.1 million were outstanding. Material activity includes PCI loans with a carrying value of $6.2 million being sold to outside parties in the third quarter of 2016 and a commercial PCI loan with a carrying value of $1.6 million being collected in the fourth quarter of 2016. For PCI loans, the difference between contractually required payments at the acquisition date and the cash flow expected to be collected is</w:t>
      </w:r>
    </w:p>
    <w:p>
      <w:pPr>
        <w:sectPr>
          <w:pgSz w:w="11900" w:h="16944" w:orient="portrait"/>
          <w:cols w:equalWidth="0" w:num="1">
            <w:col w:w="11360"/>
          </w:cols>
          <w:pgMar w:left="240" w:top="125" w:right="299" w:bottom="0" w:gutter="0" w:footer="0" w:header="0"/>
        </w:sectPr>
      </w:pPr>
    </w:p>
    <w:bookmarkStart w:id="7" w:name="page8"/>
    <w:bookmarkEnd w:id="7"/>
    <w:p>
      <w:pPr>
        <w:jc w:val="both"/>
        <w:ind w:right="100"/>
        <w:spacing w:after="0" w:line="259" w:lineRule="auto"/>
        <w:rPr>
          <w:sz w:val="20"/>
          <w:szCs w:val="20"/>
          <w:color w:val="auto"/>
        </w:rPr>
      </w:pPr>
      <w:r>
        <w:rPr>
          <w:rFonts w:ascii="Arial" w:cs="Arial" w:eastAsia="Arial" w:hAnsi="Arial"/>
          <w:sz w:val="18"/>
          <w:szCs w:val="18"/>
          <w:color w:val="auto"/>
        </w:rPr>
        <w:t>referred to as the non-accretable difference. Further, the excess of cash flows expected at acquisition over the fair value is referred to as the accretable yield. The accretable yield, as of the acquisition date, of $0.3 million on PCI loans was expected to be recognized over the estimated four year remaining life of the respective loans in a manner that approximates the level yield method; however, the majority was accelerated in 2016 as a result of the third quarter loan sale and fourth quarter collection.</w:t>
      </w:r>
    </w:p>
    <w:p>
      <w:pPr>
        <w:spacing w:after="0" w:line="18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 xml:space="preserve">The following table provides the unaudited pro forma information for the results of operations for the three months ended March 31, 2016, as if the acquisition had occurred January 1, 2016. The pro forma results combine the historical results of Pulaski into the Company’s Consolidated Statements of Income, adjusted for the impact of the application of the acquisition method of accounting including loan discount accretion, intangible assets amortization, and deposit and trust preferred securities premium accretion, net of taxes. The pro forma results have been prepared for comparative purposes only and are not necessarily indicative of the results that would have been obtained had the acquisition actually occurred on January 1, 2016. No assumptions have been applied to the pro forma results of operations regarding possible revenue enhancements, expense efficiencies or asset dispositions. Only the acquisition related expenses that had been recognized are included in net income in the table below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Pro Forma Three Months Ended</w:t>
            </w:r>
          </w:p>
        </w:tc>
      </w:tr>
      <w:tr>
        <w:trPr>
          <w:trHeight w:val="171"/>
        </w:trPr>
        <w:tc>
          <w:tcPr>
            <w:tcW w:w="6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March 31, 2016</w:t>
            </w: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 (net interest income plus other income)</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0"/>
                <w:szCs w:val="20"/>
                <w:color w:val="auto"/>
              </w:rPr>
            </w:pP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13,400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FCFP - First Community Financial Partners, Inc.</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February 6, 2017, the Company entered into Merger Agreement FCFP with First Community, pursuant to which First Community will merge into First Busey, with First Busey as the surviving corporation. It is anticipated that First Community Financial Bank, will be merged with and into First Busey’s bank subsidiary, Busey Bank, at a date following the completion of the holding company merger. At the time of the bank merger, First Community Financial Bank’s banking offices will become branches of Busey Bank. Merger FCFP is anticipated to be completed in mid-2017, and is subject to the satisfaction of customary closing conditions contained in Merger Agreement FCFP including the approval of the appropriate regulatory authorities and the stockholders of First Community. First Community’s special meeting of stockholders to approve Merger FCFP is scheduled for June 7, 2017. First Busey has received approval of Merger FCFP from the Board of Governors of the Federal Reserve System, contingent on First Busey receiving all other regulatory approvals, including approval from the bank regulators of the bank merger. As of March 31, 2017, First Community had total consolidated assets of $1.3 billion, total loans of $1.1 billion and total deposits of $1.1 billion.</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Founded in 2004, First Community operates as a state chartered commercial bank with nine branches in Will, DuPage and Grundy counties, which encompass portions of the southwestern suburbs of Chicago. Merger Agreement FCFP between the Company and First Community, and the Investor Presentation with more information regarding our planned acquisition of First Community, can be found on Form 8-K, filed on February 6, 2017.</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This transaction will be accounted for using the acquisition method of accounting and, accordingly, assets acquired, liabilities assumed, and consideration exchanged will be recorded at estimated fair values on the date of acquisition. Fair values are subject to refinement for up to one year after the closing date.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First Busey incurred $0.6 million in pre-tax expenses related to the planned acquisition of First Community for the three months ended March 31, 2017, primarily for professional and legal fees, all of which are reported as a component of non-interest expense in the accompanying unaudited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MIB - Mid Illinois Bancorp, Inc.</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13, 2017, the Company entered into Merger Agreement MIB with Mid Illinois, pursuant to which Mid Illinois will merge into First Busey, with First Busey as the surviving corporation. It is anticipated that South Side, will be merged with and into First Busey’s bank subsidiary, Busey Bank, at a date following the completion of the holding company merger. At the time of the bank merger, South Side’s banking offices will become branches of Busey Bank. Merger MIB is anticipated to be completed in the second half of 2017, and is subject to the satisfaction of customary closing conditions in Merger Agreement MIB and the approval of the appropriate regulatory authorities and of the stockholders of Mid Illinois. As of March 31, 2017, Mid Illinois had total consolidated assets of $674.8 million, total loans of $369.3 million and total deposits of $528.4 million.</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Founded in 1922, South Side operates as a state chartered commercial and trust bank with thirteen branches located within the greater Peoria area. South Side also owns Mid-Illinois Insurance Services, Inc. Merger Agreement MIB between the Company and Mid Illinois, and the Investor Presentation with more information regarding our planned acquisition of Mid Illinois, can be found on Form 8-K, filed on March 13, 2017.</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This transaction will be accounted for using the acquisition method of accounting and, accordingly, assets acquired, liabilities assumed, and consideration exchanged will be recorded at estimated fair values on the date of acquisition. Fair values are subject to refinement for up to one year after the closing date.</w:t>
      </w:r>
    </w:p>
    <w:p>
      <w:pPr>
        <w:spacing w:after="0" w:line="12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First Busey incurred $0.1 million in pre-tax expenses related to the planned acquisition of Mid Illinois for the three months ended March 31, 2017, primarily for legal fees, all of which are reported as a component of non-interest expense in the accompanying unaudited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Accounting Standards Update (“ASU”) 2014-09, “Revenue from Contracts with Customers (Topic 606).” </w:t>
      </w:r>
      <w:r>
        <w:rPr>
          <w:rFonts w:ascii="Arial" w:cs="Arial" w:eastAsia="Arial" w:hAnsi="Arial"/>
          <w:sz w:val="17"/>
          <w:szCs w:val="17"/>
          <w:color w:val="auto"/>
        </w:rPr>
        <w:t>ASU 2014-09 outlines a single model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companies to use in accounting for revenue arising from contracts with customers and supersedes most current revenue recognition guidance, including industry-specific guidance. ASU 2014-09 will require that companies recognize revenue based on the value of transferred goods or services as they occur in the contract and will also require additional disclosures. The new authoritative guidance was originally effective for reporting periods after December 15, 2016. In August 2015, </w:t>
      </w:r>
      <w:r>
        <w:rPr>
          <w:rFonts w:ascii="Arial" w:cs="Arial" w:eastAsia="Arial" w:hAnsi="Arial"/>
          <w:sz w:val="17"/>
          <w:szCs w:val="17"/>
          <w:i w:val="1"/>
          <w:iCs w:val="1"/>
          <w:color w:val="auto"/>
        </w:rPr>
        <w:t>ASU 2015-14, “Revenue from Contracts with Customers (Topic 606)”</w:t>
      </w:r>
      <w:r>
        <w:rPr>
          <w:rFonts w:ascii="Arial" w:cs="Arial" w:eastAsia="Arial" w:hAnsi="Arial"/>
          <w:sz w:val="17"/>
          <w:szCs w:val="17"/>
          <w:color w:val="auto"/>
        </w:rPr>
        <w:t xml:space="preserve"> was issued to delay the effective date of ASU 2014-09 by one year. The FASB issued four subsequent ASUs in 2016 which are intended to improve and clarify the implementation guidance related to ASU 2014-09. The Company’s revenue is comprised of net interest income, which is explicitly excluded from the scope of ASU 2014-09, and non-interest income. ASU 2014-09 may require the Company to change how it recognizes certain recurring revenues related to non-interest income; however it is not expected to have a material impact on its Consolidated Financial Statements and related disclosures. The Company expects to adopt the standard in the first quarter of 2018 with a cumulative effect adjustment to opening retained earnings, if such adjustment is deemed to be significant.</w:t>
      </w:r>
    </w:p>
    <w:p>
      <w:pPr>
        <w:sectPr>
          <w:pgSz w:w="11900" w:h="16838" w:orient="portrait"/>
          <w:cols w:equalWidth="0" w:num="1">
            <w:col w:w="11420"/>
          </w:cols>
          <w:pgMar w:left="240" w:top="125"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ASU 2016-01, “Financial Instruments — Overall (Subtopic 825-10): Recognition and Measurement of Financial Assets and Financial Liabilities.”</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ASU 2016-01 is intended to improve the recognition and measurement of financial instruments by, among other things, requiring: equity investments, with certain exceptions, to be measured at fair value with changes in fair value recognized in net income; public business entities to use the exit price notion when measuring the fair value of financial instruments for disclosure purposes; separate presentation of financial assets and financial liabilities by measurement category and form of financial assets on the Balance Sheet or the accompanying notes to the Consolidated Financial Statements; eliminating the requirement for public business entities to disclose the method and significant assumptions used to estimate the fair value that is required to be disclosed for financial instruments measured at amortized cost on the Balance Sheet; and requiring an entity to present separately in other comprehensive income the portion of the total change in fair value of a liability resulting from the change in the instrument-specific credit risk when the organization has elected to measure the liability at fair value in accordance with the fair value option for financial instruments. ASU 2016-01 will be effective on January 1, 2018 and the Company is continuing to assess the impact this guidance will have on its Consolidated Financial Statements and related disclosures.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ASU 2016-02, “Leases (Topic 842).” </w:t>
      </w:r>
      <w:r>
        <w:rPr>
          <w:rFonts w:ascii="Arial" w:cs="Arial" w:eastAsia="Arial" w:hAnsi="Arial"/>
          <w:sz w:val="17"/>
          <w:szCs w:val="17"/>
          <w:color w:val="auto"/>
        </w:rPr>
        <w:t>ASU 2016-02 intends to increase transparency and comparability among organizations by recognizing all lease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(with terms in excess of 12 months) on the Balance Sheet as a lease liability and a right-of-use asset. The guidance also requires qualitative and quantitative disclosures designed to assess the amount, timing and uncertainty of cash flows arising from leases. This guidance is effective for annual reporting periods beginning after December 15, 2018, including interim periods within those fiscal years. Upon adoption, the lessee will apply the new standard retrospectively to all periods presented or retrospectively using a cumulative effect adjustment in the year of adoption. The Company is evaluating the impact this guidance will have on its Consolidated Financial Statements and related disclosures.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ASU 2016-13, “Financial Instruments — Credit Losses (Topic 326): Measurement of Credit Losses on Financial Instruments.” </w:t>
      </w:r>
      <w:r>
        <w:rPr>
          <w:rFonts w:ascii="Arial" w:cs="Arial" w:eastAsia="Arial" w:hAnsi="Arial"/>
          <w:sz w:val="18"/>
          <w:szCs w:val="18"/>
          <w:color w:val="auto"/>
        </w:rPr>
        <w:t>ASU 2016-13 implements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change in estimating the allowances for loan losses from the current model of losses inherent in the loan portfolio to a current expected credit loss model that generally is expected to result in earlier recognition of allowances for losses. Further, purchase accounting rules have been modified as well as credit losses on held to maturity debt securities. ASU 2016-13 will be effective in the first quarter of 2020. The Company has an implementation team working through the provisions of ASU 2016-13, including evaluating the impact this guidance will have on its Consolidated Financial Statements and related disclosures.</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ASU 2016-15, “Statement of Cash Flows (Topic 230): Classification of Certain Cash Receipts and Cash Payments.” </w:t>
      </w:r>
      <w:r>
        <w:rPr>
          <w:rFonts w:ascii="Arial" w:cs="Arial" w:eastAsia="Arial" w:hAnsi="Arial"/>
          <w:sz w:val="17"/>
          <w:szCs w:val="17"/>
          <w:color w:val="auto"/>
        </w:rPr>
        <w:t>ASU 2016-15 provides clarification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how certain cash receipts and cash payment are presented and classified in the Consolidated Statements of Cash Flows. This update is effective for fiscal years beginning after December 15, 2017, and interim periods within those fiscal years, with early adoption permitted. The Company does not expect the adoption of this guidance to have a material impact to its Consolidated Financial Statements.</w:t>
      </w:r>
    </w:p>
    <w:p>
      <w:pPr>
        <w:spacing w:after="0" w:line="17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i w:val="1"/>
          <w:iCs w:val="1"/>
          <w:color w:val="auto"/>
        </w:rPr>
        <w:t xml:space="preserve">ASU 2016-16, “Income Taxes (Topic 740): Intra-Entity Transfers of Asses Other Than Inventory.” </w:t>
      </w:r>
      <w:r>
        <w:rPr>
          <w:rFonts w:ascii="Arial" w:cs="Arial" w:eastAsia="Arial" w:hAnsi="Arial"/>
          <w:sz w:val="16"/>
          <w:szCs w:val="16"/>
          <w:color w:val="auto"/>
        </w:rPr>
        <w:t>ASU 2016-16 is intended to improve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income tax consequences of intra-entity transfers of assets other than inventory by requiring an entity to recognize the income tax consequences when a transfer occurs, instead of when an asset is sold to an outside party. This guidance is effective for annual reporting periods beginning after December 15, 2017. The new standard will require adoption on a modified retrospective basis through a cumulative-effect adjustment to retained earnings, and early adoption is permitted. The Company does not expect the adoption of this guidance to have a material impact on its Consolidated Financial Statements.</w:t>
      </w:r>
    </w:p>
    <w:p>
      <w:pPr>
        <w:spacing w:after="0" w:line="158"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i w:val="1"/>
          <w:iCs w:val="1"/>
          <w:color w:val="auto"/>
        </w:rPr>
        <w:t xml:space="preserve">ASU 2017-01, “Business Combinations (Topic 805): Clarifying the Definition of a Business.” </w:t>
      </w:r>
      <w:r>
        <w:rPr>
          <w:rFonts w:ascii="Arial" w:cs="Arial" w:eastAsia="Arial" w:hAnsi="Arial"/>
          <w:sz w:val="16"/>
          <w:szCs w:val="16"/>
          <w:color w:val="auto"/>
        </w:rPr>
        <w:t>ASU 2017-01 clarifies the definition and provides a more</w:t>
      </w:r>
      <w:r>
        <w:rPr>
          <w:rFonts w:ascii="Arial" w:cs="Arial" w:eastAsia="Arial" w:hAnsi="Arial"/>
          <w:sz w:val="16"/>
          <w:szCs w:val="16"/>
          <w:i w:val="1"/>
          <w:iCs w:val="1"/>
          <w:color w:val="auto"/>
        </w:rPr>
        <w:t xml:space="preserve"> </w:t>
      </w:r>
      <w:r>
        <w:rPr>
          <w:rFonts w:ascii="Arial" w:cs="Arial" w:eastAsia="Arial" w:hAnsi="Arial"/>
          <w:sz w:val="16"/>
          <w:szCs w:val="16"/>
          <w:color w:val="auto"/>
        </w:rPr>
        <w:t>robust framework to use in determining when a set of assets and activities constitutes a business. ASU 2017-01 is intended to provide guidance when evaluating whether transactions should be accounted for as acquisitions of assets or businesses. This guidance is effective for annual reporting periods beginning after December 15, 2017 and is not expected to have a significant impact to the Company’s Consolidated Financial Statements.</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ASU 2017-04, “Intangibles - Goodwill and Other (Topic 350): Simplifying the Test for Goodwill Impairment.” </w:t>
      </w:r>
      <w:r>
        <w:rPr>
          <w:rFonts w:ascii="Arial" w:cs="Arial" w:eastAsia="Arial" w:hAnsi="Arial"/>
          <w:sz w:val="18"/>
          <w:szCs w:val="18"/>
          <w:color w:val="auto"/>
        </w:rPr>
        <w:t>ASU 2017-04 is intended to simplify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testing by eliminating the second step of the analysis. ASU 2017-04 requires entities to compare the fair value of a reporting unit with its carrying amount and recognize an impairment charge for any amount by which the carrying amount exceeds the reporting unit’s fair value, to the extent that the loss recognized does not exceed the amount of goodwill allocated to that reporting unit. This guidance is effective for annual and interim periods beginning after December 15, 2019, with early adoption permitted. The Company does not expect this guidance to have a material impact on its Consolidated Financial Statements.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ASU 2017-08</w:t>
      </w:r>
      <w:r>
        <w:rPr>
          <w:rFonts w:ascii="Arial" w:cs="Arial" w:eastAsia="Arial" w:hAnsi="Arial"/>
          <w:sz w:val="18"/>
          <w:szCs w:val="18"/>
          <w:color w:val="auto"/>
        </w:rPr>
        <w:t>, “</w:t>
      </w:r>
      <w:r>
        <w:rPr>
          <w:rFonts w:ascii="Arial" w:cs="Arial" w:eastAsia="Arial" w:hAnsi="Arial"/>
          <w:sz w:val="18"/>
          <w:szCs w:val="18"/>
          <w:i w:val="1"/>
          <w:iCs w:val="1"/>
          <w:color w:val="auto"/>
        </w:rPr>
        <w:t xml:space="preserve">Receivables - Nonrefundable Fees and Other Costs (Subtopic 310-20), Premium Amortization on Purchased Callable Debt Securities.” </w:t>
      </w:r>
      <w:r>
        <w:rPr>
          <w:rFonts w:ascii="Arial" w:cs="Arial" w:eastAsia="Arial" w:hAnsi="Arial"/>
          <w:sz w:val="18"/>
          <w:szCs w:val="18"/>
          <w:color w:val="auto"/>
        </w:rPr>
        <w:t>ASU</w:t>
      </w:r>
      <w:r>
        <w:rPr>
          <w:rFonts w:ascii="Arial" w:cs="Arial" w:eastAsia="Arial" w:hAnsi="Arial"/>
          <w:sz w:val="18"/>
          <w:szCs w:val="18"/>
          <w:i w:val="1"/>
          <w:iCs w:val="1"/>
          <w:color w:val="auto"/>
        </w:rPr>
        <w:t xml:space="preserve"> </w:t>
      </w:r>
      <w:r>
        <w:rPr>
          <w:rFonts w:ascii="Arial" w:cs="Arial" w:eastAsia="Arial" w:hAnsi="Arial"/>
          <w:sz w:val="18"/>
          <w:szCs w:val="18"/>
          <w:color w:val="auto"/>
        </w:rPr>
        <w:t>2017-08 shortens the amortization period for certain callable debt securities held at a premium, requiring the premium to be amortized to the earliest call date. ASU 2017-08 does not require an accounting change for securities held at a discount; the discount continues to be amortized to maturity. This guidance is effective for annual reporting periods beginning after December 15, 2018, with early adoption permitted. The Company does not expect this guidance to have a material impact on its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Securities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Securities are classified as held to maturity when First Busey has the ability and management has the intent to hold those securities to maturity. Accordingly, they are stated at cost, adjusted for amortization of premiums and accretion of discounts. 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amortized cost, unrealized gains and losses and fair values of securities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5320" w:type="dxa"/>
        <w:tblCellMar>
          <w:top w:w="0" w:type="dxa"/>
          <w:left w:w="0" w:type="dxa"/>
          <w:bottom w:w="0" w:type="dxa"/>
          <w:right w:w="0" w:type="dxa"/>
        </w:tblCellMar>
      </w:tblPr>
      <w:tr>
        <w:trPr>
          <w:trHeight w:val="161"/>
        </w:trPr>
        <w:tc>
          <w:tcPr>
            <w:tcW w:w="1160" w:type="dxa"/>
            <w:vAlign w:val="bottom"/>
            <w:vMerge w:val="restart"/>
          </w:tcPr>
          <w:p>
            <w:pPr>
              <w:jc w:val="center"/>
              <w:ind w:right="428"/>
              <w:spacing w:after="0"/>
              <w:rPr>
                <w:sz w:val="20"/>
                <w:szCs w:val="20"/>
                <w:color w:val="auto"/>
              </w:rPr>
            </w:pPr>
            <w:r>
              <w:rPr>
                <w:rFonts w:ascii="Arial" w:cs="Arial" w:eastAsia="Arial" w:hAnsi="Arial"/>
                <w:sz w:val="14"/>
                <w:szCs w:val="14"/>
                <w:b w:val="1"/>
                <w:bCs w:val="1"/>
                <w:color w:val="auto"/>
                <w:w w:val="96"/>
              </w:rPr>
              <w:t>Amortized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720" w:type="dxa"/>
            <w:vAlign w:val="bottom"/>
          </w:tcPr>
          <w:p>
            <w:pPr>
              <w:jc w:val="center"/>
              <w:ind w:right="8"/>
              <w:spacing w:after="0"/>
              <w:rPr>
                <w:sz w:val="20"/>
                <w:szCs w:val="20"/>
                <w:color w:val="auto"/>
              </w:rPr>
            </w:pPr>
            <w:r>
              <w:rPr>
                <w:rFonts w:ascii="Arial" w:cs="Arial" w:eastAsia="Arial" w:hAnsi="Arial"/>
                <w:sz w:val="14"/>
                <w:szCs w:val="14"/>
                <w:b w:val="1"/>
                <w:bCs w:val="1"/>
                <w:color w:val="auto"/>
                <w:w w:val="88"/>
              </w:rPr>
              <w:t>Gross</w:t>
            </w:r>
          </w:p>
        </w:tc>
        <w:tc>
          <w:tcPr>
            <w:tcW w:w="92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160" w:type="dxa"/>
            <w:vAlign w:val="bottom"/>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60" w:type="dxa"/>
            <w:vAlign w:val="bottom"/>
          </w:tcPr>
          <w:p>
            <w:pPr>
              <w:jc w:val="center"/>
              <w:ind w:right="448"/>
              <w:spacing w:after="0"/>
              <w:rPr>
                <w:sz w:val="20"/>
                <w:szCs w:val="20"/>
                <w:color w:val="auto"/>
              </w:rPr>
            </w:pPr>
            <w:r>
              <w:rPr>
                <w:rFonts w:ascii="Arial" w:cs="Arial" w:eastAsia="Arial" w:hAnsi="Arial"/>
                <w:sz w:val="14"/>
                <w:szCs w:val="14"/>
                <w:b w:val="1"/>
                <w:bCs w:val="1"/>
                <w:color w:val="auto"/>
                <w:w w:val="89"/>
              </w:rPr>
              <w:t>Cost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Gains</w:t>
            </w:r>
          </w:p>
        </w:tc>
        <w:tc>
          <w:tcPr>
            <w:tcW w:w="1720" w:type="dxa"/>
            <w:vAlign w:val="bottom"/>
          </w:tcPr>
          <w:p>
            <w:pPr>
              <w:jc w:val="center"/>
              <w:ind w:right="8"/>
              <w:spacing w:after="0"/>
              <w:rPr>
                <w:sz w:val="20"/>
                <w:szCs w:val="20"/>
                <w:color w:val="auto"/>
              </w:rPr>
            </w:pPr>
            <w:r>
              <w:rPr>
                <w:rFonts w:ascii="Arial" w:cs="Arial" w:eastAsia="Arial" w:hAnsi="Arial"/>
                <w:sz w:val="14"/>
                <w:szCs w:val="14"/>
                <w:b w:val="1"/>
                <w:bCs w:val="1"/>
                <w:color w:val="auto"/>
                <w:w w:val="82"/>
              </w:rPr>
              <w:t>Losses</w:t>
            </w:r>
          </w:p>
        </w:tc>
        <w:tc>
          <w:tcPr>
            <w:tcW w:w="920" w:type="dxa"/>
            <w:vAlign w:val="bottom"/>
          </w:tcPr>
          <w:p>
            <w:pPr>
              <w:jc w:val="center"/>
              <w:ind w:left="48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-635</wp:posOffset>
            </wp:positionV>
            <wp:extent cx="710057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0570" cy="1460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u w:val="single" w:color="auto"/>
          <w:color w:val="auto"/>
        </w:rPr>
        <w:t>March 31, 2017:</w:t>
      </w:r>
    </w:p>
    <w:p>
      <w:pPr>
        <w:sectPr>
          <w:pgSz w:w="11900" w:h="16838" w:orient="portrait"/>
          <w:cols w:equalWidth="0" w:num="1">
            <w:col w:w="11420"/>
          </w:cols>
          <w:pgMar w:left="240" w:top="341" w:right="239" w:bottom="0" w:gutter="0" w:footer="0" w:header="0"/>
        </w:sectPr>
      </w:pPr>
    </w:p>
    <w:bookmarkStart w:id="9" w:name="page10"/>
    <w:bookmarkEnd w:id="9"/>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0" w:type="dxa"/>
            <w:vAlign w:val="bottom"/>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2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77,246</w:t>
            </w:r>
          </w:p>
        </w:tc>
        <w:tc>
          <w:tcPr>
            <w:tcW w:w="2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76,854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151,928</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1,223</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328,924</w:t>
            </w:r>
          </w:p>
        </w:tc>
        <w:tc>
          <w:tcPr>
            <w:tcW w:w="2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1,452</w:t>
            </w: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(2,828)</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327,548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31,030</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760" w:type="dxa"/>
            <w:vAlign w:val="bottom"/>
            <w:gridSpan w:val="2"/>
          </w:tcPr>
          <w:p>
            <w:pPr>
              <w:ind w:left="360"/>
              <w:spacing w:after="0"/>
              <w:rPr>
                <w:sz w:val="20"/>
                <w:szCs w:val="20"/>
                <w:color w:val="auto"/>
              </w:rPr>
            </w:pPr>
            <w:r>
              <w:rPr>
                <w:rFonts w:ascii="Arial" w:cs="Arial" w:eastAsia="Arial" w:hAnsi="Arial"/>
                <w:sz w:val="18"/>
                <w:szCs w:val="18"/>
                <w:color w:val="auto"/>
              </w:rPr>
              <w:t>Total debt securities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650,400</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649,851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4,040</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654,440</w:t>
            </w:r>
          </w:p>
        </w:tc>
        <w:tc>
          <w:tcPr>
            <w:tcW w:w="3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2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280" w:type="dxa"/>
            <w:vAlign w:val="bottom"/>
            <w:tcBorders>
              <w:bottom w:val="single" w:sz="8" w:color="CCEEFF"/>
            </w:tcBorders>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654,216</w:t>
            </w:r>
          </w:p>
        </w:tc>
        <w:tc>
          <w:tcPr>
            <w:tcW w:w="100" w:type="dxa"/>
            <w:vAlign w:val="bottom"/>
            <w:tcBorders>
              <w:bottom w:val="single" w:sz="8" w:color="CCEEFF"/>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Commercial and residential mortgage-backed securities</w:t>
            </w:r>
          </w:p>
        </w:tc>
        <w:tc>
          <w:tcPr>
            <w:tcW w:w="2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46,591</w:t>
            </w:r>
          </w:p>
        </w:tc>
        <w:tc>
          <w:tcPr>
            <w:tcW w:w="2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24"/>
                <w:szCs w:val="2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476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December 31, 2016:</w:t>
            </w: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7"/>
              </w:rPr>
              <w:t>Available for sale</w:t>
            </w:r>
          </w:p>
        </w:tc>
        <w:tc>
          <w:tcPr>
            <w:tcW w:w="3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74,784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2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79,577</w:t>
            </w:r>
          </w:p>
        </w:tc>
        <w:tc>
          <w:tcPr>
            <w:tcW w:w="2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(496)</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79,127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154,438</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1,093</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303,641</w:t>
            </w:r>
          </w:p>
        </w:tc>
        <w:tc>
          <w:tcPr>
            <w:tcW w:w="2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1,390</w:t>
            </w: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(2,782)</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302,249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142,836</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760" w:type="dxa"/>
            <w:vAlign w:val="bottom"/>
            <w:gridSpan w:val="2"/>
          </w:tcPr>
          <w:p>
            <w:pPr>
              <w:ind w:left="360"/>
              <w:spacing w:after="0"/>
              <w:rPr>
                <w:sz w:val="20"/>
                <w:szCs w:val="20"/>
                <w:color w:val="auto"/>
              </w:rPr>
            </w:pPr>
            <w:r>
              <w:rPr>
                <w:rFonts w:ascii="Arial" w:cs="Arial" w:eastAsia="Arial" w:hAnsi="Arial"/>
                <w:sz w:val="18"/>
                <w:szCs w:val="18"/>
                <w:color w:val="auto"/>
              </w:rPr>
              <w:t>Total debt securities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755,276</w:t>
            </w: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(4,019)</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754,601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4,475</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735</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759,751</w:t>
            </w:r>
          </w:p>
        </w:tc>
        <w:tc>
          <w:tcPr>
            <w:tcW w:w="3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2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w:t>
            </w:r>
          </w:p>
        </w:tc>
        <w:tc>
          <w:tcPr>
            <w:tcW w:w="280" w:type="dxa"/>
            <w:vAlign w:val="bottom"/>
            <w:tcBorders>
              <w:bottom w:val="single" w:sz="8" w:color="CCEEFF"/>
            </w:tcBorders>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759,811</w:t>
            </w:r>
          </w:p>
        </w:tc>
        <w:tc>
          <w:tcPr>
            <w:tcW w:w="100" w:type="dxa"/>
            <w:vAlign w:val="bottom"/>
            <w:tcBorders>
              <w:bottom w:val="single" w:sz="8" w:color="CCEEFF"/>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3,487</w:t>
            </w:r>
          </w:p>
        </w:tc>
        <w:tc>
          <w:tcPr>
            <w:tcW w:w="2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31"/>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3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The amortized cost and fair value of debt securities as of March 31, 2017, by contractual maturity or pre-refunded date, are shown below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 Mutual funds and other equity securities do not have stated maturity dates and therefore are not included in the following maturity summary.</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Mortgages underlying mortgage-backed securities may be called or prepaid; therefore, actual maturities could differ from the contractual maturities. All mortgage-backed securities were issued by U.S. government agencies and corporations.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Available for sale</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Held to maturity</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4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Amortized</w:t>
            </w:r>
          </w:p>
        </w:tc>
        <w:tc>
          <w:tcPr>
            <w:tcW w:w="460" w:type="dxa"/>
            <w:vAlign w:val="bottom"/>
          </w:tcPr>
          <w:p>
            <w:pPr>
              <w:spacing w:after="0"/>
              <w:rPr>
                <w:sz w:val="10"/>
                <w:szCs w:val="10"/>
                <w:color w:val="auto"/>
              </w:rPr>
            </w:pPr>
          </w:p>
        </w:tc>
        <w:tc>
          <w:tcPr>
            <w:tcW w:w="900" w:type="dxa"/>
            <w:vAlign w:val="bottom"/>
          </w:tcPr>
          <w:p>
            <w:pPr>
              <w:jc w:val="right"/>
              <w:ind w:right="456"/>
              <w:spacing w:after="0" w:line="119" w:lineRule="exact"/>
              <w:rPr>
                <w:sz w:val="20"/>
                <w:szCs w:val="20"/>
                <w:color w:val="auto"/>
              </w:rPr>
            </w:pPr>
            <w:r>
              <w:rPr>
                <w:rFonts w:ascii="Arial" w:cs="Arial" w:eastAsia="Arial" w:hAnsi="Arial"/>
                <w:sz w:val="13"/>
                <w:szCs w:val="13"/>
                <w:b w:val="1"/>
                <w:bCs w:val="1"/>
                <w:color w:val="auto"/>
              </w:rPr>
              <w:t>Fair</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Amortized</w:t>
            </w:r>
          </w:p>
        </w:tc>
        <w:tc>
          <w:tcPr>
            <w:tcW w:w="440" w:type="dxa"/>
            <w:vAlign w:val="bottom"/>
          </w:tcPr>
          <w:p>
            <w:pPr>
              <w:spacing w:after="0"/>
              <w:rPr>
                <w:sz w:val="10"/>
                <w:szCs w:val="10"/>
                <w:color w:val="auto"/>
              </w:rPr>
            </w:pPr>
          </w:p>
        </w:tc>
        <w:tc>
          <w:tcPr>
            <w:tcW w:w="92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r>
      <w:tr>
        <w:trPr>
          <w:trHeight w:val="171"/>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Cost</w:t>
            </w:r>
          </w:p>
        </w:tc>
        <w:tc>
          <w:tcPr>
            <w:tcW w:w="460" w:type="dxa"/>
            <w:vAlign w:val="bottom"/>
          </w:tcPr>
          <w:p>
            <w:pPr>
              <w:spacing w:after="0"/>
              <w:rPr>
                <w:sz w:val="14"/>
                <w:szCs w:val="14"/>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4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97,523</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97,695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1,285</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4"/>
              </w:rPr>
              <w:t>1,287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196,220</w:t>
            </w:r>
          </w:p>
        </w:tc>
        <w:tc>
          <w:tcPr>
            <w:tcW w:w="4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196,457</w:t>
            </w:r>
          </w:p>
        </w:tc>
        <w:tc>
          <w:tcPr>
            <w:tcW w:w="240" w:type="dxa"/>
            <w:vAlign w:val="bottom"/>
          </w:tcPr>
          <w:p>
            <w:pPr>
              <w:spacing w:after="0"/>
              <w:rPr>
                <w:sz w:val="18"/>
                <w:szCs w:val="18"/>
                <w:color w:val="auto"/>
              </w:rPr>
            </w:pPr>
          </w:p>
        </w:tc>
        <w:tc>
          <w:tcPr>
            <w:tcW w:w="1420" w:type="dxa"/>
            <w:vAlign w:val="bottom"/>
            <w:gridSpan w:val="2"/>
          </w:tcPr>
          <w:p>
            <w:pPr>
              <w:ind w:left="640"/>
              <w:spacing w:after="0"/>
              <w:rPr>
                <w:sz w:val="20"/>
                <w:szCs w:val="20"/>
                <w:color w:val="auto"/>
              </w:rPr>
            </w:pPr>
            <w:r>
              <w:rPr>
                <w:rFonts w:ascii="Arial" w:cs="Arial" w:eastAsia="Arial" w:hAnsi="Arial"/>
                <w:sz w:val="18"/>
                <w:szCs w:val="18"/>
                <w:color w:val="auto"/>
              </w:rPr>
              <w:t>20,126</w:t>
            </w:r>
          </w:p>
        </w:tc>
        <w:tc>
          <w:tcPr>
            <w:tcW w:w="440" w:type="dxa"/>
            <w:vAlign w:val="bottom"/>
          </w:tcPr>
          <w:p>
            <w:pPr>
              <w:spacing w:after="0"/>
              <w:rPr>
                <w:sz w:val="18"/>
                <w:szCs w:val="18"/>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20,231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64,842</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66,044</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22,249</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22,277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Due after ten years</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291,815</w:t>
            </w:r>
          </w:p>
        </w:tc>
        <w:tc>
          <w:tcPr>
            <w:tcW w:w="4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289,655</w:t>
            </w:r>
          </w:p>
        </w:tc>
        <w:tc>
          <w:tcPr>
            <w:tcW w:w="240" w:type="dxa"/>
            <w:vAlign w:val="bottom"/>
          </w:tcPr>
          <w:p>
            <w:pPr>
              <w:spacing w:after="0"/>
              <w:rPr>
                <w:sz w:val="18"/>
                <w:szCs w:val="18"/>
                <w:color w:val="auto"/>
              </w:rPr>
            </w:pPr>
          </w:p>
        </w:tc>
        <w:tc>
          <w:tcPr>
            <w:tcW w:w="1420" w:type="dxa"/>
            <w:vAlign w:val="bottom"/>
            <w:gridSpan w:val="2"/>
          </w:tcPr>
          <w:p>
            <w:pPr>
              <w:ind w:left="640"/>
              <w:spacing w:after="0"/>
              <w:rPr>
                <w:sz w:val="20"/>
                <w:szCs w:val="20"/>
                <w:color w:val="auto"/>
              </w:rPr>
            </w:pPr>
            <w:r>
              <w:rPr>
                <w:rFonts w:ascii="Arial" w:cs="Arial" w:eastAsia="Arial" w:hAnsi="Arial"/>
                <w:sz w:val="18"/>
                <w:szCs w:val="18"/>
                <w:color w:val="auto"/>
              </w:rPr>
              <w:t>46,000</w:t>
            </w:r>
          </w:p>
        </w:tc>
        <w:tc>
          <w:tcPr>
            <w:tcW w:w="440" w:type="dxa"/>
            <w:vAlign w:val="bottom"/>
          </w:tcPr>
          <w:p>
            <w:pPr>
              <w:spacing w:after="0"/>
              <w:rPr>
                <w:sz w:val="18"/>
                <w:szCs w:val="18"/>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46,338</w:t>
            </w:r>
          </w:p>
        </w:tc>
      </w:tr>
      <w:tr>
        <w:trPr>
          <w:trHeight w:val="210"/>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3"/>
              </w:rPr>
              <w:t>89,660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3"/>
              </w:rPr>
              <w:t>90,133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related to sales of securities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40" w:type="dxa"/>
            <w:vAlign w:val="bottom"/>
          </w:tcPr>
          <w:p>
            <w:pPr>
              <w:jc w:val="right"/>
              <w:ind w:right="47"/>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2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Gross security (losses)</w:t>
            </w:r>
          </w:p>
        </w:tc>
        <w:tc>
          <w:tcPr>
            <w:tcW w:w="2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0"/>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gains</w:t>
            </w:r>
          </w:p>
        </w:tc>
        <w:tc>
          <w:tcPr>
            <w:tcW w:w="26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tax provision for the net realized gains and losses was $0.3 million and $0.4 million for the three months ended March 31, 2017 and 2016, respectively.</w:t>
      </w:r>
    </w:p>
    <w:p>
      <w:pPr>
        <w:spacing w:after="0" w:line="24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Investment securities with carrying amounts of $500.6 million and $547.2 million on March 31, 2017 and December 31, 2016, respectively, were pledged as collateral for public deposits, securities sold under agreements to repurchase and for other purposes as required or permitted by law.</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Information pertaining to securities with gross unrealized losses at March 31, 2017 and December 31, 2016, aggregated by investment category and length of time that individual securities have been in a continuous loss position,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2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Continuous unrealized</w:t>
            </w:r>
          </w:p>
        </w:tc>
        <w:tc>
          <w:tcPr>
            <w:tcW w:w="2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Continuous unrealized</w:t>
            </w:r>
          </w:p>
        </w:tc>
        <w:tc>
          <w:tcPr>
            <w:tcW w:w="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27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800" w:type="dxa"/>
            <w:vAlign w:val="bottom"/>
          </w:tcPr>
          <w:p>
            <w:pPr>
              <w:spacing w:after="0"/>
              <w:rPr>
                <w:sz w:val="12"/>
                <w:szCs w:val="12"/>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20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7"/>
              </w:rPr>
              <w:t>12 months, gross</w:t>
            </w:r>
          </w:p>
        </w:tc>
        <w:tc>
          <w:tcPr>
            <w:tcW w:w="2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than 12 months, gross</w:t>
            </w:r>
          </w:p>
        </w:tc>
        <w:tc>
          <w:tcPr>
            <w:tcW w:w="8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0" w:type="dxa"/>
            <w:vAlign w:val="bottom"/>
            <w:tcBorders>
              <w:top w:val="single" w:sz="8" w:color="auto"/>
            </w:tcBorders>
          </w:tcPr>
          <w:p>
            <w:pPr>
              <w:ind w:left="440"/>
              <w:spacing w:after="0"/>
              <w:rPr>
                <w:sz w:val="20"/>
                <w:szCs w:val="20"/>
                <w:color w:val="auto"/>
              </w:rPr>
            </w:pPr>
            <w:r>
              <w:rPr>
                <w:rFonts w:ascii="Arial" w:cs="Arial" w:eastAsia="Arial" w:hAnsi="Arial"/>
                <w:sz w:val="14"/>
                <w:szCs w:val="14"/>
                <w:b w:val="1"/>
                <w:bCs w:val="1"/>
                <w:color w:val="auto"/>
              </w:rPr>
              <w:t>Fair</w:t>
            </w:r>
          </w:p>
        </w:tc>
        <w:tc>
          <w:tcPr>
            <w:tcW w:w="1820" w:type="dxa"/>
            <w:vAlign w:val="bottom"/>
            <w:tcBorders>
              <w:top w:val="single" w:sz="8" w:color="auto"/>
            </w:tcBorders>
          </w:tcPr>
          <w:p>
            <w:pPr>
              <w:ind w:left="900"/>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5"/>
                <w:szCs w:val="15"/>
                <w:color w:val="auto"/>
              </w:rPr>
            </w:pPr>
          </w:p>
        </w:tc>
        <w:tc>
          <w:tcPr>
            <w:tcW w:w="1140" w:type="dxa"/>
            <w:vAlign w:val="bottom"/>
            <w:tcBorders>
              <w:top w:val="single" w:sz="8" w:color="auto"/>
            </w:tcBorders>
          </w:tcPr>
          <w:p>
            <w:pPr>
              <w:ind w:left="440"/>
              <w:spacing w:after="0"/>
              <w:rPr>
                <w:sz w:val="20"/>
                <w:szCs w:val="20"/>
                <w:color w:val="auto"/>
              </w:rPr>
            </w:pPr>
            <w:r>
              <w:rPr>
                <w:rFonts w:ascii="Arial" w:cs="Arial" w:eastAsia="Arial" w:hAnsi="Arial"/>
                <w:sz w:val="14"/>
                <w:szCs w:val="14"/>
                <w:b w:val="1"/>
                <w:bCs w:val="1"/>
                <w:color w:val="auto"/>
              </w:rPr>
              <w:t>Fair</w:t>
            </w:r>
          </w:p>
        </w:tc>
        <w:tc>
          <w:tcPr>
            <w:tcW w:w="1360" w:type="dxa"/>
            <w:vAlign w:val="bottom"/>
            <w:tcBorders>
              <w:top w:val="single" w:sz="8" w:color="auto"/>
            </w:tcBorders>
          </w:tcPr>
          <w:p>
            <w:pPr>
              <w:ind w:left="44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5"/>
                <w:szCs w:val="15"/>
                <w:color w:val="auto"/>
              </w:rPr>
            </w:pPr>
          </w:p>
        </w:tc>
        <w:tc>
          <w:tcPr>
            <w:tcW w:w="800" w:type="dxa"/>
            <w:vAlign w:val="bottom"/>
            <w:tcBorders>
              <w:top w:val="single" w:sz="8" w:color="auto"/>
            </w:tcBorders>
          </w:tcPr>
          <w:p>
            <w:pPr>
              <w:ind w:left="440"/>
              <w:spacing w:after="0"/>
              <w:rPr>
                <w:sz w:val="20"/>
                <w:szCs w:val="20"/>
                <w:color w:val="auto"/>
              </w:rPr>
            </w:pPr>
            <w:r>
              <w:rPr>
                <w:rFonts w:ascii="Arial" w:cs="Arial" w:eastAsia="Arial" w:hAnsi="Arial"/>
                <w:sz w:val="14"/>
                <w:szCs w:val="14"/>
                <w:b w:val="1"/>
                <w:bCs w:val="1"/>
                <w:color w:val="auto"/>
              </w:rPr>
              <w:t>Fair</w:t>
            </w:r>
          </w:p>
        </w:tc>
        <w:tc>
          <w:tcPr>
            <w:tcW w:w="1700" w:type="dxa"/>
            <w:vAlign w:val="bottom"/>
            <w:tcBorders>
              <w:top w:val="single" w:sz="8" w:color="auto"/>
            </w:tcBorders>
          </w:tcPr>
          <w:p>
            <w:pPr>
              <w:ind w:left="800"/>
              <w:spacing w:after="0"/>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bl>
    <w:p>
      <w:pPr>
        <w:sectPr>
          <w:pgSz w:w="11900" w:h="16935" w:orient="portrait"/>
          <w:cols w:equalWidth="0" w:num="1">
            <w:col w:w="11460"/>
          </w:cols>
          <w:pgMar w:left="240" w:top="121" w:right="19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920" w:type="dxa"/>
            <w:vAlign w:val="bottom"/>
          </w:tcPr>
          <w:p>
            <w:pPr>
              <w:jc w:val="center"/>
              <w:ind w:left="126"/>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March 31, 2017:</w:t>
            </w:r>
          </w:p>
        </w:tc>
        <w:tc>
          <w:tcPr>
            <w:tcW w:w="2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18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66"/>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10,007</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61,253</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61,253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48,103</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183,163</w:t>
            </w: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183,163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gridSpan w:val="3"/>
            <w:vMerge w:val="continue"/>
          </w:tcPr>
          <w:p>
            <w:pPr>
              <w:spacing w:after="0"/>
              <w:rPr>
                <w:sz w:val="22"/>
                <w:szCs w:val="22"/>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310,315</w:t>
            </w:r>
          </w:p>
        </w:tc>
        <w:tc>
          <w:tcPr>
            <w:tcW w:w="22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(3,561)</w:t>
            </w:r>
          </w:p>
        </w:tc>
        <w:tc>
          <w:tcPr>
            <w:tcW w:w="14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311,471</w:t>
            </w:r>
          </w:p>
        </w:tc>
        <w:tc>
          <w:tcPr>
            <w:tcW w:w="10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(3,565)</w:t>
            </w:r>
          </w:p>
        </w:tc>
        <w:tc>
          <w:tcPr>
            <w:tcW w:w="1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66"/>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8,344</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spacing w:after="0" w:line="201" w:lineRule="exact"/>
              <w:rPr>
                <w:sz w:val="20"/>
                <w:szCs w:val="20"/>
                <w:color w:val="auto"/>
              </w:rPr>
            </w:pPr>
            <w:r>
              <w:rPr>
                <w:rFonts w:ascii="Arial" w:cs="Arial" w:eastAsia="Arial" w:hAnsi="Arial"/>
                <w:sz w:val="18"/>
                <w:szCs w:val="18"/>
                <w:color w:val="auto"/>
              </w:rPr>
              <w:t>Commercial and residential mortgage-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backed securities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Continuous unrealized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Continuous unrealized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6"/>
            <w:vMerge w:val="restart"/>
          </w:tcPr>
          <w:p>
            <w:pPr>
              <w:jc w:val="right"/>
              <w:ind w:right="920"/>
              <w:spacing w:after="0"/>
              <w:rPr>
                <w:sz w:val="20"/>
                <w:szCs w:val="20"/>
                <w:color w:val="auto"/>
              </w:rPr>
            </w:pPr>
            <w:r>
              <w:rPr>
                <w:rFonts w:ascii="Arial" w:cs="Arial" w:eastAsia="Arial" w:hAnsi="Arial"/>
                <w:sz w:val="14"/>
                <w:szCs w:val="14"/>
                <w:b w:val="1"/>
                <w:bCs w:val="1"/>
                <w:color w:val="auto"/>
              </w:rPr>
              <w:t>Total, gross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12 months, gross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than 12 months, gross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75"/>
              <w:spacing w:after="0" w:line="13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left="126"/>
              <w:spacing w:after="0" w:line="13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73"/>
              <w:spacing w:after="0" w:line="133"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920" w:type="dxa"/>
            <w:vAlign w:val="bottom"/>
          </w:tcPr>
          <w:p>
            <w:pPr>
              <w:jc w:val="center"/>
              <w:ind w:left="126"/>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6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8"/>
              </w:rPr>
              <w:t>December 31, 2016:</w:t>
            </w:r>
          </w:p>
        </w:tc>
        <w:tc>
          <w:tcPr>
            <w:tcW w:w="18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6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9,997</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46,209</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46,209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64,832</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65,986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168,898</w:t>
            </w: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168,898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32,749</w:t>
            </w:r>
          </w:p>
        </w:tc>
        <w:tc>
          <w:tcPr>
            <w:tcW w:w="22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32,749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320" w:type="dxa"/>
            <w:vAlign w:val="bottom"/>
            <w:gridSpan w:val="3"/>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40" w:type="dxa"/>
            <w:vAlign w:val="bottom"/>
            <w:gridSpan w:val="2"/>
            <w:shd w:val="clear" w:color="auto" w:fill="CCEEFF"/>
          </w:tcPr>
          <w:p>
            <w:pPr>
              <w:jc w:val="right"/>
              <w:ind w:right="60"/>
              <w:spacing w:after="0" w:line="81" w:lineRule="exact"/>
              <w:rPr>
                <w:sz w:val="20"/>
                <w:szCs w:val="20"/>
                <w:color w:val="auto"/>
              </w:rPr>
            </w:pPr>
            <w:r>
              <w:rPr>
                <w:rFonts w:ascii="Arial" w:cs="Arial" w:eastAsia="Arial" w:hAnsi="Arial"/>
                <w:sz w:val="9"/>
                <w:szCs w:val="9"/>
                <w:color w:val="auto"/>
              </w:rPr>
              <w:t>(123</w:t>
            </w: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gridSpan w:val="3"/>
            <w:vMerge w:val="continue"/>
          </w:tcPr>
          <w:p>
            <w:pPr>
              <w:spacing w:after="0"/>
              <w:rPr>
                <w:sz w:val="22"/>
                <w:szCs w:val="22"/>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322,685</w:t>
            </w:r>
          </w:p>
        </w:tc>
        <w:tc>
          <w:tcPr>
            <w:tcW w:w="220" w:type="dxa"/>
            <w:vAlign w:val="bottom"/>
            <w:vMerge w:val="continue"/>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(4,011)</w:t>
            </w:r>
          </w:p>
        </w:tc>
        <w:tc>
          <w:tcPr>
            <w:tcW w:w="140" w:type="dxa"/>
            <w:vAlign w:val="bottom"/>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920" w:type="dxa"/>
            <w:vAlign w:val="bottom"/>
          </w:tcPr>
          <w:p>
            <w:pPr>
              <w:jc w:val="right"/>
              <w:ind w:right="766"/>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323,839</w:t>
            </w:r>
          </w:p>
        </w:tc>
        <w:tc>
          <w:tcPr>
            <w:tcW w:w="10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(4,019)</w:t>
            </w:r>
          </w:p>
        </w:tc>
        <w:tc>
          <w:tcPr>
            <w:tcW w:w="1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76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24,558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Commercial mortgage-backed securities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Securities are periodically evaluated for other-than-temporary impairment (“OTTI”). The total number of securities in the investment portfolio in an unrealized loss position as of March 31, 2017 was 195, and represented a loss of 1.14% of the aggregate carrying value. As of March 31, 2017, the Company does not intend to sell such securities and it is more-likely-than-not that the Company will recover the amortized cost prior to being required to sell the securities. Full collection of the amounts due according to the contractual terms of the securities is expected; therefore, the Company does not consider these investments to be OTTI at March 31, 2017.</w:t>
      </w:r>
    </w:p>
    <w:p>
      <w:pPr>
        <w:spacing w:after="0" w:line="188"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Company had available for sale obligations of state and political subdivisions with aggregate fair values of $152.9 million and $154.9 million as of March 31, 2017 and December 31, 2016, respectively. In addition, the Company had held to maturity obligations of state and political subdivisions with aggregate fair values of $43.3 million and $44.3 million as of March 31, 2017 and December 31, 2016, respectively.</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March 31, 2017, the aggregate fair value of the Company’s obligations of state and political subdivisions portfolio was comprised of $161.5 million of general obligation bonds and $34.7 million of revenue bonds issued by 257 issuers, primarily consisting of states, counties, cities, towns, villages and school districts. The Company held investments in general obligation bonds in 27 states (including the District of Columbia), including seven states in which the aggregate fair value exceeded $5.0 million. The Company held investments in revenue bonds in 16 states, including two states where the aggregate fair value exceeded $5.0 million.</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2016, the fair value of the Company’s obligations of state and political subdivisions portfolio was comprised of $163.6 million of general obligation bonds and $35.6 million of revenue bonds issued by 260 issuers, primarily consisting of states, counties, cities, towns, villages and school districts. The Company held investments in general obligation bonds in 29 states (including the District of Columbia), including seven states in which the aggregate fair value exceeded $5.0 million. The Company held investments in revenue bonds in 16 states, including two states where the aggregate fair value exceeded $5.0 million.</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The amortized cost and fair values of the Company’s portfolio of general obligation bonds are summarized in the following tables by the issuers’ state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March 31, 2017:</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2600" w:type="dxa"/>
            <w:vAlign w:val="bottom"/>
            <w:vMerge w:val="restart"/>
          </w:tcPr>
          <w:p>
            <w:pPr>
              <w:jc w:val="center"/>
              <w:ind w:left="788"/>
              <w:spacing w:after="0"/>
              <w:rPr>
                <w:sz w:val="20"/>
                <w:szCs w:val="20"/>
                <w:color w:val="auto"/>
              </w:rPr>
            </w:pPr>
            <w:r>
              <w:rPr>
                <w:rFonts w:ascii="Arial" w:cs="Arial" w:eastAsia="Arial" w:hAnsi="Arial"/>
                <w:sz w:val="14"/>
                <w:szCs w:val="14"/>
                <w:b w:val="1"/>
                <w:bCs w:val="1"/>
                <w:color w:val="auto"/>
                <w:w w:val="94"/>
              </w:rPr>
              <w:t>Number of</w:t>
            </w:r>
          </w:p>
        </w:tc>
        <w:tc>
          <w:tcPr>
            <w:tcW w:w="18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Amortized</w:t>
            </w:r>
          </w:p>
        </w:tc>
        <w:tc>
          <w:tcPr>
            <w:tcW w:w="146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Fair</w:t>
            </w:r>
          </w:p>
        </w:tc>
        <w:tc>
          <w:tcPr>
            <w:tcW w:w="1640" w:type="dxa"/>
            <w:vAlign w:val="bottom"/>
          </w:tcPr>
          <w:p>
            <w:pPr>
              <w:jc w:val="center"/>
              <w:ind w:left="448"/>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9"/>
        </w:trPr>
        <w:tc>
          <w:tcPr>
            <w:tcW w:w="1980" w:type="dxa"/>
            <w:vAlign w:val="bottom"/>
            <w:vMerge w:val="restart"/>
          </w:tcPr>
          <w:p>
            <w:pPr>
              <w:spacing w:after="0"/>
              <w:rPr>
                <w:sz w:val="20"/>
                <w:szCs w:val="20"/>
                <w:color w:val="auto"/>
              </w:rPr>
            </w:pPr>
            <w:r>
              <w:rPr>
                <w:rFonts w:ascii="Arial" w:cs="Arial" w:eastAsia="Arial" w:hAnsi="Arial"/>
                <w:sz w:val="14"/>
                <w:szCs w:val="14"/>
                <w:b w:val="1"/>
                <w:bCs w:val="1"/>
                <w:color w:val="auto"/>
              </w:rPr>
              <w:t>U.S. State</w:t>
            </w:r>
          </w:p>
        </w:tc>
        <w:tc>
          <w:tcPr>
            <w:tcW w:w="26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64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86"/>
        </w:trPr>
        <w:tc>
          <w:tcPr>
            <w:tcW w:w="1980" w:type="dxa"/>
            <w:vAlign w:val="bottom"/>
            <w:vMerge w:val="continue"/>
          </w:tcPr>
          <w:p>
            <w:pPr>
              <w:spacing w:after="0"/>
              <w:rPr>
                <w:sz w:val="16"/>
                <w:szCs w:val="16"/>
                <w:color w:val="auto"/>
              </w:rPr>
            </w:pPr>
          </w:p>
        </w:tc>
        <w:tc>
          <w:tcPr>
            <w:tcW w:w="2600" w:type="dxa"/>
            <w:vAlign w:val="bottom"/>
          </w:tcPr>
          <w:p>
            <w:pPr>
              <w:jc w:val="center"/>
              <w:ind w:left="768"/>
              <w:spacing w:after="0"/>
              <w:rPr>
                <w:sz w:val="20"/>
                <w:szCs w:val="20"/>
                <w:color w:val="auto"/>
              </w:rPr>
            </w:pPr>
            <w:r>
              <w:rPr>
                <w:rFonts w:ascii="Arial" w:cs="Arial" w:eastAsia="Arial" w:hAnsi="Arial"/>
                <w:sz w:val="14"/>
                <w:szCs w:val="14"/>
                <w:b w:val="1"/>
                <w:bCs w:val="1"/>
                <w:color w:val="auto"/>
                <w:w w:val="89"/>
              </w:rPr>
              <w:t>Issuers</w:t>
            </w:r>
          </w:p>
        </w:tc>
        <w:tc>
          <w:tcPr>
            <w:tcW w:w="18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Cost</w:t>
            </w:r>
          </w:p>
        </w:tc>
        <w:tc>
          <w:tcPr>
            <w:tcW w:w="146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Value</w:t>
            </w:r>
          </w:p>
        </w:tc>
        <w:tc>
          <w:tcPr>
            <w:tcW w:w="1640" w:type="dxa"/>
            <w:vAlign w:val="bottom"/>
          </w:tcPr>
          <w:p>
            <w:pPr>
              <w:jc w:val="center"/>
              <w:ind w:left="428"/>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-8890</wp:posOffset>
            </wp:positionV>
            <wp:extent cx="622617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26175" cy="154305"/>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p>
      <w:pPr>
        <w:ind w:left="660"/>
        <w:spacing w:after="0"/>
        <w:tabs>
          <w:tab w:leader="none" w:pos="4900" w:val="left"/>
          <w:tab w:leader="none" w:pos="5340" w:val="left"/>
          <w:tab w:leader="none" w:pos="6320" w:val="left"/>
          <w:tab w:leader="none" w:pos="7100" w:val="left"/>
          <w:tab w:leader="none" w:pos="8060" w:val="left"/>
          <w:tab w:leader="none" w:pos="8840" w:val="left"/>
          <w:tab w:leader="none" w:pos="10040" w:val="left"/>
        </w:tabs>
        <w:rPr>
          <w:sz w:val="20"/>
          <w:szCs w:val="20"/>
          <w:color w:val="auto"/>
        </w:rPr>
      </w:pPr>
      <w:r>
        <w:rPr>
          <w:rFonts w:ascii="Arial" w:cs="Arial" w:eastAsia="Arial" w:hAnsi="Arial"/>
          <w:sz w:val="18"/>
          <w:szCs w:val="18"/>
          <w:color w:val="auto"/>
        </w:rPr>
        <w:t>Illinois</w:t>
      </w:r>
      <w:r>
        <w:rPr>
          <w:sz w:val="20"/>
          <w:szCs w:val="20"/>
          <w:color w:val="auto"/>
        </w:rPr>
        <w:tab/>
      </w:r>
      <w:r>
        <w:rPr>
          <w:rFonts w:ascii="Arial" w:cs="Arial" w:eastAsia="Arial" w:hAnsi="Arial"/>
          <w:sz w:val="18"/>
          <w:szCs w:val="18"/>
          <w:color w:val="auto"/>
        </w:rPr>
        <w:t>71</w:t>
        <w:tab/>
        <w:t>$</w:t>
      </w:r>
      <w:r>
        <w:rPr>
          <w:sz w:val="20"/>
          <w:szCs w:val="20"/>
          <w:color w:val="auto"/>
        </w:rPr>
        <w:tab/>
      </w:r>
      <w:r>
        <w:rPr>
          <w:rFonts w:ascii="Arial" w:cs="Arial" w:eastAsia="Arial" w:hAnsi="Arial"/>
          <w:sz w:val="18"/>
          <w:szCs w:val="18"/>
          <w:color w:val="auto"/>
        </w:rPr>
        <w:t>59,502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59,994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845</w:t>
      </w:r>
    </w:p>
    <w:p>
      <w:pPr>
        <w:sectPr>
          <w:pgSz w:w="11900" w:h="16838" w:orient="portrait"/>
          <w:cols w:equalWidth="0" w:num="1">
            <w:col w:w="11460"/>
          </w:cols>
          <w:pgMar w:left="240" w:top="118" w:right="199" w:bottom="0" w:gutter="0" w:footer="0" w:header="0"/>
          <w:type w:val="continuous"/>
        </w:sectPr>
      </w:pPr>
    </w:p>
    <w:bookmarkStart w:id="11" w:name="page12"/>
    <w:bookmarkEnd w:id="11"/>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4"/>
          </w:tcPr>
          <w:p>
            <w:pPr>
              <w:ind w:left="660"/>
              <w:spacing w:after="0"/>
              <w:rPr>
                <w:sz w:val="20"/>
                <w:szCs w:val="20"/>
                <w:color w:val="auto"/>
              </w:rPr>
            </w:pPr>
            <w:r>
              <w:rPr>
                <w:rFonts w:ascii="Arial" w:cs="Arial" w:eastAsia="Arial" w:hAnsi="Arial"/>
                <w:sz w:val="18"/>
                <w:szCs w:val="18"/>
                <w:color w:val="auto"/>
              </w:rPr>
              <w:t>Wisconsin</w:t>
            </w:r>
          </w:p>
        </w:tc>
        <w:tc>
          <w:tcPr>
            <w:tcW w:w="114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20,381</w:t>
            </w:r>
          </w:p>
        </w:tc>
        <w:tc>
          <w:tcPr>
            <w:tcW w:w="32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20,474</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682</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11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23,196</w:t>
            </w:r>
          </w:p>
        </w:tc>
        <w:tc>
          <w:tcPr>
            <w:tcW w:w="3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23,480</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114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10,232</w:t>
            </w:r>
          </w:p>
        </w:tc>
        <w:tc>
          <w:tcPr>
            <w:tcW w:w="3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10,254</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1,025</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10,175</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10,191</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Ohio</w:t>
            </w:r>
          </w:p>
        </w:tc>
        <w:tc>
          <w:tcPr>
            <w:tcW w:w="114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10,986</w:t>
            </w:r>
          </w:p>
        </w:tc>
        <w:tc>
          <w:tcPr>
            <w:tcW w:w="3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10,996</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Iowa</w:t>
            </w: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5,332</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5,339</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20,549</w:t>
            </w:r>
          </w:p>
        </w:tc>
        <w:tc>
          <w:tcPr>
            <w:tcW w:w="3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20,733</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518</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160,353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161,461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gridSpan w:val="4"/>
            <w:vMerge w:val="restart"/>
          </w:tcPr>
          <w:p>
            <w:pPr>
              <w:ind w:left="660"/>
              <w:spacing w:after="0"/>
              <w:rPr>
                <w:sz w:val="20"/>
                <w:szCs w:val="20"/>
                <w:color w:val="auto"/>
              </w:rPr>
            </w:pPr>
            <w:r>
              <w:rPr>
                <w:rFonts w:ascii="Arial" w:cs="Arial" w:eastAsia="Arial" w:hAnsi="Arial"/>
                <w:sz w:val="18"/>
                <w:szCs w:val="18"/>
                <w:color w:val="auto"/>
              </w:rPr>
              <w:t>December 31, 2016:</w:t>
            </w: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20" w:type="dxa"/>
            <w:vAlign w:val="bottom"/>
            <w:gridSpan w:val="4"/>
            <w:vMerge w:val="continue"/>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4"/>
              </w:rPr>
              <w:t>Number of</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24"/>
                <w:szCs w:val="24"/>
                <w:color w:val="auto"/>
              </w:rPr>
            </w:pPr>
          </w:p>
        </w:tc>
        <w:tc>
          <w:tcPr>
            <w:tcW w:w="142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Average Exposure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2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U.S. State</w:t>
            </w: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Per Issuer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gridSpan w:val="4"/>
            <w:vMerge w:val="continue"/>
          </w:tcPr>
          <w:p>
            <w:pPr>
              <w:spacing w:after="0"/>
              <w:rPr>
                <w:sz w:val="14"/>
                <w:szCs w:val="14"/>
                <w:color w:val="auto"/>
              </w:rPr>
            </w:pPr>
          </w:p>
        </w:tc>
        <w:tc>
          <w:tcPr>
            <w:tcW w:w="1140" w:type="dxa"/>
            <w:vAlign w:val="bottom"/>
          </w:tcPr>
          <w:p>
            <w:pPr>
              <w:jc w:val="center"/>
              <w:ind w:left="268"/>
              <w:spacing w:after="0"/>
              <w:rPr>
                <w:sz w:val="20"/>
                <w:szCs w:val="20"/>
                <w:color w:val="auto"/>
              </w:rPr>
            </w:pPr>
            <w:r>
              <w:rPr>
                <w:rFonts w:ascii="Arial" w:cs="Arial" w:eastAsia="Arial" w:hAnsi="Arial"/>
                <w:sz w:val="14"/>
                <w:szCs w:val="14"/>
                <w:b w:val="1"/>
                <w:bCs w:val="1"/>
                <w:color w:val="auto"/>
                <w:w w:val="89"/>
              </w:rPr>
              <w:t>Issuers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(Fair 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2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59,120</w:t>
            </w:r>
          </w:p>
        </w:tc>
        <w:tc>
          <w:tcPr>
            <w:tcW w:w="2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59,182</w:t>
            </w:r>
          </w:p>
        </w:tc>
        <w:tc>
          <w:tcPr>
            <w:tcW w:w="2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Wisconsin</w:t>
            </w:r>
          </w:p>
        </w:tc>
        <w:tc>
          <w:tcPr>
            <w:tcW w:w="114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21,390</w:t>
            </w:r>
          </w:p>
        </w:tc>
        <w:tc>
          <w:tcPr>
            <w:tcW w:w="3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21,479</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693</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23,233</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23,472</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114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10,242</w:t>
            </w:r>
          </w:p>
        </w:tc>
        <w:tc>
          <w:tcPr>
            <w:tcW w:w="3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10,235</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1,023</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10,731</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10,702</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Ohio</w:t>
            </w:r>
          </w:p>
        </w:tc>
        <w:tc>
          <w:tcPr>
            <w:tcW w:w="114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11,009</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11,005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Iowa</w:t>
            </w:r>
          </w:p>
        </w:tc>
        <w:tc>
          <w:tcPr>
            <w:tcW w:w="1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5,332</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5,345</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1,782</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22,028</w:t>
            </w:r>
          </w:p>
        </w:tc>
        <w:tc>
          <w:tcPr>
            <w:tcW w:w="3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22,192</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516</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9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1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163,085</w:t>
            </w:r>
          </w:p>
        </w:tc>
        <w:tc>
          <w:tcPr>
            <w:tcW w:w="2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163,612</w:t>
            </w:r>
          </w:p>
        </w:tc>
        <w:tc>
          <w:tcPr>
            <w:tcW w:w="2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952"/>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general obligation bonds are diversified across many issuers, with $3.4 million being the largest exposure to a single issuer at March 31, 2017 and December 31, 2016. Accordingly, as of March 31, 2017 and December 31, 2016, the Company did not hold general obligation bonds of any single issuer, the aggregate book or market value of which exceeded 10% of the Company’s stockholders’ equity. Of the general obligation bonds in the Company’s portfolio, 98.4% had been rated by at least one nationally recognized statistical rating organization and 1.6% were unrated, based on the aggregate fair value as of March 31, 2017. Of the general obligation bonds in the Company’s portfolio, 98.4% had been rated by at least one nationally recognized statistical rating organization and 1.6% were unrated, based on the fair value as of December 31, 2016.</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amortized cost and fair values of the Company’s portfolio of revenue bonds are summarized in the following tables by the issuers’ state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March 31, 2017:</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4"/>
                <w:szCs w:val="14"/>
                <w:color w:val="auto"/>
              </w:rPr>
            </w:pP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2960" w:type="dxa"/>
            <w:vAlign w:val="bottom"/>
            <w:gridSpan w:val="3"/>
            <w:vMerge w:val="continue"/>
          </w:tcPr>
          <w:p>
            <w:pPr>
              <w:spacing w:after="0"/>
              <w:rPr>
                <w:sz w:val="14"/>
                <w:szCs w:val="14"/>
                <w:color w:val="auto"/>
              </w:rPr>
            </w:pPr>
          </w:p>
        </w:tc>
        <w:tc>
          <w:tcPr>
            <w:tcW w:w="118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Issuers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32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2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10,198</w:t>
            </w:r>
          </w:p>
        </w:tc>
        <w:tc>
          <w:tcPr>
            <w:tcW w:w="2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2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118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7,312</w:t>
            </w:r>
          </w:p>
        </w:tc>
        <w:tc>
          <w:tcPr>
            <w:tcW w:w="3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7,320</w:t>
            </w:r>
          </w:p>
        </w:tc>
        <w:tc>
          <w:tcPr>
            <w:tcW w:w="1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17,134</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gridSpan w:val="3"/>
          </w:tcPr>
          <w:p>
            <w:pPr>
              <w:spacing w:after="0"/>
              <w:rPr>
                <w:sz w:val="20"/>
                <w:szCs w:val="20"/>
                <w:color w:val="auto"/>
              </w:rPr>
            </w:pPr>
            <w:r>
              <w:rPr>
                <w:rFonts w:ascii="Arial" w:cs="Arial" w:eastAsia="Arial" w:hAnsi="Arial"/>
                <w:sz w:val="18"/>
                <w:szCs w:val="18"/>
                <w:color w:val="auto"/>
              </w:rPr>
              <w:t>Total revenue bonds</w:t>
            </w:r>
          </w:p>
        </w:tc>
        <w:tc>
          <w:tcPr>
            <w:tcW w:w="11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34,644</w:t>
            </w:r>
          </w:p>
        </w:tc>
        <w:tc>
          <w:tcPr>
            <w:tcW w:w="28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34,708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gridSpan w:val="3"/>
            <w:vMerge w:val="restart"/>
          </w:tcPr>
          <w:p>
            <w:pPr>
              <w:spacing w:after="0"/>
              <w:rPr>
                <w:sz w:val="20"/>
                <w:szCs w:val="20"/>
                <w:color w:val="auto"/>
              </w:rPr>
            </w:pPr>
            <w:r>
              <w:rPr>
                <w:rFonts w:ascii="Arial" w:cs="Arial" w:eastAsia="Arial" w:hAnsi="Arial"/>
                <w:sz w:val="18"/>
                <w:szCs w:val="18"/>
                <w:color w:val="auto"/>
              </w:rPr>
              <w:t>December 31, 2016:</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96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46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24"/>
                <w:szCs w:val="24"/>
                <w:color w:val="auto"/>
              </w:rPr>
            </w:pP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24"/>
                <w:szCs w:val="24"/>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1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2960" w:type="dxa"/>
            <w:vAlign w:val="bottom"/>
            <w:gridSpan w:val="3"/>
            <w:vMerge w:val="continue"/>
          </w:tcPr>
          <w:p>
            <w:pPr>
              <w:spacing w:after="0"/>
              <w:rPr>
                <w:sz w:val="14"/>
                <w:szCs w:val="14"/>
                <w:color w:val="auto"/>
              </w:rPr>
            </w:pPr>
          </w:p>
        </w:tc>
        <w:tc>
          <w:tcPr>
            <w:tcW w:w="118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Issuers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Cost</w:t>
            </w:r>
          </w:p>
        </w:tc>
        <w:tc>
          <w:tcPr>
            <w:tcW w:w="32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2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2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11,244</w:t>
            </w:r>
          </w:p>
        </w:tc>
        <w:tc>
          <w:tcPr>
            <w:tcW w:w="2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118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7,321</w:t>
            </w:r>
          </w:p>
        </w:tc>
        <w:tc>
          <w:tcPr>
            <w:tcW w:w="32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7,275</w:t>
            </w:r>
          </w:p>
        </w:tc>
        <w:tc>
          <w:tcPr>
            <w:tcW w:w="1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17,158</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17,102</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gridSpan w:val="3"/>
          </w:tcPr>
          <w:p>
            <w:pPr>
              <w:spacing w:after="0"/>
              <w:rPr>
                <w:sz w:val="20"/>
                <w:szCs w:val="20"/>
                <w:color w:val="auto"/>
              </w:rPr>
            </w:pPr>
            <w:r>
              <w:rPr>
                <w:rFonts w:ascii="Arial" w:cs="Arial" w:eastAsia="Arial" w:hAnsi="Arial"/>
                <w:sz w:val="18"/>
                <w:szCs w:val="18"/>
                <w:color w:val="auto"/>
              </w:rPr>
              <w:t>Total revenue bonds</w:t>
            </w:r>
          </w:p>
        </w:tc>
        <w:tc>
          <w:tcPr>
            <w:tcW w:w="11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35,686</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35,621</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revenue bonds are diversified across many issuers and revenue sources with $3.6 million and $3.5 million being the largest exposure to a single issuer at each of March 31, 2017 and December 31, 2016, respectively. Accordingly, as of March 31, 2017 and December 31, 2016, the Company did not hold revenue bonds of any single issuer, the aggregate book or market value of which exceeded 10% of the Company’s stockholders’ equity. Of the revenue bonds in the Company’s portfolio, 97.0% had been rated by at least one nationally recognized statistical rating organization and 3.0% were unrated, based on the fair value as of March 31, 2017. Of the revenue bonds in the Company’s portfolio, 97.1% had been rated by at least one nationally recognized statistical rating organization and 2.9% were unrated, based on the fair value as of December 31, 2016. Some of the primary types of revenue bonds held in the Company’s portfolio include: primary education or government building lease 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pacing w:after="0" w:line="17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Substantially all of the Company’s obligations of state and political subdivision securities are owned by its subsidiary bank</w:t>
      </w:r>
      <w:r>
        <w:rPr>
          <w:rFonts w:ascii="Arial" w:cs="Arial" w:eastAsia="Arial" w:hAnsi="Arial"/>
          <w:sz w:val="16"/>
          <w:szCs w:val="16"/>
          <w:b w:val="1"/>
          <w:bCs w:val="1"/>
          <w:color w:val="auto"/>
        </w:rPr>
        <w:t>,</w:t>
      </w:r>
      <w:r>
        <w:rPr>
          <w:rFonts w:ascii="Arial" w:cs="Arial" w:eastAsia="Arial" w:hAnsi="Arial"/>
          <w:sz w:val="16"/>
          <w:szCs w:val="16"/>
          <w:color w:val="auto"/>
        </w:rPr>
        <w:t xml:space="preserve"> which has adopted First Busey’s investment policy requiring that state and political subdivision securities purchased be investment grade. Such investment policy also limits the amount of rated state and political subdivision securities to an aggregate 100% of the subsidiary bank’s Total Capital (as defined by federal regulations) at the time of purchase and an aggregate 15% of Total Capital for unrated state and political subdivision securities issued by municipalities having taxing authority or located in counties/micropolitan statistical areas/metropolitan statistical areas in which an office is located. The investment policy states fixed income investments that are not Office of the Comptroller of the Currency Type 1 securities (U.S. Treasuries, agencies, municipal government general obligation and, for well-capitalized institutions, most municipal revenue bonds) should be analyzed prior to acquisition to determine that (1) the security has low risk of default by the obligor, and (2) the full and timely repayment of principal and interest is expected over the expected life of the investment.</w:t>
      </w:r>
    </w:p>
    <w:p>
      <w:pPr>
        <w:sectPr>
          <w:pgSz w:w="11900" w:h="16854" w:orient="portrait"/>
          <w:cols w:equalWidth="0" w:num="1">
            <w:col w:w="11460"/>
          </w:cols>
          <w:pgMar w:left="240" w:top="125" w:right="199" w:bottom="0" w:gutter="0" w:footer="0" w:header="0"/>
        </w:sectPr>
      </w:pPr>
    </w:p>
    <w:bookmarkStart w:id="12" w:name="page13"/>
    <w:bookmarkEnd w:id="12"/>
    <w:p>
      <w:pPr>
        <w:ind w:right="80"/>
        <w:spacing w:after="0" w:line="257" w:lineRule="auto"/>
        <w:rPr>
          <w:sz w:val="20"/>
          <w:szCs w:val="20"/>
          <w:color w:val="auto"/>
        </w:rPr>
      </w:pPr>
      <w:r>
        <w:rPr>
          <w:rFonts w:ascii="Arial" w:cs="Arial" w:eastAsia="Arial" w:hAnsi="Arial"/>
          <w:sz w:val="18"/>
          <w:szCs w:val="18"/>
          <w:color w:val="auto"/>
        </w:rPr>
        <w:t>All securities in First Busey’s obligations of state and political subdivision securities portfolio are subject to ongoing review. Factors that may be considered as part of ongoing monitoring of state and political subdivision securities include credit rating changes by nationally recognized statistical rating organizations, market valuations, third-party municipal credit analysis, which may include indicative information regarding the issuer’s capacity to pay, market and economic data and such other factors as are available and relevant to the security or the issuer such as its budgetary position and sources, strength and stability of taxes and/or other revenue.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 held for sale</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Loans held for sale totaled $96.4 million and $256.3 million at March 31, 2017 and December 31, 2016, respectively. The amount of loans held for sale decreased from December 31, 2016, due to lower origination volumes in 2017. Loans held for sale generate net interest income until loans are delivered to investors, at which point mortgage revenue will be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mortgage revenue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2017</w:t>
            </w:r>
          </w:p>
        </w:tc>
      </w:tr>
      <w:tr>
        <w:trPr>
          <w:trHeight w:val="182"/>
        </w:trPr>
        <w:tc>
          <w:tcPr>
            <w:tcW w:w="5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Premiums received on sales of mortgage loans, including fair value</w:t>
            </w:r>
          </w:p>
        </w:tc>
        <w:tc>
          <w:tcPr>
            <w:tcW w:w="4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44"/>
        </w:trPr>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12,151</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Less direct origination costs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(10,387)</w:t>
            </w: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 provisions to liability for loans sold</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Mortgage servicing revenues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395</w:t>
            </w: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revenue</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the three months ended March 31, 2016, mortgage revenue was $0.9 million, as a result of premiums received on sales of mortgage loans, less direct origination compensation costs, and mortgage servicing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Portfolio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Distributions of portfolio loans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970,451</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959,888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1,659,077</w:t>
            </w:r>
          </w:p>
        </w:tc>
        <w:tc>
          <w:tcPr>
            <w:tcW w:w="1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1,654,164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169,665</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Retail real estate</w:t>
            </w:r>
          </w:p>
        </w:tc>
        <w:tc>
          <w:tcPr>
            <w:tcW w:w="2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1,060,965</w:t>
            </w:r>
          </w:p>
        </w:tc>
        <w:tc>
          <w:tcPr>
            <w:tcW w:w="1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1,069,060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12,794</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Portfolio loans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3,872,952</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3,878,900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2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48,442</w:t>
            </w:r>
          </w:p>
        </w:tc>
        <w:tc>
          <w:tcPr>
            <w:tcW w:w="1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47,795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3,824,510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3,831,105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Net deferred loan origination costs included in the table above were $2.6 million as of March 31, 2017 and $2.5 million as of December 31, 2016. Net accretable purchase accounting adjustments included in the table above reduced loans by $10.9 million as of March 31, 2017 and $12.7 million as of December 31, 2016.</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believes that making sound loans is a necessary and desirable means of employing funds available for investment. Recognizing the Company’s obligations to its stockholders, depositors, and to the communities it serves,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might be originated outside of these areas, but such loans are generally residential mortgage loans originated for sale in the secondary market and reported in loans held for sale balances or to existing customers of the Bank.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7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Management reviews and approves the Company’s lending policies and procedures on a routine basis. The policies for legacy Pulaski loans are similar in nature to Busey Bank’s policies and the Company is migrating Pulaski’s portfolio towards the Busey Bank policies. Management routinely (at least quarterly) reviews the Company’s allowance for loan losses in conjunction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The integrity and character of the borrower are significant factors in the Company’s loan underwriting decisions. As a part of underwriting, tangible positive or negative evidence of the borrower’s integrity and character are sought out. Additional significant underwriting factors beyond location, duration, a sound and</w:t>
      </w:r>
    </w:p>
    <w:p>
      <w:pPr>
        <w:sectPr>
          <w:pgSz w:w="11900" w:h="16838" w:orient="portrait"/>
          <w:cols w:equalWidth="0" w:num="1">
            <w:col w:w="11420"/>
          </w:cols>
          <w:pgMar w:left="240" w:top="341" w:right="239" w:bottom="0" w:gutter="0" w:footer="0" w:header="0"/>
        </w:sectPr>
      </w:pPr>
    </w:p>
    <w:bookmarkStart w:id="13" w:name="page14"/>
    <w:bookmarkEnd w:id="13"/>
    <w:p>
      <w:pPr>
        <w:spacing w:after="0" w:line="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profitable cash flow basis and the borrower’s character include the quality of the borrower’s financial history, the liquidity of the underlying collateral and the reliability of the valuation of the underlying collateral.</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At no time is a borrower’s total borrowing relationship permitted to exceed the Company’s regulatory lending limit and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lending activities can be summarized into five primary areas: commercial loans, commercial real estate loans, real estate construction loans, retail real estate loans, and retail other loans. A description of each of the lending areas can be found in the Company’s Annual Report on Form 10-K for the year ended December 31, 2016. The significant majority of the Company’s portfolio lending activity occurs in its Illinois and Missouri markets, with the remainder in the Indiana and Florida markets.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loan grading scale to assign a risk grade to all of its loans. A description of the general characteristics of each grade is as follows:</w:t>
      </w:r>
    </w:p>
    <w:p>
      <w:pPr>
        <w:spacing w:after="0" w:line="248" w:lineRule="exact"/>
        <w:rPr>
          <w:sz w:val="20"/>
          <w:szCs w:val="20"/>
          <w:color w:val="auto"/>
        </w:rPr>
      </w:pPr>
    </w:p>
    <w:p>
      <w:pPr>
        <w:jc w:val="both"/>
        <w:ind w:left="680" w:right="640" w:hanging="322"/>
        <w:spacing w:after="0" w:line="264" w:lineRule="auto"/>
        <w:tabs>
          <w:tab w:leader="none" w:pos="64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This category includes loans that are all considered strong credits, ranging from investment or near investment grade, to loans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who exhibit credit fundamentals that exceed industry standards and loan policy guidelines and loans that exhibit acceptable credit fundamentals.</w:t>
      </w:r>
    </w:p>
    <w:p>
      <w:pPr>
        <w:spacing w:after="0" w:line="181" w:lineRule="exact"/>
        <w:rPr>
          <w:rFonts w:ascii="Arial" w:cs="Arial" w:eastAsia="Arial" w:hAnsi="Arial"/>
          <w:sz w:val="18"/>
          <w:szCs w:val="18"/>
          <w:color w:val="auto"/>
        </w:rPr>
      </w:pPr>
    </w:p>
    <w:p>
      <w:pPr>
        <w:ind w:left="680" w:right="340" w:hanging="322"/>
        <w:spacing w:after="0" w:line="277" w:lineRule="auto"/>
        <w:tabs>
          <w:tab w:leader="none" w:pos="64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on management’s “Watch List” and is intended to be utilized on a temporary basis for a pass grade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where a significant risk-modifying action is anticipated in the near future.</w:t>
      </w:r>
    </w:p>
    <w:p>
      <w:pPr>
        <w:spacing w:after="0" w:line="170" w:lineRule="exact"/>
        <w:rPr>
          <w:rFonts w:ascii="Arial" w:cs="Arial" w:eastAsia="Arial" w:hAnsi="Arial"/>
          <w:sz w:val="18"/>
          <w:szCs w:val="18"/>
          <w:color w:val="auto"/>
        </w:rPr>
      </w:pPr>
    </w:p>
    <w:p>
      <w:pPr>
        <w:ind w:left="680" w:right="580" w:hanging="322"/>
        <w:spacing w:after="0" w:line="277" w:lineRule="auto"/>
        <w:tabs>
          <w:tab w:leader="none" w:pos="64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 which may, if not checked or</w:t>
      </w:r>
      <w:r>
        <w:rPr>
          <w:rFonts w:ascii="Arial" w:cs="Arial" w:eastAsia="Arial" w:hAnsi="Arial"/>
          <w:sz w:val="18"/>
          <w:szCs w:val="18"/>
          <w:i w:val="1"/>
          <w:iCs w:val="1"/>
          <w:color w:val="auto"/>
        </w:rPr>
        <w:t xml:space="preserve"> </w:t>
      </w:r>
      <w:r>
        <w:rPr>
          <w:rFonts w:ascii="Arial" w:cs="Arial" w:eastAsia="Arial" w:hAnsi="Arial"/>
          <w:sz w:val="18"/>
          <w:szCs w:val="18"/>
          <w:color w:val="auto"/>
        </w:rPr>
        <w:t>corrected, weaken the asset or inadequately protect the Company’s credit position at some future date.</w:t>
      </w:r>
    </w:p>
    <w:p>
      <w:pPr>
        <w:spacing w:after="0" w:line="170" w:lineRule="exact"/>
        <w:rPr>
          <w:rFonts w:ascii="Arial" w:cs="Arial" w:eastAsia="Arial" w:hAnsi="Arial"/>
          <w:sz w:val="18"/>
          <w:szCs w:val="18"/>
          <w:color w:val="auto"/>
        </w:rPr>
      </w:pPr>
    </w:p>
    <w:p>
      <w:pPr>
        <w:ind w:left="680" w:right="80" w:hanging="322"/>
        <w:spacing w:after="0" w:line="286" w:lineRule="auto"/>
        <w:tabs>
          <w:tab w:leader="none" w:pos="644"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This category includes “Substandard” loans, determined in accordance with regulatory guidelines, for which the accrual of interest has</w:t>
      </w:r>
      <w:r>
        <w:rPr>
          <w:rFonts w:ascii="Arial" w:cs="Arial" w:eastAsia="Arial" w:hAnsi="Arial"/>
          <w:sz w:val="17"/>
          <w:szCs w:val="17"/>
          <w:i w:val="1"/>
          <w:iCs w:val="1"/>
          <w:color w:val="auto"/>
        </w:rPr>
        <w:t xml:space="preserve"> </w:t>
      </w:r>
      <w:r>
        <w:rPr>
          <w:rFonts w:ascii="Arial" w:cs="Arial" w:eastAsia="Arial" w:hAnsi="Arial"/>
          <w:sz w:val="17"/>
          <w:szCs w:val="17"/>
          <w:color w:val="auto"/>
        </w:rPr>
        <w:t>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65" w:lineRule="exact"/>
        <w:rPr>
          <w:rFonts w:ascii="Arial" w:cs="Arial" w:eastAsia="Arial" w:hAnsi="Arial"/>
          <w:sz w:val="17"/>
          <w:szCs w:val="17"/>
          <w:color w:val="auto"/>
        </w:rPr>
      </w:pPr>
    </w:p>
    <w:p>
      <w:pPr>
        <w:ind w:left="680" w:right="160" w:hanging="322"/>
        <w:spacing w:after="0" w:line="264" w:lineRule="auto"/>
        <w:tabs>
          <w:tab w:leader="none" w:pos="64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Doubtful- </w:t>
      </w:r>
      <w:r>
        <w:rPr>
          <w:rFonts w:ascii="Arial" w:cs="Arial" w:eastAsia="Arial" w:hAnsi="Arial"/>
          <w:sz w:val="18"/>
          <w:szCs w:val="18"/>
          <w:color w:val="auto"/>
        </w:rPr>
        <w:t>This category includes “Doubtful” loans that have all the characteristics of a “Substandard” loan with additional factors that make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in full highly questionable and improbable. Such loans are placed on non-accrual status and may be dependent on collateral with a value that is difficult to determine.</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All loans are graded at their inception.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Portfolio loans in the highest grades, represented by the pass and watch categories, totaled $3.72 billion at March 31, 2017 and December 31, 2016. Portfolio loans in the lowest grades, represented by the special mention, substandard and doubtful categories, totaled $163.0 million at March 31, 2017, compared to $165.5 million at December 31, 2016.</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(excluding accretable purchase accounting adjustments and non-posted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6"/>
              </w:rPr>
              <w:t>March 31, 2017</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Pass</w:t>
            </w:r>
          </w:p>
        </w:tc>
        <w:tc>
          <w:tcPr>
            <w:tcW w:w="2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Watch</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Special</w:t>
            </w:r>
          </w:p>
        </w:tc>
        <w:tc>
          <w:tcPr>
            <w:tcW w:w="100" w:type="dxa"/>
            <w:vAlign w:val="bottom"/>
          </w:tcPr>
          <w:p>
            <w:pPr>
              <w:spacing w:after="0"/>
              <w:rPr>
                <w:sz w:val="10"/>
                <w:szCs w:val="10"/>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1"/>
              </w:rPr>
              <w:t>Substandard</w:t>
            </w:r>
          </w:p>
        </w:tc>
        <w:tc>
          <w:tcPr>
            <w:tcW w:w="2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Doubtful</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Mention</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836,897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69,245</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29,371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1,505,049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80,352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35,734</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36,364</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123,920</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36,583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3,146</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Retail real estate</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1,046,197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6,287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2,330</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12,787</w:t>
            </w: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16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3,524,850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71,210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71,211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Pass</w:t>
            </w:r>
          </w:p>
        </w:tc>
        <w:tc>
          <w:tcPr>
            <w:tcW w:w="2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Watch</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Special</w:t>
            </w:r>
          </w:p>
        </w:tc>
        <w:tc>
          <w:tcPr>
            <w:tcW w:w="100" w:type="dxa"/>
            <w:vAlign w:val="bottom"/>
          </w:tcPr>
          <w:p>
            <w:pPr>
              <w:spacing w:after="0"/>
              <w:rPr>
                <w:sz w:val="10"/>
                <w:szCs w:val="10"/>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1"/>
              </w:rPr>
              <w:t>Substandard</w:t>
            </w:r>
          </w:p>
        </w:tc>
        <w:tc>
          <w:tcPr>
            <w:tcW w:w="2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Doubtful</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Mention</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826,163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70,260</w:t>
            </w: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26,941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1,507,513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69,145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40,775</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35,385</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134,574</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39,936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Retail real estate</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1,050,671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6,586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2,158</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13,691</w:t>
            </w: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40" w:type="dxa"/>
            <w:vAlign w:val="bottom"/>
          </w:tcPr>
          <w:p>
            <w:pPr>
              <w:ind w:left="16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3,532,612</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78,554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65,478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w:t>
      </w:r>
    </w:p>
    <w:p>
      <w:pPr>
        <w:sectPr>
          <w:pgSz w:w="11900" w:h="16854" w:orient="portrait"/>
          <w:cols w:equalWidth="0" w:num="1">
            <w:col w:w="11420"/>
          </w:cols>
          <w:pgMar w:left="240" w:top="125" w:right="239" w:bottom="0" w:gutter="0" w:footer="0" w:header="0"/>
        </w:sectPr>
      </w:pPr>
    </w:p>
    <w:bookmarkStart w:id="14" w:name="page15"/>
    <w:bookmarkEnd w:id="14"/>
    <w:p>
      <w:pPr>
        <w:ind w:right="80"/>
        <w:spacing w:after="0" w:line="259" w:lineRule="auto"/>
        <w:rPr>
          <w:sz w:val="20"/>
          <w:szCs w:val="20"/>
          <w:color w:val="auto"/>
        </w:rPr>
      </w:pPr>
      <w:r>
        <w:rPr>
          <w:rFonts w:ascii="Arial" w:cs="Arial" w:eastAsia="Arial" w:hAnsi="Arial"/>
          <w:sz w:val="18"/>
          <w:szCs w:val="18"/>
          <w:color w:val="auto"/>
        </w:rPr>
        <w:t>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the principal due. Loans may be returned to accrual status when all of the principal and interest amounts contractually due are brought current and future payments are reasonably assured.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 analysis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626"/>
              <w:spacing w:after="0"/>
              <w:rPr>
                <w:sz w:val="20"/>
                <w:szCs w:val="20"/>
                <w:color w:val="auto"/>
              </w:rPr>
            </w:pPr>
            <w:r>
              <w:rPr>
                <w:rFonts w:ascii="Arial" w:cs="Arial" w:eastAsia="Arial" w:hAnsi="Arial"/>
                <w:sz w:val="14"/>
                <w:szCs w:val="14"/>
                <w:b w:val="1"/>
                <w:bCs w:val="1"/>
                <w:color w:val="auto"/>
              </w:rPr>
              <w:t>March 31, 2017</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10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3"/>
              </w:rPr>
              <w:t>Non-accrual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30-59 Days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2"/>
              </w:rPr>
              <w:t>60-89 Days</w:t>
            </w: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7"/>
              </w:rPr>
              <w:t>Loans</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541</w:t>
            </w:r>
          </w:p>
        </w:tc>
        <w:tc>
          <w:tcPr>
            <w:tcW w:w="10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4,912</w:t>
            </w: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1,298</w:t>
            </w:r>
          </w:p>
        </w:tc>
        <w:tc>
          <w:tcPr>
            <w:tcW w:w="10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4,275</w:t>
            </w: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422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3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4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506"/>
              <w:spacing w:after="0"/>
              <w:rPr>
                <w:sz w:val="20"/>
                <w:szCs w:val="20"/>
                <w:color w:val="auto"/>
              </w:rPr>
            </w:pPr>
            <w:r>
              <w:rPr>
                <w:rFonts w:ascii="Arial" w:cs="Arial" w:eastAsia="Arial" w:hAnsi="Arial"/>
                <w:sz w:val="14"/>
                <w:szCs w:val="14"/>
                <w:b w:val="1"/>
                <w:bCs w:val="1"/>
                <w:color w:val="auto"/>
              </w:rPr>
              <w:t>December 31, 2016</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10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3"/>
              </w:rPr>
              <w:t>Non-accrual</w:t>
            </w:r>
          </w:p>
        </w:tc>
        <w:tc>
          <w:tcPr>
            <w:tcW w:w="80" w:type="dxa"/>
            <w:vAlign w:val="bottom"/>
            <w:gridSpan w:val="2"/>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30-59 Days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2"/>
              </w:rPr>
              <w:t>60-89 Days</w:t>
            </w: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7"/>
              </w:rPr>
              <w:t>Loans</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256</w:t>
            </w:r>
          </w:p>
        </w:tc>
        <w:tc>
          <w:tcPr>
            <w:tcW w:w="10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5,154</w:t>
            </w: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364</w:t>
            </w:r>
          </w:p>
        </w:tc>
        <w:tc>
          <w:tcPr>
            <w:tcW w:w="10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4,484</w:t>
            </w: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422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3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21,423</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loan is classified as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Loans graded substandard or doubtful and loans classified as a troubled debt restructuring (“TDR”) are reviewed by the Company for potential impairment.</w:t>
      </w:r>
    </w:p>
    <w:p>
      <w:pPr>
        <w:spacing w:after="0" w:line="16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Impairment is measured on a loan-by-loan basis for commercial and construction loans based on the present value of the expected future cash flows discounted at the loan’s effective interest rate, the loan’s observable market price, or the fair value of the collateral if the loan is collateral dependent. PCI loans are considered impaired. Large groups of smaller balance homogenous loans are collectively evaluated for impairment. Accordingly, the Company does not separately identify individual consumer and residential loans for impairment unless such loans are the subject of a restructuring agreement.</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gross interest income that would have been recorded in the three months ended March 31, 2017 if impaired loans had been current in accordance with their original terms was $0.3 million. The amount of interest collected on those loans and recognized on a cash basis that was included in interest income was insignificant for the three months ended March 31, 2017.</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loan portfolio includes certain loans that have been modified in a TDR, where concessions have been granted to borrowers who have experienced financial difficulties. The Company will restructure a loan for its customer after evaluating whether the borrower is able to meet the terms of the loan over the long term, though unable to meet the terms of the loan in the near term due to individual circumstances.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The Company considers the customer’s past performance, previous and current credit history, the individual circumstances surrounding the customer’s current difficulties and the customer’s plan to meet the terms of the loan in the future prior to restructuring the terms of the loan. Generally, all five primary areas of lending are restructured through short-term interest rate relief, short-term principal payment relief, short-term principal and interest payment relief or forbearance (debt forgiveness). Once a restructured loan exceeds 90 days past due or is placed on non-accrual status, it is classified as non-performing. A summary of restructured loans as of March 31, 2017 and December 31, 2016 is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64"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Restructured loans:</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In compliance with modified terms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9,935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10,593</w:t>
            </w:r>
          </w:p>
        </w:tc>
      </w:tr>
      <w:tr>
        <w:trPr>
          <w:trHeight w:val="23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 89 days past due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Included in non-performing loans</w:t>
            </w:r>
          </w:p>
        </w:tc>
        <w:tc>
          <w:tcPr>
            <w:tcW w:w="20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878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1,285</w:t>
            </w:r>
          </w:p>
        </w:tc>
      </w:tr>
      <w:tr>
        <w:trPr>
          <w:trHeight w:val="223"/>
        </w:trPr>
        <w:tc>
          <w:tcPr>
            <w:tcW w:w="55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fair value of the TDR is less than the recorded investment in the loan, impairment is recognized through an allowance estimate in the period of the modification and in periods subsequent to the modification.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performing loans classified as a TDR during the three months ended March, 2017.</w:t>
      </w:r>
    </w:p>
    <w:p>
      <w:pPr>
        <w:sectPr>
          <w:pgSz w:w="11900" w:h="16838" w:orient="portrait"/>
          <w:cols w:equalWidth="0" w:num="1">
            <w:col w:w="11420"/>
          </w:cols>
          <w:pgMar w:left="240" w:top="125" w:right="239" w:bottom="0" w:gutter="0" w:footer="0" w:header="0"/>
        </w:sectPr>
      </w:pPr>
    </w:p>
    <w:bookmarkStart w:id="15" w:name="page16"/>
    <w:bookmarkEnd w:id="15"/>
    <w:p>
      <w:pPr>
        <w:ind w:right="320"/>
        <w:spacing w:after="0" w:line="264" w:lineRule="auto"/>
        <w:rPr>
          <w:sz w:val="20"/>
          <w:szCs w:val="20"/>
          <w:color w:val="auto"/>
        </w:rPr>
      </w:pPr>
      <w:r>
        <w:rPr>
          <w:rFonts w:ascii="Arial" w:cs="Arial" w:eastAsia="Arial" w:hAnsi="Arial"/>
          <w:sz w:val="18"/>
          <w:szCs w:val="18"/>
          <w:color w:val="auto"/>
        </w:rPr>
        <w:t>Performing loans classified as TDRs during the three months ended March 31, 2016 included three commercial real estate modifications for short-term principal payment relief, with a recorded investment of $0.3 million and two retail real estate modifications for short-term principal payment relief, with a recorded investment of $0.3 million.</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gross interest income that would have been recorded in the three months ended March 31, 2017 and 2016 if performing TDRs had been performing in accordance with their original terms compared with their modified terms was insignificant.</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There were no TDRs that were entered into during the last twelve months that were subsequently classified as non-performing and had payment defaults (a default occurs when a loan is 90 days or more past due or transferred to non-accrual) during the three months ended March 31, 2017.</w:t>
      </w:r>
    </w:p>
    <w:p>
      <w:pPr>
        <w:spacing w:after="0" w:line="14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TDRs that were entered into during the prior twelve months that subsequently were classified as non-performing and had payment defaults during the three months ended March 31, 2016 consisted of one retail real estate modification totaling $0.1 million and one insignificant retail other modification.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following tables provide details of impaired loans, segregated by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6"/>
              </w:rPr>
              <w:t>March 31, 2017</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Recorded</w:t>
            </w: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with</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16,393</w:t>
            </w:r>
          </w:p>
        </w:tc>
        <w:tc>
          <w:tcPr>
            <w:tcW w:w="2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2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11,438</w:t>
            </w: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13,022</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2,205</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12,025</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10,267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12,983</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11,819</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13,154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42,962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Recorded</w:t>
            </w: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with</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16,955</w:t>
            </w:r>
          </w:p>
        </w:tc>
        <w:tc>
          <w:tcPr>
            <w:tcW w:w="2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2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10,127</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12,922</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3,118</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12,154</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1,778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8,939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13,112</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12,118</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13,102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43,646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36,717</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allowance for loan losses represents an estimate of the amount of probable losses believed to be inherent in the Company’s loan portfolio at the Consolidated Balance Sheet date. The allowance for loan losses is calculated geographically, by class of loans.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March 31, 2017 and December 31, 2016.</w:t>
      </w:r>
    </w:p>
    <w:p>
      <w:pPr>
        <w:spacing w:after="0" w:line="17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general portion of the Company’s allowance contains two components: (i) a component for historical loss ratios, and (ii) a component for adversely graded loans. The historical loss ratio component is an annualized loss rate calculated using a sum-of-years digits weighted 20-quarter historical average.</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Company’s component for adversely graded loans attempts to quantify the additional risk of loss inherent in the special mention and substandard portfolios. The substandard portfolio has an additional allocation of 3.00% placed on such loans, which is an estimate of the additional loss inherent in these loan grades based upon a review of overall historical charge-offs. As of March 31, 2017, the Company believed this reserve remained adequate. Special mention loans have an additional allocation of 1.00% placed on such loans, which is an estimate of the additional loss inherent in these loan grades. As of March 31, 2017, the Company believed this reserve remained adequate.</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specific portion of the Company’s allowance relates to loans that are impaired, which includes non-performing loans, TDRs and other loans determined to be impaired. Impaired loans are excluded from the determination of the general allowance for non-impaired loans and are allocated specific reserves as discussed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640" w:gutter="0" w:footer="0" w:header="0"/>
        </w:sectPr>
      </w:pPr>
    </w:p>
    <w:bookmarkStart w:id="16" w:name="page17"/>
    <w:bookmarkEnd w:id="16"/>
    <w:p>
      <w:pPr>
        <w:ind w:right="320"/>
        <w:spacing w:after="0" w:line="264" w:lineRule="auto"/>
        <w:rPr>
          <w:sz w:val="20"/>
          <w:szCs w:val="20"/>
          <w:color w:val="auto"/>
        </w:rPr>
      </w:pPr>
      <w:r>
        <w:rPr>
          <w:rFonts w:ascii="Arial" w:cs="Arial" w:eastAsia="Arial" w:hAnsi="Arial"/>
          <w:sz w:val="18"/>
          <w:szCs w:val="18"/>
          <w:color w:val="auto"/>
        </w:rPr>
        <w:t>Impaired loans are reported at the fair value of the underlying collateral, less estimated costs to sell, if repayment is expected solely from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8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general reserve quantitative allocation that is based upon historical charge off rates is adjusted for qualitative factors based on current general economic conditions and other qualitative risk factors both internal and external to the Company. In general, such valuation allowances are determined by evaluating, among other things: (i) Management &amp; Staff; (ii) Loan Underwriting, Policy and Procedures; (iii) Internal/External Audit &amp; Loan Review; (iv) Valuation of Underlying Collateral; (v) Macro and Local Economic Factors; (vi) Impact of Competition, Legal &amp; Regulatory Issues; (vii) Nature and Volume of Loan Portfolio; (viii) Concentrations of Credit; (ix) Net Charge-Off Trends; and (x) Non-Accrual, Past Due and Classified Trends. Management evaluates the probable impact from the degree of risk that each one of these components has on the quality of the loan portfolio on a quarterly basis.</w:t>
      </w:r>
    </w:p>
    <w:p>
      <w:pPr>
        <w:spacing w:after="0" w:line="165"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Based on each component’s risk factor, a qualitative adjustment to the reserve may be applied to the appropriate loan categories. During the first quarter of 2017, the Company did not make adjustments to any qualitative factors. The Company will continue to monitor its qualitative factors on a quarterly basis.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holds acquired loans from business combinations with uncollected principal balances. These loans are carried net of a fair value adjustment for credit risk and interest rates and are only included in the allowance calculation to the extent that the reserve requirement exceeds the fair value adjustment. However, as the acquired loans renew, it is generally necessary to establish an allowance, which represents an amount that, in management’s opinion, will be adequate to absorb probable credit losses in such loans. The balance of all acquired loans which did not require a related allowance for loan losses as of March 31, 2017 totaled approximately $874.0 million.</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following table details activity in the allowance for loan losses. Allocation of a portion of the allowance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80" w:type="dxa"/>
            <w:vAlign w:val="bottom"/>
            <w:tcBorders>
              <w:bottom w:val="single" w:sz="8" w:color="auto"/>
            </w:tcBorders>
            <w:gridSpan w:val="17"/>
          </w:tcPr>
          <w:p>
            <w:pPr>
              <w:jc w:val="right"/>
              <w:ind w:right="1140"/>
              <w:spacing w:after="0"/>
              <w:rPr>
                <w:sz w:val="20"/>
                <w:szCs w:val="20"/>
                <w:color w:val="auto"/>
              </w:rPr>
            </w:pPr>
            <w:r>
              <w:rPr>
                <w:rFonts w:ascii="Arial" w:cs="Arial" w:eastAsia="Arial" w:hAnsi="Arial"/>
                <w:sz w:val="14"/>
                <w:szCs w:val="14"/>
                <w:b w:val="1"/>
                <w:bCs w:val="1"/>
                <w:color w:val="auto"/>
              </w:rPr>
              <w:t>As of and for the Three Months Ended March 31, 2017</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Commercial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Commercial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40" w:type="dxa"/>
            <w:vAlign w:val="bottom"/>
          </w:tcPr>
          <w:p>
            <w:pPr>
              <w:spacing w:after="0"/>
              <w:rPr>
                <w:sz w:val="10"/>
                <w:szCs w:val="10"/>
                <w:color w:val="auto"/>
              </w:rPr>
            </w:pPr>
          </w:p>
        </w:tc>
        <w:tc>
          <w:tcPr>
            <w:tcW w:w="120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Retail Real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Retail Other</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Construction</w:t>
            </w:r>
          </w:p>
        </w:tc>
        <w:tc>
          <w:tcPr>
            <w:tcW w:w="14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Estate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13,303</w:t>
            </w: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20,623</w:t>
            </w: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11,648</w:t>
            </w: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47,795</w:t>
            </w: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Charged-off</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(588)</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Recoveries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19,848</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12,978</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48,442</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17"/>
          </w:tcPr>
          <w:p>
            <w:pPr>
              <w:jc w:val="right"/>
              <w:ind w:right="1120"/>
              <w:spacing w:after="0"/>
              <w:rPr>
                <w:sz w:val="20"/>
                <w:szCs w:val="20"/>
                <w:color w:val="auto"/>
              </w:rPr>
            </w:pPr>
            <w:r>
              <w:rPr>
                <w:rFonts w:ascii="Arial" w:cs="Arial" w:eastAsia="Arial" w:hAnsi="Arial"/>
                <w:sz w:val="14"/>
                <w:szCs w:val="14"/>
                <w:b w:val="1"/>
                <w:bCs w:val="1"/>
                <w:color w:val="auto"/>
              </w:rPr>
              <w:t>As of and for the Three Months Ended March 31, 2016</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Commercial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Commercial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40" w:type="dxa"/>
            <w:vAlign w:val="bottom"/>
          </w:tcPr>
          <w:p>
            <w:pPr>
              <w:spacing w:after="0"/>
              <w:rPr>
                <w:sz w:val="10"/>
                <w:szCs w:val="10"/>
                <w:color w:val="auto"/>
              </w:rPr>
            </w:pPr>
          </w:p>
        </w:tc>
        <w:tc>
          <w:tcPr>
            <w:tcW w:w="120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Retail Real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Retail Other</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Estate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18,604</w:t>
            </w: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w:t>
            </w: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47,487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3,411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(2,102)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Charged-off</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(3,552)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Recoveries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555</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13,323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18,240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11,487</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45,171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allowance for loan losses and recorded investments in portfolio loans by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Amount allocated to:</w:t>
      </w:r>
    </w:p>
    <w:p>
      <w:pPr>
        <w:spacing w:after="0" w:line="36" w:lineRule="exact"/>
        <w:rPr>
          <w:sz w:val="20"/>
          <w:szCs w:val="20"/>
          <w:color w:val="auto"/>
        </w:rPr>
      </w:pPr>
    </w:p>
    <w:p>
      <w:pPr>
        <w:ind w:left="180" w:right="260" w:hanging="179"/>
        <w:spacing w:after="0" w:line="258" w:lineRule="auto"/>
        <w:rPr>
          <w:sz w:val="20"/>
          <w:szCs w:val="20"/>
          <w:color w:val="auto"/>
        </w:rPr>
      </w:pPr>
      <w:r>
        <w:rPr>
          <w:rFonts w:ascii="Arial" w:cs="Arial" w:eastAsia="Arial" w:hAnsi="Arial"/>
          <w:sz w:val="18"/>
          <w:szCs w:val="18"/>
          <w:color w:val="auto"/>
        </w:rPr>
        <w:t>Loans individually evaluated for impairment</w:t>
      </w:r>
    </w:p>
    <w:p>
      <w:pPr>
        <w:spacing w:after="0" w:line="1" w:lineRule="exact"/>
        <w:rPr>
          <w:sz w:val="20"/>
          <w:szCs w:val="20"/>
          <w:color w:val="auto"/>
        </w:rPr>
      </w:pPr>
    </w:p>
    <w:p>
      <w:pPr>
        <w:ind w:left="180" w:right="300" w:hanging="179"/>
        <w:spacing w:after="0" w:line="250" w:lineRule="auto"/>
        <w:rPr>
          <w:sz w:val="20"/>
          <w:szCs w:val="20"/>
          <w:color w:val="auto"/>
        </w:rPr>
      </w:pPr>
      <w:r>
        <w:rPr>
          <w:rFonts w:ascii="Arial" w:cs="Arial" w:eastAsia="Arial" w:hAnsi="Arial"/>
          <w:sz w:val="18"/>
          <w:szCs w:val="18"/>
          <w:color w:val="auto"/>
        </w:rPr>
        <w:t>Loans collectively evaluated for impairment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Ending Balance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36" w:lineRule="exact"/>
        <w:rPr>
          <w:sz w:val="20"/>
          <w:szCs w:val="20"/>
          <w:color w:val="auto"/>
        </w:rPr>
      </w:pPr>
    </w:p>
    <w:p>
      <w:pPr>
        <w:ind w:left="180" w:right="260" w:hanging="179"/>
        <w:spacing w:after="0" w:line="258" w:lineRule="auto"/>
        <w:rPr>
          <w:sz w:val="20"/>
          <w:szCs w:val="20"/>
          <w:color w:val="auto"/>
        </w:rPr>
      </w:pPr>
      <w:r>
        <w:rPr>
          <w:rFonts w:ascii="Arial" w:cs="Arial" w:eastAsia="Arial" w:hAnsi="Arial"/>
          <w:sz w:val="18"/>
          <w:szCs w:val="18"/>
          <w:color w:val="auto"/>
        </w:rPr>
        <w:t>Loans individually evaluated for impairment</w:t>
      </w:r>
    </w:p>
    <w:p>
      <w:pPr>
        <w:spacing w:after="0" w:line="1" w:lineRule="exact"/>
        <w:rPr>
          <w:sz w:val="20"/>
          <w:szCs w:val="20"/>
          <w:color w:val="auto"/>
        </w:rPr>
      </w:pPr>
    </w:p>
    <w:p>
      <w:pPr>
        <w:ind w:left="180" w:right="300" w:hanging="179"/>
        <w:spacing w:after="0" w:line="250" w:lineRule="auto"/>
        <w:rPr>
          <w:sz w:val="20"/>
          <w:szCs w:val="20"/>
          <w:color w:val="auto"/>
        </w:rPr>
      </w:pPr>
      <w:r>
        <w:rPr>
          <w:rFonts w:ascii="Arial" w:cs="Arial" w:eastAsia="Arial" w:hAnsi="Arial"/>
          <w:sz w:val="18"/>
          <w:szCs w:val="18"/>
          <w:color w:val="auto"/>
        </w:rPr>
        <w:t>Loans collectively evaluated for impairment</w:t>
      </w:r>
    </w:p>
    <w:p>
      <w:pPr>
        <w:spacing w:after="0" w:line="1" w:lineRule="exact"/>
        <w:rPr>
          <w:sz w:val="20"/>
          <w:szCs w:val="20"/>
          <w:color w:val="auto"/>
        </w:rPr>
      </w:pPr>
    </w:p>
    <w:p>
      <w:pPr>
        <w:ind w:right="40"/>
        <w:spacing w:after="0" w:line="323" w:lineRule="auto"/>
        <w:rPr>
          <w:sz w:val="20"/>
          <w:szCs w:val="20"/>
          <w:color w:val="auto"/>
        </w:rPr>
      </w:pPr>
      <w:r>
        <w:rPr>
          <w:rFonts w:ascii="Arial" w:cs="Arial" w:eastAsia="Arial" w:hAnsi="Arial"/>
          <w:sz w:val="18"/>
          <w:szCs w:val="18"/>
          <w:color w:val="auto"/>
        </w:rPr>
        <w:t>PCI loans evaluated for Impairment Ending Balance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Amount allocated to:</w:t>
      </w:r>
    </w:p>
    <w:p>
      <w:pPr>
        <w:spacing w:after="0" w:line="36" w:lineRule="exact"/>
        <w:rPr>
          <w:sz w:val="20"/>
          <w:szCs w:val="20"/>
          <w:color w:val="auto"/>
        </w:rPr>
      </w:pPr>
    </w:p>
    <w:p>
      <w:pPr>
        <w:ind w:left="180" w:right="260" w:hanging="179"/>
        <w:spacing w:after="0" w:line="258" w:lineRule="auto"/>
        <w:rPr>
          <w:sz w:val="20"/>
          <w:szCs w:val="20"/>
          <w:color w:val="auto"/>
        </w:rPr>
      </w:pPr>
      <w:r>
        <w:rPr>
          <w:rFonts w:ascii="Arial" w:cs="Arial" w:eastAsia="Arial" w:hAnsi="Arial"/>
          <w:sz w:val="18"/>
          <w:szCs w:val="18"/>
          <w:color w:val="auto"/>
        </w:rPr>
        <w:t>Loans individually evaluated for impairment</w:t>
      </w:r>
    </w:p>
    <w:p>
      <w:pPr>
        <w:spacing w:after="0" w:line="1" w:lineRule="exact"/>
        <w:rPr>
          <w:sz w:val="20"/>
          <w:szCs w:val="20"/>
          <w:color w:val="auto"/>
        </w:rPr>
      </w:pPr>
    </w:p>
    <w:p>
      <w:pPr>
        <w:ind w:left="180" w:right="300" w:hanging="179"/>
        <w:spacing w:after="0" w:line="250" w:lineRule="auto"/>
        <w:rPr>
          <w:sz w:val="20"/>
          <w:szCs w:val="20"/>
          <w:color w:val="auto"/>
        </w:rPr>
      </w:pPr>
      <w:r>
        <w:rPr>
          <w:rFonts w:ascii="Arial" w:cs="Arial" w:eastAsia="Arial" w:hAnsi="Arial"/>
          <w:sz w:val="18"/>
          <w:szCs w:val="18"/>
          <w:color w:val="auto"/>
        </w:rPr>
        <w:t>Loans collectively evaluated for impairment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As of March 31, 2017</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w w:val="97"/>
              </w:rPr>
              <w:t>Commercial</w:t>
            </w:r>
          </w:p>
        </w:tc>
        <w:tc>
          <w:tcPr>
            <w:tcW w:w="220" w:type="dxa"/>
            <w:vAlign w:val="bottom"/>
            <w:tcBorders>
              <w:top w:val="single" w:sz="8" w:color="auto"/>
            </w:tcBorders>
            <w:vMerge w:val="restart"/>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Retail Other</w:t>
            </w:r>
          </w:p>
        </w:tc>
        <w:tc>
          <w:tcPr>
            <w:tcW w:w="220" w:type="dxa"/>
            <w:vAlign w:val="bottom"/>
            <w:tcBorders>
              <w:top w:val="single" w:sz="8" w:color="auto"/>
            </w:tcBorders>
            <w:vMerge w:val="restart"/>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Construction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61"/>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11,747</w:t>
            </w:r>
          </w:p>
        </w:tc>
        <w:tc>
          <w:tcPr>
            <w:tcW w:w="1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18,601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12,838</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45,540</w:t>
            </w:r>
          </w:p>
        </w:tc>
        <w:tc>
          <w:tcPr>
            <w:tcW w:w="0" w:type="dxa"/>
            <w:vAlign w:val="bottom"/>
          </w:tcPr>
          <w:p>
            <w:pPr>
              <w:spacing w:after="0"/>
              <w:rPr>
                <w:sz w:val="1"/>
                <w:szCs w:val="1"/>
                <w:color w:val="auto"/>
              </w:rPr>
            </w:pPr>
          </w:p>
        </w:tc>
      </w:tr>
      <w:tr>
        <w:trPr>
          <w:trHeight w:val="108"/>
        </w:trPr>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vMerge w:val="restart"/>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13,260</w:t>
            </w:r>
          </w:p>
        </w:tc>
        <w:tc>
          <w:tcPr>
            <w:tcW w:w="22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19,848</w:t>
            </w:r>
          </w:p>
        </w:tc>
        <w:tc>
          <w:tcPr>
            <w:tcW w:w="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12,978</w:t>
            </w:r>
          </w:p>
        </w:tc>
        <w:tc>
          <w:tcPr>
            <w:tcW w:w="20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20" w:type="dxa"/>
            <w:vAlign w:val="bottom"/>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48,442</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11,380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11,056</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11,422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34,377</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959,013</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1,647,052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169,195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1,049,146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12,745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3,837,151</w:t>
            </w: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970,451</w:t>
            </w:r>
          </w:p>
        </w:tc>
        <w:tc>
          <w:tcPr>
            <w:tcW w:w="22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1,659,077</w:t>
            </w: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169,665</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1,060,965</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12,794</w:t>
            </w:r>
          </w:p>
        </w:tc>
        <w:tc>
          <w:tcPr>
            <w:tcW w:w="2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3,872,952</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As of December 31, 2016</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10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7"/>
              </w:rPr>
              <w:t>Commercial</w:t>
            </w:r>
          </w:p>
        </w:tc>
        <w:tc>
          <w:tcPr>
            <w:tcW w:w="2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0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Retail Other</w:t>
            </w:r>
          </w:p>
        </w:tc>
        <w:tc>
          <w:tcPr>
            <w:tcW w:w="22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Construction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61"/>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11,768</w:t>
            </w:r>
          </w:p>
        </w:tc>
        <w:tc>
          <w:tcPr>
            <w:tcW w:w="14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18,845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11,508</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44,328</w:t>
            </w:r>
          </w:p>
        </w:tc>
        <w:tc>
          <w:tcPr>
            <w:tcW w:w="0" w:type="dxa"/>
            <w:vAlign w:val="bottom"/>
          </w:tcPr>
          <w:p>
            <w:pPr>
              <w:spacing w:after="0"/>
              <w:rPr>
                <w:sz w:val="1"/>
                <w:szCs w:val="1"/>
                <w:color w:val="auto"/>
              </w:rPr>
            </w:pPr>
          </w:p>
        </w:tc>
      </w:tr>
      <w:tr>
        <w:trPr>
          <w:trHeight w:val="108"/>
        </w:trPr>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vMerge w:val="restart"/>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13,303</w:t>
            </w:r>
          </w:p>
        </w:tc>
        <w:tc>
          <w:tcPr>
            <w:tcW w:w="22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20,623</w:t>
            </w:r>
          </w:p>
        </w:tc>
        <w:tc>
          <w:tcPr>
            <w:tcW w:w="1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11,648</w:t>
            </w:r>
          </w:p>
        </w:tc>
        <w:tc>
          <w:tcPr>
            <w:tcW w:w="200" w:type="dxa"/>
            <w:vAlign w:val="bottom"/>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20" w:type="dxa"/>
            <w:vAlign w:val="bottom"/>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47,795</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-3412490</wp:posOffset>
            </wp:positionV>
            <wp:extent cx="72466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-2974975</wp:posOffset>
            </wp:positionV>
            <wp:extent cx="72466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-2538095</wp:posOffset>
            </wp:positionV>
            <wp:extent cx="72466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-2211705</wp:posOffset>
            </wp:positionV>
            <wp:extent cx="72466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-1663065</wp:posOffset>
            </wp:positionV>
            <wp:extent cx="72466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-891540</wp:posOffset>
            </wp:positionV>
            <wp:extent cx="72466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-454025</wp:posOffset>
            </wp:positionV>
            <wp:extent cx="72466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-16510</wp:posOffset>
            </wp:positionV>
            <wp:extent cx="72466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2">
            <w:col w:w="2620" w:space="720"/>
            <w:col w:w="8120"/>
          </w:cols>
          <w:pgMar w:left="240" w:top="125" w:right="199" w:bottom="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Loans:</w:t>
      </w:r>
    </w:p>
    <w:p>
      <w:pPr>
        <w:spacing w:after="0" w:line="23" w:lineRule="exact"/>
        <w:rPr>
          <w:sz w:val="20"/>
          <w:szCs w:val="20"/>
          <w:color w:val="auto"/>
        </w:rPr>
      </w:pPr>
    </w:p>
    <w:p>
      <w:pPr>
        <w:ind w:left="180" w:right="260" w:hanging="179"/>
        <w:spacing w:after="0" w:line="250" w:lineRule="auto"/>
        <w:rPr>
          <w:sz w:val="20"/>
          <w:szCs w:val="20"/>
          <w:color w:val="auto"/>
        </w:rPr>
      </w:pPr>
      <w:r>
        <w:rPr>
          <w:rFonts w:ascii="Arial" w:cs="Arial" w:eastAsia="Arial" w:hAnsi="Arial"/>
          <w:sz w:val="18"/>
          <w:szCs w:val="18"/>
          <w:color w:val="auto"/>
        </w:rPr>
        <w:t>Loans individually evaluated for impairment</w:t>
      </w:r>
    </w:p>
    <w:p>
      <w:pPr>
        <w:spacing w:after="0" w:line="1" w:lineRule="exact"/>
        <w:rPr>
          <w:sz w:val="20"/>
          <w:szCs w:val="20"/>
          <w:color w:val="auto"/>
        </w:rPr>
      </w:pPr>
    </w:p>
    <w:p>
      <w:pPr>
        <w:ind w:left="180" w:right="300" w:hanging="179"/>
        <w:spacing w:after="0" w:line="250" w:lineRule="auto"/>
        <w:rPr>
          <w:sz w:val="20"/>
          <w:szCs w:val="20"/>
          <w:color w:val="auto"/>
        </w:rPr>
      </w:pPr>
      <w:r>
        <w:rPr>
          <w:rFonts w:ascii="Arial" w:cs="Arial" w:eastAsia="Arial" w:hAnsi="Arial"/>
          <w:sz w:val="18"/>
          <w:szCs w:val="18"/>
          <w:color w:val="auto"/>
        </w:rPr>
        <w:t>Loans collectively evaluated for impairment</w:t>
      </w:r>
    </w:p>
    <w:p>
      <w:pPr>
        <w:spacing w:after="0" w:line="1" w:lineRule="exact"/>
        <w:rPr>
          <w:sz w:val="20"/>
          <w:szCs w:val="20"/>
          <w:color w:val="auto"/>
        </w:rPr>
      </w:pPr>
    </w:p>
    <w:p>
      <w:pPr>
        <w:ind w:right="40"/>
        <w:spacing w:after="0" w:line="323" w:lineRule="auto"/>
        <w:rPr>
          <w:sz w:val="20"/>
          <w:szCs w:val="20"/>
          <w:color w:val="auto"/>
        </w:rPr>
      </w:pPr>
      <w:r>
        <w:rPr>
          <w:rFonts w:ascii="Arial" w:cs="Arial" w:eastAsia="Arial" w:hAnsi="Arial"/>
          <w:sz w:val="18"/>
          <w:szCs w:val="18"/>
          <w:color w:val="auto"/>
        </w:rPr>
        <w:t>PCI loans evaluated for Impairment Ending Balance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11,834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11,147</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11,644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35,175</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947,993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1,642,010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181,584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1,056,942</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13,654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3,842,183</w:t>
            </w:r>
          </w:p>
        </w:tc>
        <w:tc>
          <w:tcPr>
            <w:tcW w:w="0" w:type="dxa"/>
            <w:vAlign w:val="bottom"/>
          </w:tcPr>
          <w:p>
            <w:pPr>
              <w:spacing w:after="0"/>
              <w:rPr>
                <w:sz w:val="1"/>
                <w:szCs w:val="1"/>
                <w:color w:val="auto"/>
              </w:rPr>
            </w:pPr>
          </w:p>
        </w:tc>
      </w:tr>
      <w:tr>
        <w:trPr>
          <w:trHeight w:val="338"/>
        </w:trPr>
        <w:tc>
          <w:tcPr>
            <w:tcW w:w="3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1,007</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474</w:t>
            </w:r>
          </w:p>
        </w:tc>
        <w:tc>
          <w:tcPr>
            <w:tcW w:w="38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959,888</w:t>
            </w:r>
          </w:p>
        </w:tc>
        <w:tc>
          <w:tcPr>
            <w:tcW w:w="22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1,654,164</w:t>
            </w:r>
          </w:p>
        </w:tc>
        <w:tc>
          <w:tcPr>
            <w:tcW w:w="24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182,078</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1,069,060</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13,710</w:t>
            </w: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3,878,900</w:t>
            </w: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-1165860</wp:posOffset>
            </wp:positionV>
            <wp:extent cx="724662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-616585</wp:posOffset>
            </wp:positionV>
            <wp:extent cx="72466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-2117090</wp:posOffset>
            </wp:positionH>
            <wp:positionV relativeFrom="paragraph">
              <wp:posOffset>66675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720"/>
            <w:col w:w="8000"/>
          </w:cols>
          <w:pgMar w:left="240" w:top="125" w:right="319" w:bottom="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OREO</w:t>
      </w:r>
    </w:p>
    <w:p>
      <w:pPr>
        <w:spacing w:after="0" w:line="22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OREO represents properties acquired through foreclosure or other proceedings in settlement of loans and is included in other assets in the accompanying Consolidated Balance Sheets.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Properties are evaluated regularly to ensure each recorded amount is supported by its current fair value, and valuation allowances to reduce the carrying amount due to subsequent declines in fair value less estimated costs to dispose are recorded as necessary. Revenue, expense, gains and losses from the operations of foreclosed assets are included in operations. At March 31, 2017, the Company held $0.4 million in commercial OREO, $0.3 million in residential OREO and an insignificant amount of other repossessed assets. At December 31, 2016, the Company held $2.0 million in commercial OREO, $0.5 million in residential OREO and an insignificant amount of other repossessed assets. At March 31, 2017 the Company had $0.6 million of residential real estate in the process of foreclosure.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activity related to OREO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2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March 31, 2017</w:t>
            </w:r>
          </w:p>
        </w:tc>
        <w:tc>
          <w:tcPr>
            <w:tcW w:w="206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Additions, transfers from loans</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6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 fair value from Pulaski acquisition</w:t>
            </w: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Proceeds from sales of OREO</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(3,229)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(4,498)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6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6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sales of OREO</w:t>
            </w: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1,260</w:t>
            </w: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Valuation allowance for OREO</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8: Deposits</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40" w:type="dxa"/>
            <w:vAlign w:val="bottom"/>
            <w:gridSpan w:val="3"/>
          </w:tcPr>
          <w:p>
            <w:pPr>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Demand deposits, noninterest-bearing</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1,206,324</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1,134,133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w w:val="89"/>
              </w:rPr>
              <w:t>Interest-bearing transaction deposits, saving deposits and money market deposits</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2,516,741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2,453,965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60" w:type="dxa"/>
            <w:vAlign w:val="bottom"/>
            <w:vMerge w:val="restart"/>
          </w:tcPr>
          <w:p>
            <w:pPr>
              <w:spacing w:after="0"/>
              <w:rPr>
                <w:sz w:val="2"/>
                <w:szCs w:val="2"/>
                <w:color w:val="auto"/>
              </w:rPr>
            </w:pPr>
          </w:p>
        </w:tc>
        <w:tc>
          <w:tcPr>
            <w:tcW w:w="588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60" w:type="dxa"/>
            <w:vAlign w:val="bottom"/>
            <w:vMerge w:val="continue"/>
          </w:tcPr>
          <w:p>
            <w:pPr>
              <w:spacing w:after="0"/>
              <w:rPr>
                <w:sz w:val="22"/>
                <w:szCs w:val="22"/>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762,478</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786,200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4,485,543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4,374,298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Interest-bearing transaction deposits included $31.1 million and $36.9 million of reciprocal brokered transaction deposits at March 31, 2017 and December 31, 2016, respectively. Savings deposits included $17.9 million and $22.2 million of reciprocal brokered deposits at March 31, 2017 and December 31, 2016, respectively.</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aggregate amount of time deposits with a minimum denomination of $100,000 was approximately $342.8 million and $350.7 million at March 31, 2017 and December 31, 2016, respectively. The aggregate amount of time deposits with a minimum denomination that meets or exceeds the FDIC insurance limit of $250,000 was approximately $75.6 million and $70.7 million at March 31, 2017 and December 31, 2016, respectively. There were no National deposits at March 31, 2017. National deposits of $0.1 million were included in the balance of time deposits as of December 31, 2016. The Company had reciprocal brokered time deposits of $88.5 million and $93.4 million at March 31, 2017 and December 31, 2016, respectively, included in the balance of time deposits. Further, the Company had brokered deposits of $5.0 million at March 31, 2017 and December 31, 2016, which are included in the balance of time deposits.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March 31, 2017, the scheduled maturities of time deposits, in thousands,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April 1, 2017 – March 31, 2018</w:t>
            </w:r>
          </w:p>
        </w:tc>
        <w:tc>
          <w:tcPr>
            <w:tcW w:w="27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520,408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April 1, 2018 – March 31, 2019</w:t>
            </w: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159,095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April 1, 2019 – March 31, 2020</w:t>
            </w:r>
          </w:p>
        </w:tc>
        <w:tc>
          <w:tcPr>
            <w:tcW w:w="2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April 1, 2020 – March 31, 2021</w:t>
            </w: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17,453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April 1, 2021 – March 31, 2022</w:t>
            </w:r>
          </w:p>
        </w:tc>
        <w:tc>
          <w:tcPr>
            <w:tcW w:w="2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2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r>
      <w:tr>
        <w:trPr>
          <w:trHeight w:val="210"/>
        </w:trPr>
        <w:tc>
          <w:tcPr>
            <w:tcW w:w="458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w:t>
      </w:r>
    </w:p>
    <w:p>
      <w:pPr>
        <w:sectPr>
          <w:pgSz w:w="11900" w:h="16838" w:orient="portrait"/>
          <w:cols w:equalWidth="0" w:num="1">
            <w:col w:w="11340"/>
          </w:cols>
          <w:pgMar w:left="240" w:top="125" w:right="319" w:bottom="0" w:gutter="0" w:footer="0" w:header="0"/>
          <w:type w:val="continuous"/>
        </w:sectPr>
      </w:pPr>
    </w:p>
    <w:bookmarkStart w:id="18" w:name="page19"/>
    <w:bookmarkEnd w:id="18"/>
    <w:p>
      <w:pPr>
        <w:spacing w:after="0" w:line="2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Securities sold under agreements to repurchase, which are classified as secured borrowings, generally mature either daily or within one year from the transaction date.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include FHLB advances which mature in less than one year from date of origination.</w:t>
      </w:r>
    </w:p>
    <w:p>
      <w:pPr>
        <w:spacing w:after="0" w:line="225"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On November 18, 2016, the Company entered into Amendment No. 1 to a credit agreement with a national bank to extend a revolving loan facility to the Company in the maximum principal amount of $20.0 million. The loan has an annual interest rate of 2.50% plus the one-month LIBOR rate and has a maturity date of November 19, 2017. The loan also bears a non-usage fee calculated based on the average daily principal balance of the loan outstanding during the prior fiscal quarter. The Company had no outstanding amount on March 31, 2017 or December 31, 2016.</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following table sets forth the distribution of securities sold under agreements to repurchase and short-term borrowings and weighted average interest rates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96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Securities sold under agreements to repurchase</w:t>
            </w: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163,081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189,157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170,763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216,293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165,785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181,474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Weighted average interest rate during period(1)</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0.30%</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0.22%</w:t>
            </w:r>
          </w:p>
        </w:tc>
      </w:tr>
      <w:tr>
        <w:trPr>
          <w:trHeight w:val="216"/>
        </w:trPr>
        <w:tc>
          <w:tcPr>
            <w:tcW w:w="59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Short-term borrowings, FHLB advances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0.63%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236,700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20,278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96,698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period(1)</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r>
      <w:tr>
        <w:trPr>
          <w:trHeight w:val="216"/>
        </w:trPr>
        <w:tc>
          <w:tcPr>
            <w:tcW w:w="5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borrowings, revolving loan</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2,596</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Weighted average interest rate during period(1) (2)</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740" w:right="620" w:hanging="219"/>
        <w:spacing w:after="0" w:line="258" w:lineRule="auto"/>
        <w:rPr>
          <w:sz w:val="20"/>
          <w:szCs w:val="20"/>
          <w:color w:val="auto"/>
        </w:rPr>
      </w:pPr>
      <w:r>
        <w:rPr>
          <w:rFonts w:ascii="Arial" w:cs="Arial" w:eastAsia="Arial" w:hAnsi="Arial"/>
          <w:sz w:val="18"/>
          <w:szCs w:val="18"/>
          <w:color w:val="auto"/>
        </w:rPr>
        <w:t>(1)The weighted average interest rate is computed by dividing total annualized interest for the year-to-date period by the average daily balance outstanding.</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(2)Includes interest and non-usage fee.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Notes payable, FHLB, ranging in original maturity from nineteen months to ten years,</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80,000</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7"/>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collateralized by FHLB deposits, residential and commercial real estate loans and FHLB stock</w:t>
            </w:r>
          </w:p>
        </w:tc>
        <w:tc>
          <w:tcPr>
            <w:tcW w:w="24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 of March 31, 2017, funds borrowed from the FHLB, listed above, consisted of variable-rate notes maturing through September 2024, with interest rates ranging from 0.50% to 0.83%. The weighted average rate on these long-term advances was 0.59% as of March 31, 2017. As of December 31, 2016, funds borrowed from the FHLB, listed above, consisted of variable-rate notes maturing through September 2024, with interest rates ranging from 0.35% to 0.54%. The weighted average rate on the long-term advances was 0.41% as of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Junior Subordinated Debt Owed to Unconsolidated Trusts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the Company acquired similar statutory trusts maintained by Pulaski, which were adjusted to fair value. The Company had $70.9 million of junior subordinated debt owed to unconsolidated trusts at March 31, 2017 and December 31, 2016.</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 notes. 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 The Company does not expect to exercise this right.</w:t>
      </w:r>
    </w:p>
    <w:p>
      <w:pPr>
        <w:sectPr>
          <w:pgSz w:w="11900" w:h="16867" w:orient="portrait"/>
          <w:cols w:equalWidth="0" w:num="1">
            <w:col w:w="11420"/>
          </w:cols>
          <w:pgMar w:left="240" w:top="125" w:right="239" w:bottom="0" w:gutter="0" w:footer="0" w:header="0"/>
        </w:sectPr>
      </w:pPr>
    </w:p>
    <w:bookmarkStart w:id="19" w:name="page20"/>
    <w:bookmarkEnd w:id="19"/>
    <w:p>
      <w:pPr>
        <w:spacing w:after="0" w:line="18"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Under current banking regulations, bank holding companies are allowed to include qualifying trust preferred securities in their Tier 1 Capital for regulatory capital purposes, subject to a 25% limitation to all core (Tier 1) capital elements, net of goodwill and other intangible assets less any associated deferred tax liability. As of March 31, 2017, 100% of the trust preferred securities qualified as Tier 1 capital under the final rule adopted in March 2005.</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17"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wp:posOffset>
            </wp:positionV>
            <wp:extent cx="1903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7540"/>
        <w:spacing w:after="0"/>
        <w:tabs>
          <w:tab w:leader="none" w:pos="91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wp:posOffset>
            </wp:positionV>
            <wp:extent cx="19037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3" w:lineRule="exact"/>
        <w:rPr>
          <w:sz w:val="20"/>
          <w:szCs w:val="20"/>
          <w:color w:val="auto"/>
        </w:rPr>
      </w:pPr>
    </w:p>
    <w:p>
      <w:pPr>
        <w:ind w:left="980"/>
        <w:spacing w:after="0"/>
        <w:tabs>
          <w:tab w:leader="none" w:pos="6980" w:val="left"/>
          <w:tab w:leader="none" w:pos="7840" w:val="left"/>
          <w:tab w:leader="none" w:pos="8620" w:val="left"/>
          <w:tab w:leader="none" w:pos="948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15,170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-130175</wp:posOffset>
            </wp:positionV>
            <wp:extent cx="579755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-121920</wp:posOffset>
            </wp:positionV>
            <wp:extent cx="19037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ectPr>
          <w:pgSz w:w="11900" w:h="16857" w:orient="portrait"/>
          <w:cols w:equalWidth="0" w:num="1">
            <w:col w:w="11400"/>
          </w:cols>
          <w:pgMar w:left="240" w:top="341" w:right="259" w:bottom="0" w:gutter="0" w:footer="0" w:header="0"/>
        </w:sectPr>
      </w:pPr>
    </w:p>
    <w:p>
      <w:pPr>
        <w:spacing w:after="0" w:line="5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Weighted 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-130175</wp:posOffset>
            </wp:positionV>
            <wp:extent cx="579755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73" w:lineRule="exact"/>
        <w:rPr>
          <w:sz w:val="20"/>
          <w:szCs w:val="20"/>
          <w:color w:val="auto"/>
        </w:rPr>
      </w:pPr>
    </w:p>
    <w:p>
      <w:pPr>
        <w:ind w:left="1160" w:right="720" w:hanging="179"/>
        <w:spacing w:after="0" w:line="308" w:lineRule="auto"/>
        <w:rPr>
          <w:sz w:val="20"/>
          <w:szCs w:val="20"/>
          <w:color w:val="auto"/>
        </w:rPr>
      </w:pPr>
      <w:r>
        <w:rPr>
          <w:rFonts w:ascii="Arial" w:cs="Arial" w:eastAsia="Arial" w:hAnsi="Arial"/>
          <w:sz w:val="17"/>
          <w:szCs w:val="17"/>
          <w:color w:val="auto"/>
        </w:rPr>
        <w:t>Dilutive effect of outstanding options, warrants and restricted stock units as determined by the application of the treasury stock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-308610</wp:posOffset>
            </wp:positionV>
            <wp:extent cx="579755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spacing w:after="0" w:line="167" w:lineRule="exact"/>
        <w:rPr>
          <w:sz w:val="20"/>
          <w:szCs w:val="20"/>
          <w:color w:val="auto"/>
        </w:rPr>
      </w:pPr>
    </w:p>
    <w:p>
      <w:pPr>
        <w:ind w:left="1160" w:right="480" w:hanging="179"/>
        <w:spacing w:after="0" w:line="277" w:lineRule="auto"/>
        <w:rPr>
          <w:sz w:val="20"/>
          <w:szCs w:val="20"/>
          <w:color w:val="auto"/>
        </w:rPr>
      </w:pPr>
      <w:r>
        <w:rPr>
          <w:rFonts w:ascii="Arial" w:cs="Arial" w:eastAsia="Arial" w:hAnsi="Arial"/>
          <w:sz w:val="18"/>
          <w:szCs w:val="18"/>
          <w:color w:val="auto"/>
        </w:rPr>
        <w:t>Weighted average common shares outstanding, as adjusted for diluted earnings per share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-293370</wp:posOffset>
            </wp:positionV>
            <wp:extent cx="579755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38,293</w:t>
      </w:r>
      <w:r>
        <w:rPr>
          <w:sz w:val="20"/>
          <w:szCs w:val="20"/>
          <w:color w:val="auto"/>
        </w:rPr>
        <w:tab/>
      </w:r>
      <w:r>
        <w:rPr>
          <w:rFonts w:ascii="Arial" w:cs="Arial" w:eastAsia="Arial" w:hAnsi="Arial"/>
          <w:sz w:val="16"/>
          <w:szCs w:val="16"/>
          <w:color w:val="auto"/>
        </w:rPr>
        <w:t>28,739</w:t>
      </w:r>
    </w:p>
    <w:p>
      <w:pPr>
        <w:spacing w:after="0" w:line="200" w:lineRule="exact"/>
        <w:rPr>
          <w:sz w:val="20"/>
          <w:szCs w:val="20"/>
          <w:color w:val="auto"/>
        </w:rPr>
      </w:pPr>
    </w:p>
    <w:p>
      <w:pPr>
        <w:spacing w:after="0" w:line="224" w:lineRule="exact"/>
        <w:rPr>
          <w:sz w:val="20"/>
          <w:szCs w:val="20"/>
          <w:color w:val="auto"/>
        </w:rPr>
      </w:pPr>
    </w:p>
    <w:p>
      <w:pPr>
        <w:jc w:val="both"/>
        <w:ind w:left="220"/>
        <w:spacing w:after="0"/>
        <w:tabs>
          <w:tab w:leader="none" w:pos="186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83185</wp:posOffset>
            </wp:positionV>
            <wp:extent cx="19037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color w:val="auto"/>
        </w:rPr>
        <w:t>38,754</w:t>
      </w:r>
      <w:r>
        <w:rPr>
          <w:sz w:val="20"/>
          <w:szCs w:val="20"/>
          <w:color w:val="auto"/>
        </w:rPr>
        <w:tab/>
      </w:r>
      <w:r>
        <w:rPr>
          <w:rFonts w:ascii="Arial" w:cs="Arial" w:eastAsia="Arial" w:hAnsi="Arial"/>
          <w:sz w:val="16"/>
          <w:szCs w:val="16"/>
          <w:color w:val="auto"/>
        </w:rPr>
        <w:t>28,929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114935</wp:posOffset>
            </wp:positionV>
            <wp:extent cx="19037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99" w:lineRule="exact"/>
        <w:rPr>
          <w:sz w:val="20"/>
          <w:szCs w:val="20"/>
          <w:color w:val="auto"/>
        </w:rPr>
      </w:pPr>
    </w:p>
    <w:p>
      <w:pPr>
        <w:sectPr>
          <w:pgSz w:w="11900" w:h="16857" w:orient="portrait"/>
          <w:cols w:equalWidth="0" w:num="2">
            <w:col w:w="7140" w:space="720"/>
            <w:col w:w="3540"/>
          </w:cols>
          <w:pgMar w:left="240" w:top="341" w:right="259" w:bottom="0" w:gutter="0" w:footer="0" w:header="0"/>
          <w:type w:val="continuous"/>
        </w:sectPr>
      </w:pPr>
    </w:p>
    <w:p>
      <w:pPr>
        <w:spacing w:after="0" w:line="25" w:lineRule="exact"/>
        <w:rPr>
          <w:sz w:val="20"/>
          <w:szCs w:val="20"/>
          <w:color w:val="auto"/>
        </w:rPr>
      </w:pPr>
    </w:p>
    <w:tbl>
      <w:tblPr>
        <w:tblLayout w:type="fixed"/>
        <w:tblInd w:w="98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0.40</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0.39</w:t>
            </w: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Basic earnings per share are computed by dividing net income available to common stockholders for the period by the weighted average number of common shares outstanding, which include deferred stock units that are vested but not delivered.</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Diluted earnings per common share are computed using the treasury stock method and reflects the potential dilution that could occur if the Company’s outstanding stock options were exercised and restricted stock units were vested. Stock options and restricted stock units for which the exercise or the grant price exceeds the average market price over the period have an anti-dilutive effect and are excluded from the calculation. At March 31, 2017 and 2016, 10,850 outstanding options and 191,278 warrants were anti-dilutive and excluded from the calculation of common stock equivalents.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Share-based Compensation</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grants share-based compensation awards to its employees and members of its board of directors as provided for under the Company’s 2010 Equity Incentive Plan. 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a requisite service periods ranging from one to five years. The Company annually grants share-based awards in the form of DSUs, which are RSUs with a deferred settlement date, to its board of directors. Each DSU is equivalent to one share of the Company’s common stock. The DSUs vest over a twelve-month period following the grant date or on the date of the next Annual Meeting of Stockholders, whichever is earlier. These units generally are subject to the same terms as RSUs under the Company’s 2010 Equity Incentive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terms of the Company’s 2010 Equity Incentive Plan, the Company is allowed, but not required, to source stock option exercises and grants of RSUs and DSUs from its inventory of treasury stock. As of March 31, 2017, the Company held 626,408 shares in treasury. On February 3, 2015, First Busey announced that its board of directors approved a repurchase plan under which the Company is authorized to repurchase up to an aggregate of 666,667 shares of its common stock. The repurchase plan has no expiration date and replaced the prior repurchase plan that was originally approved in 2008. During 2015, the Company purchased 333,333 shares under this repurchase plan. At March 31, 2017 the Company had 333,334 shares that may yet be purchased under the plan.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description of the 2010 Equity Incentive Plan, which was amended in 2015, can be found in the Company’s Proxy Statement for the 2015 Annual Meeting of Stockholders. The Company’s 2010 Equity Incentive Plan is designed to encourage ownership of its common stock by its employees and directors, to provide additional incentive for them to promote the success of the Company’s business, and to attract and retain talented personnel. All of the Company’s employees and directors, and those of its subsidiaries, are eligible to receive awards under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and changes in the Company’s stock option awards for the three months ended March 31, 2017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2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4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w:t>
            </w:r>
          </w:p>
        </w:tc>
        <w:tc>
          <w:tcPr>
            <w:tcW w:w="2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2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209,382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57" w:orient="portrait"/>
          <w:cols w:equalWidth="0" w:num="1">
            <w:col w:w="11400"/>
          </w:cols>
          <w:pgMar w:left="240" w:top="341" w:right="259" w:bottom="0" w:gutter="0" w:footer="0" w:header="0"/>
          <w:type w:val="continuous"/>
        </w:sectPr>
      </w:pPr>
    </w:p>
    <w:bookmarkStart w:id="20" w:name="page21"/>
    <w:bookmarkEnd w:id="20"/>
    <w:p>
      <w:pPr>
        <w:spacing w:after="0" w:line="28"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(13,902)</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11.05</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0"/>
        </w:trPr>
        <w:tc>
          <w:tcPr>
            <w:tcW w:w="418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195,480</w:t>
            </w:r>
          </w:p>
        </w:tc>
        <w:tc>
          <w:tcPr>
            <w:tcW w:w="280" w:type="dxa"/>
            <w:vAlign w:val="bottom"/>
          </w:tcPr>
          <w:p>
            <w:pPr>
              <w:spacing w:after="0"/>
              <w:rPr>
                <w:sz w:val="21"/>
                <w:szCs w:val="21"/>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280" w:type="dxa"/>
            <w:vAlign w:val="bottom"/>
          </w:tcPr>
          <w:p>
            <w:pPr>
              <w:spacing w:after="0"/>
              <w:rPr>
                <w:sz w:val="21"/>
                <w:szCs w:val="21"/>
                <w:color w:val="auto"/>
              </w:rPr>
            </w:pPr>
          </w:p>
        </w:tc>
        <w:tc>
          <w:tcPr>
            <w:tcW w:w="2080" w:type="dxa"/>
            <w:vAlign w:val="bottom"/>
            <w:gridSpan w:val="2"/>
          </w:tcPr>
          <w:p>
            <w:pPr>
              <w:ind w:left="1620"/>
              <w:spacing w:after="0"/>
              <w:rPr>
                <w:sz w:val="20"/>
                <w:szCs w:val="20"/>
                <w:color w:val="auto"/>
              </w:rPr>
            </w:pPr>
            <w:r>
              <w:rPr>
                <w:rFonts w:ascii="Arial" w:cs="Arial" w:eastAsia="Arial" w:hAnsi="Arial"/>
                <w:sz w:val="18"/>
                <w:szCs w:val="18"/>
                <w:color w:val="auto"/>
              </w:rPr>
              <w:t>1.52</w:t>
            </w:r>
          </w:p>
        </w:tc>
      </w:tr>
      <w:tr>
        <w:trPr>
          <w:trHeight w:val="197"/>
        </w:trPr>
        <w:tc>
          <w:tcPr>
            <w:tcW w:w="418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end of period</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195,480</w:t>
            </w: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15.42</w:t>
            </w:r>
          </w:p>
        </w:tc>
        <w:tc>
          <w:tcPr>
            <w:tcW w:w="28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ind w:left="1620"/>
              <w:spacing w:after="0" w:line="196" w:lineRule="exact"/>
              <w:rPr>
                <w:sz w:val="20"/>
                <w:szCs w:val="20"/>
                <w:color w:val="auto"/>
              </w:rPr>
            </w:pPr>
            <w:r>
              <w:rPr>
                <w:rFonts w:ascii="Arial" w:cs="Arial" w:eastAsia="Arial" w:hAnsi="Arial"/>
                <w:sz w:val="18"/>
                <w:szCs w:val="18"/>
                <w:color w:val="auto"/>
                <w:w w:val="79"/>
              </w:rPr>
              <w:t>1.52</w:t>
            </w:r>
          </w:p>
        </w:tc>
        <w:tc>
          <w:tcPr>
            <w:tcW w:w="160" w:type="dxa"/>
            <w:vAlign w:val="bottom"/>
            <w:tcBorders>
              <w:top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did not record any stock option compensation expense for the three months ended March 31, 2017 or 2016. As of March 31, 2017, the Company had no unrecognized stock option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Company’s stock unit awards for the three months ended March 31, 2017, is as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Restricted</w:t>
            </w:r>
          </w:p>
        </w:tc>
        <w:tc>
          <w:tcPr>
            <w:tcW w:w="18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Weighted-</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Director</w:t>
            </w:r>
          </w:p>
        </w:tc>
        <w:tc>
          <w:tcPr>
            <w:tcW w:w="1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Deferred</w:t>
            </w:r>
          </w:p>
        </w:tc>
        <w:tc>
          <w:tcPr>
            <w:tcW w:w="1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Units</w:t>
            </w:r>
          </w:p>
        </w:tc>
        <w:tc>
          <w:tcPr>
            <w:tcW w:w="18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Units</w:t>
            </w:r>
          </w:p>
        </w:tc>
        <w:tc>
          <w:tcPr>
            <w:tcW w:w="18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552,610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4"/>
              </w:rPr>
              <w:t>21.04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11,404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30.69</w:t>
            </w:r>
          </w:p>
        </w:tc>
        <w:tc>
          <w:tcPr>
            <w:tcW w:w="28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equivalents earned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Vested</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(27,917)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14.60</w:t>
            </w:r>
          </w:p>
        </w:tc>
        <w:tc>
          <w:tcPr>
            <w:tcW w:w="2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18"/>
                <w:szCs w:val="18"/>
                <w:color w:val="auto"/>
              </w:rPr>
            </w:pPr>
          </w:p>
        </w:tc>
        <w:tc>
          <w:tcPr>
            <w:tcW w:w="1220" w:type="dxa"/>
            <w:vAlign w:val="bottom"/>
            <w:gridSpan w:val="2"/>
          </w:tcPr>
          <w:p>
            <w:pPr>
              <w:ind w:left="66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(5,214)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533,988</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28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35,251</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4"/>
              </w:rPr>
              <w:t>21.09</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Outstanding at end of period</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533,988</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18.96</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94,027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660"/>
              <w:spacing w:after="0" w:line="196" w:lineRule="exact"/>
              <w:rPr>
                <w:sz w:val="20"/>
                <w:szCs w:val="20"/>
                <w:color w:val="auto"/>
              </w:rPr>
            </w:pPr>
            <w:r>
              <w:rPr>
                <w:rFonts w:ascii="Arial" w:cs="Arial" w:eastAsia="Arial" w:hAnsi="Arial"/>
                <w:sz w:val="18"/>
                <w:szCs w:val="18"/>
                <w:color w:val="auto"/>
                <w:w w:val="84"/>
              </w:rPr>
              <w:t>18.60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Dividends related to the converted units from Pulaski are accrued and will be paid in cash upon vesting. All other recipients earn quarterly dividend equivalents on their respective units. These dividend equivalents are not paid out during the vesting period, but instead entitle the recipients to additional units. Therefore, dividends earned each quarter compound based upon the updated unit balances. Upon vesting/delivery, shares are expected (though not required) to be issued from treasury.</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recognized $0.5 million and $0.4 million of compensation expense related to non-vested stock units for the three months ended March 31, 2017 and 2016, respectively. As of March 31, 2017, there was $5.5 million of total unrecognized compensation cost related to these non-vested stock units. This cost is expected to be recognized over a period of 3.5 years.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2017, the Company was not under examination by any tax authority.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w:t>
      </w:r>
    </w:p>
    <w:p>
      <w:pPr>
        <w:spacing w:after="0" w:line="166"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The Company’s exposure to credit loss is represented by the contractual amount of those commitments. The Company uses the same credit policies in making commitments and conditional obligations as it does for on-balance-sheet instruments. A summary of the contractual amount of the Company’s exposure to off-balance-sheet risk relating to the Company’s commitments to extend credit and standby letters of credit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38"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276"/>
              <w:spacing w:after="0"/>
              <w:rPr>
                <w:sz w:val="20"/>
                <w:szCs w:val="20"/>
                <w:color w:val="auto"/>
              </w:rPr>
            </w:pPr>
            <w:r>
              <w:rPr>
                <w:rFonts w:ascii="Arial" w:cs="Arial" w:eastAsia="Arial" w:hAnsi="Arial"/>
                <w:sz w:val="14"/>
                <w:szCs w:val="14"/>
                <w:b w:val="1"/>
                <w:bCs w:val="1"/>
                <w:color w:val="auto"/>
              </w:rPr>
              <w:t>March 31, 2017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2016</w:t>
            </w: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instruments whose contract amounts represent credit risk:</w:t>
            </w:r>
          </w:p>
        </w:tc>
        <w:tc>
          <w:tcPr>
            <w:tcW w:w="1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936,608</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875,077</w:t>
            </w:r>
          </w:p>
        </w:tc>
        <w:tc>
          <w:tcPr>
            <w:tcW w:w="18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Standby letters of credit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20,145</w:t>
            </w: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 amount of collateral obtained, if it is deemed necessary by the Company upon extension of credit, is based on management’s credit evaluation of the customer.</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customer’s obligation to a third-party.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third-party, the Company would be required to fund the commitment. The maximum potential amount of future payments the Company could be required to make is</w:t>
      </w:r>
    </w:p>
    <w:p>
      <w:pPr>
        <w:sectPr>
          <w:pgSz w:w="11900" w:h="16867" w:orient="portrait"/>
          <w:cols w:equalWidth="0" w:num="1">
            <w:col w:w="11380"/>
          </w:cols>
          <w:pgMar w:left="240" w:top="125" w:right="279" w:bottom="0" w:gutter="0" w:footer="0" w:header="0"/>
        </w:sectPr>
      </w:pPr>
    </w:p>
    <w:bookmarkStart w:id="21" w:name="page22"/>
    <w:bookmarkEnd w:id="21"/>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represented by the contractual amount shown in the summary above. If the commitment is funded, the Company would be entitled to seek recovery from the customer. As of March 31, 2017 and December 31, 2016, no amounts were recorded as liabilities for the Company’s potential obligations under these guarantees.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will sign contracts for construction projects relating to the Company’s facilities.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Capital</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ability of the Company to pay cash dividends to its stockholders and to service its debt was historically dependent on the receipt of cash dividends from its subsidiaries. Under applicable regulatory requirements, an Illinois state-chartered bank such as Busey Bank may not pay dividends in excess of its net profits. Because Busey Bank has been in a retained earnings deficit position since 2009, it has not been able to pay dividends since that time. With prior approval from its regulators, however, an Illinois state-chartered bank in this situation may be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$30.0 million on October 21, 2016. The Company expects to seek regulatory approval for additional capital distributions from Busey Bank in future periods.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and Busey Bank are subject to regulatory capital requirements administered by federal and/or state agencies that involve the quantitative measure of their assets, liabilities, and certain off-balance-sheet items, as calculated under regulatory accounting practices. Quantitative measures established by regulations to ensure capital adequacy require the Company and the bank to maintain minimum dollar amounts and ratios of such to risk weighted assets (as defined in the regulations and set forth in the table below) of total capital, Tier 1 capital and Common Equity Tier 1 capital, and for the bank, Tier 1 capital to average assets. Failure to meet minimum capital requirements may cause regulatory bodies to initiate certain discretionary and/or mandatory actions that, if undertaken, could have a direct material effect on our financial statements. The Company, as a financial holding company, is required to be “well capitalized” in the capital categories shown in the table below. As of March 31, 2017, the Company and Busey Bank met all capital adequacy requirements to which they were subject, including the guidelines to be considered “well capitalized.”</w:t>
      </w:r>
    </w:p>
    <w:p>
      <w:pPr>
        <w:spacing w:after="0" w:line="17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Dodd-Frank Act established minimum capital levels for bank holding companies on a consolidated basis. The components of Tier 1 capital are restricted to capital instruments that, at the time of signing, were considered to be Tier 1 capital for insured depository institutions. Under this legislation, the Company is able to maintain its trust preferred securities as Tier 1 capital, but it will have to comply with new capital mandates in other respects, and it will not be able to raise Tier 1 capital through the issuance of trust preferred securities in the future.</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July 2013, the U.S. federal banking authorities approved the implementation of the Basel III Rule required by the Dodd-Frank Act. The Basel III Rule is applicable to all U.S. banks that are subject to minimum capital requirements, as well as to bank and savings and loan holding companies other than “small bank holding companies” (generally non-public bank holding companies with consolidated assets of less than $1.0 billion). The Basel III Rule not only increased most of the required minimum regulatory capital ratios, but they also introduced a new Common Equity Tier 1 Capital ratio and the concept of a capital conservation buffer.</w:t>
      </w:r>
    </w:p>
    <w:p>
      <w:pPr>
        <w:spacing w:after="0" w:line="18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Basel III Rule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under the old guidelines no longer qualify, or their qualifications will change, as the Basel III Rule is being fully implemented.</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Basel III Rule also permitted banking organizations with less than $15.0 billion in assets to retain, through a one-time election, the past treatment for accumulated other comprehensive income, which did not affect regulatory capital. First Busey and Busey Bank made this election in the first quarter of 2015 to avoid variations in the level of their capital depending on fluctuations in the fair value of their securities portfolio. The Basel III Rule maintained the general structure of the prompt corrective action framework, while incorporating increased requirements. The prompt corrective action guidelines were also revised to add the Common Equity Tier 1 Capital ratio. Under the final capital rules that became effective on January 1, 2015, there was a requirement for a Common Equity Tier 1 capital conservation buffer of 2.5% of risk weighted assets which is in addition to the other minimum risk based capital standards in the rule. Failure to maintain the buffer will result in restrictions on the Company’s ability to make capital distributions, including the payment of dividends, and to pay discretionary bonuses to executive officers. The capital buffer requirement is being phased-in over three years beginning in 2016.</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60"/>
        <w:spacing w:after="0" w:line="288" w:lineRule="auto"/>
        <w:rPr>
          <w:sz w:val="20"/>
          <w:szCs w:val="20"/>
          <w:color w:val="auto"/>
        </w:rPr>
      </w:pPr>
      <w:r>
        <w:rPr>
          <w:rFonts w:ascii="Arial" w:cs="Arial" w:eastAsia="Arial" w:hAnsi="Arial"/>
          <w:sz w:val="16"/>
          <w:szCs w:val="16"/>
          <w:color w:val="auto"/>
        </w:rPr>
        <w:t>The table below includes the 1.25% increase as of January 1, 2017 in the minimum capital requirement ratios. The capital buffer requirement effectively raises the minimum required Common Equity Tier 1 Capital ratio to 7.0%, the Tier 1 Capital ratio to 8.5%, and the Total Capital ratio to 10.5% on a fully phased-in basis on January 1, 2019. As of March 31, 2017, the Company and Busey Bank were in compliance with the current phase of the Basel III</w:t>
      </w:r>
    </w:p>
    <w:p>
      <w:pPr>
        <w:ind w:right="20"/>
        <w:spacing w:after="0" w:line="261" w:lineRule="auto"/>
        <w:rPr>
          <w:sz w:val="20"/>
          <w:szCs w:val="20"/>
          <w:color w:val="auto"/>
        </w:rPr>
      </w:pPr>
      <w:r>
        <w:rPr>
          <w:rFonts w:ascii="Arial" w:cs="Arial" w:eastAsia="Arial" w:hAnsi="Arial"/>
          <w:sz w:val="18"/>
          <w:szCs w:val="18"/>
          <w:color w:val="auto"/>
        </w:rPr>
        <w:t>Rule and management believes that the Company and Busey Bank would meet all capital adequacy requirements under the Basel III Rule on a fully phased-in basis as if such requirements had been in effect.</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left="423"/>
              <w:spacing w:after="0"/>
              <w:rPr>
                <w:sz w:val="20"/>
                <w:szCs w:val="20"/>
                <w:color w:val="auto"/>
              </w:rPr>
            </w:pPr>
            <w:r>
              <w:rPr>
                <w:rFonts w:ascii="Arial" w:cs="Arial" w:eastAsia="Arial" w:hAnsi="Arial"/>
                <w:sz w:val="14"/>
                <w:szCs w:val="14"/>
                <w:b w:val="1"/>
                <w:bCs w:val="1"/>
                <w:color w:val="auto"/>
              </w:rPr>
              <w:t>Minimum</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3"/>
            <w:vMerge w:val="restart"/>
          </w:tcPr>
          <w:p>
            <w:pPr>
              <w:jc w:val="right"/>
              <w:ind w:right="860"/>
              <w:spacing w:after="0"/>
              <w:rPr>
                <w:sz w:val="20"/>
                <w:szCs w:val="20"/>
                <w:color w:val="auto"/>
              </w:rPr>
            </w:pPr>
            <w:r>
              <w:rPr>
                <w:rFonts w:ascii="Arial" w:cs="Arial" w:eastAsia="Arial" w:hAnsi="Arial"/>
                <w:sz w:val="14"/>
                <w:szCs w:val="14"/>
                <w:b w:val="1"/>
                <w:bCs w:val="1"/>
                <w:color w:val="auto"/>
              </w:rPr>
              <w:t>Minimum To Be</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Actual</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left="83"/>
              <w:spacing w:after="0" w:line="149" w:lineRule="exact"/>
              <w:rPr>
                <w:sz w:val="20"/>
                <w:szCs w:val="20"/>
                <w:color w:val="auto"/>
              </w:rPr>
            </w:pPr>
            <w:r>
              <w:rPr>
                <w:rFonts w:ascii="Arial" w:cs="Arial" w:eastAsia="Arial" w:hAnsi="Arial"/>
                <w:sz w:val="14"/>
                <w:szCs w:val="14"/>
                <w:b w:val="1"/>
                <w:bCs w:val="1"/>
                <w:color w:val="auto"/>
                <w:w w:val="95"/>
              </w:rPr>
              <w:t>Capital Requirement with</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left="443"/>
              <w:spacing w:after="0"/>
              <w:rPr>
                <w:sz w:val="20"/>
                <w:szCs w:val="20"/>
                <w:color w:val="auto"/>
              </w:rPr>
            </w:pPr>
            <w:r>
              <w:rPr>
                <w:rFonts w:ascii="Arial" w:cs="Arial" w:eastAsia="Arial" w:hAnsi="Arial"/>
                <w:sz w:val="14"/>
                <w:szCs w:val="14"/>
                <w:b w:val="1"/>
                <w:bCs w:val="1"/>
                <w:color w:val="auto"/>
                <w:w w:val="95"/>
              </w:rPr>
              <w:t>Capital Buffer</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Well Capitalized</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99"/>
              <w:spacing w:after="0" w:line="142" w:lineRule="exact"/>
              <w:rPr>
                <w:sz w:val="20"/>
                <w:szCs w:val="20"/>
                <w:color w:val="auto"/>
              </w:rPr>
            </w:pPr>
            <w:r>
              <w:rPr>
                <w:rFonts w:ascii="Arial" w:cs="Arial" w:eastAsia="Arial" w:hAnsi="Arial"/>
                <w:sz w:val="14"/>
                <w:szCs w:val="14"/>
                <w:b w:val="1"/>
                <w:bCs w:val="1"/>
                <w:color w:val="auto"/>
              </w:rPr>
              <w:t>Amount</w:t>
            </w:r>
          </w:p>
        </w:tc>
        <w:tc>
          <w:tcPr>
            <w:tcW w:w="8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Ratio</w:t>
            </w:r>
          </w:p>
        </w:tc>
        <w:tc>
          <w:tcPr>
            <w:tcW w:w="20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743"/>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7"/>
              </w:rPr>
              <w:t>Ratio</w:t>
            </w: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01"/>
              <w:spacing w:after="0" w:line="142" w:lineRule="exact"/>
              <w:rPr>
                <w:sz w:val="20"/>
                <w:szCs w:val="20"/>
                <w:color w:val="auto"/>
              </w:rPr>
            </w:pPr>
            <w:r>
              <w:rPr>
                <w:rFonts w:ascii="Arial" w:cs="Arial" w:eastAsia="Arial" w:hAnsi="Arial"/>
                <w:sz w:val="14"/>
                <w:szCs w:val="14"/>
                <w:b w:val="1"/>
                <w:bCs w:val="1"/>
                <w:color w:val="auto"/>
              </w:rPr>
              <w:t>Amount</w:t>
            </w:r>
          </w:p>
        </w:tc>
        <w:tc>
          <w:tcPr>
            <w:tcW w:w="10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 of March 31, 2017:</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4"/>
              </w:rPr>
              <w:t>Total Capital (to Risk Weighted Assets)</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Consolidated</w:t>
            </w:r>
          </w:p>
        </w:tc>
        <w:tc>
          <w:tcPr>
            <w:tcW w:w="140" w:type="dxa"/>
            <w:vAlign w:val="bottom"/>
            <w:tcBorders>
              <w:top w:val="single" w:sz="8" w:color="CCEEFF"/>
            </w:tcBorders>
          </w:tcPr>
          <w:p>
            <w:pPr>
              <w:spacing w:after="0"/>
              <w:rPr>
                <w:sz w:val="20"/>
                <w:szCs w:val="20"/>
                <w:color w:val="auto"/>
              </w:rPr>
            </w:pPr>
          </w:p>
        </w:tc>
        <w:tc>
          <w:tcPr>
            <w:tcW w:w="30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tcPr>
          <w:p>
            <w:pPr>
              <w:jc w:val="right"/>
              <w:ind w:right="359"/>
              <w:spacing w:after="0"/>
              <w:rPr>
                <w:sz w:val="20"/>
                <w:szCs w:val="20"/>
                <w:color w:val="auto"/>
              </w:rPr>
            </w:pPr>
            <w:r>
              <w:rPr>
                <w:rFonts w:ascii="Arial" w:cs="Arial" w:eastAsia="Arial" w:hAnsi="Arial"/>
                <w:sz w:val="18"/>
                <w:szCs w:val="18"/>
                <w:color w:val="auto"/>
              </w:rPr>
              <w:t>613,980</w:t>
            </w:r>
          </w:p>
        </w:tc>
        <w:tc>
          <w:tcPr>
            <w:tcW w:w="118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14.87% $</w:t>
            </w:r>
          </w:p>
        </w:tc>
        <w:tc>
          <w:tcPr>
            <w:tcW w:w="1400" w:type="dxa"/>
            <w:vAlign w:val="bottom"/>
            <w:tcBorders>
              <w:top w:val="single" w:sz="8" w:color="CCEEFF"/>
            </w:tcBorders>
          </w:tcPr>
          <w:p>
            <w:pPr>
              <w:jc w:val="right"/>
              <w:ind w:right="483"/>
              <w:spacing w:after="0"/>
              <w:rPr>
                <w:sz w:val="20"/>
                <w:szCs w:val="20"/>
                <w:color w:val="auto"/>
              </w:rPr>
            </w:pPr>
            <w:r>
              <w:rPr>
                <w:rFonts w:ascii="Arial" w:cs="Arial" w:eastAsia="Arial" w:hAnsi="Arial"/>
                <w:sz w:val="18"/>
                <w:szCs w:val="18"/>
                <w:color w:val="auto"/>
              </w:rPr>
              <w:t>382,037</w:t>
            </w:r>
          </w:p>
        </w:tc>
        <w:tc>
          <w:tcPr>
            <w:tcW w:w="360" w:type="dxa"/>
            <w:vAlign w:val="bottom"/>
            <w:tcBorders>
              <w:top w:val="single" w:sz="8" w:color="CCEEFF"/>
            </w:tcBorders>
          </w:tcPr>
          <w:p>
            <w:pPr>
              <w:spacing w:after="0"/>
              <w:rPr>
                <w:sz w:val="20"/>
                <w:szCs w:val="20"/>
                <w:color w:val="auto"/>
              </w:rPr>
            </w:pPr>
          </w:p>
        </w:tc>
        <w:tc>
          <w:tcPr>
            <w:tcW w:w="72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w w:val="93"/>
              </w:rPr>
              <w:t>9.25% $</w:t>
            </w:r>
          </w:p>
        </w:tc>
        <w:tc>
          <w:tcPr>
            <w:tcW w:w="1160" w:type="dxa"/>
            <w:vAlign w:val="bottom"/>
            <w:tcBorders>
              <w:top w:val="single" w:sz="8" w:color="CCEEFF"/>
            </w:tcBorders>
          </w:tcPr>
          <w:p>
            <w:pPr>
              <w:jc w:val="right"/>
              <w:ind w:right="241"/>
              <w:spacing w:after="0"/>
              <w:rPr>
                <w:sz w:val="20"/>
                <w:szCs w:val="20"/>
                <w:color w:val="auto"/>
              </w:rPr>
            </w:pPr>
            <w:r>
              <w:rPr>
                <w:rFonts w:ascii="Arial" w:cs="Arial" w:eastAsia="Arial" w:hAnsi="Arial"/>
                <w:sz w:val="18"/>
                <w:szCs w:val="18"/>
                <w:color w:val="auto"/>
              </w:rPr>
              <w:t>413,013</w:t>
            </w:r>
          </w:p>
        </w:tc>
        <w:tc>
          <w:tcPr>
            <w:tcW w:w="12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Busey Bank</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8"/>
                <w:szCs w:val="18"/>
                <w:color w:val="auto"/>
              </w:rPr>
              <w:t>566,854</w:t>
            </w:r>
          </w:p>
        </w:tc>
        <w:tc>
          <w:tcPr>
            <w:tcW w:w="1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13.84% $</w:t>
            </w:r>
          </w:p>
        </w:tc>
        <w:tc>
          <w:tcPr>
            <w:tcW w:w="1400" w:type="dxa"/>
            <w:vAlign w:val="bottom"/>
            <w:tcBorders>
              <w:bottom w:val="single" w:sz="8" w:color="CCEEFF"/>
            </w:tcBorders>
            <w:shd w:val="clear" w:color="auto" w:fill="CCEEFF"/>
          </w:tcPr>
          <w:p>
            <w:pPr>
              <w:jc w:val="right"/>
              <w:ind w:right="483"/>
              <w:spacing w:after="0"/>
              <w:rPr>
                <w:sz w:val="20"/>
                <w:szCs w:val="20"/>
                <w:color w:val="auto"/>
              </w:rPr>
            </w:pPr>
            <w:r>
              <w:rPr>
                <w:rFonts w:ascii="Arial" w:cs="Arial" w:eastAsia="Arial" w:hAnsi="Arial"/>
                <w:sz w:val="18"/>
                <w:szCs w:val="18"/>
                <w:color w:val="auto"/>
              </w:rPr>
              <w:t>378,971</w:t>
            </w: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9.25% $</w:t>
            </w:r>
          </w:p>
        </w:tc>
        <w:tc>
          <w:tcPr>
            <w:tcW w:w="116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8"/>
                <w:szCs w:val="18"/>
                <w:color w:val="auto"/>
              </w:rPr>
              <w:t>409,698</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28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2" w:name="page23"/>
    <w:bookmarkEnd w:id="22"/>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3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1"/>
              </w:rPr>
              <w:t>Tier 1 Capital (to Risk Weighted</w:t>
            </w:r>
          </w:p>
        </w:tc>
        <w:tc>
          <w:tcPr>
            <w:tcW w:w="640" w:type="dxa"/>
            <w:vAlign w:val="bottom"/>
            <w:tcBorders>
              <w:bottom w:val="single" w:sz="8" w:color="CCEEFF"/>
            </w:tcBorders>
            <w:gridSpan w:val="3"/>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96"/>
        </w:trPr>
        <w:tc>
          <w:tcPr>
            <w:tcW w:w="2980" w:type="dxa"/>
            <w:vAlign w:val="bottom"/>
            <w:gridSpan w:val="7"/>
            <w:shd w:val="clear" w:color="auto" w:fill="CCEEFF"/>
          </w:tcPr>
          <w:p>
            <w:pPr>
              <w:ind w:left="180"/>
              <w:spacing w:after="0" w:line="196" w:lineRule="exact"/>
              <w:rPr>
                <w:sz w:val="20"/>
                <w:szCs w:val="20"/>
                <w:color w:val="auto"/>
              </w:rPr>
            </w:pPr>
            <w:r>
              <w:rPr>
                <w:rFonts w:ascii="Arial" w:cs="Arial" w:eastAsia="Arial" w:hAnsi="Arial"/>
                <w:sz w:val="18"/>
                <w:szCs w:val="18"/>
                <w:color w:val="auto"/>
              </w:rPr>
              <w:t>Assets)</w:t>
            </w: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2800" w:type="dxa"/>
            <w:vAlign w:val="bottom"/>
            <w:gridSpan w:val="6"/>
          </w:tcPr>
          <w:p>
            <w:pPr>
              <w:spacing w:after="0"/>
              <w:rPr>
                <w:sz w:val="20"/>
                <w:szCs w:val="20"/>
                <w:color w:val="auto"/>
              </w:rPr>
            </w:pPr>
            <w:r>
              <w:rPr>
                <w:rFonts w:ascii="Arial" w:cs="Arial" w:eastAsia="Arial" w:hAnsi="Arial"/>
                <w:sz w:val="18"/>
                <w:szCs w:val="18"/>
                <w:color w:val="auto"/>
              </w:rPr>
              <w:t>Consolidated</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0"/>
              <w:spacing w:after="0"/>
              <w:rPr>
                <w:sz w:val="20"/>
                <w:szCs w:val="20"/>
                <w:color w:val="auto"/>
              </w:rPr>
            </w:pPr>
            <w:r>
              <w:rPr>
                <w:rFonts w:ascii="Arial" w:cs="Arial" w:eastAsia="Arial" w:hAnsi="Arial"/>
                <w:sz w:val="18"/>
                <w:szCs w:val="18"/>
                <w:color w:val="auto"/>
              </w:rPr>
              <w:t>565,391</w:t>
            </w:r>
          </w:p>
        </w:tc>
        <w:tc>
          <w:tcPr>
            <w:tcW w:w="1000" w:type="dxa"/>
            <w:vAlign w:val="bottom"/>
          </w:tcPr>
          <w:p>
            <w:pPr>
              <w:jc w:val="right"/>
              <w:spacing w:after="0"/>
              <w:rPr>
                <w:sz w:val="20"/>
                <w:szCs w:val="20"/>
                <w:color w:val="auto"/>
              </w:rPr>
            </w:pPr>
            <w:r>
              <w:rPr>
                <w:rFonts w:ascii="Arial" w:cs="Arial" w:eastAsia="Arial" w:hAnsi="Arial"/>
                <w:sz w:val="18"/>
                <w:szCs w:val="18"/>
                <w:color w:val="auto"/>
              </w:rPr>
              <w:t>13.69%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299,434</w:t>
            </w:r>
          </w:p>
        </w:tc>
        <w:tc>
          <w:tcPr>
            <w:tcW w:w="960" w:type="dxa"/>
            <w:vAlign w:val="bottom"/>
          </w:tcPr>
          <w:p>
            <w:pPr>
              <w:jc w:val="right"/>
              <w:spacing w:after="0"/>
              <w:rPr>
                <w:sz w:val="20"/>
                <w:szCs w:val="20"/>
                <w:color w:val="auto"/>
              </w:rPr>
            </w:pPr>
            <w:r>
              <w:rPr>
                <w:rFonts w:ascii="Arial" w:cs="Arial" w:eastAsia="Arial" w:hAnsi="Arial"/>
                <w:sz w:val="18"/>
                <w:szCs w:val="18"/>
                <w:color w:val="auto"/>
              </w:rPr>
              <w:t>7.25%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330,410</w:t>
            </w:r>
          </w:p>
        </w:tc>
        <w:tc>
          <w:tcPr>
            <w:tcW w:w="1000" w:type="dxa"/>
            <w:vAlign w:val="bottom"/>
          </w:tcPr>
          <w:p>
            <w:pPr>
              <w:ind w:left="520"/>
              <w:spacing w:after="0"/>
              <w:rPr>
                <w:sz w:val="20"/>
                <w:szCs w:val="20"/>
                <w:color w:val="auto"/>
              </w:rPr>
            </w:pPr>
            <w:r>
              <w:rPr>
                <w:rFonts w:ascii="Arial" w:cs="Arial" w:eastAsia="Arial" w:hAnsi="Arial"/>
                <w:sz w:val="18"/>
                <w:szCs w:val="18"/>
                <w:color w:val="auto"/>
                <w:w w:val="90"/>
              </w:rPr>
              <w:t>8.00%</w:t>
            </w:r>
          </w:p>
        </w:tc>
      </w:tr>
      <w:tr>
        <w:trPr>
          <w:trHeight w:val="26"/>
        </w:trPr>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Busey Bank</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518,265</w:t>
            </w:r>
          </w:p>
        </w:tc>
        <w:tc>
          <w:tcPr>
            <w:tcW w:w="1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12.65% $</w:t>
            </w:r>
          </w:p>
        </w:tc>
        <w:tc>
          <w:tcPr>
            <w:tcW w:w="1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297,032</w:t>
            </w:r>
          </w:p>
        </w:tc>
        <w:tc>
          <w:tcPr>
            <w:tcW w:w="1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7.25% $</w:t>
            </w: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327,759</w:t>
            </w:r>
          </w:p>
        </w:tc>
        <w:tc>
          <w:tcPr>
            <w:tcW w:w="1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0"/>
              </w:rPr>
              <w:t>8.00%</w:t>
            </w:r>
          </w:p>
        </w:tc>
      </w:tr>
      <w:tr>
        <w:trPr>
          <w:trHeight w:val="257"/>
        </w:trPr>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76"/>
        </w:trPr>
        <w:tc>
          <w:tcPr>
            <w:tcW w:w="29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w w:val="96"/>
              </w:rPr>
              <w:t>Common Equity Tier 1 Capital (to Risk</w:t>
            </w: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7"/>
        </w:trPr>
        <w:tc>
          <w:tcPr>
            <w:tcW w:w="2840" w:type="dxa"/>
            <w:vAlign w:val="bottom"/>
            <w:tcBorders>
              <w:top w:val="single" w:sz="8" w:color="auto"/>
            </w:tcBorders>
            <w:gridSpan w:val="6"/>
            <w:shd w:val="clear" w:color="auto" w:fill="CCEEFF"/>
          </w:tcPr>
          <w:p>
            <w:pPr>
              <w:ind w:left="180"/>
              <w:spacing w:after="0" w:line="196" w:lineRule="exact"/>
              <w:rPr>
                <w:sz w:val="20"/>
                <w:szCs w:val="20"/>
                <w:color w:val="auto"/>
              </w:rPr>
            </w:pPr>
            <w:r>
              <w:rPr>
                <w:rFonts w:ascii="Arial" w:cs="Arial" w:eastAsia="Arial" w:hAnsi="Arial"/>
                <w:sz w:val="18"/>
                <w:szCs w:val="18"/>
                <w:color w:val="auto"/>
              </w:rPr>
              <w:t>Weighted Assets)</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r>
      <w:tr>
        <w:trPr>
          <w:trHeight w:val="230"/>
        </w:trPr>
        <w:tc>
          <w:tcPr>
            <w:tcW w:w="180" w:type="dxa"/>
            <w:vAlign w:val="bottom"/>
            <w:tcBorders>
              <w:top w:val="single" w:sz="8" w:color="CCEEFF"/>
            </w:tcBorders>
          </w:tcPr>
          <w:p>
            <w:pPr>
              <w:spacing w:after="0"/>
              <w:rPr>
                <w:sz w:val="20"/>
                <w:szCs w:val="20"/>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Consolidated</w:t>
            </w:r>
          </w:p>
        </w:tc>
        <w:tc>
          <w:tcPr>
            <w:tcW w:w="1540" w:type="dxa"/>
            <w:vAlign w:val="bottom"/>
            <w:tcBorders>
              <w:top w:val="single" w:sz="8" w:color="CCEEFF"/>
            </w:tcBorders>
            <w:gridSpan w:val="4"/>
          </w:tcPr>
          <w:p>
            <w:pPr>
              <w:spacing w:after="0"/>
              <w:rPr>
                <w:sz w:val="20"/>
                <w:szCs w:val="20"/>
                <w:color w:val="auto"/>
              </w:rPr>
            </w:pPr>
          </w:p>
        </w:tc>
        <w:tc>
          <w:tcPr>
            <w:tcW w:w="4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tcPr>
          <w:p>
            <w:pPr>
              <w:jc w:val="right"/>
              <w:ind w:right="330"/>
              <w:spacing w:after="0"/>
              <w:rPr>
                <w:sz w:val="20"/>
                <w:szCs w:val="20"/>
                <w:color w:val="auto"/>
              </w:rPr>
            </w:pPr>
            <w:r>
              <w:rPr>
                <w:rFonts w:ascii="Arial" w:cs="Arial" w:eastAsia="Arial" w:hAnsi="Arial"/>
                <w:sz w:val="18"/>
                <w:szCs w:val="18"/>
                <w:color w:val="auto"/>
              </w:rPr>
              <w:t>491,391</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11.90%</w:t>
            </w:r>
          </w:p>
        </w:tc>
        <w:tc>
          <w:tcPr>
            <w:tcW w:w="2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ind w:right="370"/>
              <w:spacing w:after="0"/>
              <w:rPr>
                <w:sz w:val="20"/>
                <w:szCs w:val="20"/>
                <w:color w:val="auto"/>
              </w:rPr>
            </w:pPr>
            <w:r>
              <w:rPr>
                <w:rFonts w:ascii="Arial" w:cs="Arial" w:eastAsia="Arial" w:hAnsi="Arial"/>
                <w:sz w:val="18"/>
                <w:szCs w:val="18"/>
                <w:color w:val="auto"/>
              </w:rPr>
              <w:t>237,483</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5.75%</w:t>
            </w:r>
          </w:p>
        </w:tc>
        <w:tc>
          <w:tcPr>
            <w:tcW w:w="30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tcPr>
          <w:p>
            <w:pPr>
              <w:jc w:val="right"/>
              <w:ind w:right="450"/>
              <w:spacing w:after="0"/>
              <w:rPr>
                <w:sz w:val="20"/>
                <w:szCs w:val="20"/>
                <w:color w:val="auto"/>
              </w:rPr>
            </w:pPr>
            <w:r>
              <w:rPr>
                <w:rFonts w:ascii="Arial" w:cs="Arial" w:eastAsia="Arial" w:hAnsi="Arial"/>
                <w:sz w:val="18"/>
                <w:szCs w:val="18"/>
                <w:color w:val="auto"/>
              </w:rPr>
              <w:t>268,458</w:t>
            </w:r>
          </w:p>
        </w:tc>
        <w:tc>
          <w:tcPr>
            <w:tcW w:w="1000" w:type="dxa"/>
            <w:vAlign w:val="bottom"/>
            <w:tcBorders>
              <w:top w:val="single" w:sz="8" w:color="CCEEFF"/>
            </w:tcBorders>
          </w:tcPr>
          <w:p>
            <w:pPr>
              <w:ind w:left="520"/>
              <w:spacing w:after="0"/>
              <w:rPr>
                <w:sz w:val="20"/>
                <w:szCs w:val="20"/>
                <w:color w:val="auto"/>
              </w:rPr>
            </w:pPr>
            <w:r>
              <w:rPr>
                <w:rFonts w:ascii="Arial" w:cs="Arial" w:eastAsia="Arial" w:hAnsi="Arial"/>
                <w:sz w:val="18"/>
                <w:szCs w:val="18"/>
                <w:color w:val="auto"/>
                <w:w w:val="90"/>
              </w:rPr>
              <w:t>6.50%</w:t>
            </w:r>
          </w:p>
        </w:tc>
      </w:tr>
      <w:tr>
        <w:trPr>
          <w:trHeight w:val="26"/>
        </w:trPr>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Busey Bank</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518,265</w:t>
            </w:r>
          </w:p>
        </w:tc>
        <w:tc>
          <w:tcPr>
            <w:tcW w:w="1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12.65% $</w:t>
            </w:r>
          </w:p>
        </w:tc>
        <w:tc>
          <w:tcPr>
            <w:tcW w:w="1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235,577</w:t>
            </w:r>
          </w:p>
        </w:tc>
        <w:tc>
          <w:tcPr>
            <w:tcW w:w="1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5.75% $</w:t>
            </w:r>
          </w:p>
        </w:tc>
        <w:tc>
          <w:tcPr>
            <w:tcW w:w="13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266,304</w:t>
            </w:r>
          </w:p>
        </w:tc>
        <w:tc>
          <w:tcPr>
            <w:tcW w:w="1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0"/>
              </w:rPr>
              <w:t>6.50%</w:t>
            </w:r>
          </w:p>
        </w:tc>
      </w:tr>
      <w:tr>
        <w:trPr>
          <w:trHeight w:val="257"/>
        </w:trPr>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7"/>
        </w:trPr>
        <w:tc>
          <w:tcPr>
            <w:tcW w:w="298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auto"/>
              </w:rPr>
              <w:t>Tier 1 Capital (to Average Assets)</w:t>
            </w: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18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Consolidated</w:t>
            </w:r>
          </w:p>
        </w:tc>
        <w:tc>
          <w:tcPr>
            <w:tcW w:w="540" w:type="dxa"/>
            <w:vAlign w:val="bottom"/>
            <w:tcBorders>
              <w:top w:val="single" w:sz="8" w:color="CCEEFF"/>
            </w:tcBorders>
            <w:gridSpan w:val="2"/>
          </w:tcPr>
          <w:p>
            <w:pPr>
              <w:spacing w:after="0"/>
              <w:rPr>
                <w:sz w:val="20"/>
                <w:szCs w:val="20"/>
                <w:color w:val="auto"/>
              </w:rPr>
            </w:pPr>
          </w:p>
        </w:tc>
        <w:tc>
          <w:tcPr>
            <w:tcW w:w="4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tcPr>
          <w:p>
            <w:pPr>
              <w:jc w:val="right"/>
              <w:ind w:right="330"/>
              <w:spacing w:after="0"/>
              <w:rPr>
                <w:sz w:val="20"/>
                <w:szCs w:val="20"/>
                <w:color w:val="auto"/>
              </w:rPr>
            </w:pPr>
            <w:r>
              <w:rPr>
                <w:rFonts w:ascii="Arial" w:cs="Arial" w:eastAsia="Arial" w:hAnsi="Arial"/>
                <w:sz w:val="18"/>
                <w:szCs w:val="18"/>
                <w:color w:val="auto"/>
              </w:rPr>
              <w:t>565,391</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10.92%</w:t>
            </w:r>
          </w:p>
        </w:tc>
        <w:tc>
          <w:tcPr>
            <w:tcW w:w="2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ind w:right="370"/>
              <w:spacing w:after="0"/>
              <w:rPr>
                <w:sz w:val="20"/>
                <w:szCs w:val="20"/>
                <w:color w:val="auto"/>
              </w:rPr>
            </w:pPr>
            <w:r>
              <w:rPr>
                <w:rFonts w:ascii="Arial" w:cs="Arial" w:eastAsia="Arial" w:hAnsi="Arial"/>
                <w:sz w:val="18"/>
                <w:szCs w:val="18"/>
                <w:color w:val="auto"/>
              </w:rPr>
              <w:t>207,159</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jc w:val="right"/>
              <w:ind w:right="450"/>
              <w:spacing w:after="0"/>
              <w:rPr>
                <w:sz w:val="20"/>
                <w:szCs w:val="20"/>
                <w:color w:val="auto"/>
              </w:rPr>
            </w:pPr>
            <w:r>
              <w:rPr>
                <w:rFonts w:ascii="Arial" w:cs="Arial" w:eastAsia="Arial" w:hAnsi="Arial"/>
                <w:sz w:val="18"/>
                <w:szCs w:val="18"/>
                <w:color w:val="auto"/>
              </w:rPr>
              <w:t>N/A</w:t>
            </w:r>
          </w:p>
        </w:tc>
        <w:tc>
          <w:tcPr>
            <w:tcW w:w="1000" w:type="dxa"/>
            <w:vAlign w:val="bottom"/>
            <w:tcBorders>
              <w:top w:val="single" w:sz="8" w:color="CCEEFF"/>
            </w:tcBorders>
          </w:tcPr>
          <w:p>
            <w:pPr>
              <w:ind w:left="520"/>
              <w:spacing w:after="0"/>
              <w:rPr>
                <w:sz w:val="20"/>
                <w:szCs w:val="20"/>
                <w:color w:val="auto"/>
              </w:rPr>
            </w:pPr>
            <w:r>
              <w:rPr>
                <w:rFonts w:ascii="Arial" w:cs="Arial" w:eastAsia="Arial" w:hAnsi="Arial"/>
                <w:sz w:val="18"/>
                <w:szCs w:val="18"/>
                <w:color w:val="auto"/>
              </w:rPr>
              <w:t>N/A</w:t>
            </w:r>
          </w:p>
        </w:tc>
      </w:tr>
      <w:tr>
        <w:trPr>
          <w:trHeight w:val="26"/>
        </w:trPr>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180" w:type="dxa"/>
            <w:vAlign w:val="bottom"/>
            <w:shd w:val="clear" w:color="auto" w:fill="CCEEFF"/>
          </w:tcPr>
          <w:p>
            <w:pPr>
              <w:spacing w:after="0"/>
              <w:rPr>
                <w:sz w:val="20"/>
                <w:szCs w:val="20"/>
                <w:color w:val="auto"/>
              </w:rPr>
            </w:pPr>
          </w:p>
        </w:tc>
        <w:tc>
          <w:tcPr>
            <w:tcW w:w="28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Busey Bank</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518,265</w:t>
            </w:r>
          </w:p>
        </w:tc>
        <w:tc>
          <w:tcPr>
            <w:tcW w:w="1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10.06% $</w:t>
            </w: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206,130</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4.00% $</w:t>
            </w:r>
          </w:p>
        </w:tc>
        <w:tc>
          <w:tcPr>
            <w:tcW w:w="1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257,662</w:t>
            </w:r>
          </w:p>
        </w:tc>
        <w:tc>
          <w:tcPr>
            <w:tcW w:w="10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5.00%</w:t>
            </w:r>
          </w:p>
        </w:tc>
      </w:tr>
      <w:tr>
        <w:trPr>
          <w:trHeight w:val="26"/>
        </w:trPr>
        <w:tc>
          <w:tcPr>
            <w:tcW w:w="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Operating Segments and Related Information</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has three reportable operating segments, Banking, Remittance Processing and Wealth Management. The Banking operating segment provides a full range of banking services to individual and corporate customers through its branch network in downstate Illinois, St. Louis, Missouri metropolitan area, southwest Florida and through its branch in Indianapolis, Indiana.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7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segment financial information provided below has been derived from the internal accounting system used by management to monitor and manage the financial performance of the Company. The accounting policies of the three segments are the same as those described in the summary of significant accounting policies in the Company’s Annual Report on Form 10-K for the year ended December 31, 2016.</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is a summary of selected financial information for the Company’s operating segments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Goodwill</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Total Assets</w:t>
            </w: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tcPr>
          <w:p>
            <w:pPr>
              <w:jc w:val="center"/>
              <w:ind w:right="203"/>
              <w:spacing w:after="0" w:line="119" w:lineRule="exact"/>
              <w:rPr>
                <w:sz w:val="20"/>
                <w:szCs w:val="20"/>
                <w:color w:val="auto"/>
              </w:rPr>
            </w:pPr>
            <w:r>
              <w:rPr>
                <w:rFonts w:ascii="Arial" w:cs="Arial" w:eastAsia="Arial" w:hAnsi="Arial"/>
                <w:sz w:val="13"/>
                <w:szCs w:val="13"/>
                <w:b w:val="1"/>
                <w:bCs w:val="1"/>
                <w:color w:val="auto"/>
              </w:rPr>
              <w:t>March 31,</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4"/>
          </w:tcPr>
          <w:p>
            <w:pPr>
              <w:jc w:val="right"/>
              <w:ind w:right="230"/>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4"/>
          </w:tcPr>
          <w:p>
            <w:pPr>
              <w:jc w:val="right"/>
              <w:ind w:right="580"/>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ind w:right="236"/>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Banking</w:t>
            </w:r>
          </w:p>
        </w:tc>
        <w:tc>
          <w:tcPr>
            <w:tcW w:w="1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82,128</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82,128</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5,386,689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5,369,669</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Arial" w:cs="Arial" w:eastAsia="Arial" w:hAnsi="Arial"/>
                <w:sz w:val="18"/>
                <w:szCs w:val="18"/>
                <w:color w:val="auto"/>
                <w:w w:val="96"/>
              </w:rPr>
              <w:t>Remittance Processing</w:t>
            </w: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8,992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8,992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32,758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32,379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1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28,626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28,351</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(9,138)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Totals</w:t>
            </w:r>
          </w:p>
        </w:tc>
        <w:tc>
          <w:tcPr>
            <w:tcW w:w="14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102,814</w:t>
            </w:r>
          </w:p>
        </w:tc>
        <w:tc>
          <w:tcPr>
            <w:tcW w:w="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102,814</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5,438,935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5,425,170</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9"/>
              </w:rPr>
              <w:t>Net interest income:</w:t>
            </w:r>
          </w:p>
        </w:tc>
        <w:tc>
          <w:tcPr>
            <w:tcW w:w="1280" w:type="dxa"/>
            <w:vAlign w:val="bottom"/>
            <w:tcBorders>
              <w:bottom w:val="single" w:sz="8" w:color="CCEEFF"/>
            </w:tcBorders>
            <w:gridSpan w:val="5"/>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gridSpan w:val="6"/>
          </w:tcPr>
          <w:p>
            <w:pPr>
              <w:ind w:left="180"/>
              <w:spacing w:after="0"/>
              <w:rPr>
                <w:sz w:val="20"/>
                <w:szCs w:val="20"/>
                <w:color w:val="auto"/>
              </w:rPr>
            </w:pPr>
            <w:r>
              <w:rPr>
                <w:rFonts w:ascii="Arial" w:cs="Arial" w:eastAsia="Arial" w:hAnsi="Arial"/>
                <w:sz w:val="18"/>
                <w:szCs w:val="18"/>
                <w:color w:val="auto"/>
              </w:rPr>
              <w:t>Banking</w:t>
            </w:r>
          </w:p>
        </w:tc>
        <w:tc>
          <w:tcPr>
            <w:tcW w:w="1220" w:type="dxa"/>
            <w:vAlign w:val="bottom"/>
            <w:gridSpan w:val="2"/>
          </w:tcPr>
          <w:p>
            <w:pPr>
              <w:jc w:val="right"/>
              <w:ind w:right="14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42,542</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28,212</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gridSpan w:val="6"/>
          </w:tcPr>
          <w:p>
            <w:pPr>
              <w:ind w:left="180"/>
              <w:spacing w:after="0"/>
              <w:rPr>
                <w:sz w:val="20"/>
                <w:szCs w:val="20"/>
                <w:color w:val="auto"/>
              </w:rPr>
            </w:pPr>
            <w:r>
              <w:rPr>
                <w:rFonts w:ascii="Arial" w:cs="Arial" w:eastAsia="Arial" w:hAnsi="Arial"/>
                <w:sz w:val="18"/>
                <w:szCs w:val="18"/>
                <w:color w:val="auto"/>
              </w:rPr>
              <w:t>Wealth Management</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74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w:t>
            </w: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740" w:type="dxa"/>
            <w:vAlign w:val="bottom"/>
            <w:tcBorders>
              <w:bottom w:val="single" w:sz="8" w:color="CCEEFF"/>
            </w:tcBorders>
            <w:gridSpan w:val="6"/>
          </w:tcPr>
          <w:p>
            <w:pPr>
              <w:ind w:left="360"/>
              <w:spacing w:after="0"/>
              <w:rPr>
                <w:sz w:val="20"/>
                <w:szCs w:val="20"/>
                <w:color w:val="auto"/>
              </w:rPr>
            </w:pPr>
            <w:r>
              <w:rPr>
                <w:rFonts w:ascii="Arial" w:cs="Arial" w:eastAsia="Arial" w:hAnsi="Arial"/>
                <w:sz w:val="18"/>
                <w:szCs w:val="18"/>
                <w:color w:val="auto"/>
              </w:rPr>
              <w:t>Total net interest income</w:t>
            </w:r>
          </w:p>
        </w:tc>
        <w:tc>
          <w:tcPr>
            <w:tcW w:w="9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42,013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27,942</w:t>
            </w:r>
          </w:p>
        </w:tc>
        <w:tc>
          <w:tcPr>
            <w:tcW w:w="180" w:type="dxa"/>
            <w:vAlign w:val="bottom"/>
            <w:tcBorders>
              <w:bottom w:val="single" w:sz="8" w:color="CCEEFF"/>
            </w:tcBorders>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740" w:type="dxa"/>
            <w:vAlign w:val="bottom"/>
            <w:gridSpan w:val="6"/>
          </w:tcPr>
          <w:p>
            <w:pPr>
              <w:spacing w:after="0" w:line="189" w:lineRule="exact"/>
              <w:rPr>
                <w:sz w:val="20"/>
                <w:szCs w:val="20"/>
                <w:color w:val="auto"/>
              </w:rPr>
            </w:pPr>
            <w:r>
              <w:rPr>
                <w:rFonts w:ascii="Arial" w:cs="Arial" w:eastAsia="Arial" w:hAnsi="Arial"/>
                <w:sz w:val="18"/>
                <w:szCs w:val="18"/>
                <w:color w:val="auto"/>
              </w:rPr>
              <w:t>Non-interest income:</w:t>
            </w: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1220" w:type="dxa"/>
            <w:vAlign w:val="bottom"/>
            <w:tcBorders>
              <w:bottom w:val="single" w:sz="8" w:color="CCEEFF"/>
            </w:tcBorders>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10,454</w:t>
            </w:r>
          </w:p>
        </w:tc>
        <w:tc>
          <w:tcPr>
            <w:tcW w:w="6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7,790</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gridSpan w:val="6"/>
          </w:tcPr>
          <w:p>
            <w:pPr>
              <w:ind w:left="180"/>
              <w:spacing w:after="0"/>
              <w:rPr>
                <w:sz w:val="20"/>
                <w:szCs w:val="20"/>
                <w:color w:val="auto"/>
              </w:rPr>
            </w:pPr>
            <w:r>
              <w:rPr>
                <w:rFonts w:ascii="Arial" w:cs="Arial" w:eastAsia="Arial" w:hAnsi="Arial"/>
                <w:sz w:val="18"/>
                <w:szCs w:val="18"/>
                <w:color w:val="auto"/>
              </w:rPr>
              <w:t>Remittance Processing</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3,024</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3,040</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7,017</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6,261</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gridSpan w:val="6"/>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(245)</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7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9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20,014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16,846</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auto"/>
              </w:rPr>
              <w:t>Non-interest expense:</w:t>
            </w: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6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rPr>
              <w:t>Banking</w:t>
            </w:r>
          </w:p>
        </w:tc>
        <w:tc>
          <w:tcPr>
            <w:tcW w:w="1180" w:type="dxa"/>
            <w:vAlign w:val="bottom"/>
            <w:tcBorders>
              <w:top w:val="single" w:sz="8" w:color="CCEEFF"/>
            </w:tcBorders>
            <w:gridSpan w:val="3"/>
          </w:tcPr>
          <w:p>
            <w:pPr>
              <w:spacing w:after="0"/>
              <w:rPr>
                <w:sz w:val="20"/>
                <w:szCs w:val="20"/>
                <w:color w:val="auto"/>
              </w:rPr>
            </w:pPr>
          </w:p>
        </w:tc>
        <w:tc>
          <w:tcPr>
            <w:tcW w:w="1220" w:type="dxa"/>
            <w:vAlign w:val="bottom"/>
            <w:tcBorders>
              <w:top w:val="single" w:sz="8" w:color="CCEEFF"/>
            </w:tcBorders>
            <w:gridSpan w:val="2"/>
          </w:tcPr>
          <w:p>
            <w:pPr>
              <w:jc w:val="right"/>
              <w:ind w:right="143"/>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0"/>
              </w:rPr>
              <w:t>29,290</w:t>
            </w:r>
          </w:p>
        </w:tc>
        <w:tc>
          <w:tcPr>
            <w:tcW w:w="600" w:type="dxa"/>
            <w:vAlign w:val="bottom"/>
            <w:tcBorders>
              <w:top w:val="single" w:sz="8" w:color="CCEEFF"/>
            </w:tcBorders>
            <w:gridSpan w:val="2"/>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6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w w:val="87"/>
              </w:rPr>
              <w:t>19,976</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2,290</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gridSpan w:val="6"/>
          </w:tcPr>
          <w:p>
            <w:pPr>
              <w:ind w:left="180"/>
              <w:spacing w:after="0"/>
              <w:rPr>
                <w:sz w:val="20"/>
                <w:szCs w:val="20"/>
                <w:color w:val="auto"/>
              </w:rPr>
            </w:pPr>
            <w:r>
              <w:rPr>
                <w:rFonts w:ascii="Arial" w:cs="Arial" w:eastAsia="Arial" w:hAnsi="Arial"/>
                <w:sz w:val="18"/>
                <w:szCs w:val="18"/>
                <w:color w:val="auto"/>
              </w:rPr>
              <w:t>Wealth Management</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3,964</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4,105</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74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w:t>
            </w: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1,317</w:t>
            </w: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740" w:type="dxa"/>
            <w:vAlign w:val="bottom"/>
            <w:tcBorders>
              <w:bottom w:val="single" w:sz="8" w:color="CCEEFF"/>
            </w:tcBorders>
            <w:gridSpan w:val="6"/>
          </w:tcPr>
          <w:p>
            <w:pPr>
              <w:ind w:left="360"/>
              <w:spacing w:after="0"/>
              <w:rPr>
                <w:sz w:val="20"/>
                <w:szCs w:val="20"/>
                <w:color w:val="auto"/>
              </w:rPr>
            </w:pPr>
            <w:r>
              <w:rPr>
                <w:rFonts w:ascii="Arial" w:cs="Arial" w:eastAsia="Arial" w:hAnsi="Arial"/>
                <w:sz w:val="18"/>
                <w:szCs w:val="18"/>
                <w:color w:val="auto"/>
              </w:rPr>
              <w:t>Total non-interest expense</w:t>
            </w:r>
          </w:p>
        </w:tc>
        <w:tc>
          <w:tcPr>
            <w:tcW w:w="9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37,619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27,688</w:t>
            </w:r>
          </w:p>
        </w:tc>
        <w:tc>
          <w:tcPr>
            <w:tcW w:w="180" w:type="dxa"/>
            <w:vAlign w:val="bottom"/>
            <w:tcBorders>
              <w:bottom w:val="single" w:sz="8" w:color="CCEEFF"/>
            </w:tcBorders>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740" w:type="dxa"/>
            <w:vAlign w:val="bottom"/>
            <w:gridSpan w:val="6"/>
          </w:tcPr>
          <w:p>
            <w:pPr>
              <w:spacing w:after="0" w:line="189" w:lineRule="exact"/>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tcBorders>
              <w:bottom w:val="single" w:sz="8" w:color="CCEEFF"/>
            </w:tcBorders>
            <w:gridSpan w:val="6"/>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1220" w:type="dxa"/>
            <w:vAlign w:val="bottom"/>
            <w:tcBorders>
              <w:bottom w:val="single" w:sz="8" w:color="CCEEFF"/>
            </w:tcBorders>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23,206</w:t>
            </w:r>
          </w:p>
        </w:tc>
        <w:tc>
          <w:tcPr>
            <w:tcW w:w="6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15,026</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40" w:type="dxa"/>
            <w:vAlign w:val="bottom"/>
            <w:gridSpan w:val="6"/>
          </w:tcPr>
          <w:p>
            <w:pPr>
              <w:ind w:left="180"/>
              <w:spacing w:after="0"/>
              <w:rPr>
                <w:sz w:val="20"/>
                <w:szCs w:val="20"/>
                <w:color w:val="auto"/>
              </w:rPr>
            </w:pPr>
            <w:r>
              <w:rPr>
                <w:rFonts w:ascii="Arial" w:cs="Arial" w:eastAsia="Arial" w:hAnsi="Arial"/>
                <w:sz w:val="18"/>
                <w:szCs w:val="18"/>
                <w:color w:val="auto"/>
              </w:rPr>
              <w:t>Remittance Processing</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764</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240" w:top="108" w:right="29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3,109</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2,222</w:t>
            </w:r>
          </w:p>
        </w:tc>
        <w:tc>
          <w:tcPr>
            <w:tcW w:w="266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36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(3,333)</w:t>
            </w:r>
          </w:p>
        </w:tc>
        <w:tc>
          <w:tcPr>
            <w:tcW w:w="4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(1,912)</w:t>
            </w:r>
          </w:p>
        </w:tc>
        <w:tc>
          <w:tcPr>
            <w:tcW w:w="2660" w:type="dxa"/>
            <w:vAlign w:val="bottom"/>
          </w:tcPr>
          <w:p>
            <w:pPr>
              <w:spacing w:after="0"/>
              <w:rPr>
                <w:sz w:val="20"/>
                <w:szCs w:val="20"/>
                <w:color w:val="auto"/>
              </w:rPr>
            </w:pPr>
          </w:p>
        </w:tc>
      </w:tr>
      <w:tr>
        <w:trPr>
          <w:trHeight w:val="26"/>
        </w:trPr>
        <w:tc>
          <w:tcPr>
            <w:tcW w:w="196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60" w:type="dxa"/>
            <w:vAlign w:val="bottom"/>
          </w:tcPr>
          <w:p>
            <w:pPr>
              <w:spacing w:after="0"/>
              <w:rPr>
                <w:sz w:val="2"/>
                <w:szCs w:val="2"/>
                <w:color w:val="auto"/>
              </w:rPr>
            </w:pPr>
          </w:p>
        </w:tc>
      </w:tr>
      <w:tr>
        <w:trPr>
          <w:trHeight w:val="223"/>
        </w:trPr>
        <w:tc>
          <w:tcPr>
            <w:tcW w:w="1960" w:type="dxa"/>
            <w:vAlign w:val="bottom"/>
          </w:tcPr>
          <w:p>
            <w:pPr>
              <w:spacing w:after="0"/>
              <w:rPr>
                <w:sz w:val="19"/>
                <w:szCs w:val="19"/>
                <w:color w:val="auto"/>
              </w:rPr>
            </w:pPr>
          </w:p>
        </w:tc>
        <w:tc>
          <w:tcPr>
            <w:tcW w:w="36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income before income taxes</w:t>
            </w: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23,908</w:t>
            </w:r>
          </w:p>
        </w:tc>
        <w:tc>
          <w:tcPr>
            <w:tcW w:w="2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16,100</w:t>
            </w:r>
          </w:p>
        </w:tc>
        <w:tc>
          <w:tcPr>
            <w:tcW w:w="180" w:type="dxa"/>
            <w:vAlign w:val="bottom"/>
            <w:tcBorders>
              <w:bottom w:val="single" w:sz="8" w:color="CCEEFF"/>
            </w:tcBorders>
            <w:shd w:val="clear" w:color="auto" w:fill="CCEEFF"/>
          </w:tcPr>
          <w:p>
            <w:pPr>
              <w:spacing w:after="0"/>
              <w:rPr>
                <w:sz w:val="19"/>
                <w:szCs w:val="19"/>
                <w:color w:val="auto"/>
              </w:rPr>
            </w:pPr>
          </w:p>
        </w:tc>
        <w:tc>
          <w:tcPr>
            <w:tcW w:w="2660" w:type="dxa"/>
            <w:vAlign w:val="bottom"/>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10"/>
        </w:trPr>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37"/>
        </w:trPr>
        <w:tc>
          <w:tcPr>
            <w:tcW w:w="1960" w:type="dxa"/>
            <w:vAlign w:val="bottom"/>
          </w:tcPr>
          <w:p>
            <w:pPr>
              <w:spacing w:after="0"/>
              <w:rPr>
                <w:sz w:val="20"/>
                <w:szCs w:val="20"/>
                <w:color w:val="auto"/>
              </w:rPr>
            </w:pPr>
          </w:p>
        </w:tc>
        <w:tc>
          <w:tcPr>
            <w:tcW w:w="8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9"/>
              </w:rPr>
              <w:t>Net income:</w:t>
            </w:r>
          </w:p>
        </w:tc>
        <w:tc>
          <w:tcPr>
            <w:tcW w:w="27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60" w:type="dxa"/>
            <w:vAlign w:val="bottom"/>
          </w:tcPr>
          <w:p>
            <w:pPr>
              <w:spacing w:after="0"/>
              <w:rPr>
                <w:sz w:val="20"/>
                <w:szCs w:val="20"/>
                <w:color w:val="auto"/>
              </w:rPr>
            </w:pPr>
          </w:p>
        </w:tc>
      </w:tr>
      <w:tr>
        <w:trPr>
          <w:trHeight w:val="230"/>
        </w:trPr>
        <w:tc>
          <w:tcPr>
            <w:tcW w:w="1960" w:type="dxa"/>
            <w:vAlign w:val="bottom"/>
          </w:tcPr>
          <w:p>
            <w:pPr>
              <w:spacing w:after="0"/>
              <w:rPr>
                <w:sz w:val="20"/>
                <w:szCs w:val="20"/>
                <w:color w:val="auto"/>
              </w:rPr>
            </w:pPr>
          </w:p>
        </w:tc>
        <w:tc>
          <w:tcPr>
            <w:tcW w:w="3660" w:type="dxa"/>
            <w:vAlign w:val="bottom"/>
            <w:gridSpan w:val="2"/>
          </w:tcPr>
          <w:p>
            <w:pPr>
              <w:ind w:left="180"/>
              <w:spacing w:after="0"/>
              <w:rPr>
                <w:sz w:val="20"/>
                <w:szCs w:val="20"/>
                <w:color w:val="auto"/>
              </w:rPr>
            </w:pPr>
            <w:r>
              <w:rPr>
                <w:rFonts w:ascii="Arial" w:cs="Arial" w:eastAsia="Arial" w:hAnsi="Arial"/>
                <w:sz w:val="18"/>
                <w:szCs w:val="18"/>
                <w:color w:val="auto"/>
              </w:rPr>
              <w:t>Banking</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14,749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9,703</w:t>
            </w:r>
          </w:p>
        </w:tc>
        <w:tc>
          <w:tcPr>
            <w:tcW w:w="2660" w:type="dxa"/>
            <w:vAlign w:val="bottom"/>
          </w:tcPr>
          <w:p>
            <w:pPr>
              <w:spacing w:after="0"/>
              <w:rPr>
                <w:sz w:val="20"/>
                <w:szCs w:val="20"/>
                <w:color w:val="auto"/>
              </w:rPr>
            </w:pPr>
          </w:p>
        </w:tc>
      </w:tr>
      <w:tr>
        <w:trPr>
          <w:trHeight w:val="26"/>
        </w:trPr>
        <w:tc>
          <w:tcPr>
            <w:tcW w:w="1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5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w:t>
            </w:r>
          </w:p>
        </w:tc>
        <w:tc>
          <w:tcPr>
            <w:tcW w:w="4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w:t>
            </w:r>
          </w:p>
        </w:tc>
        <w:tc>
          <w:tcPr>
            <w:tcW w:w="2660" w:type="dxa"/>
            <w:vAlign w:val="bottom"/>
          </w:tcPr>
          <w:p>
            <w:pPr>
              <w:spacing w:after="0"/>
              <w:rPr>
                <w:sz w:val="20"/>
                <w:szCs w:val="20"/>
                <w:color w:val="auto"/>
              </w:rPr>
            </w:pPr>
          </w:p>
        </w:tc>
      </w:tr>
      <w:tr>
        <w:trPr>
          <w:trHeight w:val="230"/>
        </w:trPr>
        <w:tc>
          <w:tcPr>
            <w:tcW w:w="1960" w:type="dxa"/>
            <w:vAlign w:val="bottom"/>
          </w:tcPr>
          <w:p>
            <w:pPr>
              <w:spacing w:after="0"/>
              <w:rPr>
                <w:sz w:val="20"/>
                <w:szCs w:val="20"/>
                <w:color w:val="auto"/>
              </w:rPr>
            </w:pPr>
          </w:p>
        </w:tc>
        <w:tc>
          <w:tcPr>
            <w:tcW w:w="3660" w:type="dxa"/>
            <w:vAlign w:val="bottom"/>
            <w:gridSpan w:val="2"/>
          </w:tcPr>
          <w:p>
            <w:pPr>
              <w:ind w:left="180"/>
              <w:spacing w:after="0"/>
              <w:rPr>
                <w:sz w:val="20"/>
                <w:szCs w:val="20"/>
                <w:color w:val="auto"/>
              </w:rPr>
            </w:pPr>
            <w:r>
              <w:rPr>
                <w:rFonts w:ascii="Arial" w:cs="Arial" w:eastAsia="Arial" w:hAnsi="Arial"/>
                <w:sz w:val="18"/>
                <w:szCs w:val="18"/>
                <w:color w:val="auto"/>
              </w:rPr>
              <w:t>Wealth Management</w:t>
            </w:r>
          </w:p>
        </w:tc>
        <w:tc>
          <w:tcPr>
            <w:tcW w:w="5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1,848</w:t>
            </w:r>
          </w:p>
        </w:tc>
        <w:tc>
          <w:tcPr>
            <w:tcW w:w="4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1,322</w:t>
            </w:r>
          </w:p>
        </w:tc>
        <w:tc>
          <w:tcPr>
            <w:tcW w:w="2660" w:type="dxa"/>
            <w:vAlign w:val="bottom"/>
          </w:tcPr>
          <w:p>
            <w:pPr>
              <w:spacing w:after="0"/>
              <w:rPr>
                <w:sz w:val="20"/>
                <w:szCs w:val="20"/>
                <w:color w:val="auto"/>
              </w:rPr>
            </w:pPr>
          </w:p>
        </w:tc>
      </w:tr>
      <w:tr>
        <w:trPr>
          <w:trHeight w:val="26"/>
        </w:trPr>
        <w:tc>
          <w:tcPr>
            <w:tcW w:w="1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7"/>
        </w:trPr>
        <w:tc>
          <w:tcPr>
            <w:tcW w:w="1960" w:type="dxa"/>
            <w:vAlign w:val="bottom"/>
          </w:tcPr>
          <w:p>
            <w:pPr>
              <w:spacing w:after="0"/>
              <w:rPr>
                <w:sz w:val="22"/>
                <w:szCs w:val="22"/>
                <w:color w:val="auto"/>
              </w:rPr>
            </w:pPr>
          </w:p>
        </w:tc>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(1,981)</w:t>
            </w: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w:t>
            </w:r>
          </w:p>
        </w:tc>
        <w:tc>
          <w:tcPr>
            <w:tcW w:w="2660" w:type="dxa"/>
            <w:vAlign w:val="bottom"/>
          </w:tcPr>
          <w:p>
            <w:pPr>
              <w:spacing w:after="0"/>
              <w:rPr>
                <w:sz w:val="22"/>
                <w:szCs w:val="22"/>
                <w:color w:val="auto"/>
              </w:rPr>
            </w:pPr>
          </w:p>
        </w:tc>
      </w:tr>
      <w:tr>
        <w:trPr>
          <w:trHeight w:val="223"/>
        </w:trPr>
        <w:tc>
          <w:tcPr>
            <w:tcW w:w="1960" w:type="dxa"/>
            <w:vAlign w:val="bottom"/>
          </w:tcPr>
          <w:p>
            <w:pPr>
              <w:spacing w:after="0"/>
              <w:rPr>
                <w:sz w:val="19"/>
                <w:szCs w:val="19"/>
                <w:color w:val="auto"/>
              </w:rPr>
            </w:pPr>
          </w:p>
        </w:tc>
        <w:tc>
          <w:tcPr>
            <w:tcW w:w="3660" w:type="dxa"/>
            <w:vAlign w:val="bottom"/>
            <w:gridSpan w:val="2"/>
          </w:tcPr>
          <w:p>
            <w:pPr>
              <w:ind w:left="360"/>
              <w:spacing w:after="0"/>
              <w:rPr>
                <w:sz w:val="20"/>
                <w:szCs w:val="20"/>
                <w:color w:val="auto"/>
              </w:rPr>
            </w:pPr>
            <w:r>
              <w:rPr>
                <w:rFonts w:ascii="Arial" w:cs="Arial" w:eastAsia="Arial" w:hAnsi="Arial"/>
                <w:sz w:val="18"/>
                <w:szCs w:val="18"/>
                <w:color w:val="auto"/>
              </w:rPr>
              <w:t>Total net income</w:t>
            </w: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15,170</w:t>
            </w:r>
          </w:p>
        </w:tc>
        <w:tc>
          <w:tcPr>
            <w:tcW w:w="2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10,434</w:t>
            </w:r>
          </w:p>
        </w:tc>
        <w:tc>
          <w:tcPr>
            <w:tcW w:w="1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36</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32"/>
        </w:trPr>
        <w:tc>
          <w:tcPr>
            <w:tcW w:w="19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22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originates and purchases derivative financial instruments, including interest rate lock commitments issued to residential loan customers for loans that will be held for sale, forward sales commitments to sell residential mortgage loans to loan investors and foreign currency forward contracts. See “Note 18: Fair Value Measurements” for further discussion of the fair value measurement of such derivatives.</w:t>
      </w:r>
    </w:p>
    <w:p>
      <w:pPr>
        <w:spacing w:after="0" w:line="16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Interest Rate Lock Commitments. </w:t>
      </w:r>
      <w:r>
        <w:rPr>
          <w:rFonts w:ascii="Arial" w:cs="Arial" w:eastAsia="Arial" w:hAnsi="Arial"/>
          <w:sz w:val="18"/>
          <w:szCs w:val="18"/>
          <w:color w:val="auto"/>
        </w:rPr>
        <w:t>At March 31, 2017, the Company had issued $217.4 million of unexpired interest rate lock commitments to loan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Such interest rate lock commitments that meet the definition of derivative financial instruments under ASC Topic 815, Derivatives and Hedging, are carried at their fair values in other assets or other liabilities in the unaudited Consolidated Financial Statements, with changes in the fair values of the corresponding derivative financial assets or liabilities recorded as either a charge or credit to current earnings during the period in which the changes occurred.</w:t>
      </w:r>
    </w:p>
    <w:p>
      <w:pPr>
        <w:spacing w:after="0" w:line="18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 xml:space="preserve">Forward Sales Commitments. </w:t>
      </w:r>
      <w:r>
        <w:rPr>
          <w:rFonts w:ascii="Arial" w:cs="Arial" w:eastAsia="Arial" w:hAnsi="Arial"/>
          <w:sz w:val="16"/>
          <w:szCs w:val="16"/>
          <w:color w:val="auto"/>
        </w:rPr>
        <w:t>At March 31, 2017, the Company had issued $306.2 million of unexpired forward sales commitments to mortgage loan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Derivatives and Hedging, are carried at their fair values in other assets or other liabilities in the unaudited Consolidated Financial Statements. While such forward sales commitments generally served as an economic hedge to the mortgage loans held for sale and interest rate lock commitments,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fair values of these derivative assets and liabilities recorded in the Consolidated Balance Sheets at March 31, 2017 are summarized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2017</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2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3,791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gross gains and losses on these derivative assets and liabilities recorded in non-interest income and expense in the unaudited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Income for the three months ended March 31, 2017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2017</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gains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Gross losses</w:t>
            </w: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(3,791)</w:t>
            </w:r>
          </w:p>
        </w:tc>
      </w:tr>
      <w:tr>
        <w:trPr>
          <w:trHeight w:val="210"/>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Foreign Currency Derivatives. </w:t>
      </w:r>
      <w:r>
        <w:rPr>
          <w:rFonts w:ascii="Arial" w:cs="Arial" w:eastAsia="Arial" w:hAnsi="Arial"/>
          <w:sz w:val="17"/>
          <w:szCs w:val="17"/>
          <w:color w:val="auto"/>
        </w:rPr>
        <w:t>The Company has originated certain loan agreements that settle in non-U.S. dollar denominations. The gross balance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loans, translated into U.S. dollars, was $0.7 million at March 31, 2017. The Company enters into foreign currency forward contracts to mitigate the economic effect of fluctuations in foreign currency exchange rates on these non-U.S. dollar denominated loans. Such foreign currency forward contracts that meet the definition of derivative financial instruments under ASC Topic 815, Derivatives and Hedging, are carried at their fair values in other assets or other liabilities in the unaudited Consolidated Financial Statements. While such forward contracts generally served as an economic hedge to certain loans, the Company did not designate them for hedge accounting treatment. Consequently, changes in fair value of the corresponding derivative financial asset or liability were recorded as either a charge or credit to current earnings during the period in which the changes occurred. The gross gains and losses on these derivative assets and liabilities recorded in non-interest income and expense in the unaudited Consolidated Statements of Income for the three months ended March 31, 2017 was insignificant.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notional amount and fair values, denominated in U.S. dollars, of open foreign currency forward contracts were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 2017</w:t>
            </w:r>
          </w:p>
        </w:tc>
        <w:tc>
          <w:tcPr>
            <w:tcW w:w="2300" w:type="dxa"/>
            <w:vAlign w:val="bottom"/>
          </w:tcPr>
          <w:p>
            <w:pPr>
              <w:spacing w:after="0"/>
              <w:rPr>
                <w:sz w:val="14"/>
                <w:szCs w:val="14"/>
                <w:color w:val="auto"/>
              </w:rPr>
            </w:pPr>
          </w:p>
        </w:tc>
      </w:tr>
      <w:tr>
        <w:trPr>
          <w:trHeight w:val="210"/>
        </w:trPr>
        <w:tc>
          <w:tcPr>
            <w:tcW w:w="16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Notional amount</w:t>
            </w:r>
          </w:p>
        </w:tc>
        <w:tc>
          <w:tcPr>
            <w:tcW w:w="2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Fair value recorded in other assets</w:t>
            </w:r>
          </w:p>
        </w:tc>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300" w:type="dxa"/>
            <w:vAlign w:val="bottom"/>
          </w:tcPr>
          <w:p>
            <w:pPr>
              <w:spacing w:after="0"/>
              <w:rPr>
                <w:sz w:val="20"/>
                <w:szCs w:val="20"/>
                <w:color w:val="auto"/>
              </w:rPr>
            </w:pPr>
          </w:p>
        </w:tc>
      </w:tr>
      <w:tr>
        <w:trPr>
          <w:trHeight w:val="418"/>
        </w:trPr>
        <w:tc>
          <w:tcPr>
            <w:tcW w:w="1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40" w:type="dxa"/>
            <w:vAlign w:val="bottom"/>
          </w:tcPr>
          <w:p>
            <w:pPr>
              <w:jc w:val="right"/>
              <w:ind w:right="169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32"/>
        </w:trPr>
        <w:tc>
          <w:tcPr>
            <w:tcW w:w="162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Foreign currency forward contracts involve the risk of dealing with counterparties and their ability to meet contractual terms. We believe the risk of incurring losses due to nonperformance by our counterparties is manageable.</w:t>
      </w:r>
    </w:p>
    <w:p>
      <w:pPr>
        <w:sectPr>
          <w:pgSz w:w="11900" w:h="16838" w:orient="portrait"/>
          <w:cols w:equalWidth="0" w:num="1">
            <w:col w:w="11460"/>
          </w:cols>
          <w:pgMar w:left="240" w:top="140" w:right="199" w:bottom="0" w:gutter="0" w:footer="0" w:header="0"/>
        </w:sectPr>
      </w:pPr>
    </w:p>
    <w:bookmarkStart w:id="24" w:name="page25"/>
    <w:bookmarkEnd w:id="24"/>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Measurements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in an orderly transaction occurring in the principal market (or most advantageous market in the absence of a principal market) for such asset or liability. In estimating fair value, the Company utilizes valuation techniques that are consistent with the market approach, the income approach and/or the cost approach. Such valuation techniques are consistently applied. Inputs to valuation techniques include the assumptions that market participants would use in pricing an asset or liability. ASC Topic 820, Fair Value Measurement,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 to access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 either directly or indirectly. These might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 Company’s own assumptions about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market participants would use in pricing the assets or liabilities.</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during the quarter ended March 31, 2017.</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The Company’s valuation methodologies may produce a fair value calculation that may not be indicative of net realizable value or reflective of future fair values.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 Furthermore, the reported fair value amounts have not been comprehensively revalued since the presentation dates and, therefore, estimates of fair value after the Consolidated Balance Sheet date may differ significantly from the amounts presented herein.</w:t>
      </w:r>
    </w:p>
    <w:p>
      <w:pPr>
        <w:spacing w:after="0" w:line="16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Securities Available for Sale</w:t>
      </w:r>
      <w:r>
        <w:rPr>
          <w:rFonts w:ascii="Arial" w:cs="Arial" w:eastAsia="Arial" w:hAnsi="Arial"/>
          <w:sz w:val="17"/>
          <w:szCs w:val="17"/>
          <w:color w:val="auto"/>
        </w:rPr>
        <w:t>. Securities classified as available for sale are reported at fair value utilizing level 1 and level 2 measurements. For mutual funds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equity securities, unadjusted quoted prices in active markets for identical assets are utilized to determine fair value at the measurement date and have been classified as level 1 in ASC Topic 820. For all other securities, the Company obtains fair value measurements from an independent pricing service. The independent pricing service evaluations are based on market data.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as appropriate through processes such as benchmark curves, benchmarking of like securities, sector groupings, and matrix pricing, to prepare evaluations.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addition, 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Information of this nature is a trigger to acquire further market data.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 in ASC Topic 820.</w:t>
      </w:r>
    </w:p>
    <w:p>
      <w:pPr>
        <w:spacing w:after="0" w:line="16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i w:val="1"/>
          <w:iCs w:val="1"/>
          <w:color w:val="auto"/>
        </w:rPr>
        <w:t xml:space="preserve">Loans held for sale. </w:t>
      </w:r>
      <w:r>
        <w:rPr>
          <w:rFonts w:ascii="Arial" w:cs="Arial" w:eastAsia="Arial" w:hAnsi="Arial"/>
          <w:sz w:val="16"/>
          <w:szCs w:val="16"/>
          <w:color w:val="auto"/>
        </w:rPr>
        <w:t>Loans held for sale are reported at fair value utilizing level 2 measurements. The fair value of the mortgage loans held for sale are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using observable quoted market or contract prices or market price equivalents and are classified as level 2 in ASC Topic 820.</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Derivative Assets and Derivative Liabilities. </w:t>
      </w:r>
      <w:r>
        <w:rPr>
          <w:rFonts w:ascii="Arial" w:cs="Arial" w:eastAsia="Arial" w:hAnsi="Arial"/>
          <w:sz w:val="18"/>
          <w:szCs w:val="18"/>
          <w:color w:val="auto"/>
        </w:rPr>
        <w:t>Derivative assets and derivative liabilities are reported at fair value utilizing level 2 measurements.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positive fair values are reported as assets and derivative instruments with negative fair value are reported as liabilities. The fair value of derivative assets and liabilities is determined based on prices that are obtained from a third-party. Values of derivative assets and liabilities are primarily based on observable inputs and are classified as level 2 in ASC Topic 820.</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The following table summarizes financial assets and financial liabilities measured at fair value on a recurring basis as of March 31, 2017 and December 31, 2016, segregated by the level of the valuation inputs within the fair value hierarchy utilized to measure fair value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40" w:type="dxa"/>
            <w:vAlign w:val="bottom"/>
          </w:tcPr>
          <w:p>
            <w:pPr>
              <w:jc w:val="center"/>
              <w:ind w:left="242"/>
              <w:spacing w:after="0"/>
              <w:rPr>
                <w:sz w:val="20"/>
                <w:szCs w:val="20"/>
                <w:color w:val="auto"/>
              </w:rPr>
            </w:pPr>
            <w:r>
              <w:rPr>
                <w:rFonts w:ascii="Arial" w:cs="Arial" w:eastAsia="Arial" w:hAnsi="Arial"/>
                <w:sz w:val="14"/>
                <w:szCs w:val="14"/>
                <w:b w:val="1"/>
                <w:bCs w:val="1"/>
                <w:color w:val="auto"/>
                <w:w w:val="92"/>
              </w:rPr>
              <w:t>Level 1</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Level 3</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40" w:type="dxa"/>
            <w:vAlign w:val="bottom"/>
          </w:tcPr>
          <w:p>
            <w:pPr>
              <w:jc w:val="center"/>
              <w:ind w:left="242"/>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Inputs</w:t>
            </w:r>
          </w:p>
        </w:tc>
        <w:tc>
          <w:tcPr>
            <w:tcW w:w="28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9"/>
              </w:rPr>
              <w:t>March 31, 2017</w:t>
            </w:r>
          </w:p>
        </w:tc>
        <w:tc>
          <w:tcPr>
            <w:tcW w:w="38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Securities available for sale</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61,423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104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76,854</w:t>
            </w:r>
          </w:p>
        </w:tc>
        <w:tc>
          <w:tcPr>
            <w:tcW w:w="280" w:type="dxa"/>
            <w:vAlign w:val="bottom"/>
          </w:tcPr>
          <w:p>
            <w:pPr>
              <w:spacing w:after="0"/>
              <w:rPr>
                <w:sz w:val="20"/>
                <w:szCs w:val="20"/>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76,854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152,871</w:t>
            </w:r>
          </w:p>
        </w:tc>
        <w:tc>
          <w:tcPr>
            <w:tcW w:w="2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152,871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20"/>
          </w:cols>
          <w:pgMar w:left="240" w:top="121"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9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327,548</w:t>
            </w:r>
          </w:p>
        </w:tc>
        <w:tc>
          <w:tcPr>
            <w:tcW w:w="106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327,548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31,155</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Mutual funds and other equity securities</w:t>
            </w:r>
          </w:p>
        </w:tc>
        <w:tc>
          <w:tcPr>
            <w:tcW w:w="9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4,365</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96,444</w:t>
            </w:r>
          </w:p>
        </w:tc>
        <w:tc>
          <w:tcPr>
            <w:tcW w:w="106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96,444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9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06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Derivative financial assets</w:t>
            </w:r>
          </w:p>
        </w:tc>
        <w:tc>
          <w:tcPr>
            <w:tcW w:w="9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2,799</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Derivative liabilities</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Derivative financial 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3,791</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35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20" w:type="dxa"/>
            <w:vAlign w:val="bottom"/>
          </w:tcPr>
          <w:p>
            <w:pPr>
              <w:jc w:val="center"/>
              <w:ind w:left="359"/>
              <w:spacing w:after="0"/>
              <w:rPr>
                <w:sz w:val="20"/>
                <w:szCs w:val="20"/>
                <w:color w:val="auto"/>
              </w:rPr>
            </w:pPr>
            <w:r>
              <w:rPr>
                <w:rFonts w:ascii="Arial" w:cs="Arial" w:eastAsia="Arial" w:hAnsi="Arial"/>
                <w:sz w:val="14"/>
                <w:szCs w:val="14"/>
                <w:b w:val="1"/>
                <w:bCs w:val="1"/>
                <w:color w:val="auto"/>
                <w:w w:val="92"/>
              </w:rPr>
              <w:t>Level 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06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Level 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20" w:type="dxa"/>
            <w:vAlign w:val="bottom"/>
          </w:tcPr>
          <w:p>
            <w:pPr>
              <w:jc w:val="center"/>
              <w:ind w:left="359"/>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Inputs</w:t>
            </w:r>
          </w:p>
        </w:tc>
        <w:tc>
          <w:tcPr>
            <w:tcW w:w="1060" w:type="dxa"/>
            <w:vAlign w:val="bottom"/>
          </w:tcPr>
          <w:p>
            <w:pPr>
              <w:jc w:val="center"/>
              <w:ind w:left="222"/>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8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December 31, 2016</w:t>
            </w:r>
          </w:p>
        </w:tc>
        <w:tc>
          <w:tcPr>
            <w:tcW w:w="9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35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Securities available for sale</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74,944</w:t>
            </w: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9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79,127</w:t>
            </w:r>
          </w:p>
        </w:tc>
        <w:tc>
          <w:tcPr>
            <w:tcW w:w="106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79,127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9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154,938</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9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302,249</w:t>
            </w:r>
          </w:p>
        </w:tc>
        <w:tc>
          <w:tcPr>
            <w:tcW w:w="106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302,249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143,343</w:t>
            </w:r>
          </w:p>
        </w:tc>
        <w:tc>
          <w:tcPr>
            <w:tcW w:w="1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Mutual funds and other equity securities</w:t>
            </w:r>
          </w:p>
        </w:tc>
        <w:tc>
          <w:tcPr>
            <w:tcW w:w="9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5,210</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Loans held for sale</w:t>
            </w:r>
          </w:p>
        </w:tc>
        <w:tc>
          <w:tcPr>
            <w:tcW w:w="9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256,319</w:t>
            </w:r>
          </w:p>
        </w:tc>
        <w:tc>
          <w:tcPr>
            <w:tcW w:w="106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256,319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Derivative financial assets</w:t>
            </w:r>
          </w:p>
        </w:tc>
        <w:tc>
          <w:tcPr>
            <w:tcW w:w="9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6,403</w:t>
            </w:r>
          </w:p>
        </w:tc>
        <w:tc>
          <w:tcPr>
            <w:tcW w:w="106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9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06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liabilities</w:t>
            </w:r>
          </w:p>
        </w:tc>
        <w:tc>
          <w:tcPr>
            <w:tcW w:w="9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3,098</w:t>
            </w:r>
          </w:p>
        </w:tc>
        <w:tc>
          <w:tcPr>
            <w:tcW w:w="10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-3020060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-3020060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Impaired Loans</w:t>
      </w:r>
      <w:r>
        <w:rPr>
          <w:rFonts w:ascii="Arial" w:cs="Arial" w:eastAsia="Arial" w:hAnsi="Arial"/>
          <w:sz w:val="17"/>
          <w:szCs w:val="17"/>
          <w:color w:val="auto"/>
        </w:rPr>
        <w:t>. The Company does not record loans at fair value on a recurring basis. However, periodically, a loan is considered impaired and is reported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 in ASC Topic 820.</w:t>
      </w:r>
    </w:p>
    <w:p>
      <w:pPr>
        <w:spacing w:after="0" w:line="1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and non-financial liabilities measured at fair value include OREO (upon initial recognition or subsequent impairment). OREO</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are measured using a combination of observable inputs, including recent appraisals, and unobservable inputs based on customized discounting criteria. Due to the significance of the unobservable inputs, all OREO fair values have been classified as level 3 in ASC Topic 820.</w:t>
      </w:r>
    </w:p>
    <w:p>
      <w:pPr>
        <w:spacing w:after="0" w:line="147"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 xml:space="preserve">The following table summarizes assets and liabilities measured at fair value on a non-recurring basis as of March 31, 2017 and December 31, 2016, segregated by the level of the valuation inputs within the fair value hierarchy utilized to measure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March 31, 2017</w:t>
            </w:r>
          </w:p>
        </w:tc>
        <w:tc>
          <w:tcPr>
            <w:tcW w:w="334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tcPr>
          <w:p>
            <w:pPr>
              <w:ind w:left="160"/>
              <w:spacing w:after="0"/>
              <w:rPr>
                <w:sz w:val="20"/>
                <w:szCs w:val="20"/>
                <w:color w:val="auto"/>
              </w:rPr>
            </w:pPr>
            <w:r>
              <w:rPr>
                <w:rFonts w:ascii="Arial" w:cs="Arial" w:eastAsia="Arial" w:hAnsi="Arial"/>
                <w:sz w:val="18"/>
                <w:szCs w:val="18"/>
                <w:color w:val="auto"/>
              </w:rPr>
              <w:t>Impaired loans</w:t>
            </w:r>
          </w:p>
        </w:tc>
        <w:tc>
          <w:tcPr>
            <w:tcW w:w="154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3,444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OREO(1)</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December 31, 2016</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Impaired loans</w:t>
            </w:r>
          </w:p>
        </w:tc>
        <w:tc>
          <w:tcPr>
            <w:tcW w:w="3080" w:type="dxa"/>
            <w:vAlign w:val="bottom"/>
            <w:tcBorders>
              <w:top w:val="single" w:sz="8" w:color="CCEEFF"/>
            </w:tcBorders>
            <w:gridSpan w:val="2"/>
          </w:tcPr>
          <w:p>
            <w:pPr>
              <w:spacing w:after="0"/>
              <w:rPr>
                <w:sz w:val="18"/>
                <w:szCs w:val="18"/>
                <w:color w:val="auto"/>
              </w:rPr>
            </w:pPr>
          </w:p>
        </w:tc>
        <w:tc>
          <w:tcPr>
            <w:tcW w:w="1540" w:type="dxa"/>
            <w:vAlign w:val="bottom"/>
            <w:tcBorders>
              <w:top w:val="single" w:sz="8" w:color="CCEEFF"/>
            </w:tcBorders>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tcBorders>
              <w:top w:val="single" w:sz="8" w:color="CCEEFF"/>
            </w:tcBorders>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3"/>
              </w:rPr>
              <w:t>3,885</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OREO(1)</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500" w:type="dxa"/>
            <w:vAlign w:val="bottom"/>
            <w:gridSpan w:val="5"/>
          </w:tcPr>
          <w:p>
            <w:pPr>
              <w:spacing w:after="0"/>
              <w:rPr>
                <w:sz w:val="20"/>
                <w:szCs w:val="20"/>
                <w:color w:val="auto"/>
              </w:rPr>
            </w:pPr>
            <w:r>
              <w:rPr>
                <w:rFonts w:ascii="Arial" w:cs="Arial" w:eastAsia="Arial" w:hAnsi="Arial"/>
                <w:sz w:val="18"/>
                <w:szCs w:val="18"/>
                <w:color w:val="auto"/>
              </w:rPr>
              <w:t>(1)OREO fair value was less than one thousand dollars.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gridSpan w:val="2"/>
          </w:tcPr>
          <w:p>
            <w:pPr>
              <w:jc w:val="right"/>
              <w:ind w:right="168"/>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p>
      <w:pPr>
        <w:ind w:left="4980"/>
        <w:spacing w:after="0"/>
        <w:rPr>
          <w:sz w:val="20"/>
          <w:szCs w:val="20"/>
          <w:color w:val="auto"/>
        </w:rPr>
      </w:pPr>
      <w:r>
        <w:rPr>
          <w:rFonts w:ascii="Arial" w:cs="Arial" w:eastAsia="Arial" w:hAnsi="Arial"/>
          <w:sz w:val="14"/>
          <w:szCs w:val="14"/>
          <w:b w:val="1"/>
          <w:bCs w:val="1"/>
          <w:color w:val="auto"/>
        </w:rPr>
        <w:t>Quantitative Information about Level 3 Fair Value Measurements</w:t>
      </w:r>
    </w:p>
    <w:p>
      <w:pPr>
        <w:spacing w:after="0" w:line="10" w:lineRule="exact"/>
        <w:rPr>
          <w:sz w:val="20"/>
          <w:szCs w:val="20"/>
          <w:color w:val="auto"/>
        </w:rPr>
      </w:pPr>
    </w:p>
    <w:tbl>
      <w:tblPr>
        <w:tblLayout w:type="fixed"/>
        <w:tblInd w:w="2700" w:type="dxa"/>
        <w:tblCellMar>
          <w:top w:w="0" w:type="dxa"/>
          <w:left w:w="0" w:type="dxa"/>
          <w:bottom w:w="0" w:type="dxa"/>
          <w:right w:w="0" w:type="dxa"/>
        </w:tblCellMar>
      </w:tblPr>
      <w:tr>
        <w:trPr>
          <w:trHeight w:val="119"/>
        </w:trPr>
        <w:tc>
          <w:tcPr>
            <w:tcW w:w="1840" w:type="dxa"/>
            <w:vAlign w:val="bottom"/>
            <w:tcBorders>
              <w:top w:val="single" w:sz="8" w:color="auto"/>
            </w:tcBorders>
          </w:tcPr>
          <w:p>
            <w:pPr>
              <w:jc w:val="center"/>
              <w:ind w:right="171"/>
              <w:spacing w:after="0" w:line="119" w:lineRule="exact"/>
              <w:rPr>
                <w:sz w:val="20"/>
                <w:szCs w:val="20"/>
                <w:color w:val="auto"/>
              </w:rPr>
            </w:pPr>
            <w:r>
              <w:rPr>
                <w:rFonts w:ascii="Arial" w:cs="Arial" w:eastAsia="Arial" w:hAnsi="Arial"/>
                <w:sz w:val="13"/>
                <w:szCs w:val="13"/>
                <w:b w:val="1"/>
                <w:bCs w:val="1"/>
                <w:color w:val="auto"/>
              </w:rPr>
              <w:t>Fair Value</w:t>
            </w:r>
          </w:p>
        </w:tc>
        <w:tc>
          <w:tcPr>
            <w:tcW w:w="2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Valuation</w:t>
            </w:r>
          </w:p>
        </w:tc>
        <w:tc>
          <w:tcPr>
            <w:tcW w:w="2280" w:type="dxa"/>
            <w:vAlign w:val="bottom"/>
            <w:tcBorders>
              <w:top w:val="single" w:sz="8" w:color="auto"/>
            </w:tcBorders>
          </w:tcPr>
          <w:p>
            <w:pPr>
              <w:jc w:val="center"/>
              <w:ind w:left="71"/>
              <w:spacing w:after="0" w:line="119" w:lineRule="exact"/>
              <w:rPr>
                <w:sz w:val="20"/>
                <w:szCs w:val="20"/>
                <w:color w:val="auto"/>
              </w:rPr>
            </w:pPr>
            <w:r>
              <w:rPr>
                <w:rFonts w:ascii="Arial" w:cs="Arial" w:eastAsia="Arial" w:hAnsi="Arial"/>
                <w:sz w:val="13"/>
                <w:szCs w:val="13"/>
                <w:b w:val="1"/>
                <w:bCs w:val="1"/>
                <w:color w:val="auto"/>
                <w:w w:val="99"/>
              </w:rPr>
              <w:t>Unobservable</w:t>
            </w:r>
          </w:p>
        </w:tc>
        <w:tc>
          <w:tcPr>
            <w:tcW w:w="2300" w:type="dxa"/>
            <w:vAlign w:val="bottom"/>
            <w:tcBorders>
              <w:top w:val="single" w:sz="8" w:color="auto"/>
            </w:tcBorders>
          </w:tcPr>
          <w:p>
            <w:pPr>
              <w:jc w:val="center"/>
              <w:ind w:left="151"/>
              <w:spacing w:after="0" w:line="119" w:lineRule="exact"/>
              <w:rPr>
                <w:sz w:val="20"/>
                <w:szCs w:val="20"/>
                <w:color w:val="auto"/>
              </w:rPr>
            </w:pPr>
            <w:r>
              <w:rPr>
                <w:rFonts w:ascii="Arial" w:cs="Arial" w:eastAsia="Arial" w:hAnsi="Arial"/>
                <w:sz w:val="13"/>
                <w:szCs w:val="13"/>
                <w:b w:val="1"/>
                <w:bCs w:val="1"/>
                <w:color w:val="auto"/>
              </w:rPr>
              <w:t>Range</w:t>
            </w:r>
          </w:p>
        </w:tc>
      </w:tr>
      <w:tr>
        <w:trPr>
          <w:trHeight w:val="173"/>
        </w:trPr>
        <w:tc>
          <w:tcPr>
            <w:tcW w:w="1840" w:type="dxa"/>
            <w:vAlign w:val="bottom"/>
          </w:tcPr>
          <w:p>
            <w:pPr>
              <w:jc w:val="center"/>
              <w:ind w:right="151"/>
              <w:spacing w:after="0"/>
              <w:rPr>
                <w:sz w:val="20"/>
                <w:szCs w:val="20"/>
                <w:color w:val="auto"/>
              </w:rPr>
            </w:pPr>
            <w:r>
              <w:rPr>
                <w:rFonts w:ascii="Arial" w:cs="Arial" w:eastAsia="Arial" w:hAnsi="Arial"/>
                <w:sz w:val="14"/>
                <w:szCs w:val="14"/>
                <w:b w:val="1"/>
                <w:bCs w:val="1"/>
                <w:color w:val="auto"/>
                <w:w w:val="92"/>
              </w:rPr>
              <w:t>Estimate</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89"/>
              </w:rPr>
              <w:t>Techniques</w:t>
            </w:r>
          </w:p>
        </w:tc>
        <w:tc>
          <w:tcPr>
            <w:tcW w:w="2280" w:type="dxa"/>
            <w:vAlign w:val="bottom"/>
          </w:tcPr>
          <w:p>
            <w:pPr>
              <w:jc w:val="center"/>
              <w:ind w:left="71"/>
              <w:spacing w:after="0"/>
              <w:rPr>
                <w:sz w:val="20"/>
                <w:szCs w:val="20"/>
                <w:color w:val="auto"/>
              </w:rPr>
            </w:pPr>
            <w:r>
              <w:rPr>
                <w:rFonts w:ascii="Arial" w:cs="Arial" w:eastAsia="Arial" w:hAnsi="Arial"/>
                <w:sz w:val="14"/>
                <w:szCs w:val="14"/>
                <w:b w:val="1"/>
                <w:bCs w:val="1"/>
                <w:color w:val="auto"/>
                <w:w w:val="99"/>
              </w:rPr>
              <w:t>Input</w:t>
            </w:r>
          </w:p>
        </w:tc>
        <w:tc>
          <w:tcPr>
            <w:tcW w:w="2300" w:type="dxa"/>
            <w:vAlign w:val="bottom"/>
          </w:tcPr>
          <w:p>
            <w:pPr>
              <w:jc w:val="center"/>
              <w:ind w:left="151"/>
              <w:spacing w:after="0"/>
              <w:rPr>
                <w:sz w:val="20"/>
                <w:szCs w:val="20"/>
                <w:color w:val="auto"/>
              </w:rPr>
            </w:pPr>
            <w:r>
              <w:rPr>
                <w:rFonts w:ascii="Arial" w:cs="Arial" w:eastAsia="Arial" w:hAnsi="Arial"/>
                <w:sz w:val="14"/>
                <w:szCs w:val="14"/>
                <w:b w:val="1"/>
                <w:bCs w:val="1"/>
                <w:color w:val="auto"/>
                <w:w w:val="91"/>
              </w:rPr>
              <w:t>(Weighted Average)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rPr>
          <w:sz w:val="20"/>
          <w:szCs w:val="20"/>
          <w:color w:val="auto"/>
        </w:rPr>
      </w:pPr>
      <w:r>
        <w:rPr>
          <w:rFonts w:ascii="Arial" w:cs="Arial" w:eastAsia="Arial" w:hAnsi="Arial"/>
          <w:sz w:val="16"/>
          <w:szCs w:val="16"/>
          <w:u w:val="single" w:color="auto"/>
          <w:color w:val="auto"/>
        </w:rPr>
        <w:t>March 31, 2017</w:t>
      </w:r>
    </w:p>
    <w:p>
      <w:pPr>
        <w:sectPr>
          <w:pgSz w:w="11900" w:h="16838" w:orient="portrait"/>
          <w:cols w:equalWidth="0" w:num="1">
            <w:col w:w="11460"/>
          </w:cols>
          <w:pgMar w:left="240" w:top="125" w:right="199" w:bottom="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Impaired loans</w:t>
            </w: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3,444</w:t>
            </w:r>
          </w:p>
        </w:tc>
        <w:tc>
          <w:tcPr>
            <w:tcW w:w="2220" w:type="dxa"/>
            <w:vAlign w:val="bottom"/>
          </w:tcPr>
          <w:p>
            <w:pPr>
              <w:ind w:left="240"/>
              <w:spacing w:after="0"/>
              <w:rPr>
                <w:sz w:val="20"/>
                <w:szCs w:val="20"/>
                <w:color w:val="auto"/>
              </w:rPr>
            </w:pPr>
            <w:r>
              <w:rPr>
                <w:rFonts w:ascii="Arial" w:cs="Arial" w:eastAsia="Arial" w:hAnsi="Arial"/>
                <w:sz w:val="18"/>
                <w:szCs w:val="18"/>
                <w:color w:val="auto"/>
              </w:rPr>
              <w:t>Appraisal of collateral</w:t>
            </w:r>
          </w:p>
        </w:tc>
        <w:tc>
          <w:tcPr>
            <w:tcW w:w="2400" w:type="dxa"/>
            <w:vAlign w:val="bottom"/>
          </w:tcPr>
          <w:p>
            <w:pPr>
              <w:ind w:left="360"/>
              <w:spacing w:after="0"/>
              <w:rPr>
                <w:sz w:val="20"/>
                <w:szCs w:val="20"/>
                <w:color w:val="auto"/>
              </w:rPr>
            </w:pPr>
            <w:r>
              <w:rPr>
                <w:rFonts w:ascii="Arial" w:cs="Arial" w:eastAsia="Arial" w:hAnsi="Arial"/>
                <w:sz w:val="18"/>
                <w:szCs w:val="18"/>
                <w:color w:val="auto"/>
              </w:rPr>
              <w:t>Appraisal adjustments</w:t>
            </w:r>
          </w:p>
        </w:tc>
        <w:tc>
          <w:tcPr>
            <w:tcW w:w="2240" w:type="dxa"/>
            <w:vAlign w:val="bottom"/>
          </w:tcPr>
          <w:p>
            <w:pPr>
              <w:ind w:left="420"/>
              <w:spacing w:after="0"/>
              <w:rPr>
                <w:sz w:val="20"/>
                <w:szCs w:val="20"/>
                <w:color w:val="auto"/>
              </w:rPr>
            </w:pPr>
            <w:r>
              <w:rPr>
                <w:rFonts w:ascii="Arial" w:cs="Arial" w:eastAsia="Arial" w:hAnsi="Arial"/>
                <w:sz w:val="18"/>
                <w:szCs w:val="18"/>
                <w:color w:val="auto"/>
              </w:rPr>
              <w:t>-19.7%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(-37.1)%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OREO(1)</w:t>
            </w: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Appraisal of collateral</w:t>
            </w:r>
          </w:p>
        </w:tc>
        <w:tc>
          <w:tcPr>
            <w:tcW w:w="24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Appraisal adjustments</w:t>
            </w:r>
          </w:p>
        </w:tc>
        <w:tc>
          <w:tcPr>
            <w:tcW w:w="2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2016</w:t>
            </w:r>
          </w:p>
        </w:tc>
        <w:tc>
          <w:tcPr>
            <w:tcW w:w="1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Impaired loans</w:t>
            </w:r>
          </w:p>
        </w:tc>
        <w:tc>
          <w:tcPr>
            <w:tcW w:w="1280" w:type="dxa"/>
            <w:vAlign w:val="bottom"/>
            <w:shd w:val="clear" w:color="auto" w:fill="CCEEFF"/>
          </w:tcPr>
          <w:p>
            <w:pPr>
              <w:jc w:val="right"/>
              <w:ind w:right="450"/>
              <w:spacing w:after="0" w:line="201"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0"/>
              <w:spacing w:after="0" w:line="201" w:lineRule="exact"/>
              <w:rPr>
                <w:sz w:val="20"/>
                <w:szCs w:val="20"/>
                <w:color w:val="auto"/>
              </w:rPr>
            </w:pPr>
            <w:r>
              <w:rPr>
                <w:rFonts w:ascii="Arial" w:cs="Arial" w:eastAsia="Arial" w:hAnsi="Arial"/>
                <w:sz w:val="18"/>
                <w:szCs w:val="18"/>
                <w:color w:val="auto"/>
              </w:rPr>
              <w:t>3,885</w:t>
            </w:r>
          </w:p>
        </w:tc>
        <w:tc>
          <w:tcPr>
            <w:tcW w:w="22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Appraisal of collateral</w:t>
            </w:r>
          </w:p>
        </w:tc>
        <w:tc>
          <w:tcPr>
            <w:tcW w:w="24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Appraisal adjustments</w:t>
            </w:r>
          </w:p>
        </w:tc>
        <w:tc>
          <w:tcPr>
            <w:tcW w:w="224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-19.2%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OREO(1)</w:t>
            </w:r>
          </w:p>
        </w:tc>
        <w:tc>
          <w:tcPr>
            <w:tcW w:w="1280" w:type="dxa"/>
            <w:vAlign w:val="bottom"/>
          </w:tcPr>
          <w:p>
            <w:pPr>
              <w:spacing w:after="0"/>
              <w:rPr>
                <w:sz w:val="17"/>
                <w:szCs w:val="17"/>
                <w:color w:val="auto"/>
              </w:rPr>
            </w:pPr>
          </w:p>
        </w:tc>
        <w:tc>
          <w:tcPr>
            <w:tcW w:w="122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w:t>
            </w:r>
          </w:p>
        </w:tc>
        <w:tc>
          <w:tcPr>
            <w:tcW w:w="2220" w:type="dxa"/>
            <w:vAlign w:val="bottom"/>
          </w:tcPr>
          <w:p>
            <w:pPr>
              <w:ind w:left="240"/>
              <w:spacing w:after="0" w:line="201" w:lineRule="exact"/>
              <w:rPr>
                <w:sz w:val="20"/>
                <w:szCs w:val="20"/>
                <w:color w:val="auto"/>
              </w:rPr>
            </w:pPr>
            <w:r>
              <w:rPr>
                <w:rFonts w:ascii="Arial" w:cs="Arial" w:eastAsia="Arial" w:hAnsi="Arial"/>
                <w:sz w:val="18"/>
                <w:szCs w:val="18"/>
                <w:color w:val="auto"/>
              </w:rPr>
              <w:t>Appraisal of collateral</w:t>
            </w:r>
          </w:p>
        </w:tc>
        <w:tc>
          <w:tcPr>
            <w:tcW w:w="2400" w:type="dxa"/>
            <w:vAlign w:val="bottom"/>
          </w:tcPr>
          <w:p>
            <w:pPr>
              <w:ind w:left="360"/>
              <w:spacing w:after="0" w:line="201" w:lineRule="exact"/>
              <w:rPr>
                <w:sz w:val="20"/>
                <w:szCs w:val="20"/>
                <w:color w:val="auto"/>
              </w:rPr>
            </w:pPr>
            <w:r>
              <w:rPr>
                <w:rFonts w:ascii="Arial" w:cs="Arial" w:eastAsia="Arial" w:hAnsi="Arial"/>
                <w:sz w:val="18"/>
                <w:szCs w:val="18"/>
                <w:color w:val="auto"/>
              </w:rPr>
              <w:t>Appraisal adjustments</w:t>
            </w:r>
          </w:p>
        </w:tc>
        <w:tc>
          <w:tcPr>
            <w:tcW w:w="2240" w:type="dxa"/>
            <w:vAlign w:val="bottom"/>
          </w:tcPr>
          <w:p>
            <w:pPr>
              <w:jc w:val="center"/>
              <w:spacing w:after="0" w:line="201" w:lineRule="exact"/>
              <w:rPr>
                <w:sz w:val="20"/>
                <w:szCs w:val="20"/>
                <w:color w:val="auto"/>
              </w:rPr>
            </w:pPr>
            <w:r>
              <w:rPr>
                <w:rFonts w:ascii="Arial" w:cs="Arial" w:eastAsia="Arial" w:hAnsi="Arial"/>
                <w:sz w:val="18"/>
                <w:szCs w:val="18"/>
                <w:color w:val="auto"/>
                <w:w w:val="92"/>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The 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 2017</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33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Level 1 inputs: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due from banks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439,511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439,511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166,097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Federal funds sold</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Securities held to maturity</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89,660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90,133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47,820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Level 3 inputs: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Portfolio loans,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3,824,510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3,827,155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3,831,105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Mortgage servicing rights</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9,155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4,485,543</w:t>
            </w:r>
          </w:p>
        </w:tc>
        <w:tc>
          <w:tcPr>
            <w:tcW w:w="120" w:type="dxa"/>
            <w:vAlign w:val="bottom"/>
          </w:tcPr>
          <w:p>
            <w:pPr>
              <w:spacing w:after="0"/>
              <w:rPr>
                <w:sz w:val="20"/>
                <w:szCs w:val="20"/>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4,474,773</w:t>
            </w:r>
          </w:p>
        </w:tc>
        <w:tc>
          <w:tcPr>
            <w:tcW w:w="12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4,374,298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4,368,891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189,157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Junior subordinated debt owed to unconsolidated trusts</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70,903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70,903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70,868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ASC Topic 825 requires disclosure of the fair value of financial assets and financial liabilities, including those financial assets and financial liabilities that are not measured and reported at fair value on a recurring basis or non-recurring basis. A detailed description of the valuation methodologies used in estimating the fair value of financial instruments is set forth in the Company’s Annual Report on Form 10-K for the year ended December 31,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Liability for Loans Sold</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records an estimated liability for probable amounts due to the Company’s loan investors under contractual obligations related to residential mortgage loans originated for sale that were previously sold and became delinquent or defaulted, or were determined to contain certain documentation or other underwriting deficiencies. Under standard representations and warranties and early payment default clauses in the Company’s mortgage sale agreements, the Company could be required to repurchase mortgage loans sold to investors or reimburse the investors for losses incurred on loans in the event of borrower default within a defined period after origination (generally 90 days), or in the event of breaches of contractual representations or warranties made at the time of sale that are not remedied within a defined period after the Company receives notice of such breaches (generally 90 days). In addition, the Company may be required to refund the profit received from the sale of a loan to an investor if the borrower pays off the loan within a defined period after origination, which is generally 120 days.</w:t>
      </w:r>
    </w:p>
    <w:p>
      <w:pPr>
        <w:spacing w:after="0" w:line="19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establishes a mortgage repurchase liability related to these events that reflects management’s estimate of losses on loans for which the Company could have a repurchase obligation based on a combination of factors. Such factors incorporate the volume of loans sold in current and previous periods, borrower default expectations, historical investor repurchase demand and appeals success rates (where the investor rescinds the demand based on a cure of the defect or acknowledges that the loan satisfies the investor’s applicable representations and warranties), and estimated loss severity. Payments made to investors as reimbursement for losses incurred are charged against the mortgage repurchase liability. Loans repurchased from investors are initially recorded at fair value, which becomes the Company’s new accounting basis. The difference between the loan’s fair value and the payment made to investors as reimbursement for losses incurred is charged to the mortgage repurchase liability. Subsequent to repurchase, such loans are carried as portfolio loans on the Company’s Consolidated Balance Sheets. Loans repurchased with deteriorated credit quality at the date of repurchase are accounted for under ASC 310-30.</w:t>
      </w:r>
    </w:p>
    <w:p>
      <w:pPr>
        <w:spacing w:after="0" w:line="18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liability for loans sold of $2.1 million at March 31, 2017 represents the Company’s best estimate of the probable losses that the Company will incur for various early default provisions and contractual representations and warranties associated with the sales of mortgage loans and is included in other liabilities in the accompanying Consolidated Balance Sheets. Because the level of mortgage loan repurchase losses depends upon economic factors, investor demand strategies and other external conditions that may change over the life of the underlying loans, the level of the liability for mortgage loan repurchase losses is difficult to estimate and requires considerable management judgment. In addition, the Company generally does not service the loans that it sells to investors and is generally unable to track the remaining unpaid balances or delinquency status after sale. As a result, there may be a range of possible losses in excess of the estimated liability that cannot be estimated. Management maintains regular contact with the Company’s investors to monitor and address their repurchase demand practices and concerns.</w:t>
      </w:r>
    </w:p>
    <w:p>
      <w:pPr>
        <w:sectPr>
          <w:pgSz w:w="11900" w:h="16838" w:orient="portrait"/>
          <w:cols w:equalWidth="0" w:num="1">
            <w:col w:w="11420"/>
          </w:cols>
          <w:pgMar w:left="240" w:top="125" w:right="239" w:bottom="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following is management’s discussion and analysis of the financial condition of First Busey Corporation and its subsidiaries at March 31, 2017 (unaudited), as compared with December 31, 2016 and March 31, 2016 (unaudited), and the results of operations for the three months ended March 31, 2017 (unaudited), as compared to the three months ended December 31, 2016 and March 31, 2016 (unaudited). Management’s discussion and analysis should be read in conjunction with the Company’s unaudited Consolidated Financial Statements and notes thereto appearing elsewhere in this Quarterly Report on Form 10-Q, as well as the Company’s Annual Report on Form 10-K for the year ended December 31,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Planned Acquisitions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first quarter of 2017, First Busey announced the signing of two definitive agreements to acquire First Community, headquartered in Joliet, Illinois, and Mid Illinois, headquartered in Peoria, Illinois. The acquisition of First Community will allow us to significantly expand our geographic presence into attractive southwest suburbs of Chicago. The acquisition of Mid Illinois will enhance the Company’s existing deposit, commercial banking and trust and investment presence in the greater Peoria area.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First Busey’s net income for the first quarter of 2017 was $15.2 million, or $0.39 per diluted common share. The Company reported net income of $11.5 million or $0.30 per diluted common share for the fourth quarter of 2016 and net income of $10.4 million or $0.36 per diluted common share for the first quarter of 2016. The results benefitted from the acquisition of Pulaski since the closing of the transaction on April 30, 2016.</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first quarter of 2017, the Company incurred $0.7 million of pre-tax expenses related to the pending acquisitions, which primarily consisted of legal and professional expenses. Additional notable pre-tax items incurred by the Company during the first quarter of 2017 included $0.2 million of restructuring costs and an insignificant amount related to the Pulaski acquisition. Excluding these items, the Company’s operating earnings, a Non-GAAP financial measure, for the first quarter of 2017 would have been $15.8 million, or $0.41 per diluted common share.</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Revenues from trust fees, commissions and brokers’ fees, and remittance processing activities represented 48.8% of the Company’s non-interest income for the quarter ended March 31, 2017, providing a balance to revenue from traditional banking activities.</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Trust fees and commissions and brokers’ fees increased to $6.9 million for the first quarter of 2017 compared to $5.9 million for the fourth quarter of 2016 and $6.2 million for the first quarter of 2016, with market expansion into St. Louis and strong performance from Busey Ag Services, a wealth management division of Busey Bank, producing positive results. Net income from the wealth management segment increased to $1.8 million for the first quarter of 2017, compared to $1.5 million for the fourth quarter of 2016, and $1.3 million for the first quarter of 2016.</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Remittance processing revenue increased 5.5% on a linked quarter basis to $2.8 million for the first quarter of 2017 compared to $2.7 million for the fourth quarter of 2016, but decreased 2.7% from $2.9 million for the first quarter of 2016. The increases were primarily due to growth in online and mobile service revenues, with some offset to growth from the prior year based on customers lost through consolidation with other companies. Net income from the remittance processing segment was $0.6 million for the first quarter of 2017, an increase from $0.4 million in the fourth quarter of 2016 and $0.5 million in first quarter of 2016.</w:t>
      </w:r>
    </w:p>
    <w:p>
      <w:pPr>
        <w:spacing w:after="0" w:line="18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Mortgage revenues slowed significantly and balances of loans held for sale decreased, supplemented with active cost reduction efforts and effective headcount management.</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produced growth in key areas in the opening months of the year, including commercial loans and non-interest bearing deposits, while net income in the banking, remittance processing and wealth management segments all grew on a linked quarter and comparative basis to the prior year. Credit metrics were also positive, with net recoveries recorded to the allowance for loan losses that drove lower provision expense, and solid gains in OREO — all indicators of ongoing balance sheet strength.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While much internal focus has been directed toward growth, the Company’s commitment to credit quality remains strong. The asset metrics reflect the post combination results of the Pulaski acquisition. As of March 31, 2017, the Company reported a decrease in non-performing loans to $20.9 million compared to $21.6 million as of December 31, 2016. Non-performing assets were 0.6% of total portfolio loans and non-performing assets as of March 31, 2017 and December 31, 2016.</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recorded net recoveries of $0.1 million for the first quarter of 2017 compared to net charge-offs of $1.6 million for the fourth quarter of 2016. The allowance for loan losses as a percentage of portfolio loans increased to 1.3% at March 31, 2017 compared to 1.2% at December 31, 2016. As a result of acquisitions, the Company is holding acquired loans that are carried net of a fair value adjustment for credit and interest rate marks and are only included in the allowance calculation to the extent that the reserve requirement exceeds the fair value adjustment. The Company recorded a provision for loan losses of $0.5 million in the first quarter of 2017, compared to $1.5 million in the fourth quarter of 2016 and $1.0 million in the first quarter of 2016.</w:t>
      </w:r>
    </w:p>
    <w:p>
      <w:pPr>
        <w:spacing w:after="0" w:line="15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With a continued commitment to asset quality and the strength of our Consolidated Balance Sheets, near-term loan losses are expected to remain generally low. While these results are encouraging, asset quality metrics can be generally influenced by market-specific economic conditions, and specific measures may fluctuate from quarter to quarter.</w:t>
      </w:r>
    </w:p>
    <w:p>
      <w:pPr>
        <w:sectPr>
          <w:pgSz w:w="11900" w:h="16838" w:orient="portrait"/>
          <w:cols w:equalWidth="0" w:num="1">
            <w:col w:w="11400"/>
          </w:cols>
          <w:pgMar w:left="240" w:top="125" w:right="259" w:bottom="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 xml:space="preserve">The key metrics are as follows </w:t>
      </w:r>
      <w:r>
        <w:rPr>
          <w:rFonts w:ascii="Arial" w:cs="Arial" w:eastAsia="Arial" w:hAnsi="Arial"/>
          <w:sz w:val="18"/>
          <w:szCs w:val="18"/>
          <w:i w:val="1"/>
          <w:iCs w:val="1"/>
          <w:color w:val="auto"/>
        </w:rPr>
        <w:t>(dollars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and for the Three Months Ended</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13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13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40" w:type="dxa"/>
            <w:vAlign w:val="bottom"/>
          </w:tcPr>
          <w:p>
            <w:pPr>
              <w:spacing w:after="0"/>
              <w:rPr>
                <w:sz w:val="10"/>
                <w:szCs w:val="10"/>
                <w:color w:val="auto"/>
              </w:rPr>
            </w:pPr>
          </w:p>
        </w:tc>
        <w:tc>
          <w:tcPr>
            <w:tcW w:w="1020" w:type="dxa"/>
            <w:vAlign w:val="bottom"/>
          </w:tcPr>
          <w:p>
            <w:pPr>
              <w:jc w:val="center"/>
              <w:ind w:right="133"/>
              <w:spacing w:after="0" w:line="119" w:lineRule="exact"/>
              <w:rPr>
                <w:sz w:val="20"/>
                <w:szCs w:val="20"/>
                <w:color w:val="auto"/>
              </w:rPr>
            </w:pPr>
            <w:r>
              <w:rPr>
                <w:rFonts w:ascii="Arial" w:cs="Arial" w:eastAsia="Arial" w:hAnsi="Arial"/>
                <w:sz w:val="13"/>
                <w:szCs w:val="13"/>
                <w:b w:val="1"/>
                <w:bCs w:val="1"/>
                <w:color w:val="auto"/>
                <w:w w:val="99"/>
              </w:rPr>
              <w:t>June 30,</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3,872,952</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3,878,900</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3,807,613</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3,780,966</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Commercial loans(1)</w:t>
            </w:r>
          </w:p>
        </w:tc>
        <w:tc>
          <w:tcPr>
            <w:tcW w:w="2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2,799,193</w:t>
            </w: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2,796,130</w:t>
            </w: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2,715,580</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2,685,933</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48,442</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47,795</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47,847</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45,358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Non-performing loans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Non-accrual loans</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20,544</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21,423</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16,253</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22,443</w:t>
            </w: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Loans 90+ days past due</w:t>
            </w:r>
          </w:p>
        </w:tc>
        <w:tc>
          <w:tcPr>
            <w:tcW w:w="2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3,830</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30-89 days past due</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9,804</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4,090</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7,709</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Other non-performing assets</w:t>
            </w:r>
          </w:p>
        </w:tc>
        <w:tc>
          <w:tcPr>
            <w:tcW w:w="2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2,518</w:t>
            </w: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2,324</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portfolio loans and non- performing</w:t>
            </w:r>
          </w:p>
        </w:tc>
        <w:tc>
          <w:tcPr>
            <w:tcW w:w="2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22"/>
        </w:trPr>
        <w:tc>
          <w:tcPr>
            <w:tcW w:w="516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0"/>
                <w:szCs w:val="10"/>
                <w:color w:val="auto"/>
              </w:rPr>
            </w:pPr>
          </w:p>
        </w:tc>
        <w:tc>
          <w:tcPr>
            <w:tcW w:w="13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gridSpan w:val="2"/>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6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2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232.3%</w:t>
            </w:r>
          </w:p>
        </w:tc>
        <w:tc>
          <w:tcPr>
            <w:tcW w:w="14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221.7%</w:t>
            </w:r>
          </w:p>
        </w:tc>
        <w:tc>
          <w:tcPr>
            <w:tcW w:w="14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238.2%</w:t>
            </w:r>
          </w:p>
        </w:tc>
        <w:tc>
          <w:tcPr>
            <w:tcW w:w="2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6"/>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portfolio loans</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
        </w:trPr>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(1)Includes loans categorized as commercial, commercial real estate and real estate construction.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of Markets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has 28 banking centers serving Illinois. Our primary downstate Illinois markets of Champaign, Macon, McLean and Peoria counties are anchored by several strong, well-recognized and stable organizations. Champaign County is home to the University of Illinois — Urbana/Champaign (“U of I”), the University’s primary campus. U of I has in excess of 44,000 students. Additionally, Champaign County healthcare providers serve a significant area of downstate Illinois and western Indiana. Macon County is home to the North American headquarters for Archer Daniels Midland (“ADM”), a Fortune 100 company and one of the largest agricultural processors in the world. ADM’s presence in Macon County supports many derivative businesses in the agricultural processing arena. Additionally, Macon County is home to Millikin University, and its healthcare providers serve a significant role in the market. McLean County is home to State Farm, Country Financial, Illinois State University and Illinois Wesleyan University. State Farm, a Fortune 100 company, is the largest employer in McLean County, and Country Financial and the universities provide additional stability to a growing area of downstate Illinois. Peoria County is home to Caterpillar Inc. operations, a Fortune 100 company, and Bradley University, in addition to a large healthcare presence serving much of the western portion of downstate Illinois. The institutions noted above, coupled with a large agricultural sector, anchor the communities in which they are located, and have provided a comparatively stable foundation for housing, employment and small business.</w:t>
      </w:r>
    </w:p>
    <w:p>
      <w:pPr>
        <w:spacing w:after="0" w:line="17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State of Illinois, where a large portion of the Company’s customer base is located, continues to be one of the most troubled of any state in the United States with pension under-funding, a current budget impasse, continued budget deficits and a declining credit outlook. Additionally, the Company is located in markets with significant universities and healthcare companies, which rely heavily on state funding and contracts. Payment lapses by the State of Illinois to its vendors and government sponsored entities may have negative effects on our primary market areas.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acquisition of Pulaski expanded our presence into the St. Louis, Missouri metropolitan area, which is the largest metropolitan area in Missouri and the twentieth largest in the United States. The bi-state metropolitan area includes seven counties in Missouri and eight counties in Illinois. The area is home to 19 Fortune 1000 companies, including Express Scripts, Emerson Electric, Centene and Monsanto. St. Louis has a diverse economy with its major employment sectors including health care, financial services, professional and business services, and retail. The Company has 13 banking centers serving the St. Louis metropolitan area, all of which are located in the city of St. Louis, or the adjacent counties of St. Louis County and St. Charles County. St. Charles County has been one of the fastest-growing counties in the country for decades. The county features a cross-section of industry, as well as extensive retail and some agriculture. The Company’s geographic concentration in only three of the 15 counties included in the St. Louis metropolitan area gives the Company tremendous expansion opportunities into neighboring counties.</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has five banking centers in southwest Florida. Southwest Florida has shown continuing signs of improvement in areas such as job growth and the housing market over the last several years.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has one banking center in the Indianapolis, Indiana area, which is the most populous city of Indiana with a diverse economy. Many large corporations are headquartered in Indianapolis and it is host to numerous conventions and sporting events annually. In 2017, the Company plans to expand its presence in Indianapolis.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Certain assets with tax favorable treatment are evaluated on a tax-equivalent basis. Tax-equivalent basis assumes a federal income tax rate of 35%. Tax favorable assets generally have lower contractual pre-tax yields than fully taxable assets. A tax-equivalent analysis is performed by adding the tax savings to</w:t>
      </w:r>
    </w:p>
    <w:p>
      <w:pPr>
        <w:sectPr>
          <w:pgSz w:w="11900" w:h="16838" w:orient="portrait"/>
          <w:cols w:equalWidth="0" w:num="1">
            <w:col w:w="11420"/>
          </w:cols>
          <w:pgMar w:left="240" w:top="125" w:right="239" w:bottom="0" w:gutter="0" w:footer="0" w:header="0"/>
        </w:sectPr>
      </w:pPr>
    </w:p>
    <w:bookmarkStart w:id="29" w:name="page30"/>
    <w:bookmarkEnd w:id="29"/>
    <w:p>
      <w:pPr>
        <w:ind w:right="540"/>
        <w:spacing w:after="0" w:line="277" w:lineRule="auto"/>
        <w:rPr>
          <w:sz w:val="20"/>
          <w:szCs w:val="20"/>
          <w:color w:val="auto"/>
        </w:rPr>
      </w:pPr>
      <w:r>
        <w:rPr>
          <w:rFonts w:ascii="Arial" w:cs="Arial" w:eastAsia="Arial" w:hAnsi="Arial"/>
          <w:sz w:val="18"/>
          <w:szCs w:val="18"/>
          <w:color w:val="auto"/>
        </w:rPr>
        <w:t>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following tables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For purposes of this table, changes attributable to both rate and volume, which cannot be segregated, have been allocated proportionately, based on changes due to rate and changes due to volume. All average information is provided on a daily average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 AND 2016 (UNAUDITED)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6"/>
              </w:rPr>
              <w:t>Change in income/</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2017</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2"/>
              </w:rPr>
              <w:t>2016</w:t>
            </w: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w w:val="85"/>
              </w:rPr>
              <w:t>expense due to(1)</w:t>
            </w: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360"/>
              <w:spacing w:after="0" w:line="110" w:lineRule="exact"/>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9"/>
                <w:szCs w:val="9"/>
                <w:color w:val="auto"/>
              </w:rPr>
            </w:pPr>
          </w:p>
        </w:tc>
        <w:tc>
          <w:tcPr>
            <w:tcW w:w="86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6"/>
              </w:rPr>
              <w:t>Income/</w:t>
            </w:r>
          </w:p>
        </w:tc>
        <w:tc>
          <w:tcPr>
            <w:tcW w:w="800" w:type="dxa"/>
            <w:vAlign w:val="bottom"/>
          </w:tcPr>
          <w:p>
            <w:pPr>
              <w:jc w:val="right"/>
              <w:ind w:right="177"/>
              <w:spacing w:after="0" w:line="110" w:lineRule="exact"/>
              <w:rPr>
                <w:sz w:val="20"/>
                <w:szCs w:val="20"/>
                <w:color w:val="auto"/>
              </w:rPr>
            </w:pPr>
            <w:r>
              <w:rPr>
                <w:rFonts w:ascii="Arial" w:cs="Arial" w:eastAsia="Arial" w:hAnsi="Arial"/>
                <w:sz w:val="12"/>
                <w:szCs w:val="12"/>
                <w:b w:val="1"/>
                <w:bCs w:val="1"/>
                <w:color w:val="auto"/>
              </w:rPr>
              <w:t>Yield/</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right"/>
              <w:ind w:right="300"/>
              <w:spacing w:after="0" w:line="110" w:lineRule="exact"/>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2"/>
              </w:rPr>
              <w:t>Income/</w:t>
            </w:r>
          </w:p>
        </w:tc>
        <w:tc>
          <w:tcPr>
            <w:tcW w:w="800" w:type="dxa"/>
            <w:vAlign w:val="bottom"/>
          </w:tcPr>
          <w:p>
            <w:pPr>
              <w:jc w:val="right"/>
              <w:ind w:right="177"/>
              <w:spacing w:after="0" w:line="110" w:lineRule="exact"/>
              <w:rPr>
                <w:sz w:val="20"/>
                <w:szCs w:val="20"/>
                <w:color w:val="auto"/>
              </w:rPr>
            </w:pPr>
            <w:r>
              <w:rPr>
                <w:rFonts w:ascii="Arial" w:cs="Arial" w:eastAsia="Arial" w:hAnsi="Arial"/>
                <w:sz w:val="12"/>
                <w:szCs w:val="12"/>
                <w:b w:val="1"/>
                <w:bCs w:val="1"/>
                <w:color w:val="auto"/>
              </w:rPr>
              <w:t>Yield/</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w w:val="97"/>
              </w:rPr>
              <w:t>Average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2"/>
              </w:rPr>
              <w:t>Average</w:t>
            </w:r>
          </w:p>
        </w:tc>
        <w:tc>
          <w:tcPr>
            <w:tcW w:w="140" w:type="dxa"/>
            <w:vAlign w:val="bottom"/>
          </w:tcPr>
          <w:p>
            <w:pPr>
              <w:spacing w:after="0"/>
              <w:rPr>
                <w:sz w:val="9"/>
                <w:szCs w:val="9"/>
                <w:color w:val="auto"/>
              </w:rPr>
            </w:pPr>
          </w:p>
        </w:tc>
        <w:tc>
          <w:tcPr>
            <w:tcW w:w="660" w:type="dxa"/>
            <w:vAlign w:val="bottom"/>
          </w:tcPr>
          <w:p>
            <w:pPr>
              <w:jc w:val="right"/>
              <w:ind w:right="197"/>
              <w:spacing w:after="0" w:line="110" w:lineRule="exact"/>
              <w:rPr>
                <w:sz w:val="20"/>
                <w:szCs w:val="20"/>
                <w:color w:val="auto"/>
              </w:rPr>
            </w:pPr>
            <w:r>
              <w:rPr>
                <w:rFonts w:ascii="Arial" w:cs="Arial" w:eastAsia="Arial" w:hAnsi="Arial"/>
                <w:sz w:val="12"/>
                <w:szCs w:val="12"/>
                <w:b w:val="1"/>
                <w:bCs w:val="1"/>
                <w:color w:val="auto"/>
              </w:rPr>
              <w:t>Total</w:t>
            </w: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6"/>
              </w:rPr>
              <w:t>Balance</w:t>
            </w:r>
          </w:p>
        </w:tc>
        <w:tc>
          <w:tcPr>
            <w:tcW w:w="14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Expense</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Rate(5)</w:t>
            </w:r>
          </w:p>
        </w:tc>
        <w:tc>
          <w:tcPr>
            <w:tcW w:w="12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6"/>
              </w:rPr>
              <w:t>Balance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Expense</w:t>
            </w:r>
          </w:p>
        </w:tc>
        <w:tc>
          <w:tcPr>
            <w:tcW w:w="9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Rate(5)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7"/>
              </w:rPr>
              <w:t>Volume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Yield/Rate</w:t>
            </w:r>
          </w:p>
        </w:tc>
        <w:tc>
          <w:tcPr>
            <w:tcW w:w="140" w:type="dxa"/>
            <w:vAlign w:val="bottom"/>
          </w:tcPr>
          <w:p>
            <w:pPr>
              <w:spacing w:after="0"/>
              <w:rPr>
                <w:sz w:val="13"/>
                <w:szCs w:val="13"/>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129"/>
        </w:trPr>
        <w:tc>
          <w:tcPr>
            <w:tcW w:w="27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6"/>
          </w:tcPr>
          <w:p>
            <w:pPr>
              <w:ind w:left="620"/>
              <w:spacing w:after="0" w:line="129" w:lineRule="exact"/>
              <w:rPr>
                <w:sz w:val="20"/>
                <w:szCs w:val="20"/>
                <w:color w:val="auto"/>
              </w:rPr>
            </w:pPr>
            <w:r>
              <w:rPr>
                <w:rFonts w:ascii="Arial" w:cs="Arial" w:eastAsia="Arial" w:hAnsi="Arial"/>
                <w:sz w:val="13"/>
                <w:szCs w:val="13"/>
                <w:b w:val="1"/>
                <w:bCs w:val="1"/>
                <w:color w:val="auto"/>
                <w:w w:val="88"/>
              </w:rPr>
              <w:t>(dollars in thousands)</w:t>
            </w: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760" w:type="dxa"/>
            <w:vAlign w:val="bottom"/>
          </w:tcPr>
          <w:p>
            <w:pPr>
              <w:ind w:left="200"/>
              <w:spacing w:after="0"/>
              <w:rPr>
                <w:sz w:val="20"/>
                <w:szCs w:val="20"/>
                <w:color w:val="auto"/>
              </w:rPr>
            </w:pPr>
            <w:r>
              <w:rPr>
                <w:rFonts w:ascii="Arial" w:cs="Arial" w:eastAsia="Arial" w:hAnsi="Arial"/>
                <w:sz w:val="13"/>
                <w:szCs w:val="13"/>
                <w:color w:val="auto"/>
              </w:rPr>
              <w:t>Interest-bearing bank deposits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92,201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178</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0.78%</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241,250</w:t>
            </w:r>
          </w:p>
        </w:tc>
        <w:tc>
          <w:tcPr>
            <w:tcW w:w="18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300</w:t>
            </w: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0.50%</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(239)</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117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57"/>
        </w:trPr>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Federal funds sold</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392</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2760" w:type="dxa"/>
            <w:vAlign w:val="bottom"/>
          </w:tcPr>
          <w:p>
            <w:pPr>
              <w:ind w:left="200"/>
              <w:spacing w:after="0"/>
              <w:rPr>
                <w:sz w:val="20"/>
                <w:szCs w:val="20"/>
                <w:color w:val="auto"/>
              </w:rPr>
            </w:pPr>
            <w:r>
              <w:rPr>
                <w:rFonts w:ascii="Arial" w:cs="Arial" w:eastAsia="Arial" w:hAnsi="Arial"/>
                <w:sz w:val="13"/>
                <w:szCs w:val="13"/>
                <w:color w:val="auto"/>
              </w:rPr>
              <w:t>Investment securities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U.S. Government obligations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147,205</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453</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193,258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549</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46</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21"/>
        </w:trPr>
        <w:tc>
          <w:tcPr>
            <w:tcW w:w="2760" w:type="dxa"/>
            <w:vAlign w:val="bottom"/>
          </w:tcPr>
          <w:p>
            <w:pPr>
              <w:ind w:left="380"/>
              <w:spacing w:after="0" w:line="121" w:lineRule="exact"/>
              <w:rPr>
                <w:sz w:val="20"/>
                <w:szCs w:val="20"/>
                <w:color w:val="auto"/>
              </w:rPr>
            </w:pPr>
            <w:r>
              <w:rPr>
                <w:rFonts w:ascii="Arial" w:cs="Arial" w:eastAsia="Arial" w:hAnsi="Arial"/>
                <w:sz w:val="13"/>
                <w:szCs w:val="13"/>
                <w:color w:val="auto"/>
              </w:rPr>
              <w:t>Obligations of states and political</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195,106</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1,433</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2.98%</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219,927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1,535</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2.81%</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(187)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85</w:t>
            </w:r>
          </w:p>
        </w:tc>
        <w:tc>
          <w:tcPr>
            <w:tcW w:w="140" w:type="dxa"/>
            <w:vAlign w:val="bottom"/>
          </w:tcPr>
          <w:p>
            <w:pPr>
              <w:spacing w:after="0"/>
              <w:rPr>
                <w:sz w:val="10"/>
                <w:szCs w:val="10"/>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93"/>
        </w:trPr>
        <w:tc>
          <w:tcPr>
            <w:tcW w:w="2760" w:type="dxa"/>
            <w:vAlign w:val="bottom"/>
            <w:vMerge w:val="restart"/>
          </w:tcPr>
          <w:p>
            <w:pPr>
              <w:ind w:left="560"/>
              <w:spacing w:after="0"/>
              <w:rPr>
                <w:sz w:val="20"/>
                <w:szCs w:val="20"/>
                <w:color w:val="auto"/>
              </w:rPr>
            </w:pPr>
            <w:r>
              <w:rPr>
                <w:rFonts w:ascii="Arial" w:cs="Arial" w:eastAsia="Arial" w:hAnsi="Arial"/>
                <w:sz w:val="13"/>
                <w:szCs w:val="13"/>
                <w:color w:val="auto"/>
              </w:rPr>
              <w:t>subdivisions(1)</w:t>
            </w: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Other securities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467,937</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2,658</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2.30%</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447,164</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2,410</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2.17%</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143</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248</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760" w:type="dxa"/>
            <w:vAlign w:val="bottom"/>
          </w:tcPr>
          <w:p>
            <w:pPr>
              <w:ind w:left="200"/>
              <w:spacing w:after="0"/>
              <w:rPr>
                <w:sz w:val="20"/>
                <w:szCs w:val="20"/>
                <w:color w:val="auto"/>
              </w:rPr>
            </w:pPr>
            <w:r>
              <w:rPr>
                <w:rFonts w:ascii="Arial" w:cs="Arial" w:eastAsia="Arial" w:hAnsi="Arial"/>
                <w:sz w:val="13"/>
                <w:szCs w:val="13"/>
                <w:color w:val="auto"/>
              </w:rPr>
              <w:t>Loans held for sale</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138,861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1,238</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3.62%</w:t>
            </w: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6,106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31</w:t>
            </w: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2.04%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1,166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41</w:t>
            </w:r>
          </w:p>
        </w:tc>
        <w:tc>
          <w:tcPr>
            <w:tcW w:w="1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1,207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Portfolio loans(1) (2)</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3,861,937</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39,680</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2,583,724</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25,236</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3.93%</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12,865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1,579</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14,444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760" w:type="dxa"/>
            <w:vAlign w:val="bottom"/>
          </w:tcPr>
          <w:p>
            <w:pPr>
              <w:ind w:left="200"/>
              <w:spacing w:after="0"/>
              <w:rPr>
                <w:sz w:val="20"/>
                <w:szCs w:val="20"/>
                <w:color w:val="auto"/>
              </w:rPr>
            </w:pPr>
            <w:r>
              <w:rPr>
                <w:rFonts w:ascii="Arial" w:cs="Arial" w:eastAsia="Arial" w:hAnsi="Arial"/>
                <w:sz w:val="13"/>
                <w:szCs w:val="13"/>
                <w:color w:val="auto"/>
              </w:rPr>
              <w:t>Total interest-earning assets(1) (3)</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4,903,639</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45,640</w:t>
            </w:r>
          </w:p>
        </w:tc>
        <w:tc>
          <w:tcPr>
            <w:tcW w:w="18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3.77%</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3,691,429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30,061</w:t>
            </w:r>
          </w:p>
        </w:tc>
        <w:tc>
          <w:tcPr>
            <w:tcW w:w="16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3.28%</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13,568</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2,011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15,579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27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8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8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6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760" w:type="dxa"/>
            <w:vAlign w:val="bottom"/>
          </w:tcPr>
          <w:p>
            <w:pPr>
              <w:ind w:left="200"/>
              <w:spacing w:after="0"/>
              <w:rPr>
                <w:sz w:val="20"/>
                <w:szCs w:val="20"/>
                <w:color w:val="auto"/>
              </w:rPr>
            </w:pPr>
            <w:r>
              <w:rPr>
                <w:rFonts w:ascii="Arial" w:cs="Arial" w:eastAsia="Arial" w:hAnsi="Arial"/>
                <w:sz w:val="13"/>
                <w:szCs w:val="13"/>
                <w:color w:val="auto"/>
              </w:rPr>
              <w:t>Cash and due from banks</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79,091</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59,420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Premises and equipment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78,280</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63,243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760" w:type="dxa"/>
            <w:vAlign w:val="bottom"/>
          </w:tcPr>
          <w:p>
            <w:pPr>
              <w:ind w:left="200"/>
              <w:spacing w:after="0"/>
              <w:rPr>
                <w:sz w:val="20"/>
                <w:szCs w:val="20"/>
                <w:color w:val="auto"/>
              </w:rPr>
            </w:pPr>
            <w:r>
              <w:rPr>
                <w:rFonts w:ascii="Arial" w:cs="Arial" w:eastAsia="Arial" w:hAnsi="Arial"/>
                <w:sz w:val="13"/>
                <w:szCs w:val="13"/>
                <w:color w:val="auto"/>
              </w:rPr>
              <w:t>Allowance for loan losses</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(48,709)</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(47,602)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Other assets</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277,679</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140,349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Assets</w:t>
            </w:r>
          </w:p>
        </w:tc>
        <w:tc>
          <w:tcPr>
            <w:tcW w:w="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5,289,980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3,906,839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760" w:type="dxa"/>
            <w:vAlign w:val="bottom"/>
          </w:tcPr>
          <w:p>
            <w:pPr>
              <w:ind w:left="200"/>
              <w:spacing w:after="0" w:line="121" w:lineRule="exact"/>
              <w:rPr>
                <w:sz w:val="20"/>
                <w:szCs w:val="20"/>
                <w:color w:val="auto"/>
              </w:rPr>
            </w:pPr>
            <w:r>
              <w:rPr>
                <w:rFonts w:ascii="Arial" w:cs="Arial" w:eastAsia="Arial" w:hAnsi="Arial"/>
                <w:sz w:val="13"/>
                <w:szCs w:val="13"/>
                <w:color w:val="auto"/>
              </w:rPr>
              <w:t>Interest-bearing transaction, savings and</w:t>
            </w:r>
          </w:p>
        </w:tc>
        <w:tc>
          <w:tcPr>
            <w:tcW w:w="120" w:type="dxa"/>
            <w:vAlign w:val="bottom"/>
            <w:vMerge w:val="restart"/>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2,472,231</w:t>
            </w:r>
          </w:p>
        </w:tc>
        <w:tc>
          <w:tcPr>
            <w:tcW w:w="16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859</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0.14%</w:t>
            </w:r>
          </w:p>
        </w:tc>
        <w:tc>
          <w:tcPr>
            <w:tcW w:w="120" w:type="dxa"/>
            <w:vAlign w:val="bottom"/>
            <w:vMerge w:val="restart"/>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1,985,041</w:t>
            </w:r>
          </w:p>
        </w:tc>
        <w:tc>
          <w:tcPr>
            <w:tcW w:w="100" w:type="dxa"/>
            <w:vAlign w:val="bottom"/>
          </w:tcPr>
          <w:p>
            <w:pPr>
              <w:spacing w:after="0"/>
              <w:rPr>
                <w:sz w:val="10"/>
                <w:szCs w:val="10"/>
                <w:color w:val="auto"/>
              </w:rPr>
            </w:pPr>
          </w:p>
        </w:tc>
        <w:tc>
          <w:tcPr>
            <w:tcW w:w="180" w:type="dxa"/>
            <w:vAlign w:val="bottom"/>
            <w:gridSpan w:val="2"/>
            <w:vMerge w:val="restart"/>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561</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0.11%</w:t>
            </w: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153</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145</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298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760" w:type="dxa"/>
            <w:vAlign w:val="bottom"/>
            <w:vMerge w:val="restart"/>
          </w:tcPr>
          <w:p>
            <w:pPr>
              <w:ind w:left="380"/>
              <w:spacing w:after="0"/>
              <w:rPr>
                <w:sz w:val="20"/>
                <w:szCs w:val="20"/>
                <w:color w:val="auto"/>
              </w:rPr>
            </w:pPr>
            <w:r>
              <w:rPr>
                <w:rFonts w:ascii="Arial" w:cs="Arial" w:eastAsia="Arial" w:hAnsi="Arial"/>
                <w:sz w:val="13"/>
                <w:szCs w:val="13"/>
                <w:color w:val="auto"/>
              </w:rPr>
              <w:t>money market deposits</w:t>
            </w:r>
          </w:p>
        </w:tc>
        <w:tc>
          <w:tcPr>
            <w:tcW w:w="1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Time deposits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778,546</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1,185</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0.62%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449,796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546</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0.49%</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170</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639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760" w:type="dxa"/>
            <w:vAlign w:val="bottom"/>
          </w:tcPr>
          <w:p>
            <w:pPr>
              <w:ind w:left="200"/>
              <w:spacing w:after="0"/>
              <w:rPr>
                <w:sz w:val="20"/>
                <w:szCs w:val="20"/>
                <w:color w:val="auto"/>
              </w:rPr>
            </w:pPr>
            <w:r>
              <w:rPr>
                <w:rFonts w:ascii="Arial" w:cs="Arial" w:eastAsia="Arial" w:hAnsi="Arial"/>
                <w:sz w:val="13"/>
                <w:szCs w:val="13"/>
                <w:color w:val="auto"/>
              </w:rPr>
              <w:t>Short-term borrowings: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color w:val="auto"/>
              </w:rPr>
              <w:t>Repurchase agreements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165,785</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123</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0.30%</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163,328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81</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0.20%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41</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760" w:type="dxa"/>
            <w:vAlign w:val="bottom"/>
          </w:tcPr>
          <w:p>
            <w:pPr>
              <w:ind w:left="380"/>
              <w:spacing w:after="0"/>
              <w:rPr>
                <w:sz w:val="20"/>
                <w:szCs w:val="20"/>
                <w:color w:val="auto"/>
              </w:rPr>
            </w:pPr>
            <w:r>
              <w:rPr>
                <w:rFonts w:ascii="Arial" w:cs="Arial" w:eastAsia="Arial" w:hAnsi="Arial"/>
                <w:sz w:val="13"/>
                <w:szCs w:val="13"/>
                <w:color w:val="auto"/>
              </w:rPr>
              <w:t>Other (4)</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20,278</w:t>
            </w: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47</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0.94%</w:t>
            </w: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386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14</w:t>
            </w: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14.59%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Long-term debt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80,000</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113</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0.57%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80,000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43</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0.22%</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61</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760" w:type="dxa"/>
            <w:vAlign w:val="bottom"/>
          </w:tcPr>
          <w:p>
            <w:pPr>
              <w:ind w:left="200"/>
              <w:spacing w:after="0" w:line="121" w:lineRule="exact"/>
              <w:rPr>
                <w:sz w:val="20"/>
                <w:szCs w:val="20"/>
                <w:color w:val="auto"/>
              </w:rPr>
            </w:pPr>
            <w:r>
              <w:rPr>
                <w:rFonts w:ascii="Arial" w:cs="Arial" w:eastAsia="Arial" w:hAnsi="Arial"/>
                <w:sz w:val="13"/>
                <w:szCs w:val="13"/>
                <w:color w:val="auto"/>
              </w:rPr>
              <w:t>Junior subordinated debt owed to</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70,870</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587</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3.36%</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55,000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337</w:t>
            </w: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2.46%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139</w:t>
            </w:r>
          </w:p>
        </w:tc>
        <w:tc>
          <w:tcPr>
            <w:tcW w:w="140" w:type="dxa"/>
            <w:vAlign w:val="bottom"/>
          </w:tcPr>
          <w:p>
            <w:pPr>
              <w:spacing w:after="0"/>
              <w:rPr>
                <w:sz w:val="10"/>
                <w:szCs w:val="10"/>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760" w:type="dxa"/>
            <w:vAlign w:val="bottom"/>
            <w:vMerge w:val="restart"/>
          </w:tcPr>
          <w:p>
            <w:pPr>
              <w:ind w:left="380"/>
              <w:spacing w:after="0"/>
              <w:rPr>
                <w:sz w:val="20"/>
                <w:szCs w:val="20"/>
                <w:color w:val="auto"/>
              </w:rPr>
            </w:pPr>
            <w:r>
              <w:rPr>
                <w:rFonts w:ascii="Arial" w:cs="Arial" w:eastAsia="Arial" w:hAnsi="Arial"/>
                <w:sz w:val="13"/>
                <w:szCs w:val="13"/>
                <w:color w:val="auto"/>
              </w:rPr>
              <w:t>unconsolidated trusts</w:t>
            </w: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760" w:type="dxa"/>
            <w:vAlign w:val="bottom"/>
            <w:tcBorders>
              <w:bottom w:val="single" w:sz="8" w:color="CCEEFF"/>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interest-bearing liabilities</w:t>
            </w:r>
          </w:p>
        </w:tc>
        <w:tc>
          <w:tcPr>
            <w:tcW w:w="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3,587,710</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2,914</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0.33%</w:t>
            </w:r>
          </w:p>
        </w:tc>
        <w:tc>
          <w:tcPr>
            <w:tcW w:w="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2,733,551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1,582</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0.23%</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556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1,332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Net interest spread(1)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Noninterest-bearing deposits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1,066,978</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768,271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760" w:type="dxa"/>
            <w:vAlign w:val="bottom"/>
          </w:tcPr>
          <w:p>
            <w:pPr>
              <w:ind w:left="200"/>
              <w:spacing w:after="0"/>
              <w:rPr>
                <w:sz w:val="20"/>
                <w:szCs w:val="20"/>
                <w:color w:val="auto"/>
              </w:rPr>
            </w:pPr>
            <w:r>
              <w:rPr>
                <w:rFonts w:ascii="Arial" w:cs="Arial" w:eastAsia="Arial" w:hAnsi="Arial"/>
                <w:sz w:val="13"/>
                <w:szCs w:val="13"/>
                <w:color w:val="auto"/>
              </w:rPr>
              <w:t>Other liabilities</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39,882</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28,306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595,410</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376,711</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5,289,980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3,906,839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Interest income / earning assets(1) (3)</w:t>
            </w:r>
          </w:p>
        </w:tc>
        <w:tc>
          <w:tcPr>
            <w:tcW w:w="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4,903,639</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45,640</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3.77%</w:t>
            </w:r>
          </w:p>
        </w:tc>
        <w:tc>
          <w:tcPr>
            <w:tcW w:w="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3,691,429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30,061</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3.28%</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760" w:type="dxa"/>
            <w:vAlign w:val="bottom"/>
          </w:tcPr>
          <w:p>
            <w:pPr>
              <w:spacing w:after="0"/>
              <w:rPr>
                <w:sz w:val="20"/>
                <w:szCs w:val="20"/>
                <w:color w:val="auto"/>
              </w:rPr>
            </w:pPr>
            <w:r>
              <w:rPr>
                <w:rFonts w:ascii="Arial" w:cs="Arial" w:eastAsia="Arial" w:hAnsi="Arial"/>
                <w:sz w:val="13"/>
                <w:szCs w:val="13"/>
                <w:color w:val="auto"/>
              </w:rPr>
              <w:t>Interest expense / earning assets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4,903,639</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2,914</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0.24%</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3,691,429</w:t>
            </w:r>
          </w:p>
        </w:tc>
        <w:tc>
          <w:tcPr>
            <w:tcW w:w="100" w:type="dxa"/>
            <w:vAlign w:val="bottom"/>
          </w:tcPr>
          <w:p>
            <w:pPr>
              <w:spacing w:after="0"/>
              <w:rPr>
                <w:sz w:val="17"/>
                <w:szCs w:val="17"/>
                <w:color w:val="auto"/>
              </w:rPr>
            </w:pPr>
          </w:p>
        </w:tc>
        <w:tc>
          <w:tcPr>
            <w:tcW w:w="18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1,582</w:t>
            </w: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0.18%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7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760" w:type="dxa"/>
            <w:vAlign w:val="bottom"/>
          </w:tcPr>
          <w:p>
            <w:pPr>
              <w:spacing w:after="0"/>
              <w:rPr>
                <w:sz w:val="20"/>
                <w:szCs w:val="20"/>
                <w:color w:val="auto"/>
              </w:rPr>
            </w:pPr>
            <w:r>
              <w:rPr>
                <w:rFonts w:ascii="Arial" w:cs="Arial" w:eastAsia="Arial" w:hAnsi="Arial"/>
                <w:sz w:val="13"/>
                <w:szCs w:val="13"/>
                <w:color w:val="auto"/>
              </w:rPr>
              <w:t>Net interest margin(1)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42,726</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3.53%</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28,479</w:t>
            </w:r>
          </w:p>
        </w:tc>
        <w:tc>
          <w:tcPr>
            <w:tcW w:w="1080" w:type="dxa"/>
            <w:vAlign w:val="bottom"/>
            <w:gridSpan w:val="4"/>
          </w:tcPr>
          <w:p>
            <w:pPr>
              <w:jc w:val="right"/>
              <w:ind w:right="60"/>
              <w:spacing w:after="0"/>
              <w:rPr>
                <w:sz w:val="20"/>
                <w:szCs w:val="20"/>
                <w:color w:val="auto"/>
              </w:rPr>
            </w:pPr>
            <w:r>
              <w:rPr>
                <w:rFonts w:ascii="Arial" w:cs="Arial" w:eastAsia="Arial" w:hAnsi="Arial"/>
                <w:sz w:val="13"/>
                <w:szCs w:val="13"/>
                <w:color w:val="auto"/>
              </w:rPr>
              <w:t>3.10% $</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12,792</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1,455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14,247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2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(1)On a tax-equivalent basis assuming a federal income tax rate of 35%.</w:t>
      </w:r>
    </w:p>
    <w:p>
      <w:pPr>
        <w:spacing w:after="0" w:line="216" w:lineRule="auto"/>
        <w:rPr>
          <w:sz w:val="20"/>
          <w:szCs w:val="20"/>
          <w:color w:val="auto"/>
        </w:rPr>
      </w:pPr>
      <w:r>
        <w:rPr>
          <w:rFonts w:ascii="Arial" w:cs="Arial" w:eastAsia="Arial" w:hAnsi="Arial"/>
          <w:sz w:val="13"/>
          <w:szCs w:val="13"/>
          <w:color w:val="auto"/>
        </w:rPr>
        <w:t>(2)Non-accrual loans have been included in average portfolio loans.</w:t>
      </w:r>
    </w:p>
    <w:p>
      <w:pPr>
        <w:spacing w:after="0" w:line="217" w:lineRule="auto"/>
        <w:rPr>
          <w:sz w:val="20"/>
          <w:szCs w:val="20"/>
          <w:color w:val="auto"/>
        </w:rPr>
      </w:pPr>
      <w:r>
        <w:rPr>
          <w:rFonts w:ascii="Arial" w:cs="Arial" w:eastAsia="Arial" w:hAnsi="Arial"/>
          <w:sz w:val="13"/>
          <w:szCs w:val="13"/>
          <w:color w:val="auto"/>
        </w:rPr>
        <w:t>(3)Interest income includes a tax-equivalent adjustment of $0.7 million and $0.5 million at March 31, 2017 and 2016, respectively.</w:t>
      </w:r>
    </w:p>
    <w:p>
      <w:pPr>
        <w:spacing w:after="0" w:line="217" w:lineRule="auto"/>
        <w:rPr>
          <w:sz w:val="20"/>
          <w:szCs w:val="20"/>
          <w:color w:val="auto"/>
        </w:rPr>
      </w:pPr>
      <w:r>
        <w:rPr>
          <w:rFonts w:ascii="Arial" w:cs="Arial" w:eastAsia="Arial" w:hAnsi="Arial"/>
          <w:sz w:val="13"/>
          <w:szCs w:val="13"/>
          <w:color w:val="auto"/>
        </w:rPr>
        <w:t>(4)Includes federal funds purchased, FHLB advances and revolving loan. Interest expense includes a non-usage fee on the revolving loan.</w:t>
      </w:r>
    </w:p>
    <w:p>
      <w:pPr>
        <w:spacing w:after="0"/>
        <w:rPr>
          <w:sz w:val="20"/>
          <w:szCs w:val="20"/>
          <w:color w:val="auto"/>
        </w:rPr>
      </w:pPr>
      <w:r>
        <w:rPr>
          <w:rFonts w:ascii="Arial" w:cs="Arial" w:eastAsia="Arial" w:hAnsi="Arial"/>
          <w:sz w:val="13"/>
          <w:szCs w:val="13"/>
          <w:color w:val="auto"/>
        </w:rPr>
        <w:t>(5)Annualized.</w:t>
      </w:r>
    </w:p>
    <w:p>
      <w:pPr>
        <w:sectPr>
          <w:pgSz w:w="11900" w:h="16838" w:orient="portrait"/>
          <w:cols w:equalWidth="0" w:num="1">
            <w:col w:w="11420"/>
          </w:cols>
          <w:pgMar w:left="240" w:top="125" w:right="239" w:bottom="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0" w:name="page31"/>
    <w:bookmarkEnd w:id="30"/>
    <w:p>
      <w:pPr>
        <w:ind w:right="260"/>
        <w:spacing w:after="0" w:line="259" w:lineRule="auto"/>
        <w:rPr>
          <w:sz w:val="20"/>
          <w:szCs w:val="20"/>
          <w:color w:val="auto"/>
        </w:rPr>
      </w:pPr>
      <w:r>
        <w:rPr>
          <w:rFonts w:ascii="Arial" w:cs="Arial" w:eastAsia="Arial" w:hAnsi="Arial"/>
          <w:sz w:val="18"/>
          <w:szCs w:val="18"/>
          <w:color w:val="auto"/>
        </w:rPr>
        <w:t>Consolidated Average Balance Sheets and interest rates were impacted by the April 30, 2016 Pulaski acquisition. Total average interest-earning assets increased $1.2 billion, or 32.8%, to $4.9 billion for the three month period ended March 31, 2017, as compared to $3.7 billion for the same period in 2016. Total average interest-bearing liability balances increased $854.2 million, or 31.2%, to $3.6 billion for the three month period ended March 31, 2017, as compared to $2.7 billion for the same period in 2016.</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interest income, on a tax-equivalent basis, increased $14.2 million for the three month period ended March 31, 2017, as compared to the same period of 2016. The Federal Open Market Committee announced on March 15, 2017 that the federal funds rate increased from 0.75% to 1.00%. The Company expects this increase in interest rates to be modestly favorable to net interest income in 2017. However, rising interest rates could result in decreased demand for first mortgages as well as mortgage refinancing, activities which contribute to a portion of the Company’s mortgage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margin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interest margin, our net interest income expressed as a percentage of average earning assets stated on a tax-equivalent basis, increased to 3.53% for the three month period ended March 31, 2017, compared to 3.10% for the same period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Quarterly net interest margins for 2017 and 2016 were as follows:</w:t>
      </w:r>
    </w:p>
    <w:p>
      <w:pPr>
        <w:spacing w:after="0" w:line="217" w:lineRule="exact"/>
        <w:rPr>
          <w:sz w:val="20"/>
          <w:szCs w:val="20"/>
          <w:color w:val="auto"/>
        </w:rPr>
      </w:pPr>
    </w:p>
    <w:tbl>
      <w:tblPr>
        <w:tblLayout w:type="fixed"/>
        <w:tblInd w:w="2600" w:type="dxa"/>
        <w:tblCellMar>
          <w:top w:w="0" w:type="dxa"/>
          <w:left w:w="0" w:type="dxa"/>
          <w:bottom w:w="0" w:type="dxa"/>
          <w:right w:w="0" w:type="dxa"/>
        </w:tblCellMar>
      </w:tblPr>
      <w:tr>
        <w:trPr>
          <w:trHeight w:val="171"/>
        </w:trPr>
        <w:tc>
          <w:tcPr>
            <w:tcW w:w="30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2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net interest spread, which represents the difference between the average rate earned on earning assets and the average rate paid on interest-bearing liabilities, also on a tax-equivalent basis, was 3.44% for the three month period ended March 31, 2017, compared to 3.05% for the same period in 2016.</w:t>
      </w:r>
    </w:p>
    <w:p>
      <w:pPr>
        <w:spacing w:after="0" w:line="12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Management attempts to mitigate the effects of the interest-rate environment through effective portfolio management, prudent loan underwriting and operational efficiencies. Please refer to the Notes to Consolidated Financial Statements in the Company’s Annual Report on Form 10-K for the year ended December 31, 2016 for accounting policies underlying the recognition of interest income and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income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jc w:val="right"/>
              <w:ind w:right="37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80" w:type="dxa"/>
            <w:vAlign w:val="bottom"/>
          </w:tcPr>
          <w:p>
            <w:pPr>
              <w:jc w:val="right"/>
              <w:ind w:right="274"/>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 fees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2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2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Commissions and brokers’ fees, net</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6"/>
        </w:trPr>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Remittance processing</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2,845</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2,925</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4,075</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3,125</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6"/>
        </w:trPr>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1,911</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Mortgage revenue</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2,134</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6"/>
        </w:trPr>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gains, net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857</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1,280</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1,053</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6"/>
        </w:trPr>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20,014</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non-interest income of $20.0 million for the three month period ended March 31, 2017 increased by 18.8% as compared to $16.8 million for the same period in 2016. The increases were primarily driven by the April 30, 2016 Pulaski acquisition.</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Combined Wealth Management revenue, consisting of trust fees and commissions and brokers’ fees, net, increased to $6.9 million for the three months ended March 31, 2017 compared to $6.2 million for the three months ended March 31, 2016. The addition of these service offerings in the St. Louis markets is expected to provide attractive growth opportunities in future periods.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Remittance processing revenue of $2.8 million for the three months ended March 31, 2017 decreased slightly compared to $2.9 million for the same period of 2016. Remittance processing adds important diversity to our revenue stream while widening our array of service offerings to larger commercial clients within our footprint and nationally.</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Overall, service charges on deposit accounts combined with other service charges and fees increased to $6.0 million for the three month period ended March 31, 2017 as compared to $4.7 million for the same period of 2016. Evolving regulation, product changes and changing behaviors by our client base may impact the revenue derived from charges on deposit accounts.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Mortgage revenue increased to $2.1 million for the three month period ended March 31, 2017 compared to $0.9 million for the same period of 2016. The Company has historically held a leading position in its primary residential loan markets in Central Illinois, while the operations acquired from Pulaski have been ranked among the top residential mortgage loan producers in the St. Louis and Kansas City markets. Mortgage revenue increased significantly from the first quarter of 2016 principally from the additional mortgage activity contributed by the operations acquired from Pulaski. However, the first quarter of 2017 was influenced by a marked increase in mortgage rates and associated costs, as well as seasonally slowing home purchase activity and declines in purchase inventory when compared to the third and fourth quarters of 2016.</w:t>
      </w:r>
    </w:p>
    <w:p>
      <w:pPr>
        <w:sectPr>
          <w:pgSz w:w="11900" w:h="16838" w:orient="portrait"/>
          <w:cols w:equalWidth="0" w:num="1">
            <w:col w:w="11400"/>
          </w:cols>
          <w:pgMar w:left="240" w:top="584" w:right="259" w:bottom="12" w:gutter="0" w:footer="0" w:header="0"/>
        </w:sectPr>
      </w:pPr>
    </w:p>
    <w:bookmarkStart w:id="31" w:name="page32"/>
    <w:bookmarkEnd w:id="31"/>
    <w:p>
      <w:pPr>
        <w:ind w:right="80"/>
        <w:spacing w:after="0" w:line="286" w:lineRule="auto"/>
        <w:rPr>
          <w:sz w:val="20"/>
          <w:szCs w:val="20"/>
          <w:color w:val="auto"/>
        </w:rPr>
      </w:pPr>
      <w:r>
        <w:rPr>
          <w:rFonts w:ascii="Arial" w:cs="Arial" w:eastAsia="Arial" w:hAnsi="Arial"/>
          <w:sz w:val="17"/>
          <w:szCs w:val="17"/>
          <w:color w:val="auto"/>
        </w:rPr>
        <w:t>Security gains, net, decreased for the three month period ended March 31, 2017 compared to the same period of 2016. Security gains, net, vary based on the Company’s decisions around selling securities. In the first quarter of 2017, the Company sold 100% risk weighted investments and reinvested in 20% risk weighted investments at higher yields to better manage capital, while also producing higher future returns.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Other income increased 21.6% for the three months ended March 31, 2017 compared to the same period of 2016 across multiple revenue sources.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Non-interest expense </w:t>
      </w: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9"/>
              </w:rPr>
              <w:t>Three Months Ended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31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0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Change</w:t>
            </w:r>
          </w:p>
        </w:tc>
        <w:tc>
          <w:tcPr>
            <w:tcW w:w="10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wages and employee benefits</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21,890</w:t>
            </w: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1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22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Net occupancy expense of premises</w:t>
            </w:r>
          </w:p>
        </w:tc>
        <w:tc>
          <w:tcPr>
            <w:tcW w:w="2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3,185</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2,167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1,018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equipment expenses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1,084</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Data processing</w:t>
            </w:r>
          </w:p>
        </w:tc>
        <w:tc>
          <w:tcPr>
            <w:tcW w:w="2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3,598</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3,232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Regulatory expense</w:t>
            </w:r>
          </w:p>
        </w:tc>
        <w:tc>
          <w:tcPr>
            <w:tcW w:w="2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588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5,528</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4,485</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Total non-interest expense</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760" w:type="dxa"/>
            <w:vAlign w:val="bottom"/>
            <w:vMerge w:val="continue"/>
          </w:tcPr>
          <w:p>
            <w:pPr>
              <w:spacing w:after="0"/>
              <w:rPr>
                <w:sz w:val="22"/>
                <w:szCs w:val="22"/>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37,619</w:t>
            </w:r>
          </w:p>
        </w:tc>
        <w:tc>
          <w:tcPr>
            <w:tcW w:w="220" w:type="dxa"/>
            <w:vAlign w:val="bottom"/>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27,688</w:t>
            </w:r>
          </w:p>
        </w:tc>
        <w:tc>
          <w:tcPr>
            <w:tcW w:w="18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9,931</w:t>
            </w:r>
          </w:p>
        </w:tc>
        <w:tc>
          <w:tcPr>
            <w:tcW w:w="220" w:type="dxa"/>
            <w:vAlign w:val="bottom"/>
            <w:vMerge w:val="continue"/>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8,738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5,666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3,072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rate on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spacing w:after="0" w:line="201" w:lineRule="exact"/>
              <w:rPr>
                <w:sz w:val="20"/>
                <w:szCs w:val="20"/>
                <w:color w:val="auto"/>
              </w:rPr>
            </w:pPr>
            <w:r>
              <w:rPr>
                <w:rFonts w:ascii="Arial" w:cs="Arial" w:eastAsia="Arial" w:hAnsi="Arial"/>
                <w:sz w:val="18"/>
                <w:szCs w:val="18"/>
                <w:color w:val="auto"/>
              </w:rPr>
              <w:t>Full-time equivalent employees as of period-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1,251</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760" w:type="dxa"/>
            <w:vAlign w:val="bottom"/>
            <w:vMerge w:val="restart"/>
          </w:tcPr>
          <w:p>
            <w:pPr>
              <w:ind w:left="180"/>
              <w:spacing w:after="0"/>
              <w:rPr>
                <w:sz w:val="20"/>
                <w:szCs w:val="20"/>
                <w:color w:val="auto"/>
              </w:rPr>
            </w:pPr>
            <w:r>
              <w:rPr>
                <w:rFonts w:ascii="Arial" w:cs="Arial" w:eastAsia="Arial" w:hAnsi="Arial"/>
                <w:sz w:val="18"/>
                <w:szCs w:val="18"/>
                <w:color w:val="auto"/>
              </w:rPr>
              <w:t>end</w:t>
            </w:r>
          </w:p>
        </w:tc>
        <w:tc>
          <w:tcPr>
            <w:tcW w:w="2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7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Total non-interest expense of $37.6 million for the three month period ended March 31, 2017 increased by $9.9 million as compared to $27.7 million for the same period in 2016. Acquisition expenses relating to the planned acquisitions of First Community and Mid Illinois may have a negative impact on non-interest expense throughout 2017.</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Salaries, wages and employee benefits expense of $21.9 million increased $6.5 million for the three month period ended March 31, 2017 as compared to the same period in 2016, primarily as a result of the Pulaski acquisition. In addition, the first quarter of 2017 was negatively impacted by $0.2 million in restructuring costs designed to address the changing needs of our organization as we seek to balance growth with efficiency. Full-time equivalent employees totaled 1,251 at March 31, 2017, down from 1,295 at December 31, 2016, and up from 788 at March 31, 2016.</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Combined net occupancy expense of premises and furniture and equipment expenses of $4.8 million for the three month period ended March 31, 2017, increased compared to the same period in 2016. The Pulaski acquisition added 13 full-service branches and several loan production offices. We continue to evaluate our branch network and operations for appropriate cost control measures while seeking improvements in service delivery to our customers.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Data processing expense for the three month period ended March 31, 2017 of $3.6 million increased from $3.2 million for the same period of 2016.</w:t>
      </w:r>
    </w:p>
    <w:p>
      <w:pPr>
        <w:spacing w:after="0" w:line="2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Amortization of intangible assets increased for the three month period ended March 31, 2017 compared to the same period in 2016 as a result of the Pulaski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Regulatory expense was stable for the three month period ended March 31, 2017 compared to the same period in 2016.</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expense of $5.5 million for the three month period ended March 31, 2017 increased $1.0 million compared to the same period in 2016. Gain on sale of OREO, net of costs, increased for the first quarter of 2017 to $1.2 million compared to an insignificant amount in the first quarter of 2016, positively impacting other operating expenses. The first quarter of 2017 includes $0.7 million of pre-tax expenses related to pending acquisitions, an increase from $0.2 million in the first quarter of 2016. The remaining increase is across multiple sources.</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effective rate on income taxes, or income taxes divided by income before taxes, of 36.5% for the three months ended March 31, 2017 was lower than the combined federal and state statutory rate of approximately 40% due to tax preferred interest income, such as municipal bond interest and bank owned life insurance income, accounting for a portion of our taxable income. As taxable income increases, we expect our effective tax rate to increase. The Company continues to monitor evolving federal and state tax legislation and its potential impact on operations on an ongoing basis.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efficiency ratio represents total non-interest expense, less amortization charges, as a percentage of tax-equivalent net interest income plus non-interest income, less security gains and losses. The efficiency ratio, which is a non-GAAP financial measure commonly used by management and the investment community in the banking industry, measures the amount of expense that is incurred to generate a dollar of revenue. The efficiency ratio of 58.8% for the three month period ended March 31, 2017 improved from 60.8% in the comparable period in 2016. Acquisition expenses relating to the planned acquisitions of First Community and Mid Illinois may have a negative impact on the efficiency ratio for the remainder of 2017; however, the Company expects to realize operating efficiencies creating a positive impact in future years. We will continue to examine appropriate avenues to improve efficiency.</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ectPr>
          <w:pgSz w:w="11900" w:h="16838" w:orient="portrait"/>
          <w:cols w:equalWidth="0" w:num="1">
            <w:col w:w="11360"/>
          </w:cols>
          <w:pgMar w:left="240" w:top="125" w:right="299" w:bottom="0" w:gutter="0" w:footer="0" w:header="0"/>
          <w:type w:val="continuous"/>
        </w:sectPr>
      </w:pPr>
    </w:p>
    <w:bookmarkStart w:id="32" w:name="page33"/>
    <w:bookmarkEnd w:id="3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Significant Consolidated Balance Sheet items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14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10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654,216</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759,811</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(105,595)</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 held to maturity</w:t>
            </w: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89,660</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47,820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41,840</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Loans held for sale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96,444</w:t>
            </w:r>
          </w:p>
        </w:tc>
        <w:tc>
          <w:tcPr>
            <w:tcW w:w="18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256,319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(159,875)</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3,824,510</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3,831,105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(6,595)</w:t>
            </w:r>
          </w:p>
        </w:tc>
        <w:tc>
          <w:tcPr>
            <w:tcW w:w="1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5,438,935</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5,425,170</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13,765</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Deposits: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1020" w:type="dxa"/>
            <w:vAlign w:val="bottom"/>
            <w:tcBorders>
              <w:bottom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1,206,324</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1,134,133</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72,191</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3,279,219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3,240,165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39,054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4,485,543</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4,374,298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111,245</w:t>
            </w:r>
          </w:p>
        </w:tc>
        <w:tc>
          <w:tcPr>
            <w:tcW w:w="2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1020" w:type="dxa"/>
            <w:vAlign w:val="bottom"/>
            <w:tcBorders>
              <w:bottom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163,081</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189,157</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(26,076)</w:t>
            </w:r>
          </w:p>
        </w:tc>
        <w:tc>
          <w:tcPr>
            <w:tcW w:w="1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Short-term borrowings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80,000</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4,836,588</w:t>
            </w:r>
          </w:p>
        </w:tc>
        <w:tc>
          <w:tcPr>
            <w:tcW w:w="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4,830,856</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5,732</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4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602,347</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594,314</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8,033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Our priorities continue to focus around balance sheet strength, profitability and growth, in that order. With our strong capital position, an attractive core funding base, a sound credit foundation, and an active growth plan, we feel confident that we are well positioned as we look forward in 2017. New partnerships with talented bankers in St. Louis, Peoria and the Chicagoland area bring an expanding pool of business opportunities to generate value and diversity across new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originates conforming, residential mortgage loans directly through commission-based sales staffs in its market areas and through mortgage loan application leads purchased from internet-based sources. Loans held for sale totaled $96.4 million and $256.3 million at March 31, 2017 and December 31, 2016, respectively. The amount of loans held for sale decreased from December 31, 2016, due to lower origination volumes in 2017 driven by market influences. The Company has historically held a leading position in its primary residential loan markets in Central Illinois, while the operations acquired from Pulaski have been ranked among the top residential mortgage loan producers in the St. Louis and Kansas City markets. Loans held for sale generate net interest income until loans are delivered to investors, at which point mortgage revenue will be recognized.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Geographic distributions of portfolio loans by category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6"/>
              </w:rPr>
              <w:t>March 31, 2017</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Illinois</w:t>
            </w:r>
          </w:p>
        </w:tc>
        <w:tc>
          <w:tcPr>
            <w:tcW w:w="20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Missouri</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360" w:type="dxa"/>
            <w:vAlign w:val="bottom"/>
            <w:tcBorders>
              <w:bottom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573,789</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350,369</w:t>
            </w:r>
          </w:p>
        </w:tc>
        <w:tc>
          <w:tcPr>
            <w:tcW w:w="38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17,971</w:t>
            </w:r>
          </w:p>
        </w:tc>
        <w:tc>
          <w:tcPr>
            <w:tcW w:w="34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28,322</w:t>
            </w:r>
          </w:p>
        </w:tc>
        <w:tc>
          <w:tcPr>
            <w:tcW w:w="38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970,451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855,954</w:t>
            </w: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495,857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154,652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152,614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1,659,077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38,409</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64,376</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13,746</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53,134</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472,266</w:t>
            </w: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471,406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101,644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15,649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1,060,965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 other</w:t>
            </w: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11,472</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Portfolio loans</w:t>
            </w:r>
          </w:p>
        </w:tc>
        <w:tc>
          <w:tcPr>
            <w:tcW w:w="1140" w:type="dxa"/>
            <w:vAlign w:val="bottom"/>
          </w:tcPr>
          <w:p>
            <w:pPr>
              <w:spacing w:after="0"/>
              <w:rPr>
                <w:sz w:val="20"/>
                <w:szCs w:val="20"/>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1,951,890</w:t>
            </w:r>
          </w:p>
        </w:tc>
        <w:tc>
          <w:tcPr>
            <w:tcW w:w="2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1,382,547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288,796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249,719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3,872,952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vMerge w:val="restart"/>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48,442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3,824,510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Illinois</w:t>
            </w:r>
          </w:p>
        </w:tc>
        <w:tc>
          <w:tcPr>
            <w:tcW w:w="20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Missouri</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360" w:type="dxa"/>
            <w:vAlign w:val="bottom"/>
            <w:tcBorders>
              <w:bottom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565,853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346,204</w:t>
            </w:r>
          </w:p>
        </w:tc>
        <w:tc>
          <w:tcPr>
            <w:tcW w:w="38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19,207</w:t>
            </w:r>
          </w:p>
        </w:tc>
        <w:tc>
          <w:tcPr>
            <w:tcW w:w="340" w:type="dxa"/>
            <w:vAlign w:val="bottom"/>
            <w:tcBorders>
              <w:bottom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28,624</w:t>
            </w:r>
          </w:p>
        </w:tc>
        <w:tc>
          <w:tcPr>
            <w:tcW w:w="380" w:type="dxa"/>
            <w:vAlign w:val="bottom"/>
            <w:tcBorders>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959,888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878,018</w:t>
            </w: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470,126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150,940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155,080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1,654,164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53,142</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71,430</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12,789</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44,717</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Retail real estate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479,026</w:t>
            </w:r>
          </w:p>
        </w:tc>
        <w:tc>
          <w:tcPr>
            <w:tcW w:w="2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468,212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105,620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16,202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1,069,060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 other</w:t>
            </w: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12,250</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13,710</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tcPr>
          <w:p>
            <w:pPr>
              <w:spacing w:after="0"/>
              <w:rPr>
                <w:sz w:val="20"/>
                <w:szCs w:val="20"/>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Portfolio loans</w:t>
            </w:r>
          </w:p>
        </w:tc>
        <w:tc>
          <w:tcPr>
            <w:tcW w:w="11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1,988,289</w:t>
            </w:r>
          </w:p>
        </w:tc>
        <w:tc>
          <w:tcPr>
            <w:tcW w:w="2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1,356,537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289,451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244,623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CCEEFF"/>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3,878,900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10180" w:type="dxa"/>
            <w:vAlign w:val="bottom"/>
            <w:gridSpan w:val="2"/>
          </w:tcPr>
          <w:p>
            <w:pPr>
              <w:spacing w:after="0"/>
              <w:rPr>
                <w:sz w:val="20"/>
                <w:szCs w:val="20"/>
                <w:color w:val="auto"/>
              </w:rPr>
            </w:pPr>
            <w:r>
              <w:rPr>
                <w:rFonts w:ascii="Arial" w:cs="Arial" w:eastAsia="Arial" w:hAnsi="Arial"/>
                <w:sz w:val="18"/>
                <w:szCs w:val="18"/>
                <w:color w:val="auto"/>
              </w:rPr>
              <w:t>Less allowance for loan losses</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47,795</w:t>
            </w:r>
          </w:p>
        </w:tc>
      </w:tr>
      <w:tr>
        <w:trPr>
          <w:trHeight w:val="26"/>
        </w:trPr>
        <w:tc>
          <w:tcPr>
            <w:tcW w:w="20" w:type="dxa"/>
            <w:vAlign w:val="bottom"/>
          </w:tcPr>
          <w:p>
            <w:pPr>
              <w:spacing w:after="0"/>
              <w:rPr>
                <w:sz w:val="2"/>
                <w:szCs w:val="2"/>
                <w:color w:val="auto"/>
              </w:rPr>
            </w:pPr>
          </w:p>
        </w:tc>
        <w:tc>
          <w:tcPr>
            <w:tcW w:w="10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3,831,105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Portfolio loans decreased $5.9 million, or 0.2%, as of March 31, 2017 compared to December 31, 2016. Commercial balances (consisting of commercial, commercial real estate and real estate construction loans) increased $3.1 million from December 31, 2016. Retail real estate and retail other loans decreased $9.0 million from December 31, 2016. Relationship banking, rather than transactional banking, remains a focus for the Company during 2017. Relationship banking implies a primary banking relationship with the borrower that includes, at minimum, an active deposit banking relationship in addition to the lending relationship.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Our allowance for loan losses was $48.4 million, or 1.3% of portfolio loans, and $47.8 million, or 1.2% of portfolio loans, at March 31, 2017 and December 31, 2016, respectively.</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Typically, when we move loans into non-accrual status, the loans are collateral dependent and charged down through the allowance for loan losses to the fair value of our interest in the underlying collateral less estimated costs to sell. Our loan portfolio is collateralized primarily by real estate.</w:t>
      </w:r>
    </w:p>
    <w:p>
      <w:pPr>
        <w:spacing w:after="0" w:line="14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As of March 31, 2017, management believed the level of the allowance and coverage of non-performing loans to be appropriate based upon the information available. However, additional losses may be identified in our loan portfolio as new information is obtained. We may need to provide for additional loan losses in the future as management continues to identify potential problem loans and gains further information concerning existing problem loans.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such write-off is charged against the allowance for loan losses. We continue to attempt to identify problem loan situations on a proactive basis. Once problem loans are identified, adjustments to the provision for loan losses are made based upon all information available at that time. The provision reflects management’s analysis of additional allowance for loan losses necessary to cover probable losses in our loan portfolio. The provision for loan losses decreased to $0.5 million for the first quarter of 2017 compared $1.0 million in the same period of 2016.</w:t>
      </w:r>
    </w:p>
    <w:p>
      <w:pPr>
        <w:spacing w:after="0" w:line="17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information concerning non-performing loans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Loans 90+ days past due and still accruing</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3,830</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21,594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24,072</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22,407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48,442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47,795</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47,847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Allowance for loan losses to portfolio loans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238.2%</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spacing w:after="0" w:line="201" w:lineRule="exact"/>
              <w:rPr>
                <w:sz w:val="20"/>
                <w:szCs w:val="20"/>
                <w:color w:val="auto"/>
              </w:rPr>
            </w:pPr>
            <w:r>
              <w:rPr>
                <w:rFonts w:ascii="Arial" w:cs="Arial" w:eastAsia="Arial" w:hAnsi="Arial"/>
                <w:sz w:val="18"/>
                <w:szCs w:val="18"/>
                <w:color w:val="auto"/>
                <w:w w:val="97"/>
              </w:rPr>
              <w:t>Non-performing loans to portfolio loans, before allowance for</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loan losses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loans and OREO to portfolio loans, before</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Total non-performing assets were $21.6 million at March 31, 2017, compared to $24.1 million at December 31, 2016. Non-performing assets as a percentage of total loans and non-performing assets continued to be favorably low at 0.6% on March 31, 2017. Asset quality metrics can be generally influenced by market-specific economic conditions beyond the control of the Company, and specific measures may fluctuate from quarter to quarter.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235"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Potential problem loans are those loans which are not categorized as impaired, restructured, non-accrual or 90+ days past due,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$56.0 million at March 31, 2017, compared to $50.2 million at December 31, 2016. Management continues to monitor these credits and anticipates that restructurings, guarantees, additional collateral or other planned actions will result in full repayment of the debts. As of March 31, 2017, management identified no other loans that represent or result from trends or uncertainties which management reasonably expected to materially impact future operating results, liquidity or capital resources. As of March 31, 2017, management was not aware of any information about any other credits which caused management to have serious doubts as to the ability of such borrower(s) to comply with the loan repayment terms.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The balances of these assets are dependent on the Company’s operating, investing, lending, and financing activities during any given period.</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First Busey’s primary sources of funds consist of deposits, investment maturities and sales, loan principal repayments, and capital funds. Additional liquidity is provided by the ability to borrow from the FHLB and the Federal Reserve and brokered deposits.</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As of March 31, 2017,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At March 31, 2017, the Company had outstanding standby letters of credit of $20.1 million and commitments to extend credit of $936.6 million to its customers. Since these commitments generally have fixed expiration dates and many will expire without being drawn upon, the total commitment level does not necessarily represent future cash requirements. These commitments are made in the ordinary course of business to meet the financing needs of the Company’s customers. As of March 31, 2017, no amounts were recorded as liabilities for the Company’s potential obligations under these commitments.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For 2017, the guidelines, including the capital conservation buffer, required bank holding companies and their subsidiary banks to maintain a total capital to total risk-weighted asset ratio of not less than 9.25%, Tier 1 capital to total risk-weighted asset ratio of not less than 7.25%, Common Equity Tier 1 capital to total risk-weighted asset ratio of not less than 5.75% and a Tier 1 leverage ratio of not less than 4.00%. These minimum capital requirements will increase annually until the Basel III Rule is fully phased-in on January 1, 2019. As of March 31, 2017, First Busey had a total capital to total risk-weighted asset ratio of 14.87%, a Tier 1 capital to risk-weighted asset ratio of 13.69%, Common Equity Tier 1 capital to risk-weighted asset ratio of 11.90% and a Tier 1 leverage ratio of 10.92%; Busey Bank had ratios of 13.84%, 12.65%, 12.65% and 10.06%, respectively.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This Quarterly Report on Form 10-Q contains certain financial information determined by methods other than in accordance with GAAP. These measures include acquisition and other notable pre-tax items, operating earnings, tangible common equity, tangible common equity to tangible assets and efficiency ratios. Management uses these non-GAAP measures, together with the related GAAP measures, in analysis of the Company’s performance and in making business decisions. Management also uses these measures for peer comparisons.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Management believes that notable pre-tax items and operating earnings are useful in assessing our core operating performance and in understanding the primary drivers of our non-interest income and non-interest expense when comparing periods. Management believes that operating earnings adjusted for acquisition related expenses are a useful measure because it excludes expenses that can significantly fluctuate from acquisition to acquisition. In addition, management believes that excluding these expenses provides investors and analysts a measure to better understand the Company’s primary operations when comparing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Operating earnings reconciliation for the first quarter of 2017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15,170</w:t>
            </w:r>
          </w:p>
        </w:tc>
        <w:tc>
          <w:tcPr>
            <w:tcW w:w="8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Pending acquisition</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Pulaski acquisition</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Restructuring costs</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Related tax</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r>
      <w:tr>
        <w:trPr>
          <w:trHeight w:val="210"/>
        </w:trPr>
        <w:tc>
          <w:tcPr>
            <w:tcW w:w="2300" w:type="dxa"/>
            <w:vAlign w:val="bottom"/>
          </w:tcPr>
          <w:p>
            <w:pPr>
              <w:spacing w:after="0"/>
              <w:rPr>
                <w:sz w:val="20"/>
                <w:szCs w:val="20"/>
                <w:color w:val="auto"/>
              </w:rPr>
            </w:pPr>
            <w:r>
              <w:rPr>
                <w:rFonts w:ascii="Arial" w:cs="Arial" w:eastAsia="Arial" w:hAnsi="Arial"/>
                <w:sz w:val="18"/>
                <w:szCs w:val="18"/>
                <w:color w:val="auto"/>
              </w:rPr>
              <w:t>Operating earnings</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 believes that tangible common equity, tangible common equity to tangible assets and efficiency ratios are standard financial measures used in the banking industry to evaluate performance.</w:t>
      </w:r>
    </w:p>
    <w:p>
      <w:pPr>
        <w:sectPr>
          <w:pgSz w:w="11900" w:h="16838" w:orient="portrait"/>
          <w:cols w:equalWidth="0" w:num="1">
            <w:col w:w="11380"/>
          </w:cols>
          <w:pgMar w:left="240" w:top="341" w:right="279" w:bottom="0" w:gutter="0" w:footer="0" w:header="0"/>
        </w:sectPr>
      </w:pPr>
    </w:p>
    <w:bookmarkStart w:id="35" w:name="page36"/>
    <w:bookmarkEnd w:id="35"/>
    <w:p>
      <w:pPr>
        <w:ind w:right="420"/>
        <w:spacing w:after="0" w:line="277" w:lineRule="auto"/>
        <w:rPr>
          <w:sz w:val="20"/>
          <w:szCs w:val="20"/>
          <w:color w:val="auto"/>
        </w:rPr>
      </w:pPr>
      <w:r>
        <w:rPr>
          <w:rFonts w:ascii="Arial" w:cs="Arial" w:eastAsia="Arial" w:hAnsi="Arial"/>
          <w:sz w:val="18"/>
          <w:szCs w:val="18"/>
          <w:color w:val="auto"/>
        </w:rPr>
        <w:t>The non-GAAP disclosures contained herein should not be viewed as substitutes for the results determined to be in accordance with GAAP, nor are they necessarily comparable to non-GAAP performance measures that may be presented by other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Statements made in this report,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First Busey. Forward-looking statements, which may be based upon beliefs, expectations and assumptions of First Busey’s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national and international economy; (ii) the economic impact of any future terrorist threats or attacks; (iii) changes in state and federal laws, regulations and governmental policies concerning First Busey’s general business; (iv) changes in interest rates and prepayment rates of First Busey’s assets; (v) increased competition in the financial services sector and the inability to attract new customers; (vi) changes in technology and the ability to develop and maintain secure and reliable electronic systems; (vii) the loss of key executives or employees; (viii) changes in consumer spending; (ix) unexpected results of current and/or future acquisitions, which may include termination of the merger agreement, failure to realize the anticipated benefits of the acquisition and the possibility that the transaction costs may be greater than anticipated; (x) unexpected outcomes of existing or new litigation involving First Busey; (xi) changes in accounting policies and practices; and (xii)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First Busey and its business, including additional factors that could materially affect its financial results, is included in First Busey’s filings with the SEC.</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estimates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w:t>
      </w:r>
    </w:p>
    <w:p>
      <w:pPr>
        <w:spacing w:after="0" w:line="17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Our significant accounting policies are described in Note 1 of the Company’s Annual Report on Form 10-K for the year ended December 31, 2016. The majority of these accounting policies do not require management to make difficult, subjective or complex judgments or estimates or the variability of the estimates is not material. However, the following policies could be deemed critical:</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Fair Value of Investment Securities. </w:t>
      </w:r>
      <w:r>
        <w:rPr>
          <w:rFonts w:ascii="Arial" w:cs="Arial" w:eastAsia="Arial" w:hAnsi="Arial"/>
          <w:sz w:val="17"/>
          <w:szCs w:val="17"/>
          <w:color w:val="auto"/>
        </w:rPr>
        <w:t>Securities are classified as held to maturity when First Busey has the ability and management has the intent to hold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those securities to maturity. Accordingly, they are stated at cost, adjusted for amortization of premiums and accretion of discounts. First Busey had $89.7 million of securities classified as held to maturity at March 31, 2017. First Busey had no securities classified as trading at March 31, 2017. 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 As of March 31, 2017, First Busey had $654.2 million of securities classified as available for sale. For equity securities, unadjusted quoted prices in active markets for identical assets are utilized to determine fair value at the measurement date. For all other securities, we obtain fair value measurements from an independent pricing service. The fair value measurements consider observable data that may include dealer quotes, market spreads, cash flows, the U.S. Treasury yield curve, live trading levels, trade execution data, market consensus prepayment speeds, credit information and the security’s terms and conditions, among other things. Due to the limited nature of the market for certain securities, the fair value and potential sale proceeds could be materially different in the event of a sale.</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Realized securities gains or losses are reported in security gains (losses), net in the Consolidated Statements of Income. The cost of securities sold is based on the specific identification method. Declines in the fair value of securities below their amortized cost are evaluated to determine whether they are temporary or OTTI. If the Company (a) has the intent to sell a debt security or (b) will more-likely-than-not be required to sell the debt security before its anticipated recovery, then the Company recognizes the entire unrealized loss in earnings as an OTTI loss. If neither of these conditions are met, the Company evaluates whether a credit loss exists. The impairment is separated into the amount of the total impairment related to the credit loss and the amount of total impairment related to all other factors. The amount of the total OTTI related to the credit loss is recognized in earnings, and the amount related to all other factors is recognized in other comprehensive income.</w:t>
      </w:r>
    </w:p>
    <w:p>
      <w:pPr>
        <w:spacing w:after="0" w:line="18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also evaluates whether the decline in fair value of an equity security is temporary or OTTI. In determining whether an unrealized loss on an equity security is temporary or OTTI,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Fair Value of Assets Acquired and Liabilities Assumed in Business Combinations. </w:t>
      </w:r>
      <w:r>
        <w:rPr>
          <w:rFonts w:ascii="Arial" w:cs="Arial" w:eastAsia="Arial" w:hAnsi="Arial"/>
          <w:sz w:val="16"/>
          <w:szCs w:val="16"/>
          <w:color w:val="auto"/>
        </w:rPr>
        <w:t>Business combinations are accounted for using the acquisition method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Under the acquisition method of accounting, assets acquired and liabilities assumed are recorded at their estimated fair value on the date of acquisition. Analysis is conducted under the standard of fair value which is defined in ASC Topic 820, Fair Value Measurement, as “the price that would be received to sell an asset or paid to transfer a liability in an orderly transaction between market participants at the measurement date.” The fair value of a loan portfolio acquired in a business combination generally requires greater levels of management estimates and judgment than the remainder of assets acquired or liabilities assumed. At the date of acquisition, when the loans have evidence of credit deterioration since origination and it is probable that the Company will not collect all contractually required principal and interest payments, the difference between contractually required payments and the cash flows expected to be collected at acquisition is referred to as the non-accretable difference. The Company must estimate expected cash flows at each future reporting date. Subsequent decreases in the expected cash flows will generally result in a provision for loan losses. Subsequent increases in the expected cash flows will generally be offset against the allowance for loan losses to the extent an allowance has been established or recognized as interest income prospectively.</w:t>
      </w:r>
    </w:p>
    <w:p>
      <w:pPr>
        <w:sectPr>
          <w:pgSz w:w="11900" w:h="16838" w:orient="portrait"/>
          <w:cols w:equalWidth="0" w:num="1">
            <w:col w:w="11400"/>
          </w:cols>
          <w:pgMar w:left="240" w:top="125" w:right="259" w:bottom="123"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23" w:gutter="0" w:footer="0" w:header="0"/>
          <w:type w:val="continuous"/>
        </w:sectPr>
      </w:pPr>
    </w:p>
    <w:bookmarkStart w:id="36" w:name="page37"/>
    <w:bookmarkEnd w:id="36"/>
    <w:p>
      <w:pPr>
        <w:spacing w:after="0" w:line="291" w:lineRule="auto"/>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First Busey has established an allowance for loan losses which represents its estimate of the probable losses inherent in the loan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as of the date of the financial statements and reduces the total loans outstanding by an estimate of uncollectible loans. Loans deemed uncollectible are charged against and reduce the allowance. A provision for loan losses is charged to current expense. This provision acts to replenish the allowance for loan losses and to maintain the allowance at a level that management deems adequate. Acquired loans from business combinations with uncollected principal balances are carried net of a fair value adjustment for credit and interest rates. These loans are only included in the allowance calculation to the extent that the reserve requirement exceeds the fair value adjustment. However, as the acquired loans renew, it is generally necessary to establish an allowance which represents an amount that, in management’s opinion, will be adequate to absorb probable credit losses in such loans.</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To determine the adequacy of the allowance for loan losses, a formal analysis is completed quarterly to assess the risk within the loan portfolio. This assessment is reviewed by the Company’s senior management.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the provision for loan losses. For collateral dependent loans, First Busey has determined the required allowance on these loans based upon the estimated fair value, net of selling costs, of the applicable collateral. The required allowance or actual losses on these impaired loans could differ significantly if the ultimate fair value of the collateral is significantly different from the fair value estimates used by First Busey in estimating such potential losses.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DISCLOSURES ABOUT MARKET RISK</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8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First Busey has an asset-liability committee, whose policy is to meet at least quarterly, to review current market conditions and attempts to structure the Consolidated Balance Sheets to ensure stable net interest income despite potential changes in interest rates with all other variables constant.</w:t>
      </w:r>
    </w:p>
    <w:p>
      <w:pPr>
        <w:spacing w:after="0" w:line="1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time horizon and a year-two time horizon, and net interest income is calculated under current market rates and then assuming permanent instantaneous shifts of +/-100, +/-200, +/-300 and +/-400 basis points. Management measures such changes assuming immediate and sustained shifts in the federal funds rate and other market rate indices and the corresponding shifts in other non-market rate indices based on their historical changes relative to changes in the federal funds rate and other market indices. The model assumes assets and liabilities remain constant at the measurement date balances. The model uses repricing frequency on all variable-rate assets and liabilities. Prepayment speeds on loans have been adjusted to incorporate expected prepayment speeds in both a declining and rising rate environment.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of March 31, 2017, due to the current low interest rate environment, a downward adjustment below -100 basis points in federal fund rates was not meaningful. As of December 31, 2016, a downward adjustment in federal fund rates was not meaningful. Utilizing this measurement concept, the interest rate risk of First Busey due to an immediate and sustained change in interest rates, expressed as a change in net interest income as a percentage of the net interest income calculated in the constant base model, was as follows:</w:t>
      </w:r>
    </w:p>
    <w:p>
      <w:pPr>
        <w:spacing w:after="0" w:line="179"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Year-One: Basis Point Changes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20" w:type="dxa"/>
            <w:vAlign w:val="bottom"/>
            <w:gridSpan w:val="2"/>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-200</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-100</w:t>
            </w: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+100</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+300</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+400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2017</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(6.43)%</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Year-Two: Basis Point Changes</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20" w:type="dxa"/>
            <w:vAlign w:val="bottom"/>
            <w:gridSpan w:val="2"/>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20" w:type="dxa"/>
            <w:vAlign w:val="bottom"/>
          </w:tcPr>
          <w:p>
            <w:pPr>
              <w:spacing w:after="0"/>
              <w:rPr>
                <w:sz w:val="12"/>
                <w:szCs w:val="12"/>
                <w:color w:val="auto"/>
              </w:rPr>
            </w:pPr>
          </w:p>
        </w:tc>
        <w:tc>
          <w:tcPr>
            <w:tcW w:w="92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-200</w:t>
            </w:r>
          </w:p>
        </w:tc>
        <w:tc>
          <w:tcPr>
            <w:tcW w:w="240" w:type="dxa"/>
            <w:vAlign w:val="bottom"/>
          </w:tcPr>
          <w:p>
            <w:pPr>
              <w:spacing w:after="0"/>
              <w:rPr>
                <w:sz w:val="12"/>
                <w:szCs w:val="12"/>
                <w:color w:val="auto"/>
              </w:rPr>
            </w:pPr>
          </w:p>
        </w:tc>
        <w:tc>
          <w:tcPr>
            <w:tcW w:w="78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-100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+100</w:t>
            </w:r>
          </w:p>
        </w:tc>
        <w:tc>
          <w:tcPr>
            <w:tcW w:w="1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w:t>
            </w:r>
          </w:p>
        </w:tc>
        <w:tc>
          <w:tcPr>
            <w:tcW w:w="1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+300</w:t>
            </w:r>
          </w:p>
        </w:tc>
        <w:tc>
          <w:tcPr>
            <w:tcW w:w="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+400</w:t>
            </w:r>
          </w:p>
        </w:tc>
        <w:tc>
          <w:tcPr>
            <w:tcW w:w="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2017</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(9.67)%</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4.69%</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8.19%</w:t>
            </w: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11.24%</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3.63%</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risk is monitored and managed within approved policy limits. The calculation of potential effects of hypothetical interest rate changes was based on numerous assumptions and should not be relied upon as indicative of actual results. Actual results would differ from simulated results due to timing, magnitude and frequency of interest rate changes as well as changes in market conditions and management strategies. The above results do not take into account any management action to mitigate potential risk.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ectPr>
          <w:pgSz w:w="11900" w:h="16838" w:orient="portrait"/>
          <w:cols w:equalWidth="0" w:num="1">
            <w:col w:w="11420"/>
          </w:cols>
          <w:pgMar w:left="240" w:top="341" w:right="239" w:bottom="0" w:gutter="0" w:footer="0" w:header="0"/>
        </w:sectPr>
      </w:pPr>
    </w:p>
    <w:bookmarkStart w:id="37" w:name="page38"/>
    <w:bookmarkEnd w:id="37"/>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of our disclosure controls and procedures (as defined in Rule 13a-15(e) under the Securities Exchange Act of 1934, as amended (the “Exchange Act”)) was carried out as of March 31, 2017, under the supervision and with the participation of our Chief Executive Officer, Chief Financial Officer and several other members of our senior management. Based on this evaluation, our Chief Executive Officer and Chief Financial Officer concluded that, as of March 31, 2017, our disclosure controls and procedures were effective in ensuring that the information we are required to disclose in the reports we file or submit under the Exchange Act is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quarter ended March 31, 2017, First Busey did not make any changes in its internal control over financial reporting or other factors that have materially affected, or are reasonably likely to materially affect, its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ordinary course of business, First Busey and its subsidiaries are parties to litigation that is incidental to their regular business activities.</w:t>
      </w:r>
    </w:p>
    <w:p>
      <w:pPr>
        <w:spacing w:after="0" w:line="237"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of Part I of the Company’s Annual Report on Form 10-K for the year ended December 31, 2016.</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and replaced the prior repurchase plan that was originally approved in 2008. There were no purchases made by or on behalf of First Busey of shares of its common stock during the quarter ended March 31, 2017. At March 31, 2017, the Company had 333,334 shares that may yet be purchased under the plan.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980" w:right="200" w:hanging="324"/>
        <w:spacing w:after="0" w:line="276" w:lineRule="auto"/>
        <w:tabs>
          <w:tab w:leader="none" w:pos="977"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May 5, 2017, the Company entered into a second amendment (the “Amendment”) to that certain credit Agreement, dated November 20, 2015 (the “Agreement”), between the Company and U.S. Bank National Association (“U.S. Bank”), pursuant to which U.S. Bank committed, subject to the terms and conditions set forth in the Amendment, to (i) extend the maturity of the revolving loan facility made available to the Company thereunder from November 19, 2017 to April 30, 2018; and (ii) increase the maximum principal amount available under the facility from $20.0 million to $40.0 million. All other terms of the Agreement remain in full force and effect.</w:t>
      </w:r>
    </w:p>
    <w:p>
      <w:pPr>
        <w:spacing w:after="0" w:line="172"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1660" w:right="740" w:hanging="508"/>
        <w:spacing w:after="0" w:line="291" w:lineRule="auto"/>
        <w:tabs>
          <w:tab w:leader="none" w:pos="1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Agreement and Plan of Merger by and between First Busey Corporation and First Community Financial Partners, Inc., dated February 6, 2017 (filed as Exhibit 2.1 to the Company’s Form 8-K dated filed with the Commission on February 6, 2017).</w:t>
      </w:r>
    </w:p>
    <w:p>
      <w:pPr>
        <w:ind w:left="1660" w:right="620" w:hanging="508"/>
        <w:spacing w:after="0" w:line="265" w:lineRule="auto"/>
        <w:tabs>
          <w:tab w:leader="none" w:pos="1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Agreement and Plan of Merger by and between First Busey Corporation and Mid Illinois Bancorp, Inc., dated March 13, 2017 (filed as Exhibit 2.1 to the Company’s Form 8-K dated filed with the Commission on March 13, 2017).</w:t>
      </w:r>
    </w:p>
    <w:p>
      <w:pPr>
        <w:ind w:left="980"/>
        <w:spacing w:after="0"/>
        <w:tabs>
          <w:tab w:leader="none" w:pos="1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Employment Agreement by and among First Busey Corporation, Busey Bank and John Powers, dated February 24,</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2015.</w:t>
      </w:r>
    </w:p>
    <w:p>
      <w:pPr>
        <w:spacing w:after="0" w:line="9" w:lineRule="exact"/>
        <w:rPr>
          <w:sz w:val="20"/>
          <w:szCs w:val="20"/>
          <w:color w:val="auto"/>
        </w:rPr>
      </w:pPr>
    </w:p>
    <w:p>
      <w:pPr>
        <w:jc w:val="right"/>
        <w:ind w:left="980" w:right="700"/>
        <w:spacing w:after="0" w:line="265" w:lineRule="auto"/>
        <w:rPr>
          <w:sz w:val="20"/>
          <w:szCs w:val="20"/>
          <w:color w:val="auto"/>
        </w:rPr>
      </w:pPr>
      <w:r>
        <w:rPr>
          <w:rFonts w:ascii="Arial" w:cs="Arial" w:eastAsia="Arial" w:hAnsi="Arial"/>
          <w:sz w:val="17"/>
          <w:szCs w:val="17"/>
          <w:color w:val="auto"/>
        </w:rPr>
        <w:t>*10.2   Amendment No. 2, dated May 5, 2017, between First Busey Corporation and U.S. Bank National Association, amending that certain Credit Agreement, dated November 20, 2015, between First Busey Corporation and U.S. Bank National Association.</w:t>
      </w:r>
    </w:p>
    <w:p>
      <w:pPr>
        <w:ind w:left="980"/>
        <w:spacing w:after="0"/>
        <w:tabs>
          <w:tab w:leader="none" w:pos="1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 13a-14(a) and Rule 15d-14(a).</w:t>
      </w:r>
    </w:p>
    <w:p>
      <w:pPr>
        <w:spacing w:after="0" w:line="9" w:lineRule="exact"/>
        <w:rPr>
          <w:sz w:val="20"/>
          <w:szCs w:val="20"/>
          <w:color w:val="auto"/>
        </w:rPr>
      </w:pPr>
    </w:p>
    <w:p>
      <w:pPr>
        <w:ind w:left="980"/>
        <w:spacing w:after="0"/>
        <w:tabs>
          <w:tab w:leader="none" w:pos="1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 13a-14(a) and Rule 15d-14(a).</w:t>
      </w:r>
    </w:p>
    <w:p>
      <w:pPr>
        <w:sectPr>
          <w:pgSz w:w="11900" w:h="16888" w:orient="portrait"/>
          <w:cols w:equalWidth="0" w:num="1">
            <w:col w:w="11380"/>
          </w:cols>
          <w:pgMar w:left="240" w:top="341" w:right="279" w:bottom="0" w:gutter="0" w:footer="0" w:header="0"/>
        </w:sectPr>
      </w:pPr>
    </w:p>
    <w:bookmarkStart w:id="38" w:name="page39"/>
    <w:bookmarkEnd w:id="38"/>
    <w:p>
      <w:pPr>
        <w:ind w:left="1660" w:right="500" w:hanging="688"/>
        <w:spacing w:after="0" w:line="258" w:lineRule="auto"/>
        <w:tabs>
          <w:tab w:leader="none" w:pos="1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from the Company’s Chief Executive Officer.</w:t>
      </w:r>
    </w:p>
    <w:p>
      <w:pPr>
        <w:spacing w:after="0" w:line="1" w:lineRule="exact"/>
        <w:rPr>
          <w:sz w:val="20"/>
          <w:szCs w:val="20"/>
          <w:color w:val="auto"/>
        </w:rPr>
      </w:pPr>
    </w:p>
    <w:p>
      <w:pPr>
        <w:ind w:left="1660" w:right="500" w:hanging="688"/>
        <w:spacing w:after="0" w:line="250" w:lineRule="auto"/>
        <w:tabs>
          <w:tab w:leader="none" w:pos="1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from the Company’s Chief Financial Officer.</w:t>
      </w:r>
    </w:p>
    <w:p>
      <w:pPr>
        <w:spacing w:after="0" w:line="1" w:lineRule="exact"/>
        <w:rPr>
          <w:sz w:val="20"/>
          <w:szCs w:val="20"/>
          <w:color w:val="auto"/>
        </w:rPr>
      </w:pPr>
    </w:p>
    <w:p>
      <w:pPr>
        <w:ind w:left="1020"/>
        <w:spacing w:after="0"/>
        <w:tabs>
          <w:tab w:leader="none" w:pos="1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11" w:lineRule="exact"/>
        <w:rPr>
          <w:sz w:val="20"/>
          <w:szCs w:val="20"/>
          <w:color w:val="auto"/>
        </w:rPr>
      </w:pPr>
    </w:p>
    <w:p>
      <w:pPr>
        <w:ind w:left="1660" w:right="1180"/>
        <w:spacing w:after="0" w:line="291" w:lineRule="auto"/>
        <w:rPr>
          <w:sz w:val="20"/>
          <w:szCs w:val="20"/>
          <w:color w:val="auto"/>
        </w:rPr>
      </w:pPr>
      <w:r>
        <w:rPr>
          <w:rFonts w:ascii="Arial" w:cs="Arial" w:eastAsia="Arial" w:hAnsi="Arial"/>
          <w:sz w:val="16"/>
          <w:szCs w:val="16"/>
          <w:color w:val="auto"/>
        </w:rPr>
        <w:t>Interactive data files pursuant to Rule 405 of Regulation S-T: (i) Consolidated Balance Sheets at March 31, 2017 and December 31, 2016; (ii) Consolidated Statements of Income for the three months ended March 31, 2017 and 2016;</w:t>
      </w:r>
    </w:p>
    <w:p>
      <w:pPr>
        <w:ind w:left="1980" w:hanging="311"/>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three months ended March 31, 2017 and 2016;</w:t>
      </w:r>
    </w:p>
    <w:p>
      <w:pPr>
        <w:spacing w:after="0" w:line="9" w:lineRule="exact"/>
        <w:rPr>
          <w:rFonts w:ascii="Arial" w:cs="Arial" w:eastAsia="Arial" w:hAnsi="Arial"/>
          <w:sz w:val="18"/>
          <w:szCs w:val="18"/>
          <w:color w:val="auto"/>
        </w:rPr>
      </w:pPr>
    </w:p>
    <w:p>
      <w:pPr>
        <w:ind w:left="1660" w:right="580" w:firstLine="9"/>
        <w:spacing w:after="0" w:line="255" w:lineRule="auto"/>
        <w:tabs>
          <w:tab w:leader="none" w:pos="196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three months ended March 31, 2017 and 2016; (v) Consolidated Statements of Cash Flows for the three months ended March 31, 2017 and 2016; and (vi)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SUSAN K.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Susan K. Miller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Deputy Chief Financial Officer and Chief Accounting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9" w:name="page40"/>
    <w:bookmarkEnd w:id="39"/>
    <w:p>
      <w:pPr>
        <w:jc w:val="right"/>
        <w:ind w:right="40"/>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AMENDMENT TO EMPLOYMENT AGREEMENT</w:t>
      </w:r>
    </w:p>
    <w:p>
      <w:pPr>
        <w:spacing w:after="0" w:line="221" w:lineRule="exact"/>
        <w:rPr>
          <w:sz w:val="20"/>
          <w:szCs w:val="20"/>
          <w:color w:val="auto"/>
        </w:rPr>
      </w:pPr>
    </w:p>
    <w:p>
      <w:pPr>
        <w:ind w:right="320" w:firstLine="648"/>
        <w:spacing w:after="0" w:line="313" w:lineRule="auto"/>
        <w:rPr>
          <w:sz w:val="20"/>
          <w:szCs w:val="20"/>
          <w:color w:val="auto"/>
        </w:rPr>
      </w:pPr>
      <w:r>
        <w:rPr>
          <w:rFonts w:ascii="Arial" w:cs="Arial" w:eastAsia="Arial" w:hAnsi="Arial"/>
          <w:sz w:val="17"/>
          <w:szCs w:val="17"/>
          <w:b w:val="1"/>
          <w:bCs w:val="1"/>
          <w:color w:val="auto"/>
        </w:rPr>
        <w:t xml:space="preserve">THIS AMENDMENT TO EMPLOYMENT AGREEMENT </w:t>
      </w:r>
      <w:r>
        <w:rPr>
          <w:rFonts w:ascii="Arial" w:cs="Arial" w:eastAsia="Arial" w:hAnsi="Arial"/>
          <w:sz w:val="17"/>
          <w:szCs w:val="17"/>
          <w:color w:val="auto"/>
        </w:rPr>
        <w:t>(this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as of February 24, 2015 by and among First</w:t>
      </w:r>
      <w:r>
        <w:rPr>
          <w:rFonts w:ascii="Arial" w:cs="Arial" w:eastAsia="Arial" w:hAnsi="Arial"/>
          <w:sz w:val="17"/>
          <w:szCs w:val="17"/>
          <w:b w:val="1"/>
          <w:bCs w:val="1"/>
          <w:color w:val="auto"/>
        </w:rPr>
        <w:t xml:space="preserve"> </w:t>
      </w:r>
      <w:r>
        <w:rPr>
          <w:rFonts w:ascii="Arial" w:cs="Arial" w:eastAsia="Arial" w:hAnsi="Arial"/>
          <w:sz w:val="17"/>
          <w:szCs w:val="17"/>
          <w:color w:val="auto"/>
        </w:rPr>
        <w:t>Busey Corporation (“</w:t>
      </w:r>
      <w:r>
        <w:rPr>
          <w:rFonts w:ascii="Arial" w:cs="Arial" w:eastAsia="Arial" w:hAnsi="Arial"/>
          <w:sz w:val="17"/>
          <w:szCs w:val="17"/>
          <w:b w:val="1"/>
          <w:bCs w:val="1"/>
          <w:color w:val="auto"/>
        </w:rPr>
        <w:t>First Busey</w:t>
      </w:r>
      <w:r>
        <w:rPr>
          <w:rFonts w:ascii="Arial" w:cs="Arial" w:eastAsia="Arial" w:hAnsi="Arial"/>
          <w:sz w:val="17"/>
          <w:szCs w:val="17"/>
          <w:color w:val="auto"/>
        </w:rPr>
        <w:t>”), Busey Bank (the “</w:t>
      </w:r>
      <w:r>
        <w:rPr>
          <w:rFonts w:ascii="Arial" w:cs="Arial" w:eastAsia="Arial" w:hAnsi="Arial"/>
          <w:sz w:val="17"/>
          <w:szCs w:val="17"/>
          <w:b w:val="1"/>
          <w:bCs w:val="1"/>
          <w:color w:val="auto"/>
        </w:rPr>
        <w:t>Bank</w:t>
      </w:r>
      <w:r>
        <w:rPr>
          <w:rFonts w:ascii="Arial" w:cs="Arial" w:eastAsia="Arial" w:hAnsi="Arial"/>
          <w:sz w:val="17"/>
          <w:szCs w:val="17"/>
          <w:color w:val="auto"/>
        </w:rPr>
        <w:t>,” and together with First Busey, “</w:t>
      </w:r>
      <w:r>
        <w:rPr>
          <w:rFonts w:ascii="Arial" w:cs="Arial" w:eastAsia="Arial" w:hAnsi="Arial"/>
          <w:sz w:val="17"/>
          <w:szCs w:val="17"/>
          <w:b w:val="1"/>
          <w:bCs w:val="1"/>
          <w:color w:val="auto"/>
        </w:rPr>
        <w:t>Employer</w:t>
      </w:r>
      <w:r>
        <w:rPr>
          <w:rFonts w:ascii="Arial" w:cs="Arial" w:eastAsia="Arial" w:hAnsi="Arial"/>
          <w:sz w:val="17"/>
          <w:szCs w:val="17"/>
          <w:color w:val="auto"/>
        </w:rPr>
        <w:t>”) and John J. Powers (“</w:t>
      </w:r>
      <w:r>
        <w:rPr>
          <w:rFonts w:ascii="Arial" w:cs="Arial" w:eastAsia="Arial" w:hAnsi="Arial"/>
          <w:sz w:val="17"/>
          <w:szCs w:val="17"/>
          <w:b w:val="1"/>
          <w:bCs w:val="1"/>
          <w:color w:val="auto"/>
        </w:rPr>
        <w:t>Executive</w:t>
      </w:r>
      <w:r>
        <w:rPr>
          <w:rFonts w:ascii="Arial" w:cs="Arial" w:eastAsia="Arial" w:hAnsi="Arial"/>
          <w:sz w:val="17"/>
          <w:szCs w:val="17"/>
          <w:color w:val="auto"/>
        </w:rPr>
        <w:t>”).</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80" w:firstLine="721"/>
        <w:spacing w:after="0" w:line="282" w:lineRule="auto"/>
        <w:tabs>
          <w:tab w:leader="none" w:pos="1428"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Employer and Executive entered into an Employment Agreement effective as of December 31, 2011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pursuant to which Executive serves as Executive Vice President, General Counsel.</w:t>
      </w:r>
    </w:p>
    <w:p>
      <w:pPr>
        <w:spacing w:after="0" w:line="165" w:lineRule="exact"/>
        <w:rPr>
          <w:rFonts w:ascii="Arial" w:cs="Arial" w:eastAsia="Arial" w:hAnsi="Arial"/>
          <w:sz w:val="18"/>
          <w:szCs w:val="18"/>
          <w:b w:val="1"/>
          <w:bCs w:val="1"/>
          <w:color w:val="auto"/>
        </w:rPr>
      </w:pPr>
    </w:p>
    <w:p>
      <w:pPr>
        <w:ind w:left="1420" w:hanging="699"/>
        <w:spacing w:after="0"/>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Employer and Executive wish to amend certain terms and provisions of the Employment Agreement.</w:t>
      </w:r>
    </w:p>
    <w:p>
      <w:pPr>
        <w:spacing w:after="0" w:line="221"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and of the respective covenants and agreements of the parties contained herein,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66" w:lineRule="exact"/>
        <w:rPr>
          <w:sz w:val="20"/>
          <w:szCs w:val="20"/>
          <w:color w:val="auto"/>
        </w:rPr>
      </w:pPr>
    </w:p>
    <w:p>
      <w:pPr>
        <w:ind w:left="1380" w:hanging="724"/>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4(g)(i) of the Employment Agreement is hereby amended and restated to read in its entirety as follows:</w:t>
      </w:r>
    </w:p>
    <w:p>
      <w:pPr>
        <w:spacing w:after="0" w:line="225" w:lineRule="exact"/>
        <w:rPr>
          <w:rFonts w:ascii="Arial" w:cs="Arial" w:eastAsia="Arial" w:hAnsi="Arial"/>
          <w:sz w:val="18"/>
          <w:szCs w:val="18"/>
          <w:color w:val="auto"/>
        </w:rPr>
      </w:pPr>
    </w:p>
    <w:p>
      <w:pPr>
        <w:ind w:left="660" w:right="120" w:firstLine="1293"/>
        <w:spacing w:after="0" w:line="269" w:lineRule="auto"/>
        <w:tabs>
          <w:tab w:leader="none" w:pos="2666" w:val="left"/>
        </w:tabs>
        <w:numPr>
          <w:ilvl w:val="1"/>
          <w:numId w:val="6"/>
        </w:numPr>
        <w:rPr>
          <w:rFonts w:ascii="Arial" w:cs="Arial" w:eastAsia="Arial" w:hAnsi="Arial"/>
          <w:sz w:val="17"/>
          <w:szCs w:val="17"/>
          <w:b w:val="1"/>
          <w:bCs w:val="1"/>
          <w:color w:val="auto"/>
        </w:rPr>
      </w:pPr>
      <w:r>
        <w:rPr>
          <w:rFonts w:ascii="Arial" w:cs="Arial" w:eastAsia="Arial" w:hAnsi="Arial"/>
          <w:sz w:val="17"/>
          <w:szCs w:val="17"/>
          <w:color w:val="auto"/>
        </w:rPr>
        <w:t xml:space="preserve">If this Agreement and Executive’s employment hereunder are terminated by Employer without Cause pursuant to </w:t>
      </w:r>
      <w:r>
        <w:rPr>
          <w:rFonts w:ascii="Arial" w:cs="Arial" w:eastAsia="Arial" w:hAnsi="Arial"/>
          <w:sz w:val="17"/>
          <w:szCs w:val="17"/>
          <w:b w:val="1"/>
          <w:bCs w:val="1"/>
          <w:color w:val="auto"/>
        </w:rPr>
        <w:t>Section 4(a)</w:t>
      </w:r>
      <w:r>
        <w:rPr>
          <w:rFonts w:ascii="Arial" w:cs="Arial" w:eastAsia="Arial" w:hAnsi="Arial"/>
          <w:sz w:val="17"/>
          <w:szCs w:val="17"/>
          <w:color w:val="auto"/>
        </w:rPr>
        <w:t>, or by Executive for Good Reason pursuant to</w:t>
      </w:r>
      <w:r>
        <w:rPr>
          <w:rFonts w:ascii="Arial" w:cs="Arial" w:eastAsia="Arial" w:hAnsi="Arial"/>
          <w:sz w:val="17"/>
          <w:szCs w:val="17"/>
          <w:b w:val="1"/>
          <w:bCs w:val="1"/>
          <w:color w:val="auto"/>
        </w:rPr>
        <w:t xml:space="preserve"> Section 4(c)</w:t>
      </w:r>
      <w:r>
        <w:rPr>
          <w:rFonts w:ascii="Arial" w:cs="Arial" w:eastAsia="Arial" w:hAnsi="Arial"/>
          <w:sz w:val="17"/>
          <w:szCs w:val="17"/>
          <w:color w:val="auto"/>
        </w:rPr>
        <w:t>, Employer shall pay Executive an amount equal to one hundred percent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(100%) (or two hundred percent (200%) if the foregoing terminations occur within one (1) year after the occurrence of a Change in Control) of the sum of (A) Executive’s then applicable Base Salary, plus (B) the amount of the most recent performance bonus that Employer paid to Executive pursuant to </w:t>
      </w:r>
      <w:r>
        <w:rPr>
          <w:rFonts w:ascii="Arial" w:cs="Arial" w:eastAsia="Arial" w:hAnsi="Arial"/>
          <w:sz w:val="17"/>
          <w:szCs w:val="17"/>
          <w:b w:val="1"/>
          <w:bCs w:val="1"/>
          <w:color w:val="auto"/>
        </w:rPr>
        <w:t>Section 3(b)</w:t>
      </w:r>
      <w:r>
        <w:rPr>
          <w:rFonts w:ascii="Arial" w:cs="Arial" w:eastAsia="Arial" w:hAnsi="Arial"/>
          <w:sz w:val="17"/>
          <w:szCs w:val="17"/>
          <w:color w:val="auto"/>
        </w:rPr>
        <w:t xml:space="preserve"> (the “</w:t>
      </w:r>
      <w:r>
        <w:rPr>
          <w:rFonts w:ascii="Arial" w:cs="Arial" w:eastAsia="Arial" w:hAnsi="Arial"/>
          <w:sz w:val="17"/>
          <w:szCs w:val="17"/>
          <w:b w:val="1"/>
          <w:bCs w:val="1"/>
          <w:color w:val="auto"/>
        </w:rPr>
        <w:t>Severance Payment</w:t>
      </w:r>
      <w:r>
        <w:rPr>
          <w:rFonts w:ascii="Arial" w:cs="Arial" w:eastAsia="Arial" w:hAnsi="Arial"/>
          <w:sz w:val="17"/>
          <w:szCs w:val="17"/>
          <w:color w:val="auto"/>
        </w:rPr>
        <w:t>”). Employer shall also reimburse Executive for up to twelve (12) months (or eighteen (18) months if the foregoing terminations occur within one (1) year after the occurrence of a Change in Control) for continuing coverage under Employer’s health insurance pursuant to the health care continuation rules of the Consolidated Omnibus Budget Reconciliation Act of 1985 (“</w:t>
      </w:r>
      <w:r>
        <w:rPr>
          <w:rFonts w:ascii="Arial" w:cs="Arial" w:eastAsia="Arial" w:hAnsi="Arial"/>
          <w:sz w:val="17"/>
          <w:szCs w:val="17"/>
          <w:b w:val="1"/>
          <w:bCs w:val="1"/>
          <w:color w:val="auto"/>
        </w:rPr>
        <w:t>COBRA</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Executive remains eligible for, and elects, such COBRA continuation for such period following the effective date of termination,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to the extent Executive paid a portion of the premium for such benefit while employed Executive shall continue to pay such portion during the period of continuation hereunder and any period of continuation hereunder shall be credited against the continuation rights under COBRA.</w:t>
      </w:r>
    </w:p>
    <w:p>
      <w:pPr>
        <w:spacing w:after="0" w:line="182" w:lineRule="exact"/>
        <w:rPr>
          <w:rFonts w:ascii="Arial" w:cs="Arial" w:eastAsia="Arial" w:hAnsi="Arial"/>
          <w:sz w:val="17"/>
          <w:szCs w:val="17"/>
          <w:b w:val="1"/>
          <w:bCs w:val="1"/>
          <w:color w:val="auto"/>
        </w:rPr>
      </w:pPr>
    </w:p>
    <w:p>
      <w:pPr>
        <w:ind w:left="1380" w:hanging="724"/>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Employment Agreement shall remain in full force and effect.</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FIRST BUSEY CORPORATION and</w:t>
            </w:r>
          </w:p>
        </w:tc>
        <w:tc>
          <w:tcPr>
            <w:tcW w:w="5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BUSEY BANK</w:t>
            </w:r>
          </w:p>
        </w:tc>
        <w:tc>
          <w:tcPr>
            <w:tcW w:w="5520" w:type="dxa"/>
            <w:vAlign w:val="bottom"/>
          </w:tcPr>
          <w:p>
            <w:pPr>
              <w:spacing w:after="0"/>
              <w:rPr>
                <w:sz w:val="20"/>
                <w:szCs w:val="20"/>
                <w:color w:val="auto"/>
              </w:rPr>
            </w:pPr>
            <w:r>
              <w:rPr>
                <w:rFonts w:ascii="Arial" w:cs="Arial" w:eastAsia="Arial" w:hAnsi="Arial"/>
                <w:sz w:val="18"/>
                <w:szCs w:val="18"/>
                <w:b w:val="1"/>
                <w:bCs w:val="1"/>
                <w:color w:val="auto"/>
              </w:rPr>
              <w:t>EXECUTIVE</w:t>
            </w:r>
          </w:p>
        </w:tc>
        <w:tc>
          <w:tcPr>
            <w:tcW w:w="40" w:type="dxa"/>
            <w:vAlign w:val="bottom"/>
          </w:tcPr>
          <w:p>
            <w:pPr>
              <w:spacing w:after="0"/>
              <w:rPr>
                <w:sz w:val="20"/>
                <w:szCs w:val="20"/>
                <w:color w:val="auto"/>
              </w:rPr>
            </w:pPr>
          </w:p>
        </w:tc>
      </w:tr>
      <w:tr>
        <w:trPr>
          <w:trHeight w:val="648"/>
        </w:trPr>
        <w:tc>
          <w:tcPr>
            <w:tcW w:w="5900" w:type="dxa"/>
            <w:vAlign w:val="bottom"/>
            <w:gridSpan w:val="3"/>
          </w:tcPr>
          <w:p>
            <w:pPr>
              <w:spacing w:after="0"/>
              <w:rPr>
                <w:sz w:val="20"/>
                <w:szCs w:val="20"/>
                <w:color w:val="auto"/>
              </w:rPr>
            </w:pPr>
            <w:r>
              <w:rPr>
                <w:rFonts w:ascii="Arial" w:cs="Arial" w:eastAsia="Arial" w:hAnsi="Arial"/>
                <w:sz w:val="18"/>
                <w:szCs w:val="18"/>
                <w:color w:val="auto"/>
              </w:rPr>
              <w:t>By:   /s/ VAN A. DUKEMAN</w:t>
            </w:r>
          </w:p>
        </w:tc>
        <w:tc>
          <w:tcPr>
            <w:tcW w:w="5520" w:type="dxa"/>
            <w:vAlign w:val="bottom"/>
          </w:tcPr>
          <w:p>
            <w:pPr>
              <w:spacing w:after="0"/>
              <w:rPr>
                <w:sz w:val="20"/>
                <w:szCs w:val="20"/>
                <w:color w:val="auto"/>
              </w:rPr>
            </w:pPr>
            <w:r>
              <w:rPr>
                <w:rFonts w:ascii="Arial" w:cs="Arial" w:eastAsia="Arial" w:hAnsi="Arial"/>
                <w:sz w:val="18"/>
                <w:szCs w:val="18"/>
                <w:color w:val="auto"/>
              </w:rPr>
              <w:t>/s/ JOHN J. POWERS</w:t>
            </w:r>
          </w:p>
        </w:tc>
        <w:tc>
          <w:tcPr>
            <w:tcW w:w="40" w:type="dxa"/>
            <w:vAlign w:val="bottom"/>
          </w:tcPr>
          <w:p>
            <w:pPr>
              <w:spacing w:after="0"/>
              <w:rPr>
                <w:sz w:val="24"/>
                <w:szCs w:val="24"/>
                <w:color w:val="auto"/>
              </w:rPr>
            </w:pPr>
          </w:p>
        </w:tc>
      </w:tr>
      <w:tr>
        <w:trPr>
          <w:trHeight w:val="195"/>
        </w:trPr>
        <w:tc>
          <w:tcPr>
            <w:tcW w:w="500" w:type="dxa"/>
            <w:vAlign w:val="bottom"/>
          </w:tcPr>
          <w:p>
            <w:pPr>
              <w:spacing w:after="0"/>
              <w:rPr>
                <w:sz w:val="16"/>
                <w:szCs w:val="16"/>
                <w:color w:val="auto"/>
              </w:rPr>
            </w:pPr>
          </w:p>
        </w:tc>
        <w:tc>
          <w:tcPr>
            <w:tcW w:w="5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Van A. Dukeman</w:t>
            </w:r>
          </w:p>
        </w:tc>
        <w:tc>
          <w:tcPr>
            <w:tcW w:w="280" w:type="dxa"/>
            <w:vAlign w:val="bottom"/>
          </w:tcPr>
          <w:p>
            <w:pPr>
              <w:spacing w:after="0"/>
              <w:rPr>
                <w:sz w:val="16"/>
                <w:szCs w:val="16"/>
                <w:color w:val="auto"/>
              </w:rPr>
            </w:pPr>
          </w:p>
        </w:tc>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J. Powers</w:t>
            </w:r>
          </w:p>
        </w:tc>
        <w:tc>
          <w:tcPr>
            <w:tcW w:w="40" w:type="dxa"/>
            <w:vAlign w:val="bottom"/>
          </w:tcPr>
          <w:p>
            <w:pPr>
              <w:spacing w:after="0"/>
              <w:rPr>
                <w:sz w:val="16"/>
                <w:szCs w:val="16"/>
                <w:color w:val="auto"/>
              </w:rPr>
            </w:pPr>
          </w:p>
        </w:tc>
      </w:tr>
      <w:tr>
        <w:trPr>
          <w:trHeight w:val="230"/>
        </w:trPr>
        <w:tc>
          <w:tcPr>
            <w:tcW w:w="5900" w:type="dxa"/>
            <w:vAlign w:val="bottom"/>
            <w:gridSpan w:val="3"/>
          </w:tcPr>
          <w:p>
            <w:pPr>
              <w:ind w:left="500"/>
              <w:spacing w:after="0"/>
              <w:rPr>
                <w:sz w:val="20"/>
                <w:szCs w:val="20"/>
                <w:color w:val="auto"/>
              </w:rPr>
            </w:pPr>
            <w:r>
              <w:rPr>
                <w:rFonts w:ascii="Arial" w:cs="Arial" w:eastAsia="Arial" w:hAnsi="Arial"/>
                <w:sz w:val="18"/>
                <w:szCs w:val="18"/>
                <w:color w:val="auto"/>
              </w:rPr>
              <w:t>President and Chief Executive Officer Of First Busey Corporation</w:t>
            </w:r>
          </w:p>
        </w:tc>
        <w:tc>
          <w:tcPr>
            <w:tcW w:w="5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1"/>
        </w:trPr>
        <w:tc>
          <w:tcPr>
            <w:tcW w:w="50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2 TO CREDIT AGREEMENT</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AMENDMENT NO. 2 TO CREDIT AGREEMENT is made as of May 5, 2017, by and between FIRST BUSEY CORPORATION,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U.S. BANK NATIONAL ASSOCIATION, a national banking association (the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consideration of the mutual covenants, conditions and agreements set forth herein, and for other good and valuable consideration, the receipt and sufficiency of which are hereby acknowledged, it is hereby agreed that: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used herein, the following terms shall have the following meanings specified: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Amendment</w:t>
      </w:r>
      <w:r>
        <w:rPr>
          <w:rFonts w:ascii="Arial" w:cs="Arial" w:eastAsia="Arial" w:hAnsi="Arial"/>
          <w:sz w:val="16"/>
          <w:szCs w:val="16"/>
          <w:color w:val="auto"/>
        </w:rPr>
        <w:t>” shall mean this Amendment No. 2 to Credit Agreement.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Credit Agreement</w:t>
      </w:r>
      <w:r>
        <w:rPr>
          <w:rFonts w:ascii="Arial" w:cs="Arial" w:eastAsia="Arial" w:hAnsi="Arial"/>
          <w:sz w:val="18"/>
          <w:szCs w:val="18"/>
          <w:color w:val="auto"/>
        </w:rPr>
        <w:t>” shall mean the Credit Agreement dated as of November 20, 2015, by and between the Company and the Lender, as amended.</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Other Capitalized Terms</w:t>
      </w:r>
      <w:r>
        <w:rPr>
          <w:rFonts w:ascii="Arial" w:cs="Arial" w:eastAsia="Arial" w:hAnsi="Arial"/>
          <w:sz w:val="18"/>
          <w:szCs w:val="18"/>
          <w:color w:val="auto"/>
        </w:rPr>
        <w:t>. All capitalized terms used in this Amendment and not specifically defined herein shall have the definitions assigned to such terms in the Credit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 The Credit Agreement is hereby amended as follows:</w:t>
      </w:r>
    </w:p>
    <w:p>
      <w:pPr>
        <w:spacing w:after="0" w:line="225" w:lineRule="exact"/>
        <w:rPr>
          <w:sz w:val="20"/>
          <w:szCs w:val="20"/>
          <w:color w:val="auto"/>
        </w:rPr>
      </w:pPr>
    </w:p>
    <w:p>
      <w:pPr>
        <w:ind w:left="660" w:right="460" w:firstLine="645"/>
        <w:spacing w:after="0" w:line="277" w:lineRule="auto"/>
        <w:tabs>
          <w:tab w:leader="none" w:pos="195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 The first paragraph of the Recitals is hereby amended by replacing the reference to “$20,000,000” where it appears therein with “$40,000,000”.</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Section 1.1 — Definitions.</w:t>
      </w:r>
      <w:r>
        <w:rPr>
          <w:rFonts w:ascii="Arial" w:cs="Arial" w:eastAsia="Arial" w:hAnsi="Arial"/>
          <w:sz w:val="17"/>
          <w:szCs w:val="17"/>
          <w:color w:val="auto"/>
        </w:rPr>
        <w:t xml:space="preserve"> Section 1.1 of the Credit Agreement is hereby amended by amending and restating the following</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Commitment</w:t>
      </w:r>
      <w:r>
        <w:rPr>
          <w:rFonts w:ascii="Arial" w:cs="Arial" w:eastAsia="Arial" w:hAnsi="Arial"/>
          <w:sz w:val="18"/>
          <w:szCs w:val="18"/>
          <w:color w:val="auto"/>
        </w:rPr>
        <w:t>” shall mean an aggregate principal amount not to exceed $40,000,000.</w:t>
      </w:r>
    </w:p>
    <w:p>
      <w:pPr>
        <w:spacing w:after="0" w:line="225" w:lineRule="exact"/>
        <w:rPr>
          <w:sz w:val="20"/>
          <w:szCs w:val="20"/>
          <w:color w:val="auto"/>
        </w:rPr>
      </w:pPr>
    </w:p>
    <w:p>
      <w:pPr>
        <w:ind w:left="1300" w:right="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w:t>
      </w:r>
      <w:r>
        <w:rPr>
          <w:rFonts w:ascii="Arial" w:cs="Arial" w:eastAsia="Arial" w:hAnsi="Arial"/>
          <w:sz w:val="17"/>
          <w:szCs w:val="17"/>
          <w:color w:val="auto"/>
        </w:rPr>
        <w:t>” shall mean April 30, 2018, and, with respect to the portion of a Revolving Loan that is converted into a term loan pursuant to Section 2.1(h) hereof, the maturity date for such converted portion determined pursuant to Section 2.1(h) hereof, or, in any case, such earlier date on which the Obligations shall terminate as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Miscellaneous Amendments</w:t>
      </w:r>
      <w:r>
        <w:rPr>
          <w:rFonts w:ascii="Arial" w:cs="Arial" w:eastAsia="Arial" w:hAnsi="Arial"/>
          <w:sz w:val="18"/>
          <w:szCs w:val="18"/>
          <w:color w:val="auto"/>
        </w:rPr>
        <w:t>. The Credit Agreement, the Related Documents and all other agreements and instruments executed and delivered heretofore or hereafter pursuant to the Credit Agreement are amended hereby so that any reference therein to the Credit Agreement shall be deemed to be a reference to such agreements and instruments as amended by or pursuant to this Amendment.</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Limited Consent to Merger</w:t>
      </w:r>
      <w:r>
        <w:rPr>
          <w:rFonts w:ascii="Arial" w:cs="Arial" w:eastAsia="Arial" w:hAnsi="Arial"/>
          <w:sz w:val="18"/>
          <w:szCs w:val="18"/>
          <w:color w:val="auto"/>
        </w:rPr>
        <w:t>. The Lender hereby (a) consents to the merger of First Community Financial Partners, Inc. with and into the Company and the transactions to occur in connection therewith (collectively, the “</w:t>
      </w:r>
      <w:r>
        <w:rPr>
          <w:rFonts w:ascii="Arial" w:cs="Arial" w:eastAsia="Arial" w:hAnsi="Arial"/>
          <w:sz w:val="18"/>
          <w:szCs w:val="18"/>
          <w:u w:val="single" w:color="auto"/>
          <w:color w:val="auto"/>
        </w:rPr>
        <w:t>First Community Holdco Merger</w:t>
      </w:r>
      <w:r>
        <w:rPr>
          <w:rFonts w:ascii="Arial" w:cs="Arial" w:eastAsia="Arial" w:hAnsi="Arial"/>
          <w:sz w:val="18"/>
          <w:szCs w:val="18"/>
          <w:color w:val="auto"/>
        </w:rPr>
        <w:t>”), (b) consents to the merger of First Community Financial Bank with and into Busey Bank and the transactions to occur in connection therewith (collectively, the “</w:t>
      </w:r>
      <w:r>
        <w:rPr>
          <w:rFonts w:ascii="Arial" w:cs="Arial" w:eastAsia="Arial" w:hAnsi="Arial"/>
          <w:sz w:val="18"/>
          <w:szCs w:val="18"/>
          <w:u w:val="single" w:color="auto"/>
          <w:color w:val="auto"/>
        </w:rPr>
        <w:t>First Community Bank</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w:t>
      </w:r>
      <w:r>
        <w:rPr>
          <w:rFonts w:ascii="Arial" w:cs="Arial" w:eastAsia="Arial" w:hAnsi="Arial"/>
          <w:sz w:val="18"/>
          <w:szCs w:val="18"/>
          <w:color w:val="auto"/>
        </w:rPr>
        <w:t>”) and (c) acknowledges and agrees that neither the First Community Holdco Merger nor the First Community Bank Merger will constitute a Default or Event of Default under the Credit Agreement or any Related Document. The foregoing limited consent to the First Community Holdco Merger and the First Community Bank Merger shall not be construed as a further or continuing consent or waiver with respect to any other transaction or any other section of the Credit Agreement or any Related Document.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THE COMPANY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represents and warrants to the Lender that:</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Credit Agreement</w:t>
      </w:r>
      <w:r>
        <w:rPr>
          <w:rFonts w:ascii="Arial" w:cs="Arial" w:eastAsia="Arial" w:hAnsi="Arial"/>
          <w:sz w:val="16"/>
          <w:szCs w:val="16"/>
          <w:color w:val="auto"/>
        </w:rPr>
        <w:t>. All of the representations and warranties made by the Company in the Credit Agreement are true and correct on the date of this Amendment. No Default or Event of Default under the Credit Agreement has occurred and is continuing as of the effective date of this Amendment.</w:t>
      </w:r>
    </w:p>
    <w:p>
      <w:pPr>
        <w:spacing w:after="0" w:line="124"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making, execution and delivery of this Amendment and performance of and compliance with the terms of the Credit Agreement has been duly authorized by all necessary corporate action by the Company. This Amendment is the valid and binding obligation of the Company, enforceable against the Company in accordance with its terms.</w:t>
      </w:r>
    </w:p>
    <w:p>
      <w:pPr>
        <w:spacing w:after="0" w:line="181"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Absence of Conflicting Obligations</w:t>
      </w:r>
      <w:r>
        <w:rPr>
          <w:rFonts w:ascii="Arial" w:cs="Arial" w:eastAsia="Arial" w:hAnsi="Arial"/>
          <w:sz w:val="17"/>
          <w:szCs w:val="17"/>
          <w:color w:val="auto"/>
        </w:rPr>
        <w:t>. The making, execution and delivery of this Amendment and performance of and compliance with the terms of the Credit Agreement, as amended, do not violate any presently existing provision of law, the certificate of incorporation or charter of the Company, the bylaws of the Company or any agreement to which the Company is a party or by which it or any of its assets is bound.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ectPr>
          <w:pgSz w:w="11900" w:h="16838" w:orient="portrait"/>
          <w:cols w:equalWidth="0" w:num="1">
            <w:col w:w="11420"/>
          </w:cols>
          <w:pgMar w:left="240" w:top="121"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41" w:name="page42"/>
    <w:bookmarkEnd w:id="41"/>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Continuance of Credit Agreement</w:t>
      </w:r>
      <w:r>
        <w:rPr>
          <w:rFonts w:ascii="Arial" w:cs="Arial" w:eastAsia="Arial" w:hAnsi="Arial"/>
          <w:sz w:val="16"/>
          <w:szCs w:val="16"/>
          <w:color w:val="auto"/>
        </w:rPr>
        <w:t>. Except as specifically amended by this Amendment, the Credit Agreement shall remain in full force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1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Survival</w:t>
      </w:r>
      <w:r>
        <w:rPr>
          <w:rFonts w:ascii="Arial" w:cs="Arial" w:eastAsia="Arial" w:hAnsi="Arial"/>
          <w:sz w:val="18"/>
          <w:szCs w:val="18"/>
          <w:color w:val="auto"/>
        </w:rPr>
        <w:t>. All agreements, representations and warranties made in this Amendment or in any documents delivered pursuant to this Amendment shall survive the execution of this Amendment and the delivery of any such document.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and interpreted in accordance with, the laws of the State of Illinois applicable to agreements made and wholly performed within such state.</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Counterparts; Headings</w:t>
      </w:r>
      <w:r>
        <w:rPr>
          <w:rFonts w:ascii="Arial" w:cs="Arial" w:eastAsia="Arial" w:hAnsi="Arial"/>
          <w:sz w:val="18"/>
          <w:szCs w:val="18"/>
          <w:color w:val="auto"/>
        </w:rPr>
        <w:t>. This Amendment may be executed in several counterparts, each of which shall be deemed an original, but such counterparts shall together constitute but one and the same agreement. Article and section headings in this Amendment are inserted for convenience of reference only and shall not constitute a part hereof.</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Amendment which is prohibited or unenforceable in any jurisdiction shall, as to such jurisdiction, be ineffective to the extent of such prohibition or unenforceability without invalidating the remaining provisions of this Amendment in such jurisdiction or affecting the validity or enforceability of any provision in any other jurisdiction.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Conditions</w:t>
      </w:r>
      <w:r>
        <w:rPr>
          <w:rFonts w:ascii="Arial" w:cs="Arial" w:eastAsia="Arial" w:hAnsi="Arial"/>
          <w:sz w:val="16"/>
          <w:szCs w:val="16"/>
          <w:color w:val="auto"/>
        </w:rPr>
        <w:t>. The effectiveness of this Amendment is subject to the Lender having received, on or before the date hereof, the following:</w:t>
      </w:r>
    </w:p>
    <w:p>
      <w:pPr>
        <w:spacing w:after="0" w:line="225" w:lineRule="exact"/>
        <w:rPr>
          <w:sz w:val="20"/>
          <w:szCs w:val="20"/>
          <w:color w:val="auto"/>
        </w:rPr>
      </w:pPr>
    </w:p>
    <w:p>
      <w:pPr>
        <w:ind w:left="1940" w:hanging="635"/>
        <w:spacing w:after="0"/>
        <w:tabs>
          <w:tab w:leader="none" w:pos="1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Amendment, duly executed by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Amended and Restated Revolving Credit Note, duly executed by the Company;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additional supporting documents and materials as the Lender may reasonably request.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Course of Dealing</w:t>
      </w:r>
      <w:r>
        <w:rPr>
          <w:rFonts w:ascii="Arial" w:cs="Arial" w:eastAsia="Arial" w:hAnsi="Arial"/>
          <w:sz w:val="18"/>
          <w:szCs w:val="18"/>
          <w:color w:val="auto"/>
        </w:rPr>
        <w:t>. The Company acknowledges that neither previous waivers, extensions, and amendments granted to the Company by the Lender, nor the amendments or limited consent granted herein, create any course of dealing or expectation with respect to any further waivers, extensions or amendments, and the Company further acknowledges that the Lender has no obligation whatsoever to grant any additional waivers, extensions, amendments or forbearance.</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No Defenses</w:t>
      </w:r>
      <w:r>
        <w:rPr>
          <w:rFonts w:ascii="Arial" w:cs="Arial" w:eastAsia="Arial" w:hAnsi="Arial"/>
          <w:sz w:val="18"/>
          <w:szCs w:val="18"/>
          <w:color w:val="auto"/>
        </w:rPr>
        <w:t>. The Company acknowledges it has no defenses, rights of setoff, or rights of recoupment to the enforceability or payment of any of its obligations under the Credit Agreement as amended hereby.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executed this Amendment No 2. to Credit Agreement as of the day and year first written above.</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FIRST BUSEY CORPORATION</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ROBIN ELLIOTT</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Robin Elliott</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CFO/COO</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U.S. BANK NATIONAL ASSOCIATION</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CALIGIURI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Peter Caligiuri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right="120" w:hanging="331"/>
        <w:spacing w:after="0" w:line="264" w:lineRule="auto"/>
        <w:tabs>
          <w:tab w:leader="none" w:pos="61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35591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left="103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March 31, 2017,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ind w:left="103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March 31, 2017,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Roman"/>
      <w:start w:val="3"/>
    </w:lvl>
  </w:abstractNum>
  <w:abstractNum w:abstractNumId="4">
    <w:nsid w:val="79E2A9E3"/>
    <w:multiLevelType w:val="hybridMultilevel"/>
    <w:lvl w:ilvl="0">
      <w:lvlJc w:val="left"/>
      <w:lvlText w:val="%1."/>
      <w:numFmt w:val="upperLetter"/>
      <w:start w:val="1"/>
    </w:lvl>
  </w:abstractNum>
  <w:abstractNum w:abstractNumId="5">
    <w:nsid w:val="7545E146"/>
    <w:multiLevelType w:val="hybridMultilevel"/>
    <w:lvl w:ilvl="0">
      <w:lvlJc w:val="left"/>
      <w:lvlText w:val="%1."/>
      <w:numFmt w:val="decimal"/>
      <w:start w:val="1"/>
    </w:lvl>
    <w:lvl w:ilvl="1">
      <w:lvlJc w:val="left"/>
      <w:lvlText w:val="(%2)"/>
      <w:numFmt w:val="lowerRoman"/>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2020-01-17T08:03:40Z</dcterms:created>
  <dcterms:modified xsi:type="dcterms:W3CDTF">2020-01-17T08:03:40Z</dcterms:modified>
</cp:coreProperties>
</file>