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Verdana" w:cs="Verdana" w:eastAsia="Verdana" w:hAnsi="Verdana"/>
          <w:sz w:val="19"/>
          <w:szCs w:val="19"/>
          <w:b w:val="1"/>
          <w:bCs w:val="1"/>
          <w:color w:val="auto"/>
        </w:rPr>
        <w:t>UNITED STATES SECURITIES AND EXCHANGE COMMISSION</w:t>
      </w:r>
    </w:p>
    <w:p>
      <w:pPr>
        <w:spacing w:after="0" w:line="66" w:lineRule="exact"/>
        <w:rPr>
          <w:sz w:val="24"/>
          <w:szCs w:val="24"/>
          <w:color w:val="auto"/>
        </w:rPr>
      </w:pPr>
    </w:p>
    <w:p>
      <w:pPr>
        <w:jc w:val="center"/>
        <w:spacing w:after="0"/>
        <w:rPr>
          <w:sz w:val="20"/>
          <w:szCs w:val="20"/>
          <w:color w:val="auto"/>
        </w:rPr>
      </w:pPr>
      <w:r>
        <w:rPr>
          <w:rFonts w:ascii="Verdana" w:cs="Verdana" w:eastAsia="Verdana" w:hAnsi="Verdana"/>
          <w:sz w:val="10"/>
          <w:szCs w:val="10"/>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Verdana" w:cs="Verdana" w:eastAsia="Verdana" w:hAnsi="Verdana"/>
          <w:sz w:val="20"/>
          <w:szCs w:val="20"/>
          <w:b w:val="1"/>
          <w:bCs w:val="1"/>
          <w:color w:val="auto"/>
        </w:rPr>
        <w:t>FORM 10-K</w:t>
      </w:r>
    </w:p>
    <w:p>
      <w:pPr>
        <w:spacing w:after="0" w:line="64" w:lineRule="exact"/>
        <w:rPr>
          <w:sz w:val="24"/>
          <w:szCs w:val="24"/>
          <w:color w:val="auto"/>
        </w:rPr>
      </w:pPr>
    </w:p>
    <w:p>
      <w:pPr>
        <w:ind w:left="420" w:hanging="401"/>
        <w:spacing w:after="0"/>
        <w:tabs>
          <w:tab w:leader="none" w:pos="420" w:val="left"/>
        </w:tabs>
        <w:numPr>
          <w:ilvl w:val="0"/>
          <w:numId w:val="1"/>
        </w:numPr>
        <w:rPr>
          <w:rFonts w:ascii="MS PGothic" w:cs="MS PGothic" w:eastAsia="MS PGothic" w:hAnsi="MS PGothic"/>
          <w:sz w:val="13"/>
          <w:szCs w:val="13"/>
          <w:color w:val="auto"/>
          <w:highlight w:val="black"/>
        </w:rPr>
      </w:pPr>
      <w:r>
        <w:rPr>
          <w:rFonts w:ascii="Verdana" w:cs="Verdana" w:eastAsia="Verdana" w:hAnsi="Verdana"/>
          <w:sz w:val="10"/>
          <w:szCs w:val="10"/>
          <w:b w:val="1"/>
          <w:bCs w:val="1"/>
          <w:color w:val="auto"/>
        </w:rPr>
        <w:t>ANNUAL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Verdana" w:cs="Verdana" w:eastAsia="Verdana" w:hAnsi="Verdana"/>
          <w:sz w:val="10"/>
          <w:szCs w:val="10"/>
          <w:b w:val="1"/>
          <w:bCs w:val="1"/>
          <w:color w:val="auto"/>
        </w:rPr>
        <w:t>For the fiscal year ended December 31, 2024</w:t>
      </w:r>
    </w:p>
    <w:p>
      <w:pPr>
        <w:spacing w:after="0" w:line="69"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3"/>
          <w:szCs w:val="13"/>
          <w:color w:val="auto"/>
          <w:highlight w:val="black"/>
        </w:rPr>
      </w:pPr>
      <w:r>
        <w:rPr>
          <w:rFonts w:ascii="Verdana" w:cs="Verdana" w:eastAsia="Verdana" w:hAnsi="Verdana"/>
          <w:sz w:val="10"/>
          <w:szCs w:val="10"/>
          <w:b w:val="1"/>
          <w:bCs w:val="1"/>
          <w:color w:val="auto"/>
        </w:rPr>
        <w:t>TRANSITION REPORT 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Verdana" w:cs="Verdana" w:eastAsia="Verdana" w:hAnsi="Verdana"/>
          <w:sz w:val="10"/>
          <w:szCs w:val="10"/>
          <w:b w:val="1"/>
          <w:bCs w:val="1"/>
          <w:color w:val="auto"/>
        </w:rPr>
        <w:t>Commission file number 0-15950</w:t>
      </w:r>
    </w:p>
    <w:p>
      <w:pPr>
        <w:spacing w:after="0" w:line="49" w:lineRule="exact"/>
        <w:rPr>
          <w:sz w:val="24"/>
          <w:szCs w:val="24"/>
          <w:color w:val="auto"/>
        </w:rPr>
      </w:pPr>
    </w:p>
    <w:p>
      <w:pPr>
        <w:jc w:val="center"/>
        <w:spacing w:after="0"/>
        <w:rPr>
          <w:sz w:val="20"/>
          <w:szCs w:val="20"/>
          <w:color w:val="auto"/>
        </w:rPr>
      </w:pPr>
      <w:r>
        <w:rPr>
          <w:rFonts w:ascii="Verdana" w:cs="Verdana" w:eastAsia="Verdana" w:hAnsi="Verdana"/>
          <w:sz w:val="20"/>
          <w:szCs w:val="20"/>
          <w:b w:val="1"/>
          <w:bCs w:val="1"/>
          <w:color w:val="auto"/>
        </w:rPr>
        <w:t>FIRST BUSEY CORPORATION</w:t>
      </w:r>
    </w:p>
    <w:p>
      <w:pPr>
        <w:sectPr>
          <w:pgSz w:w="11900" w:h="16838" w:orient="portrait"/>
          <w:cols w:equalWidth="0" w:num="1">
            <w:col w:w="11280"/>
          </w:cols>
          <w:pgMar w:left="300" w:top="273" w:right="319" w:bottom="1440" w:gutter="0" w:footer="0" w:header="0"/>
        </w:sectPr>
      </w:pPr>
    </w:p>
    <w:p>
      <w:pPr>
        <w:ind w:left="4280"/>
        <w:spacing w:after="0"/>
        <w:rPr>
          <w:sz w:val="20"/>
          <w:szCs w:val="20"/>
          <w:color w:val="auto"/>
        </w:rPr>
      </w:pPr>
      <w:r>
        <w:rPr>
          <w:rFonts w:ascii="Verdana" w:cs="Verdana" w:eastAsia="Verdana" w:hAnsi="Verdana"/>
          <w:sz w:val="10"/>
          <w:szCs w:val="10"/>
          <w:color w:val="auto"/>
        </w:rPr>
        <w:t>(Exact name of registrant as specified in its charter)</w:t>
      </w:r>
    </w:p>
    <w:p>
      <w:pPr>
        <w:spacing w:after="0" w:line="101" w:lineRule="exact"/>
        <w:rPr>
          <w:sz w:val="24"/>
          <w:szCs w:val="24"/>
          <w:color w:val="auto"/>
        </w:rPr>
      </w:pPr>
    </w:p>
    <w:p>
      <w:pPr>
        <w:jc w:val="center"/>
        <w:ind w:right="1840"/>
        <w:spacing w:after="0"/>
        <w:rPr>
          <w:sz w:val="20"/>
          <w:szCs w:val="20"/>
          <w:color w:val="auto"/>
        </w:rPr>
      </w:pPr>
      <w:r>
        <w:rPr>
          <w:rFonts w:ascii="Verdana" w:cs="Verdana" w:eastAsia="Verdana" w:hAnsi="Verdana"/>
          <w:sz w:val="10"/>
          <w:szCs w:val="10"/>
          <w:b w:val="1"/>
          <w:bCs w:val="1"/>
          <w:color w:val="auto"/>
        </w:rPr>
        <w:t>Nevada</w:t>
      </w:r>
    </w:p>
    <w:p>
      <w:pPr>
        <w:spacing w:after="0" w:line="48" w:lineRule="exact"/>
        <w:rPr>
          <w:sz w:val="24"/>
          <w:szCs w:val="24"/>
          <w:color w:val="auto"/>
        </w:rPr>
      </w:pPr>
    </w:p>
    <w:p>
      <w:pPr>
        <w:jc w:val="center"/>
        <w:ind w:right="1840"/>
        <w:spacing w:after="0"/>
        <w:rPr>
          <w:sz w:val="20"/>
          <w:szCs w:val="20"/>
          <w:color w:val="auto"/>
        </w:rPr>
      </w:pPr>
      <w:r>
        <w:rPr>
          <w:rFonts w:ascii="Verdana" w:cs="Verdana" w:eastAsia="Verdana" w:hAnsi="Verdana"/>
          <w:sz w:val="10"/>
          <w:szCs w:val="10"/>
          <w:color w:val="auto"/>
        </w:rPr>
        <w:t>(State or other jurisdiction of incorporation of organization)</w:t>
      </w:r>
    </w:p>
    <w:p>
      <w:pPr>
        <w:spacing w:after="0" w:line="239" w:lineRule="exact"/>
        <w:rPr>
          <w:sz w:val="24"/>
          <w:szCs w:val="24"/>
          <w:color w:val="auto"/>
        </w:rPr>
      </w:pPr>
    </w:p>
    <w:tbl>
      <w:tblPr>
        <w:tblLayout w:type="fixed"/>
        <w:tblInd w:w="40" w:type="dxa"/>
        <w:tblCellMar>
          <w:top w:w="0" w:type="dxa"/>
          <w:left w:w="0" w:type="dxa"/>
          <w:bottom w:w="0" w:type="dxa"/>
          <w:right w:w="0" w:type="dxa"/>
        </w:tblCellMar>
      </w:tblPr>
      <w:tr>
        <w:trPr>
          <w:trHeight w:val="134"/>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b w:val="1"/>
                <w:bCs w:val="1"/>
                <w:color w:val="auto"/>
              </w:rPr>
              <w:t>100 W. University Avenue</w:t>
            </w:r>
          </w:p>
        </w:tc>
      </w:tr>
      <w:tr>
        <w:trPr>
          <w:trHeight w:val="174"/>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b w:val="1"/>
                <w:bCs w:val="1"/>
                <w:color w:val="auto"/>
              </w:rPr>
              <w:t>Champaign, Illinois 61820</w:t>
            </w:r>
          </w:p>
        </w:tc>
      </w:tr>
      <w:tr>
        <w:trPr>
          <w:trHeight w:val="134"/>
        </w:trPr>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color w:val="auto"/>
              </w:rPr>
              <w:t>(Address of principal executive offices) (Zip code)</w:t>
            </w:r>
          </w:p>
        </w:tc>
      </w:tr>
      <w:tr>
        <w:trPr>
          <w:trHeight w:val="180"/>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color w:val="auto"/>
              </w:rPr>
              <w:t xml:space="preserve">Registrant’s telephone number, including area code </w:t>
            </w:r>
            <w:r>
              <w:rPr>
                <w:rFonts w:ascii="Verdana" w:cs="Verdana" w:eastAsia="Verdana" w:hAnsi="Verdana"/>
                <w:sz w:val="10"/>
                <w:szCs w:val="10"/>
                <w:b w:val="1"/>
                <w:bCs w:val="1"/>
                <w:color w:val="auto"/>
              </w:rPr>
              <w:t>(217) 365-4544</w:t>
            </w:r>
          </w:p>
        </w:tc>
      </w:tr>
      <w:tr>
        <w:trPr>
          <w:trHeight w:val="180"/>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color w:val="auto"/>
              </w:rPr>
              <w:t>Securities registered pursuant to Section 12(b) of the Act:</w:t>
            </w:r>
          </w:p>
        </w:tc>
      </w:tr>
      <w:tr>
        <w:trPr>
          <w:trHeight w:val="340"/>
        </w:trPr>
        <w:tc>
          <w:tcPr>
            <w:tcW w:w="376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Title of each class</w:t>
            </w:r>
          </w:p>
        </w:tc>
        <w:tc>
          <w:tcPr>
            <w:tcW w:w="3680" w:type="dxa"/>
            <w:vAlign w:val="bottom"/>
          </w:tcPr>
          <w:p>
            <w:pPr>
              <w:jc w:val="center"/>
              <w:spacing w:after="0"/>
              <w:rPr>
                <w:sz w:val="20"/>
                <w:szCs w:val="20"/>
                <w:color w:val="auto"/>
              </w:rPr>
            </w:pPr>
            <w:r>
              <w:rPr>
                <w:rFonts w:ascii="Verdana" w:cs="Verdana" w:eastAsia="Verdana" w:hAnsi="Verdana"/>
                <w:sz w:val="10"/>
                <w:szCs w:val="10"/>
                <w:b w:val="1"/>
                <w:bCs w:val="1"/>
                <w:color w:val="auto"/>
              </w:rPr>
              <w:t>Trading Symbol</w:t>
            </w: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90"/>
        </w:trPr>
        <w:tc>
          <w:tcPr>
            <w:tcW w:w="3760" w:type="dxa"/>
            <w:vAlign w:val="bottom"/>
            <w:gridSpan w:val="2"/>
          </w:tcPr>
          <w:p>
            <w:pPr>
              <w:jc w:val="center"/>
              <w:ind w:right="80"/>
              <w:spacing w:after="0"/>
              <w:rPr>
                <w:sz w:val="20"/>
                <w:szCs w:val="20"/>
                <w:color w:val="auto"/>
              </w:rPr>
            </w:pPr>
            <w:r>
              <w:rPr>
                <w:rFonts w:ascii="Verdana" w:cs="Verdana" w:eastAsia="Verdana" w:hAnsi="Verdana"/>
                <w:sz w:val="10"/>
                <w:szCs w:val="10"/>
                <w:color w:val="auto"/>
              </w:rPr>
              <w:t>Common Stock ($0.001 par value)</w:t>
            </w:r>
          </w:p>
        </w:tc>
        <w:tc>
          <w:tcPr>
            <w:tcW w:w="3680" w:type="dxa"/>
            <w:vAlign w:val="bottom"/>
          </w:tcPr>
          <w:p>
            <w:pPr>
              <w:jc w:val="center"/>
              <w:spacing w:after="0"/>
              <w:rPr>
                <w:sz w:val="20"/>
                <w:szCs w:val="20"/>
                <w:color w:val="auto"/>
              </w:rPr>
            </w:pPr>
            <w:r>
              <w:rPr>
                <w:rFonts w:ascii="Verdana" w:cs="Verdana" w:eastAsia="Verdana" w:hAnsi="Verdana"/>
                <w:sz w:val="10"/>
                <w:szCs w:val="10"/>
                <w:color w:val="auto"/>
              </w:rPr>
              <w:t>BUSE</w:t>
            </w:r>
          </w:p>
        </w:tc>
      </w:tr>
      <w:tr>
        <w:trPr>
          <w:trHeight w:val="361"/>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Verdana" w:cs="Verdana" w:eastAsia="Verdana" w:hAnsi="Verdana"/>
                <w:sz w:val="10"/>
                <w:szCs w:val="10"/>
                <w:color w:val="auto"/>
              </w:rPr>
              <w:t xml:space="preserve">Securities registered pursuant to Section 12(g) of the Act: </w:t>
            </w:r>
            <w:r>
              <w:rPr>
                <w:rFonts w:ascii="Verdana" w:cs="Verdana" w:eastAsia="Verdana" w:hAnsi="Verdana"/>
                <w:sz w:val="10"/>
                <w:szCs w:val="10"/>
                <w:b w:val="1"/>
                <w:bCs w:val="1"/>
                <w:color w:val="auto"/>
              </w:rPr>
              <w:t>None</w:t>
            </w:r>
          </w:p>
        </w:tc>
      </w:tr>
    </w:tbl>
    <w:p>
      <w:pPr>
        <w:spacing w:after="0" w:line="56" w:lineRule="exact"/>
        <w:rPr>
          <w:sz w:val="24"/>
          <w:szCs w:val="24"/>
          <w:color w:val="auto"/>
        </w:rPr>
      </w:pPr>
    </w:p>
    <w:p>
      <w:pPr>
        <w:ind w:right="420"/>
        <w:spacing w:after="0" w:line="192" w:lineRule="exact"/>
        <w:rPr>
          <w:sz w:val="20"/>
          <w:szCs w:val="20"/>
          <w:color w:val="auto"/>
        </w:rPr>
      </w:pPr>
      <w:r>
        <w:rPr>
          <w:rFonts w:ascii="Verdana" w:cs="Verdana" w:eastAsia="Verdana" w:hAnsi="Verdana"/>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Verdana" w:cs="Verdana" w:eastAsia="Verdana" w:hAnsi="Verdana"/>
          <w:sz w:val="10"/>
          <w:szCs w:val="10"/>
          <w:color w:val="auto"/>
        </w:rPr>
        <w:t xml:space="preserve"> No </w:t>
      </w:r>
      <w:r>
        <w:rPr>
          <w:rFonts w:ascii="MS PGothic" w:cs="MS PGothic" w:eastAsia="MS PGothic" w:hAnsi="MS PGothic"/>
          <w:sz w:val="10"/>
          <w:szCs w:val="10"/>
          <w:color w:val="auto"/>
        </w:rPr>
        <w:t>☐</w:t>
      </w:r>
      <w:r>
        <w:rPr>
          <w:rFonts w:ascii="Verdana" w:cs="Verdana" w:eastAsia="Verdana" w:hAnsi="Verdana"/>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Verdana" w:cs="Verdana" w:eastAsia="Verdana" w:hAnsi="Verdana"/>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00"/>
        <w:spacing w:after="0"/>
        <w:rPr>
          <w:sz w:val="20"/>
          <w:szCs w:val="20"/>
          <w:color w:val="auto"/>
        </w:rPr>
      </w:pPr>
      <w:r>
        <w:rPr>
          <w:rFonts w:ascii="Verdana" w:cs="Verdana" w:eastAsia="Verdana" w:hAnsi="Verdana"/>
          <w:sz w:val="10"/>
          <w:szCs w:val="10"/>
          <w:b w:val="1"/>
          <w:bCs w:val="1"/>
          <w:color w:val="auto"/>
        </w:rPr>
        <w:t>37-1078406</w:t>
      </w:r>
    </w:p>
    <w:p>
      <w:pPr>
        <w:spacing w:after="0" w:line="48" w:lineRule="exact"/>
        <w:rPr>
          <w:sz w:val="24"/>
          <w:szCs w:val="24"/>
          <w:color w:val="auto"/>
        </w:rPr>
      </w:pPr>
    </w:p>
    <w:p>
      <w:pPr>
        <w:jc w:val="center"/>
        <w:ind w:right="1900"/>
        <w:spacing w:after="0"/>
        <w:rPr>
          <w:sz w:val="20"/>
          <w:szCs w:val="20"/>
          <w:color w:val="auto"/>
        </w:rPr>
      </w:pPr>
      <w:r>
        <w:rPr>
          <w:rFonts w:ascii="Verdana" w:cs="Verdana" w:eastAsia="Verdana" w:hAnsi="Verdana"/>
          <w:sz w:val="10"/>
          <w:szCs w:val="10"/>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Verdana" w:cs="Verdana" w:eastAsia="Verdana" w:hAnsi="Verdana"/>
          <w:sz w:val="10"/>
          <w:szCs w:val="10"/>
          <w:b w:val="1"/>
          <w:bCs w:val="1"/>
          <w:color w:val="auto"/>
        </w:rPr>
        <w:t>Name of each exchange</w:t>
      </w:r>
    </w:p>
    <w:p>
      <w:pPr>
        <w:spacing w:after="0" w:line="6" w:lineRule="exact"/>
        <w:rPr>
          <w:sz w:val="24"/>
          <w:szCs w:val="24"/>
          <w:color w:val="auto"/>
        </w:rPr>
      </w:pPr>
    </w:p>
    <w:p>
      <w:pPr>
        <w:jc w:val="center"/>
        <w:spacing w:after="0"/>
        <w:rPr>
          <w:sz w:val="20"/>
          <w:szCs w:val="20"/>
          <w:color w:val="auto"/>
        </w:rPr>
      </w:pPr>
      <w:r>
        <w:rPr>
          <w:rFonts w:ascii="Verdana" w:cs="Verdana" w:eastAsia="Verdana" w:hAnsi="Verdana"/>
          <w:sz w:val="10"/>
          <w:szCs w:val="10"/>
          <w:b w:val="1"/>
          <w:bCs w:val="1"/>
          <w:color w:val="auto"/>
        </w:rPr>
        <w:t>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15875</wp:posOffset>
            </wp:positionV>
            <wp:extent cx="23380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Verdana" w:cs="Verdana" w:eastAsia="Verdana" w:hAnsi="Verdana"/>
          <w:sz w:val="10"/>
          <w:szCs w:val="10"/>
          <w:color w:val="auto"/>
        </w:rPr>
        <w:t>The Nasdaq Stock Market LLC</w:t>
      </w:r>
    </w:p>
    <w:p>
      <w:pPr>
        <w:spacing w:after="0" w:line="918" w:lineRule="exact"/>
        <w:rPr>
          <w:sz w:val="24"/>
          <w:szCs w:val="24"/>
          <w:color w:val="auto"/>
        </w:rPr>
      </w:pPr>
    </w:p>
    <w:p>
      <w:pPr>
        <w:sectPr>
          <w:pgSz w:w="11900" w:h="16838" w:orient="portrait"/>
          <w:cols w:equalWidth="0" w:num="2">
            <w:col w:w="7480" w:space="60"/>
            <w:col w:w="3740"/>
          </w:cols>
          <w:pgMar w:left="300" w:top="273" w:right="319" w:bottom="1440" w:gutter="0" w:footer="0" w:header="0"/>
          <w:type w:val="continuous"/>
        </w:sectPr>
      </w:pPr>
    </w:p>
    <w:p>
      <w:pPr>
        <w:jc w:val="both"/>
        <w:spacing w:after="0" w:line="128" w:lineRule="exact"/>
        <w:rPr>
          <w:sz w:val="20"/>
          <w:szCs w:val="20"/>
          <w:color w:val="auto"/>
        </w:rPr>
      </w:pPr>
      <w:r>
        <w:rPr>
          <w:rFonts w:ascii="Verdana" w:cs="Verdana" w:eastAsia="Verdana" w:hAnsi="Verdana"/>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Verdana" w:cs="Verdana" w:eastAsia="Verdana" w:hAnsi="Verdana"/>
          <w:sz w:val="10"/>
          <w:szCs w:val="10"/>
          <w:color w:val="auto"/>
        </w:rPr>
        <w:t xml:space="preserve"> No </w:t>
      </w:r>
      <w:r>
        <w:rPr>
          <w:rFonts w:ascii="MS PGothic" w:cs="MS PGothic" w:eastAsia="MS PGothic" w:hAnsi="MS PGothic"/>
          <w:sz w:val="10"/>
          <w:szCs w:val="10"/>
          <w:color w:val="auto"/>
        </w:rPr>
        <w:t>☐</w:t>
      </w:r>
    </w:p>
    <w:p>
      <w:pPr>
        <w:spacing w:after="0" w:line="52" w:lineRule="exact"/>
        <w:rPr>
          <w:sz w:val="24"/>
          <w:szCs w:val="24"/>
          <w:color w:val="auto"/>
        </w:rPr>
      </w:pPr>
    </w:p>
    <w:p>
      <w:pPr>
        <w:jc w:val="both"/>
        <w:spacing w:after="0" w:line="128" w:lineRule="exact"/>
        <w:rPr>
          <w:sz w:val="20"/>
          <w:szCs w:val="20"/>
          <w:color w:val="auto"/>
        </w:rPr>
      </w:pPr>
      <w:r>
        <w:rPr>
          <w:rFonts w:ascii="Verdana" w:cs="Verdana" w:eastAsia="Verdana" w:hAnsi="Verdana"/>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Verdana" w:cs="Verdana" w:eastAsia="Verdana" w:hAnsi="Verdana"/>
          <w:sz w:val="10"/>
          <w:szCs w:val="10"/>
          <w:color w:val="auto"/>
        </w:rPr>
        <w:t xml:space="preserve"> No </w:t>
      </w:r>
      <w:r>
        <w:rPr>
          <w:rFonts w:ascii="MS PGothic" w:cs="MS PGothic" w:eastAsia="MS PGothic" w:hAnsi="MS PGothic"/>
          <w:sz w:val="10"/>
          <w:szCs w:val="10"/>
          <w:color w:val="auto"/>
        </w:rPr>
        <w:t>☐</w:t>
      </w:r>
    </w:p>
    <w:p>
      <w:pPr>
        <w:spacing w:after="0" w:line="63" w:lineRule="exact"/>
        <w:rPr>
          <w:sz w:val="24"/>
          <w:szCs w:val="24"/>
          <w:color w:val="auto"/>
        </w:rPr>
      </w:pPr>
    </w:p>
    <w:p>
      <w:pPr>
        <w:jc w:val="both"/>
        <w:spacing w:after="0" w:line="226" w:lineRule="auto"/>
        <w:rPr>
          <w:sz w:val="20"/>
          <w:szCs w:val="20"/>
          <w:color w:val="auto"/>
        </w:rPr>
      </w:pPr>
      <w:r>
        <w:rPr>
          <w:rFonts w:ascii="Verdana" w:cs="Verdana" w:eastAsia="Verdana" w:hAnsi="Verdana"/>
          <w:sz w:val="10"/>
          <w:szCs w:val="10"/>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46" w:lineRule="exact"/>
        <w:rPr>
          <w:sz w:val="24"/>
          <w:szCs w:val="24"/>
          <w:color w:val="auto"/>
        </w:rPr>
      </w:pPr>
    </w:p>
    <w:p>
      <w:pPr>
        <w:ind w:left="8540"/>
        <w:spacing w:after="0" w:line="122" w:lineRule="exact"/>
        <w:rPr>
          <w:sz w:val="20"/>
          <w:szCs w:val="20"/>
          <w:color w:val="auto"/>
        </w:rPr>
      </w:pPr>
      <w:r>
        <w:rPr>
          <w:rFonts w:ascii="Verdana" w:cs="Verdana" w:eastAsia="Verdana" w:hAnsi="Verdana"/>
          <w:sz w:val="10"/>
          <w:szCs w:val="10"/>
          <w:color w:val="auto"/>
        </w:rPr>
        <w:t xml:space="preserve">Accelerated filer </w:t>
      </w:r>
      <w:r>
        <w:rPr>
          <w:rFonts w:ascii="MS PGothic" w:cs="MS PGothic" w:eastAsia="MS PGothic" w:hAnsi="MS PGothic"/>
          <w:sz w:val="10"/>
          <w:szCs w:val="10"/>
          <w:color w:val="auto"/>
        </w:rPr>
        <w:t>☐</w:t>
      </w:r>
    </w:p>
    <w:p>
      <w:pPr>
        <w:spacing w:after="0" w:line="7" w:lineRule="exact"/>
        <w:rPr>
          <w:sz w:val="24"/>
          <w:szCs w:val="24"/>
          <w:color w:val="auto"/>
        </w:rPr>
      </w:pPr>
    </w:p>
    <w:p>
      <w:pPr>
        <w:ind w:left="1780"/>
        <w:spacing w:after="0" w:line="122" w:lineRule="exact"/>
        <w:rPr>
          <w:sz w:val="20"/>
          <w:szCs w:val="20"/>
          <w:color w:val="auto"/>
        </w:rPr>
      </w:pPr>
      <w:r>
        <w:rPr>
          <w:rFonts w:ascii="Verdana" w:cs="Verdana" w:eastAsia="Verdana" w:hAnsi="Verdana"/>
          <w:sz w:val="10"/>
          <w:szCs w:val="10"/>
          <w:color w:val="auto"/>
        </w:rPr>
        <w:t xml:space="preserve">Large accelerated filer </w:t>
      </w:r>
      <w:r>
        <w:rPr>
          <w:rFonts w:ascii="MS PGothic" w:cs="MS PGothic" w:eastAsia="MS PGothic" w:hAnsi="MS PGothic"/>
          <w:sz w:val="10"/>
          <w:szCs w:val="10"/>
          <w:color w:val="auto"/>
        </w:rPr>
        <w:t>☑</w:t>
      </w:r>
    </w:p>
    <w:p>
      <w:pPr>
        <w:spacing w:after="0" w:line="1" w:lineRule="exact"/>
        <w:rPr>
          <w:sz w:val="24"/>
          <w:szCs w:val="24"/>
          <w:color w:val="auto"/>
        </w:rPr>
      </w:pPr>
    </w:p>
    <w:p>
      <w:pPr>
        <w:ind w:left="1780"/>
        <w:spacing w:after="0" w:line="122" w:lineRule="exact"/>
        <w:rPr>
          <w:sz w:val="20"/>
          <w:szCs w:val="20"/>
          <w:color w:val="auto"/>
        </w:rPr>
      </w:pPr>
      <w:r>
        <w:rPr>
          <w:rFonts w:ascii="Verdana" w:cs="Verdana" w:eastAsia="Verdana" w:hAnsi="Verdana"/>
          <w:sz w:val="10"/>
          <w:szCs w:val="10"/>
          <w:color w:val="auto"/>
        </w:rPr>
        <w:t xml:space="preserve">Non-accelerated filer </w:t>
      </w:r>
      <w:r>
        <w:rPr>
          <w:rFonts w:ascii="MS PGothic" w:cs="MS PGothic" w:eastAsia="MS PGothic" w:hAnsi="MS PGothic"/>
          <w:sz w:val="10"/>
          <w:szCs w:val="10"/>
          <w:color w:val="auto"/>
        </w:rPr>
        <w:t>☐</w:t>
      </w:r>
    </w:p>
    <w:p>
      <w:pPr>
        <w:ind w:left="7960"/>
        <w:spacing w:after="0" w:line="122" w:lineRule="exact"/>
        <w:rPr>
          <w:sz w:val="20"/>
          <w:szCs w:val="20"/>
          <w:color w:val="auto"/>
        </w:rPr>
      </w:pPr>
      <w:r>
        <w:rPr>
          <w:rFonts w:ascii="Verdana" w:cs="Verdana" w:eastAsia="Verdana" w:hAnsi="Verdana"/>
          <w:sz w:val="10"/>
          <w:szCs w:val="10"/>
          <w:color w:val="auto"/>
        </w:rPr>
        <w:t xml:space="preserve">Smaller reporting company </w:t>
      </w:r>
      <w:r>
        <w:rPr>
          <w:rFonts w:ascii="MS PGothic" w:cs="MS PGothic" w:eastAsia="MS PGothic" w:hAnsi="MS PGothic"/>
          <w:sz w:val="10"/>
          <w:szCs w:val="10"/>
          <w:color w:val="auto"/>
        </w:rPr>
        <w:t>☐</w:t>
      </w:r>
    </w:p>
    <w:p>
      <w:pPr>
        <w:spacing w:after="0" w:line="100" w:lineRule="exact"/>
        <w:rPr>
          <w:sz w:val="24"/>
          <w:szCs w:val="24"/>
          <w:color w:val="auto"/>
        </w:rPr>
      </w:pPr>
    </w:p>
    <w:p>
      <w:pPr>
        <w:ind w:left="7980"/>
        <w:spacing w:after="0" w:line="122" w:lineRule="exact"/>
        <w:rPr>
          <w:sz w:val="20"/>
          <w:szCs w:val="20"/>
          <w:color w:val="auto"/>
        </w:rPr>
      </w:pPr>
      <w:r>
        <w:rPr>
          <w:rFonts w:ascii="Verdana" w:cs="Verdana" w:eastAsia="Verdana" w:hAnsi="Verdana"/>
          <w:sz w:val="10"/>
          <w:szCs w:val="10"/>
          <w:color w:val="auto"/>
        </w:rPr>
        <w:t xml:space="preserve">Emerging growth company </w:t>
      </w:r>
      <w:r>
        <w:rPr>
          <w:rFonts w:ascii="MS PGothic" w:cs="MS PGothic" w:eastAsia="MS PGothic" w:hAnsi="MS PGothic"/>
          <w:sz w:val="10"/>
          <w:szCs w:val="10"/>
          <w:color w:val="auto"/>
        </w:rPr>
        <w:t>☐</w:t>
      </w:r>
    </w:p>
    <w:p>
      <w:pPr>
        <w:spacing w:after="0" w:line="229" w:lineRule="exact"/>
        <w:rPr>
          <w:sz w:val="24"/>
          <w:szCs w:val="24"/>
          <w:color w:val="auto"/>
        </w:rPr>
      </w:pPr>
    </w:p>
    <w:p>
      <w:pPr>
        <w:jc w:val="both"/>
        <w:spacing w:after="0" w:line="128" w:lineRule="exact"/>
        <w:rPr>
          <w:sz w:val="20"/>
          <w:szCs w:val="20"/>
          <w:color w:val="auto"/>
        </w:rPr>
      </w:pPr>
      <w:r>
        <w:rPr>
          <w:rFonts w:ascii="Verdana" w:cs="Verdana" w:eastAsia="Verdana" w:hAnsi="Verdana"/>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2" w:lineRule="exact"/>
        <w:rPr>
          <w:sz w:val="24"/>
          <w:szCs w:val="24"/>
          <w:color w:val="auto"/>
        </w:rPr>
      </w:pPr>
    </w:p>
    <w:p>
      <w:pPr>
        <w:jc w:val="both"/>
        <w:spacing w:after="0" w:line="128" w:lineRule="exact"/>
        <w:rPr>
          <w:sz w:val="20"/>
          <w:szCs w:val="20"/>
          <w:color w:val="auto"/>
        </w:rPr>
      </w:pPr>
      <w:r>
        <w:rPr>
          <w:rFonts w:ascii="Verdana" w:cs="Verdana" w:eastAsia="Verdana" w:hAnsi="Verdana"/>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63" w:lineRule="exact"/>
        <w:rPr>
          <w:sz w:val="24"/>
          <w:szCs w:val="24"/>
          <w:color w:val="auto"/>
        </w:rPr>
      </w:pPr>
    </w:p>
    <w:p>
      <w:pPr>
        <w:jc w:val="both"/>
        <w:spacing w:after="0" w:line="123" w:lineRule="exact"/>
        <w:rPr>
          <w:sz w:val="20"/>
          <w:szCs w:val="20"/>
          <w:color w:val="auto"/>
        </w:rPr>
      </w:pPr>
      <w:r>
        <w:rPr>
          <w:rFonts w:ascii="Verdana" w:cs="Verdana" w:eastAsia="Verdana" w:hAnsi="Verdana"/>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63" w:lineRule="exact"/>
        <w:rPr>
          <w:sz w:val="24"/>
          <w:szCs w:val="24"/>
          <w:color w:val="auto"/>
        </w:rPr>
      </w:pPr>
    </w:p>
    <w:p>
      <w:pPr>
        <w:jc w:val="both"/>
        <w:spacing w:after="0" w:line="123" w:lineRule="exact"/>
        <w:rPr>
          <w:sz w:val="20"/>
          <w:szCs w:val="20"/>
          <w:color w:val="auto"/>
        </w:rPr>
      </w:pPr>
      <w:r>
        <w:rPr>
          <w:rFonts w:ascii="Verdana" w:cs="Verdana" w:eastAsia="Verdana" w:hAnsi="Verdana"/>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41" w:lineRule="exact"/>
        <w:rPr>
          <w:sz w:val="24"/>
          <w:szCs w:val="24"/>
          <w:color w:val="auto"/>
        </w:rPr>
      </w:pPr>
    </w:p>
    <w:p>
      <w:pPr>
        <w:spacing w:after="0" w:line="122" w:lineRule="exact"/>
        <w:tabs>
          <w:tab w:leader="none" w:pos="5520" w:val="left"/>
        </w:tabs>
        <w:rPr>
          <w:sz w:val="20"/>
          <w:szCs w:val="20"/>
          <w:color w:val="auto"/>
        </w:rPr>
      </w:pPr>
      <w:r>
        <w:rPr>
          <w:rFonts w:ascii="Verdana" w:cs="Verdana" w:eastAsia="Verdana" w:hAnsi="Verdana"/>
          <w:sz w:val="10"/>
          <w:szCs w:val="10"/>
          <w:color w:val="auto"/>
        </w:rPr>
        <w:t>Indicate by check mark whether the registrant is a shell company (as defined in Rule 12b-2 of the Act).</w:t>
        <w:tab/>
        <w:t xml:space="preserve">Yes o No </w:t>
      </w:r>
      <w:r>
        <w:rPr>
          <w:rFonts w:ascii="MS PGothic" w:cs="MS PGothic" w:eastAsia="MS PGothic" w:hAnsi="MS PGothic"/>
          <w:sz w:val="10"/>
          <w:szCs w:val="10"/>
          <w:color w:val="auto"/>
        </w:rPr>
        <w:t>☑</w:t>
      </w:r>
    </w:p>
    <w:p>
      <w:pPr>
        <w:spacing w:after="0" w:line="102" w:lineRule="exact"/>
        <w:rPr>
          <w:sz w:val="24"/>
          <w:szCs w:val="24"/>
          <w:color w:val="auto"/>
        </w:rPr>
      </w:pPr>
    </w:p>
    <w:p>
      <w:pPr>
        <w:jc w:val="both"/>
        <w:spacing w:after="0" w:line="217" w:lineRule="auto"/>
        <w:rPr>
          <w:sz w:val="20"/>
          <w:szCs w:val="20"/>
          <w:color w:val="auto"/>
        </w:rPr>
      </w:pPr>
      <w:r>
        <w:rPr>
          <w:rFonts w:ascii="Verdana" w:cs="Verdana" w:eastAsia="Verdana" w:hAnsi="Verdana"/>
          <w:sz w:val="10"/>
          <w:szCs w:val="10"/>
          <w:color w:val="auto"/>
        </w:rPr>
        <w:t>The aggregate market value of the voting and non-voting common equity held by non-affiliates on June 28, 2024, was $1.28 billion, determined using a per share closing price for the registrant’s common stock on that date of $24.21, as quoted on The Nasdaq Global Select Market. In calculating the market value of securities held by non-affiliates of the registrant as of June 28, 2024, the registrant has treated as securities held by affiliates the voting and non-voting stock owned by its directors and principal executive officers, voting stock for which its directors hold voting power, and voting and non-voting stock held by the First Busey Corporation Plan and Trust in a fiduciary capacity for benefit of its directors and principal executive officers. This calculation does not reflect a determination that persons are affiliates for any other purposes.</w:t>
      </w:r>
    </w:p>
    <w:p>
      <w:pPr>
        <w:spacing w:after="0" w:line="80" w:lineRule="exact"/>
        <w:rPr>
          <w:sz w:val="24"/>
          <w:szCs w:val="24"/>
          <w:color w:val="auto"/>
        </w:rPr>
      </w:pPr>
    </w:p>
    <w:p>
      <w:pPr>
        <w:spacing w:after="0"/>
        <w:rPr>
          <w:sz w:val="20"/>
          <w:szCs w:val="20"/>
          <w:color w:val="auto"/>
        </w:rPr>
      </w:pPr>
      <w:r>
        <w:rPr>
          <w:rFonts w:ascii="Verdana" w:cs="Verdana" w:eastAsia="Verdana" w:hAnsi="Verdana"/>
          <w:sz w:val="10"/>
          <w:szCs w:val="10"/>
          <w:color w:val="auto"/>
        </w:rPr>
        <w:t>As of February 27, 2025, there were 56,958,853 shares of the registrant’s common stock, $0.001 par value, outstanding.</w:t>
      </w:r>
    </w:p>
    <w:p>
      <w:pPr>
        <w:spacing w:after="0" w:line="133" w:lineRule="exact"/>
        <w:rPr>
          <w:sz w:val="24"/>
          <w:szCs w:val="24"/>
          <w:color w:val="auto"/>
        </w:rPr>
      </w:pPr>
    </w:p>
    <w:p>
      <w:pPr>
        <w:ind w:left="4340"/>
        <w:spacing w:after="0"/>
        <w:rPr>
          <w:sz w:val="20"/>
          <w:szCs w:val="20"/>
          <w:color w:val="auto"/>
        </w:rPr>
      </w:pPr>
      <w:r>
        <w:rPr>
          <w:rFonts w:ascii="Verdana" w:cs="Verdana" w:eastAsia="Verdana" w:hAnsi="Verdana"/>
          <w:sz w:val="10"/>
          <w:szCs w:val="10"/>
          <w:b w:val="1"/>
          <w:bCs w:val="1"/>
          <w:color w:val="auto"/>
        </w:rPr>
        <w:t>DOCUMENTS INCORPORATED BY REFERENCE</w:t>
      </w:r>
    </w:p>
    <w:p>
      <w:pPr>
        <w:spacing w:after="0" w:line="91" w:lineRule="exact"/>
        <w:rPr>
          <w:sz w:val="24"/>
          <w:szCs w:val="24"/>
          <w:color w:val="auto"/>
        </w:rPr>
      </w:pPr>
    </w:p>
    <w:p>
      <w:pPr>
        <w:spacing w:after="0"/>
        <w:rPr>
          <w:sz w:val="20"/>
          <w:szCs w:val="20"/>
          <w:color w:val="auto"/>
        </w:rPr>
      </w:pPr>
      <w:r>
        <w:rPr>
          <w:rFonts w:ascii="Verdana" w:cs="Verdana" w:eastAsia="Verdana" w:hAnsi="Verdana"/>
          <w:sz w:val="10"/>
          <w:szCs w:val="10"/>
          <w:color w:val="auto"/>
        </w:rPr>
        <w:t>Portions of the definitive Proxy Statement for the 2025 Annual Meeting of Stockholders of First Busey Corporation to be held May 29, 2025, are incorporated by reference in this Form 10-K in response 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434340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231140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251460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(This page intentionally left blank)</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060" w:type="dxa"/>
            <w:vAlign w:val="bottom"/>
            <w:gridSpan w:val="3"/>
          </w:tcPr>
          <w:p>
            <w:pPr>
              <w:spacing w:after="0"/>
              <w:rPr>
                <w:sz w:val="20"/>
                <w:szCs w:val="20"/>
                <w:color w:val="auto"/>
              </w:rPr>
            </w:pPr>
            <w:r>
              <w:rPr>
                <w:rFonts w:ascii="Verdana" w:cs="Verdana" w:eastAsia="Verdana" w:hAnsi="Verdana"/>
                <w:sz w:val="14"/>
                <w:szCs w:val="14"/>
                <w:color w:val="0000FF"/>
              </w:rPr>
              <w:t>Table of Contents</w:t>
            </w:r>
          </w:p>
        </w:tc>
        <w:tc>
          <w:tcPr>
            <w:tcW w:w="8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782"/>
        </w:trPr>
        <w:tc>
          <w:tcPr>
            <w:tcW w:w="1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8620" w:type="dxa"/>
            <w:vAlign w:val="bottom"/>
          </w:tcPr>
          <w:p>
            <w:pPr>
              <w:jc w:val="center"/>
              <w:ind w:right="1389"/>
              <w:spacing w:after="0"/>
              <w:rPr>
                <w:sz w:val="20"/>
                <w:szCs w:val="20"/>
                <w:color w:val="auto"/>
              </w:rPr>
            </w:pPr>
            <w:r>
              <w:rPr>
                <w:rFonts w:ascii="Verdana" w:cs="Verdana" w:eastAsia="Verdana" w:hAnsi="Verdana"/>
                <w:sz w:val="14"/>
                <w:szCs w:val="14"/>
                <w:b w:val="1"/>
                <w:bCs w:val="1"/>
                <w:color w:val="auto"/>
              </w:rPr>
              <w:t>FIRST BUSEY CORPORATION</w:t>
            </w:r>
          </w:p>
        </w:tc>
        <w:tc>
          <w:tcPr>
            <w:tcW w:w="560" w:type="dxa"/>
            <w:vAlign w:val="bottom"/>
          </w:tcPr>
          <w:p>
            <w:pPr>
              <w:spacing w:after="0"/>
              <w:rPr>
                <w:sz w:val="24"/>
                <w:szCs w:val="24"/>
                <w:color w:val="auto"/>
              </w:rPr>
            </w:pPr>
          </w:p>
        </w:tc>
      </w:tr>
      <w:tr>
        <w:trPr>
          <w:trHeight w:val="184"/>
        </w:trPr>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20" w:type="dxa"/>
            <w:vAlign w:val="bottom"/>
          </w:tcPr>
          <w:p>
            <w:pPr>
              <w:jc w:val="center"/>
              <w:ind w:right="1389"/>
              <w:spacing w:after="0"/>
              <w:rPr>
                <w:sz w:val="20"/>
                <w:szCs w:val="20"/>
                <w:color w:val="auto"/>
              </w:rPr>
            </w:pPr>
            <w:r>
              <w:rPr>
                <w:rFonts w:ascii="Verdana" w:cs="Verdana" w:eastAsia="Verdana" w:hAnsi="Verdana"/>
                <w:sz w:val="14"/>
                <w:szCs w:val="14"/>
                <w:b w:val="1"/>
                <w:bCs w:val="1"/>
                <w:color w:val="auto"/>
              </w:rPr>
              <w:t>FORM 10-K ANNUAL REPORT</w:t>
            </w:r>
          </w:p>
        </w:tc>
        <w:tc>
          <w:tcPr>
            <w:tcW w:w="560" w:type="dxa"/>
            <w:vAlign w:val="bottom"/>
          </w:tcPr>
          <w:p>
            <w:pPr>
              <w:spacing w:after="0"/>
              <w:rPr>
                <w:sz w:val="16"/>
                <w:szCs w:val="16"/>
                <w:color w:val="auto"/>
              </w:rPr>
            </w:pPr>
          </w:p>
        </w:tc>
      </w:tr>
      <w:tr>
        <w:trPr>
          <w:trHeight w:val="212"/>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20" w:type="dxa"/>
            <w:vAlign w:val="bottom"/>
          </w:tcPr>
          <w:p>
            <w:pPr>
              <w:jc w:val="center"/>
              <w:ind w:right="1389"/>
              <w:spacing w:after="0"/>
              <w:rPr>
                <w:sz w:val="20"/>
                <w:szCs w:val="20"/>
                <w:color w:val="auto"/>
              </w:rPr>
            </w:pPr>
            <w:r>
              <w:rPr>
                <w:rFonts w:ascii="Verdana" w:cs="Verdana" w:eastAsia="Verdana" w:hAnsi="Verdana"/>
                <w:sz w:val="14"/>
                <w:szCs w:val="14"/>
                <w:b w:val="1"/>
                <w:bCs w:val="1"/>
                <w:color w:val="auto"/>
              </w:rPr>
              <w:t>Table of Contents</w:t>
            </w:r>
          </w:p>
        </w:tc>
        <w:tc>
          <w:tcPr>
            <w:tcW w:w="560" w:type="dxa"/>
            <w:vAlign w:val="bottom"/>
          </w:tcPr>
          <w:p>
            <w:pPr>
              <w:spacing w:after="0"/>
              <w:rPr>
                <w:sz w:val="18"/>
                <w:szCs w:val="18"/>
                <w:color w:val="auto"/>
              </w:rPr>
            </w:pPr>
          </w:p>
        </w:tc>
      </w:tr>
      <w:tr>
        <w:trPr>
          <w:trHeight w:val="424"/>
        </w:trPr>
        <w:tc>
          <w:tcPr>
            <w:tcW w:w="1180" w:type="dxa"/>
            <w:vAlign w:val="bottom"/>
          </w:tcPr>
          <w:p>
            <w:pPr>
              <w:ind w:left="60"/>
              <w:spacing w:after="0"/>
              <w:rPr>
                <w:sz w:val="20"/>
                <w:szCs w:val="20"/>
                <w:color w:val="auto"/>
              </w:rPr>
            </w:pPr>
            <w:r>
              <w:rPr>
                <w:rFonts w:ascii="Verdana" w:cs="Verdana" w:eastAsia="Verdana" w:hAnsi="Verdana"/>
                <w:sz w:val="14"/>
                <w:szCs w:val="14"/>
                <w:color w:val="auto"/>
              </w:rPr>
              <w:t>GLOSSARY</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Verdana" w:cs="Verdana" w:eastAsia="Verdana" w:hAnsi="Verdana"/>
                <w:sz w:val="14"/>
                <w:szCs w:val="14"/>
                <w:color w:val="auto"/>
              </w:rPr>
              <w:t>4</w:t>
            </w:r>
          </w:p>
        </w:tc>
      </w:tr>
      <w:tr>
        <w:trPr>
          <w:trHeight w:val="424"/>
        </w:trPr>
        <w:tc>
          <w:tcPr>
            <w:tcW w:w="1180" w:type="dxa"/>
            <w:vAlign w:val="bottom"/>
          </w:tcPr>
          <w:p>
            <w:pPr>
              <w:ind w:left="60"/>
              <w:spacing w:after="0"/>
              <w:rPr>
                <w:sz w:val="20"/>
                <w:szCs w:val="20"/>
                <w:color w:val="auto"/>
              </w:rPr>
            </w:pPr>
            <w:r>
              <w:rPr>
                <w:rFonts w:ascii="Verdana" w:cs="Verdana" w:eastAsia="Verdana" w:hAnsi="Verdana"/>
                <w:sz w:val="14"/>
                <w:szCs w:val="14"/>
                <w:color w:val="auto"/>
              </w:rPr>
              <w:t>PART I</w:t>
            </w: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BUSINESS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6</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1A</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RISK FACTORS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1B</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UNRESOLVED STAFF COMMENTS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46</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1C</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CYBERSECURITY</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46</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2</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PROPERTIES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47</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3</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LEGAL PROCEEDINGS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48</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4</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MINE SAFETY DISCLOSURES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48</w:t>
            </w:r>
          </w:p>
        </w:tc>
      </w:tr>
      <w:tr>
        <w:trPr>
          <w:trHeight w:val="410"/>
        </w:trPr>
        <w:tc>
          <w:tcPr>
            <w:tcW w:w="1180" w:type="dxa"/>
            <w:vAlign w:val="bottom"/>
          </w:tcPr>
          <w:p>
            <w:pPr>
              <w:ind w:left="60"/>
              <w:spacing w:after="0"/>
              <w:rPr>
                <w:sz w:val="20"/>
                <w:szCs w:val="20"/>
                <w:color w:val="auto"/>
              </w:rPr>
            </w:pPr>
            <w:r>
              <w:rPr>
                <w:rFonts w:ascii="Verdana" w:cs="Verdana" w:eastAsia="Verdana" w:hAnsi="Verdana"/>
                <w:sz w:val="14"/>
                <w:szCs w:val="14"/>
                <w:color w:val="auto"/>
              </w:rPr>
              <w:t>PART II</w:t>
            </w: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5</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MARKET FOR REGISTRANT’S COMMON EQUITY, RELATED STOCKHOLDER MATTERS, AND ISSUER PURCHASES OF</w:t>
            </w:r>
          </w:p>
        </w:tc>
        <w:tc>
          <w:tcPr>
            <w:tcW w:w="560" w:type="dxa"/>
            <w:vAlign w:val="bottom"/>
          </w:tcPr>
          <w:p>
            <w:pPr>
              <w:spacing w:after="0"/>
              <w:rPr>
                <w:sz w:val="24"/>
                <w:szCs w:val="24"/>
                <w:color w:val="auto"/>
              </w:rPr>
            </w:pPr>
          </w:p>
        </w:tc>
      </w:tr>
      <w:tr>
        <w:trPr>
          <w:trHeight w:val="184"/>
        </w:trPr>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20" w:type="dxa"/>
            <w:vAlign w:val="bottom"/>
          </w:tcPr>
          <w:p>
            <w:pPr>
              <w:ind w:left="280"/>
              <w:spacing w:after="0"/>
              <w:rPr>
                <w:sz w:val="20"/>
                <w:szCs w:val="20"/>
                <w:color w:val="auto"/>
              </w:rPr>
            </w:pPr>
            <w:r>
              <w:rPr>
                <w:rFonts w:ascii="Verdana" w:cs="Verdana" w:eastAsia="Verdana" w:hAnsi="Verdana"/>
                <w:sz w:val="14"/>
                <w:szCs w:val="14"/>
                <w:color w:val="auto"/>
              </w:rPr>
              <w:t>EQUITY SECURITIES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49</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6</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[RESERVED]</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50</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7</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51</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7A</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QUANTITATIVE AND QUALITATIVE DISCLOSURES ABOUT MARKET RISK</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87</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8</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FINANCIAL STATEMENTS AND SUPPLEMENTARY DATA</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88</w:t>
            </w:r>
          </w:p>
        </w:tc>
      </w:tr>
      <w:tr>
        <w:trPr>
          <w:trHeight w:val="198"/>
        </w:trPr>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20" w:type="dxa"/>
            <w:vAlign w:val="bottom"/>
          </w:tcPr>
          <w:p>
            <w:pPr>
              <w:ind w:left="540"/>
              <w:spacing w:after="0"/>
              <w:rPr>
                <w:sz w:val="20"/>
                <w:szCs w:val="20"/>
                <w:color w:val="auto"/>
              </w:rPr>
            </w:pPr>
            <w:r>
              <w:rPr>
                <w:rFonts w:ascii="Verdana" w:cs="Verdana" w:eastAsia="Verdana" w:hAnsi="Verdana"/>
                <w:sz w:val="14"/>
                <w:szCs w:val="14"/>
                <w:color w:val="auto"/>
              </w:rPr>
              <w:t>Report of Independent Registered Public Accounting Firm</w:t>
            </w:r>
          </w:p>
        </w:tc>
        <w:tc>
          <w:tcPr>
            <w:tcW w:w="560" w:type="dxa"/>
            <w:vAlign w:val="bottom"/>
          </w:tcPr>
          <w:p>
            <w:pPr>
              <w:spacing w:after="0"/>
              <w:rPr>
                <w:sz w:val="17"/>
                <w:szCs w:val="17"/>
                <w:color w:val="auto"/>
              </w:rPr>
            </w:pPr>
          </w:p>
        </w:tc>
      </w:tr>
      <w:tr>
        <w:trPr>
          <w:trHeight w:val="184"/>
        </w:trPr>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20" w:type="dxa"/>
            <w:vAlign w:val="bottom"/>
          </w:tcPr>
          <w:p>
            <w:pPr>
              <w:ind w:left="540"/>
              <w:spacing w:after="0"/>
              <w:rPr>
                <w:sz w:val="20"/>
                <w:szCs w:val="20"/>
                <w:color w:val="auto"/>
              </w:rPr>
            </w:pPr>
            <w:r>
              <w:rPr>
                <w:rFonts w:ascii="Verdana" w:cs="Verdana" w:eastAsia="Verdana" w:hAnsi="Verdana"/>
                <w:sz w:val="14"/>
                <w:szCs w:val="14"/>
                <w:color w:val="auto"/>
              </w:rPr>
              <w:t>(PCAOB ID 49)</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89</w:t>
            </w:r>
          </w:p>
        </w:tc>
      </w:tr>
      <w:tr>
        <w:trPr>
          <w:trHeight w:val="212"/>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20" w:type="dxa"/>
            <w:vAlign w:val="bottom"/>
          </w:tcPr>
          <w:p>
            <w:pPr>
              <w:ind w:left="540"/>
              <w:spacing w:after="0"/>
              <w:rPr>
                <w:sz w:val="20"/>
                <w:szCs w:val="20"/>
                <w:color w:val="auto"/>
              </w:rPr>
            </w:pPr>
            <w:r>
              <w:rPr>
                <w:rFonts w:ascii="Verdana" w:cs="Verdana" w:eastAsia="Verdana" w:hAnsi="Verdana"/>
                <w:sz w:val="14"/>
                <w:szCs w:val="14"/>
                <w:color w:val="auto"/>
              </w:rPr>
              <w:t>Consolidated Financial Statements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91</w:t>
            </w:r>
          </w:p>
        </w:tc>
      </w:tr>
      <w:tr>
        <w:trPr>
          <w:trHeight w:val="212"/>
        </w:trPr>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20" w:type="dxa"/>
            <w:vAlign w:val="bottom"/>
          </w:tcPr>
          <w:p>
            <w:pPr>
              <w:ind w:left="540"/>
              <w:spacing w:after="0"/>
              <w:rPr>
                <w:sz w:val="20"/>
                <w:szCs w:val="20"/>
                <w:color w:val="auto"/>
              </w:rPr>
            </w:pPr>
            <w:r>
              <w:rPr>
                <w:rFonts w:ascii="Verdana" w:cs="Verdana" w:eastAsia="Verdana" w:hAnsi="Verdana"/>
                <w:sz w:val="14"/>
                <w:szCs w:val="14"/>
                <w:color w:val="auto"/>
              </w:rPr>
              <w:t>Notes to Consolidated Financial Statements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97</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9</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CHANGES IN AND DISAGREEMENTS WITH ACCOUNTANTS ON ACCOUNTING AND FINANCIAL DISCLOSURE</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177</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9A</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CONTROLS AND PROCEDURES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177</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9B</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OTHER INFORMATION</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180</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9C</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DISCLOSURE REGARDING FOREIGN JURISDICTIONS THAT PREVENT INSPECTIONS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180</w:t>
            </w:r>
          </w:p>
        </w:tc>
      </w:tr>
      <w:tr>
        <w:trPr>
          <w:trHeight w:val="424"/>
        </w:trPr>
        <w:tc>
          <w:tcPr>
            <w:tcW w:w="1180" w:type="dxa"/>
            <w:vAlign w:val="bottom"/>
          </w:tcPr>
          <w:p>
            <w:pPr>
              <w:ind w:left="60"/>
              <w:spacing w:after="0"/>
              <w:rPr>
                <w:sz w:val="20"/>
                <w:szCs w:val="20"/>
                <w:color w:val="auto"/>
              </w:rPr>
            </w:pPr>
            <w:r>
              <w:rPr>
                <w:rFonts w:ascii="Verdana" w:cs="Verdana" w:eastAsia="Verdana" w:hAnsi="Verdana"/>
                <w:sz w:val="14"/>
                <w:szCs w:val="14"/>
                <w:color w:val="auto"/>
              </w:rPr>
              <w:t>PART III</w:t>
            </w: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10</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DIRECTORS, EXECUTIVE OFFICERS AND CORPORATE GOVERNANCE</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180</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11</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EXECUTIVE COMPENSATION</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181</w:t>
            </w:r>
          </w:p>
        </w:tc>
      </w:tr>
      <w:tr>
        <w:trPr>
          <w:trHeight w:val="198"/>
        </w:trPr>
        <w:tc>
          <w:tcPr>
            <w:tcW w:w="118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12</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SECURITY OWNERSHIP OF CERTAIN BENEFICIAL OWNERS AND MANAGEMENT AND RELATED STOCKHOLDER</w:t>
            </w:r>
          </w:p>
        </w:tc>
        <w:tc>
          <w:tcPr>
            <w:tcW w:w="560" w:type="dxa"/>
            <w:vAlign w:val="bottom"/>
          </w:tcPr>
          <w:p>
            <w:pPr>
              <w:spacing w:after="0"/>
              <w:rPr>
                <w:sz w:val="17"/>
                <w:szCs w:val="17"/>
                <w:color w:val="auto"/>
              </w:rPr>
            </w:pPr>
          </w:p>
        </w:tc>
      </w:tr>
      <w:tr>
        <w:trPr>
          <w:trHeight w:val="184"/>
        </w:trPr>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20" w:type="dxa"/>
            <w:vAlign w:val="bottom"/>
          </w:tcPr>
          <w:p>
            <w:pPr>
              <w:ind w:left="280"/>
              <w:spacing w:after="0"/>
              <w:rPr>
                <w:sz w:val="20"/>
                <w:szCs w:val="20"/>
                <w:color w:val="auto"/>
              </w:rPr>
            </w:pPr>
            <w:r>
              <w:rPr>
                <w:rFonts w:ascii="Verdana" w:cs="Verdana" w:eastAsia="Verdana" w:hAnsi="Verdana"/>
                <w:sz w:val="14"/>
                <w:szCs w:val="14"/>
                <w:color w:val="auto"/>
              </w:rPr>
              <w:t>MATTERS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181</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13</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CERTAIN RELATIONSHIPS AND RELATED TRANSACTIONS, AND DIRECTOR INDEPENDENCE</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181</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14</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PRINCIPAL ACCOUNTANT FEES AND SERVICES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182</w:t>
            </w:r>
          </w:p>
        </w:tc>
      </w:tr>
      <w:tr>
        <w:trPr>
          <w:trHeight w:val="424"/>
        </w:trPr>
        <w:tc>
          <w:tcPr>
            <w:tcW w:w="1180" w:type="dxa"/>
            <w:vAlign w:val="bottom"/>
          </w:tcPr>
          <w:p>
            <w:pPr>
              <w:ind w:left="60"/>
              <w:spacing w:after="0"/>
              <w:rPr>
                <w:sz w:val="20"/>
                <w:szCs w:val="20"/>
                <w:color w:val="auto"/>
              </w:rPr>
            </w:pPr>
            <w:r>
              <w:rPr>
                <w:rFonts w:ascii="Verdana" w:cs="Verdana" w:eastAsia="Verdana" w:hAnsi="Verdana"/>
                <w:sz w:val="14"/>
                <w:szCs w:val="14"/>
                <w:color w:val="auto"/>
              </w:rPr>
              <w:t>PART IV</w:t>
            </w: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15</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EXHIBIT AND FINANCIAL STATEMENT SCHEDULES</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183</w:t>
            </w:r>
          </w:p>
        </w:tc>
      </w:tr>
      <w:tr>
        <w:trPr>
          <w:trHeight w:val="212"/>
        </w:trPr>
        <w:tc>
          <w:tcPr>
            <w:tcW w:w="1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Verdana" w:cs="Verdana" w:eastAsia="Verdana" w:hAnsi="Verdana"/>
                <w:sz w:val="14"/>
                <w:szCs w:val="14"/>
                <w:color w:val="auto"/>
              </w:rPr>
              <w:t>ITEM 16</w:t>
            </w:r>
          </w:p>
        </w:tc>
        <w:tc>
          <w:tcPr>
            <w:tcW w:w="8620" w:type="dxa"/>
            <w:vAlign w:val="bottom"/>
          </w:tcPr>
          <w:p>
            <w:pPr>
              <w:ind w:left="280"/>
              <w:spacing w:after="0"/>
              <w:rPr>
                <w:sz w:val="20"/>
                <w:szCs w:val="20"/>
                <w:color w:val="auto"/>
              </w:rPr>
            </w:pPr>
            <w:r>
              <w:rPr>
                <w:rFonts w:ascii="Verdana" w:cs="Verdana" w:eastAsia="Verdana" w:hAnsi="Verdana"/>
                <w:sz w:val="14"/>
                <w:szCs w:val="14"/>
                <w:color w:val="auto"/>
              </w:rPr>
              <w:t>FORM 10-K SUMMARY</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183</w:t>
            </w:r>
          </w:p>
        </w:tc>
      </w:tr>
      <w:tr>
        <w:trPr>
          <w:trHeight w:val="424"/>
        </w:trPr>
        <w:tc>
          <w:tcPr>
            <w:tcW w:w="1180" w:type="dxa"/>
            <w:vAlign w:val="bottom"/>
          </w:tcPr>
          <w:p>
            <w:pPr>
              <w:ind w:left="60"/>
              <w:spacing w:after="0"/>
              <w:rPr>
                <w:sz w:val="20"/>
                <w:szCs w:val="20"/>
                <w:color w:val="auto"/>
              </w:rPr>
            </w:pPr>
            <w:r>
              <w:rPr>
                <w:rFonts w:ascii="Verdana" w:cs="Verdana" w:eastAsia="Verdana" w:hAnsi="Verdana"/>
                <w:sz w:val="14"/>
                <w:szCs w:val="14"/>
                <w:color w:val="auto"/>
              </w:rPr>
              <w:t>EXHIBIT INDEX</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Verdana" w:cs="Verdana" w:eastAsia="Verdana" w:hAnsi="Verdana"/>
                <w:sz w:val="14"/>
                <w:szCs w:val="14"/>
                <w:color w:val="auto"/>
              </w:rPr>
              <w:t>184</w:t>
            </w:r>
          </w:p>
        </w:tc>
      </w:tr>
      <w:tr>
        <w:trPr>
          <w:trHeight w:val="212"/>
        </w:trPr>
        <w:tc>
          <w:tcPr>
            <w:tcW w:w="1180" w:type="dxa"/>
            <w:vAlign w:val="bottom"/>
          </w:tcPr>
          <w:p>
            <w:pPr>
              <w:ind w:left="60"/>
              <w:spacing w:after="0"/>
              <w:rPr>
                <w:sz w:val="20"/>
                <w:szCs w:val="20"/>
                <w:color w:val="auto"/>
              </w:rPr>
            </w:pPr>
            <w:r>
              <w:rPr>
                <w:rFonts w:ascii="Verdana" w:cs="Verdana" w:eastAsia="Verdana" w:hAnsi="Verdana"/>
                <w:sz w:val="14"/>
                <w:szCs w:val="14"/>
                <w:color w:val="auto"/>
              </w:rPr>
              <w:t>SIGNATURES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Verdana" w:cs="Verdana" w:eastAsia="Verdana" w:hAnsi="Verdana"/>
                <w:sz w:val="14"/>
                <w:szCs w:val="14"/>
                <w:color w:val="auto"/>
              </w:rPr>
              <w:t>189</w:t>
            </w:r>
          </w:p>
        </w:tc>
      </w:tr>
    </w:tbl>
    <w:p>
      <w:pPr>
        <w:spacing w:after="0" w:line="39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3" w:name="page4"/>
    <w:bookmarkEnd w:id="3"/>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40" w:type="dxa"/>
            <w:vAlign w:val="bottom"/>
          </w:tcPr>
          <w:p>
            <w:pPr>
              <w:ind w:left="2880"/>
              <w:spacing w:after="0"/>
              <w:rPr>
                <w:sz w:val="20"/>
                <w:szCs w:val="20"/>
                <w:color w:val="auto"/>
              </w:rPr>
            </w:pPr>
            <w:r>
              <w:rPr>
                <w:rFonts w:ascii="Verdana" w:cs="Verdana" w:eastAsia="Verdana" w:hAnsi="Verdana"/>
                <w:sz w:val="14"/>
                <w:szCs w:val="14"/>
                <w:b w:val="1"/>
                <w:bCs w:val="1"/>
                <w:color w:val="auto"/>
              </w:rPr>
              <w:t>GLOSSARY</w:t>
            </w:r>
          </w:p>
        </w:tc>
      </w:tr>
      <w:tr>
        <w:trPr>
          <w:trHeight w:val="308"/>
        </w:trPr>
        <w:tc>
          <w:tcPr>
            <w:tcW w:w="11280" w:type="dxa"/>
            <w:vAlign w:val="bottom"/>
            <w:gridSpan w:val="3"/>
          </w:tcPr>
          <w:p>
            <w:pPr>
              <w:spacing w:after="0"/>
              <w:rPr>
                <w:sz w:val="20"/>
                <w:szCs w:val="20"/>
                <w:color w:val="auto"/>
              </w:rPr>
            </w:pPr>
            <w:r>
              <w:rPr>
                <w:rFonts w:ascii="Verdana" w:cs="Verdana" w:eastAsia="Verdana" w:hAnsi="Verdana"/>
                <w:sz w:val="14"/>
                <w:szCs w:val="14"/>
                <w:color w:val="auto"/>
              </w:rPr>
              <w:t>Busey uses acronyms, abbreviations, and other terms throughout this Annual Report, as defined in the glossary below:</w:t>
            </w:r>
          </w:p>
        </w:tc>
      </w:tr>
      <w:tr>
        <w:trPr>
          <w:trHeight w:val="280"/>
        </w:trPr>
        <w:tc>
          <w:tcPr>
            <w:tcW w:w="226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Term</w:t>
            </w:r>
          </w:p>
        </w:tc>
        <w:tc>
          <w:tcPr>
            <w:tcW w:w="80" w:type="dxa"/>
            <w:vAlign w:val="bottom"/>
            <w:tcBorders>
              <w:bottom w:val="single" w:sz="8" w:color="E0E7ED"/>
            </w:tcBorders>
          </w:tcPr>
          <w:p>
            <w:pPr>
              <w:spacing w:after="0"/>
              <w:rPr>
                <w:sz w:val="24"/>
                <w:szCs w:val="24"/>
                <w:color w:val="auto"/>
              </w:rPr>
            </w:pPr>
          </w:p>
        </w:tc>
        <w:tc>
          <w:tcPr>
            <w:tcW w:w="894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Definition</w:t>
            </w:r>
          </w:p>
        </w:tc>
      </w:tr>
      <w:tr>
        <w:trPr>
          <w:trHeight w:val="210"/>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2020 Equity Plan</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Busey Corporation Amended 2020 Equity Incentive Plan</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401(k) Plan</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First Busey Corporation Profit Sharing Plan and Trust</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ACL</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Allowance for credit losses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Annual Report</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Annual report filed with the SEC on Form 10-K pursuant to Section 13 or 15(d) of the Exchange Act</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AOCI</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Accumulated other comprehensive income (loss)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ASC</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Accounting Standards Codification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ASU</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Accounting Standards Update</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Basel III</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2010 capital accord adopted by the international Basel Committee on Banking Supervision</w:t>
            </w:r>
          </w:p>
        </w:tc>
      </w:tr>
      <w:tr>
        <w:trPr>
          <w:trHeight w:val="192"/>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Basel III Rule</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Regulations promulgated by U.S. federal banking agencies—the OCC, the Federal Reserve, and the FDIC—to both enforce</w:t>
            </w:r>
          </w:p>
        </w:tc>
      </w:tr>
      <w:tr>
        <w:trPr>
          <w:trHeight w:val="170"/>
        </w:trPr>
        <w:tc>
          <w:tcPr>
            <w:tcW w:w="22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implementation of certain aspects of the Basel III capital reforms and effect certain changes required by the Dodd-Frank</w:t>
            </w:r>
          </w:p>
        </w:tc>
      </w:tr>
      <w:tr>
        <w:trPr>
          <w:trHeight w:val="195"/>
        </w:trPr>
        <w:tc>
          <w:tcPr>
            <w:tcW w:w="2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Wall Street Reform and Consumer Protection Act</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BHCA</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Bank Holding Company Act of 1956, as amended</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bps</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basis points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Busey</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First Busey Corporation, together with its wholly-owned consolidated subsidiaries; also, “First Busey,” and the “Company”</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C&amp;I</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Commercial and industrial</w:t>
            </w:r>
          </w:p>
        </w:tc>
      </w:tr>
      <w:tr>
        <w:trPr>
          <w:trHeight w:val="18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CECL</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ASC Topic 326 “Financial Instruments-Credit Losses,” which established the Current Expected Credit Losses methodology for</w:t>
            </w:r>
          </w:p>
        </w:tc>
      </w:tr>
      <w:tr>
        <w:trPr>
          <w:trHeight w:val="190"/>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40" w:type="dxa"/>
            <w:vAlign w:val="bottom"/>
          </w:tcPr>
          <w:p>
            <w:pPr>
              <w:ind w:left="20"/>
              <w:spacing w:after="0"/>
              <w:rPr>
                <w:sz w:val="20"/>
                <w:szCs w:val="20"/>
                <w:color w:val="auto"/>
              </w:rPr>
            </w:pPr>
            <w:r>
              <w:rPr>
                <w:rFonts w:ascii="Verdana" w:cs="Verdana" w:eastAsia="Verdana" w:hAnsi="Verdana"/>
                <w:sz w:val="14"/>
                <w:szCs w:val="14"/>
                <w:color w:val="auto"/>
              </w:rPr>
              <w:t>measuring credit losses on financial instruments</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CFPB</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Consumer Financial Protection Bureau</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COSO</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Committee of Sponsoring Organizations of the Treadway Commission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CRA</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Community Reinvestment Act</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CRE</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Commercial real estate</w:t>
            </w:r>
          </w:p>
        </w:tc>
      </w:tr>
      <w:tr>
        <w:trPr>
          <w:trHeight w:val="192"/>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CRE Guidance</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Concentrations in Commercial Real Estate Lending, Sound Risk Management Practices guidance issued jointly by the OCC,</w:t>
            </w:r>
          </w:p>
        </w:tc>
      </w:tr>
      <w:tr>
        <w:trPr>
          <w:trHeight w:val="195"/>
        </w:trPr>
        <w:tc>
          <w:tcPr>
            <w:tcW w:w="2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the Federal Reserve, and the FDIC</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CrossFirst</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CrossFirst Bankshares, Inc.</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Current Report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Current report filed with the SEC on Form 8-K pursuant to Section 13 or 15(d) of the Securities Exchange Act of 1934</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DFPR</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Illinois Department of Financial and Professional Regulation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Dodd-Frank Act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Dodd-Frank Wall Street Reform and Consumer Protection Act, enacted in 2010</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DSU</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Deferred stock unit</w:t>
            </w:r>
          </w:p>
        </w:tc>
      </w:tr>
      <w:tr>
        <w:trPr>
          <w:trHeight w:val="192"/>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Durbin Amendment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The Durbin Amendment to the Dodd-Frank Act, requiring the Federal Reserve to establish a maximum permissible</w:t>
            </w:r>
          </w:p>
        </w:tc>
      </w:tr>
      <w:tr>
        <w:trPr>
          <w:trHeight w:val="195"/>
        </w:trPr>
        <w:tc>
          <w:tcPr>
            <w:tcW w:w="2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interchange fee for many types of debit transactions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ESPP</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First Busey Corporation Employee Stock Purchase Plan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Exchange Act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Securities Exchange Act of 1934, as amended</w:t>
            </w:r>
          </w:p>
        </w:tc>
      </w:tr>
      <w:tr>
        <w:trPr>
          <w:trHeight w:val="18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Fair value</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The price that would be received to sell an asset, or paid to transfer a liability, in an orderly transaction between market</w:t>
            </w:r>
          </w:p>
        </w:tc>
      </w:tr>
      <w:tr>
        <w:trPr>
          <w:trHeight w:val="190"/>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40" w:type="dxa"/>
            <w:vAlign w:val="bottom"/>
          </w:tcPr>
          <w:p>
            <w:pPr>
              <w:ind w:left="20"/>
              <w:spacing w:after="0"/>
              <w:rPr>
                <w:sz w:val="20"/>
                <w:szCs w:val="20"/>
                <w:color w:val="auto"/>
              </w:rPr>
            </w:pPr>
            <w:r>
              <w:rPr>
                <w:rFonts w:ascii="Verdana" w:cs="Verdana" w:eastAsia="Verdana" w:hAnsi="Verdana"/>
                <w:sz w:val="14"/>
                <w:szCs w:val="14"/>
                <w:color w:val="auto"/>
              </w:rPr>
              <w:t>participants at the measurement date, as defined in ASC Topic 820 “Fair Value Measurement”</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FASB</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Financial Accounting Standards Board</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 w:name="page5"/>
    <w:bookmarkEnd w:id="4"/>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6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Term</w:t>
            </w:r>
          </w:p>
        </w:tc>
        <w:tc>
          <w:tcPr>
            <w:tcW w:w="80" w:type="dxa"/>
            <w:vAlign w:val="bottom"/>
          </w:tcPr>
          <w:p>
            <w:pPr>
              <w:spacing w:after="0"/>
              <w:rPr>
                <w:sz w:val="11"/>
                <w:szCs w:val="11"/>
                <w:color w:val="auto"/>
              </w:rPr>
            </w:pPr>
          </w:p>
        </w:tc>
        <w:tc>
          <w:tcPr>
            <w:tcW w:w="894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Definition</w:t>
            </w:r>
          </w:p>
        </w:tc>
      </w:tr>
      <w:tr>
        <w:trPr>
          <w:trHeight w:val="205"/>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FDIC</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Federal Deposit Insurance Corporation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Federal Reserve</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Board of Governors of the Federal Reserve System</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FHLB</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Federal Home Loan Bank</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First Busey Risk Management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Busey Risk Management, Inc.</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First Community</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First Community Financial Partners, Inc.</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FirsTech</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FirsTech, Inc.</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FOMC</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Federal Open Market Committee</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GAAP</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U.S. Generally Accepted Accounting Principles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LIBOR</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London Interbank Offered Rate</w:t>
            </w:r>
          </w:p>
        </w:tc>
      </w:tr>
      <w:tr>
        <w:trPr>
          <w:trHeight w:val="192"/>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LOCOM</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Lower of Cost or Market, an accounting approach under which assets are carried at amortized historical cost less write-offs</w:t>
            </w:r>
          </w:p>
        </w:tc>
      </w:tr>
      <w:tr>
        <w:trPr>
          <w:trHeight w:val="195"/>
        </w:trPr>
        <w:tc>
          <w:tcPr>
            <w:tcW w:w="2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and downward fair value adjustments, as may be applicable</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M&amp;M</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Merchants and Manufacturers Bank Corporation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M&amp;M Bank</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Merchants and Manufacturers Bank</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Nasdaq</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National Association of Securities Dealers Automated Quotations</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NM</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Not meaningful</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OCC</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Office of the Comptroller of the Currency</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OCI</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Other comprehensive income (loss)</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OREO</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Other real estate owned</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PCAOB</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Public Company Accounting Oversight Board</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PCD</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Purchased credit deteriorated</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PCI</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Purchased credit impaired</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PSU</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Performance stock unit</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Quarterly Report</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Quarterly report filed with the SEC on Form 10-Q pursuant to Section 13 or 15(d) of the Exchange Act</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Regulatory Relief Act</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Economic Growth, Regulatory Relief, and Consumer Protection Act of 2018</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RSU</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Restricted stock unit</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SBA</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U.S. Small Business Administration</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SEC</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U.S. Securities and Exchange Commission</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Securities Act</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Securities Act of 1933, as amended</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SOFR</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Secured Overnight Financing Rate published by the Federal Reserve</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Stock Repurchase Plan</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Stock repurchase program approved by First Busey Corporation's board of directors on February 3, 2015</w:t>
            </w:r>
          </w:p>
        </w:tc>
      </w:tr>
      <w:tr>
        <w:trPr>
          <w:trHeight w:val="192"/>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Term Loan</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$60 million term loan provided for in the Second Amended and Restated Credit Agreement, dated May 28, 2021. This term</w:t>
            </w:r>
          </w:p>
        </w:tc>
      </w:tr>
      <w:tr>
        <w:trPr>
          <w:trHeight w:val="195"/>
        </w:trPr>
        <w:tc>
          <w:tcPr>
            <w:tcW w:w="2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loan was paid off in the first quarter of 2024.</w:t>
            </w:r>
          </w:p>
        </w:tc>
      </w:tr>
      <w:tr>
        <w:trPr>
          <w:trHeight w:val="207"/>
        </w:trPr>
        <w:tc>
          <w:tcPr>
            <w:tcW w:w="2340" w:type="dxa"/>
            <w:vAlign w:val="bottom"/>
            <w:gridSpan w:val="2"/>
          </w:tcPr>
          <w:p>
            <w:pPr>
              <w:ind w:left="20"/>
              <w:spacing w:after="0"/>
              <w:rPr>
                <w:sz w:val="20"/>
                <w:szCs w:val="20"/>
                <w:color w:val="auto"/>
              </w:rPr>
            </w:pPr>
            <w:r>
              <w:rPr>
                <w:rFonts w:ascii="Verdana" w:cs="Verdana" w:eastAsia="Verdana" w:hAnsi="Verdana"/>
                <w:sz w:val="14"/>
                <w:szCs w:val="14"/>
                <w:color w:val="auto"/>
              </w:rPr>
              <w:t>U.S.</w:t>
            </w:r>
          </w:p>
        </w:tc>
        <w:tc>
          <w:tcPr>
            <w:tcW w:w="8940" w:type="dxa"/>
            <w:vAlign w:val="bottom"/>
          </w:tcPr>
          <w:p>
            <w:pPr>
              <w:ind w:left="20"/>
              <w:spacing w:after="0"/>
              <w:rPr>
                <w:sz w:val="20"/>
                <w:szCs w:val="20"/>
                <w:color w:val="auto"/>
              </w:rPr>
            </w:pPr>
            <w:r>
              <w:rPr>
                <w:rFonts w:ascii="Verdana" w:cs="Verdana" w:eastAsia="Verdana" w:hAnsi="Verdana"/>
                <w:sz w:val="14"/>
                <w:szCs w:val="14"/>
                <w:color w:val="auto"/>
              </w:rPr>
              <w:t>United States of America</w:t>
            </w:r>
          </w:p>
        </w:tc>
      </w:tr>
      <w:tr>
        <w:trPr>
          <w:trHeight w:val="218"/>
        </w:trPr>
        <w:tc>
          <w:tcPr>
            <w:tcW w:w="23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U.S. Treasury</w:t>
            </w:r>
          </w:p>
        </w:tc>
        <w:tc>
          <w:tcPr>
            <w:tcW w:w="8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U.S. Department of the Treasury</w:t>
            </w:r>
          </w:p>
        </w:tc>
      </w:tr>
      <w:tr>
        <w:trPr>
          <w:trHeight w:val="710"/>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40" w:type="dxa"/>
            <w:vAlign w:val="bottom"/>
          </w:tcPr>
          <w:p>
            <w:pPr>
              <w:ind w:left="578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w:t>
            </w:r>
          </w:p>
        </w:tc>
      </w:tr>
      <w:tr>
        <w:trPr>
          <w:trHeight w:val="224"/>
        </w:trPr>
        <w:tc>
          <w:tcPr>
            <w:tcW w:w="2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9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8740" w:type="dxa"/>
            <w:vAlign w:val="bottom"/>
            <w:gridSpan w:val="2"/>
          </w:tcPr>
          <w:p>
            <w:pPr>
              <w:spacing w:after="0"/>
              <w:rPr>
                <w:sz w:val="20"/>
                <w:szCs w:val="20"/>
                <w:color w:val="auto"/>
              </w:rPr>
            </w:pPr>
            <w:r>
              <w:rPr>
                <w:rFonts w:ascii="Verdana" w:cs="Verdana" w:eastAsia="Verdana" w:hAnsi="Verdana"/>
                <w:sz w:val="14"/>
                <w:szCs w:val="14"/>
                <w:color w:val="0000FF"/>
              </w:rPr>
              <w:t>Table of Contents</w:t>
            </w:r>
          </w:p>
        </w:tc>
        <w:tc>
          <w:tcPr>
            <w:tcW w:w="2520" w:type="dxa"/>
            <w:vAlign w:val="bottom"/>
          </w:tcPr>
          <w:p>
            <w:pPr>
              <w:spacing w:after="0"/>
              <w:rPr>
                <w:sz w:val="14"/>
                <w:szCs w:val="14"/>
                <w:color w:val="auto"/>
              </w:rPr>
            </w:pPr>
          </w:p>
        </w:tc>
      </w:tr>
      <w:tr>
        <w:trPr>
          <w:trHeight w:val="797"/>
        </w:trPr>
        <w:tc>
          <w:tcPr>
            <w:tcW w:w="1240" w:type="dxa"/>
            <w:vAlign w:val="bottom"/>
            <w:tcBorders>
              <w:top w:val="single" w:sz="8" w:color="0000FF"/>
            </w:tcBorders>
          </w:tcPr>
          <w:p>
            <w:pPr>
              <w:spacing w:after="0"/>
              <w:rPr>
                <w:sz w:val="24"/>
                <w:szCs w:val="24"/>
                <w:color w:val="auto"/>
              </w:rPr>
            </w:pPr>
          </w:p>
        </w:tc>
        <w:tc>
          <w:tcPr>
            <w:tcW w:w="7500" w:type="dxa"/>
            <w:vAlign w:val="bottom"/>
          </w:tcPr>
          <w:p>
            <w:pPr>
              <w:jc w:val="center"/>
              <w:ind w:left="1249"/>
              <w:spacing w:after="0"/>
              <w:rPr>
                <w:sz w:val="20"/>
                <w:szCs w:val="20"/>
                <w:color w:val="auto"/>
              </w:rPr>
            </w:pPr>
            <w:r>
              <w:rPr>
                <w:rFonts w:ascii="Verdana" w:cs="Verdana" w:eastAsia="Verdana" w:hAnsi="Verdana"/>
                <w:sz w:val="14"/>
                <w:szCs w:val="14"/>
                <w:b w:val="1"/>
                <w:bCs w:val="1"/>
                <w:color w:val="auto"/>
                <w:w w:val="99"/>
              </w:rPr>
              <w:t>PART I</w:t>
            </w:r>
          </w:p>
        </w:tc>
        <w:tc>
          <w:tcPr>
            <w:tcW w:w="2520" w:type="dxa"/>
            <w:vAlign w:val="bottom"/>
          </w:tcPr>
          <w:p>
            <w:pPr>
              <w:spacing w:after="0"/>
              <w:rPr>
                <w:sz w:val="24"/>
                <w:szCs w:val="24"/>
                <w:color w:val="auto"/>
              </w:rPr>
            </w:pPr>
          </w:p>
        </w:tc>
      </w:tr>
      <w:tr>
        <w:trPr>
          <w:trHeight w:val="308"/>
        </w:trPr>
        <w:tc>
          <w:tcPr>
            <w:tcW w:w="1240" w:type="dxa"/>
            <w:vAlign w:val="bottom"/>
          </w:tcPr>
          <w:p>
            <w:pPr>
              <w:spacing w:after="0"/>
              <w:rPr>
                <w:sz w:val="24"/>
                <w:szCs w:val="24"/>
                <w:color w:val="auto"/>
              </w:rPr>
            </w:pPr>
          </w:p>
        </w:tc>
        <w:tc>
          <w:tcPr>
            <w:tcW w:w="7500" w:type="dxa"/>
            <w:vAlign w:val="bottom"/>
          </w:tcPr>
          <w:p>
            <w:pPr>
              <w:jc w:val="center"/>
              <w:ind w:left="1229"/>
              <w:spacing w:after="0"/>
              <w:rPr>
                <w:sz w:val="20"/>
                <w:szCs w:val="20"/>
                <w:color w:val="auto"/>
              </w:rPr>
            </w:pPr>
            <w:r>
              <w:rPr>
                <w:rFonts w:ascii="Verdana" w:cs="Verdana" w:eastAsia="Verdana" w:hAnsi="Verdana"/>
                <w:sz w:val="14"/>
                <w:szCs w:val="14"/>
                <w:b w:val="1"/>
                <w:bCs w:val="1"/>
                <w:color w:val="auto"/>
              </w:rPr>
              <w:t>ITEM 1. BUSINESS</w:t>
            </w:r>
          </w:p>
        </w:tc>
        <w:tc>
          <w:tcPr>
            <w:tcW w:w="2520" w:type="dxa"/>
            <w:vAlign w:val="bottom"/>
          </w:tcPr>
          <w:p>
            <w:pPr>
              <w:spacing w:after="0"/>
              <w:rPr>
                <w:sz w:val="24"/>
                <w:szCs w:val="24"/>
                <w:color w:val="auto"/>
              </w:rPr>
            </w:pPr>
          </w:p>
        </w:tc>
      </w:tr>
      <w:tr>
        <w:trPr>
          <w:trHeight w:val="308"/>
        </w:trPr>
        <w:tc>
          <w:tcPr>
            <w:tcW w:w="8740" w:type="dxa"/>
            <w:vAlign w:val="bottom"/>
            <w:gridSpan w:val="2"/>
          </w:tcPr>
          <w:p>
            <w:pPr>
              <w:spacing w:after="0"/>
              <w:rPr>
                <w:sz w:val="20"/>
                <w:szCs w:val="20"/>
                <w:color w:val="auto"/>
              </w:rPr>
            </w:pPr>
            <w:r>
              <w:rPr>
                <w:rFonts w:ascii="Verdana" w:cs="Verdana" w:eastAsia="Verdana" w:hAnsi="Verdana"/>
                <w:sz w:val="14"/>
                <w:szCs w:val="14"/>
                <w:b w:val="1"/>
                <w:bCs w:val="1"/>
                <w:color w:val="auto"/>
              </w:rPr>
              <w:t>Contents of Item 1. Business</w:t>
            </w:r>
          </w:p>
        </w:tc>
        <w:tc>
          <w:tcPr>
            <w:tcW w:w="2520" w:type="dxa"/>
            <w:vAlign w:val="bottom"/>
          </w:tcPr>
          <w:p>
            <w:pPr>
              <w:spacing w:after="0"/>
              <w:rPr>
                <w:sz w:val="24"/>
                <w:szCs w:val="24"/>
                <w:color w:val="auto"/>
              </w:rPr>
            </w:pPr>
          </w:p>
        </w:tc>
      </w:tr>
      <w:tr>
        <w:trPr>
          <w:trHeight w:val="361"/>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ORGANIZATION</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6</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MERGERS AND ACQUISITIONS</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7</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BANKING CENTER MARKETS</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8</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HUMAN CAPITAL</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9</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CORPORATE GOVERNANCE</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11</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SUPERVISION, REGULATION, AND OTHER FACTORS</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11</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SECURITIES AND EXCHANGE COMMISSION REPORTING AND OTHER INFORMATION</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26</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NON-GAAP FINANCIAL INFORMATION</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26</w:t>
            </w:r>
          </w:p>
        </w:tc>
      </w:tr>
      <w:tr>
        <w:trPr>
          <w:trHeight w:val="223"/>
        </w:trPr>
        <w:tc>
          <w:tcPr>
            <w:tcW w:w="8740" w:type="dxa"/>
            <w:vAlign w:val="bottom"/>
            <w:gridSpan w:val="2"/>
          </w:tcPr>
          <w:p>
            <w:pPr>
              <w:ind w:left="20"/>
              <w:spacing w:after="0"/>
              <w:rPr>
                <w:sz w:val="20"/>
                <w:szCs w:val="20"/>
                <w:color w:val="auto"/>
              </w:rPr>
            </w:pPr>
            <w:r>
              <w:rPr>
                <w:rFonts w:ascii="Verdana" w:cs="Verdana" w:eastAsia="Verdana" w:hAnsi="Verdana"/>
                <w:sz w:val="14"/>
                <w:szCs w:val="14"/>
                <w:color w:val="auto"/>
              </w:rPr>
              <w:t>SPECIAL CAUTIONARY NOTE REGARDING FORWARD-LOOKING STATEMENTS</w:t>
            </w:r>
          </w:p>
        </w:tc>
        <w:tc>
          <w:tcPr>
            <w:tcW w:w="2520" w:type="dxa"/>
            <w:vAlign w:val="bottom"/>
          </w:tcPr>
          <w:p>
            <w:pPr>
              <w:jc w:val="right"/>
              <w:spacing w:after="0"/>
              <w:rPr>
                <w:sz w:val="20"/>
                <w:szCs w:val="20"/>
                <w:color w:val="auto"/>
              </w:rPr>
            </w:pPr>
            <w:r>
              <w:rPr>
                <w:rFonts w:ascii="Verdana" w:cs="Verdana" w:eastAsia="Verdana" w:hAnsi="Verdana"/>
                <w:sz w:val="14"/>
                <w:szCs w:val="14"/>
                <w:color w:val="auto"/>
              </w:rPr>
              <w:t>33</w:t>
            </w:r>
          </w:p>
        </w:tc>
      </w:tr>
    </w:tbl>
    <w:p>
      <w:pPr>
        <w:spacing w:after="0" w:line="23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ORGANIZATION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First Busey Corporation is a $12.05 billion financial holding company. Organized in Nevada in 1980, First Busey Corporation is headquartered in Champaign, Illinois. First Busey Corporation’s common stock is traded on The Nasdaq Global Select Market under the symbol “BUSE.”</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conducts the business of banking and provides related banking services, asset management, brokerage, and fiduciary services through Busey Bank, and provides payment technology solutions through FirsTech. Busey also has various other subsidiaries that are not significant to the consolidated entity.</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Busey Bank</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Bank is an Illinois state-chartered bank organized in 1868 with its headquarters in Champaign, Illinois. Busey Bank has 50 banking centers in Illinois, eight in Missouri, three in southwest Florida, and one in Indianapolis, Indiana.</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Bank offers a range of diversified financial products and services for consumers and businesses, including online and mobile banking capabilities to conveniently serve its customers’ needs. Commercial services include commercial, CRE, real estate construction, and agricultural loans, as well as commercial depository services such as cash management. Retail banking services include residential real estate, home equity lines of credit, consumer loans, customary types of demand and savings deposits, money transfers, safe deposit services, and individual retirement accounts and other fiduciary services through Busey Bank’s banking center, automated teller machines, and technology-based networks.</w:t>
      </w:r>
    </w:p>
    <w:p>
      <w:pPr>
        <w:spacing w:after="0" w:line="13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Bank’s principal sources of income are interest and fees on loans and investments, wealth management fees, service fees, and payment technology solutions revenue. Principal expenses are interest paid on deposits and borrowings and general operating expenses. Busey Bank’s primary markets are central Illinois; northern Illinois, including the Chicago metropolitan area; the St. Louis, Missouri, metropolitan area; southwest Florida; and central Indiana.</w:t>
      </w:r>
    </w:p>
    <w:p>
      <w:pPr>
        <w:spacing w:after="0" w:line="11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 Bank provides a full range of asset management, investment, brokerage, fiduciary, philanthropic advisory, tax preparation, and farm management services to individuals, businesses, and foundations through its Wealth Management business. As of December 31, 2024, $13.83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In addition, Busey Bank provides professional farm management and brokerage services to the agricultural industry.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6" w:name="page7"/>
    <w:bookmarkEnd w:id="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FirsTech</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FirsTech, a wholly-owned subsidiary of Busey Bank, provides comprehensive and innovative payment technology solutions. FirsTech's multi-channel payment platform allows businesses to collect payments from their customers in a variety of ways to enable fast, frictionless payments. Payment method vehicles include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 FirsTech's client base represents a diverse set of industries, with a higher concentration in highly regulated industries, such as financial institutions, utility, insurance, and telecommunications industries.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MERGERS AND ACQUISITIONS</w:t>
      </w:r>
    </w:p>
    <w:p>
      <w:pPr>
        <w:spacing w:after="0" w:line="148" w:lineRule="exact"/>
        <w:rPr>
          <w:sz w:val="20"/>
          <w:szCs w:val="20"/>
          <w:color w:val="auto"/>
        </w:rPr>
      </w:pPr>
    </w:p>
    <w:p>
      <w:pPr>
        <w:ind w:right="540"/>
        <w:spacing w:after="0" w:line="259" w:lineRule="auto"/>
        <w:rPr>
          <w:sz w:val="20"/>
          <w:szCs w:val="20"/>
          <w:color w:val="auto"/>
        </w:rPr>
      </w:pPr>
      <w:r>
        <w:rPr>
          <w:rFonts w:ascii="Verdana" w:cs="Verdana" w:eastAsia="Verdana" w:hAnsi="Verdana"/>
          <w:sz w:val="14"/>
          <w:szCs w:val="14"/>
          <w:color w:val="auto"/>
        </w:rPr>
        <w:t>Over the last several years, Busey completed the following acquisitions as part of its strategy to expand into new service areas and to provide broader coverage in areas where Busey already maintains a presence: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6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Acquisition Date</w:t>
            </w:r>
          </w:p>
        </w:tc>
        <w:tc>
          <w:tcPr>
            <w:tcW w:w="80" w:type="dxa"/>
            <w:vAlign w:val="bottom"/>
            <w:tcBorders>
              <w:bottom w:val="single" w:sz="8" w:color="E0E7ED"/>
            </w:tcBorders>
          </w:tcPr>
          <w:p>
            <w:pPr>
              <w:spacing w:after="0"/>
              <w:rPr>
                <w:sz w:val="11"/>
                <w:szCs w:val="11"/>
                <w:color w:val="auto"/>
              </w:rPr>
            </w:pPr>
          </w:p>
        </w:tc>
        <w:tc>
          <w:tcPr>
            <w:tcW w:w="904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Companies Acquired</w:t>
            </w:r>
          </w:p>
        </w:tc>
      </w:tr>
      <w:tr>
        <w:trPr>
          <w:trHeight w:val="210"/>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January 8, 2015</w:t>
            </w:r>
          </w:p>
        </w:tc>
        <w:tc>
          <w:tcPr>
            <w:tcW w:w="9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Herget Financial Corp. and its wholly-owned bank subsidiary, Herget Bank, National Association</w:t>
            </w:r>
          </w:p>
        </w:tc>
      </w:tr>
      <w:tr>
        <w:trPr>
          <w:trHeight w:val="207"/>
        </w:trPr>
        <w:tc>
          <w:tcPr>
            <w:tcW w:w="2240" w:type="dxa"/>
            <w:vAlign w:val="bottom"/>
            <w:gridSpan w:val="2"/>
          </w:tcPr>
          <w:p>
            <w:pPr>
              <w:ind w:left="20"/>
              <w:spacing w:after="0"/>
              <w:rPr>
                <w:sz w:val="20"/>
                <w:szCs w:val="20"/>
                <w:color w:val="auto"/>
              </w:rPr>
            </w:pPr>
            <w:r>
              <w:rPr>
                <w:rFonts w:ascii="Verdana" w:cs="Verdana" w:eastAsia="Verdana" w:hAnsi="Verdana"/>
                <w:sz w:val="14"/>
                <w:szCs w:val="14"/>
                <w:color w:val="auto"/>
              </w:rPr>
              <w:t>April 30, 2016</w:t>
            </w:r>
          </w:p>
        </w:tc>
        <w:tc>
          <w:tcPr>
            <w:tcW w:w="9040" w:type="dxa"/>
            <w:vAlign w:val="bottom"/>
          </w:tcPr>
          <w:p>
            <w:pPr>
              <w:ind w:left="20"/>
              <w:spacing w:after="0"/>
              <w:rPr>
                <w:sz w:val="20"/>
                <w:szCs w:val="20"/>
                <w:color w:val="auto"/>
              </w:rPr>
            </w:pPr>
            <w:r>
              <w:rPr>
                <w:rFonts w:ascii="Verdana" w:cs="Verdana" w:eastAsia="Verdana" w:hAnsi="Verdana"/>
                <w:sz w:val="14"/>
                <w:szCs w:val="14"/>
                <w:color w:val="auto"/>
              </w:rPr>
              <w:t>Pulaski Financial Corp. and its wholly-owned subsidiary, Pulaski Bank, National Association</w:t>
            </w:r>
          </w:p>
        </w:tc>
      </w:tr>
      <w:tr>
        <w:trPr>
          <w:trHeight w:val="218"/>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July 2, 2017</w:t>
            </w:r>
          </w:p>
        </w:tc>
        <w:tc>
          <w:tcPr>
            <w:tcW w:w="9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Community Financial Partners, Inc. and its wholly-owned subsidiary, First Community Financial Bank</w:t>
            </w:r>
          </w:p>
        </w:tc>
      </w:tr>
      <w:tr>
        <w:trPr>
          <w:trHeight w:val="207"/>
        </w:trPr>
        <w:tc>
          <w:tcPr>
            <w:tcW w:w="2240" w:type="dxa"/>
            <w:vAlign w:val="bottom"/>
            <w:gridSpan w:val="2"/>
          </w:tcPr>
          <w:p>
            <w:pPr>
              <w:ind w:left="20"/>
              <w:spacing w:after="0"/>
              <w:rPr>
                <w:sz w:val="20"/>
                <w:szCs w:val="20"/>
                <w:color w:val="auto"/>
              </w:rPr>
            </w:pPr>
            <w:r>
              <w:rPr>
                <w:rFonts w:ascii="Verdana" w:cs="Verdana" w:eastAsia="Verdana" w:hAnsi="Verdana"/>
                <w:sz w:val="14"/>
                <w:szCs w:val="14"/>
                <w:color w:val="auto"/>
              </w:rPr>
              <w:t>October 1, 2017</w:t>
            </w:r>
          </w:p>
        </w:tc>
        <w:tc>
          <w:tcPr>
            <w:tcW w:w="9040" w:type="dxa"/>
            <w:vAlign w:val="bottom"/>
          </w:tcPr>
          <w:p>
            <w:pPr>
              <w:ind w:left="20"/>
              <w:spacing w:after="0"/>
              <w:rPr>
                <w:sz w:val="20"/>
                <w:szCs w:val="20"/>
                <w:color w:val="auto"/>
              </w:rPr>
            </w:pPr>
            <w:r>
              <w:rPr>
                <w:rFonts w:ascii="Verdana" w:cs="Verdana" w:eastAsia="Verdana" w:hAnsi="Verdana"/>
                <w:sz w:val="14"/>
                <w:szCs w:val="14"/>
                <w:color w:val="auto"/>
              </w:rPr>
              <w:t>Mid Illinois Bancorp, Inc. and its wholly-owned subsidiary, South Side Trust &amp; Savings Bank of Peoria</w:t>
            </w:r>
          </w:p>
        </w:tc>
      </w:tr>
      <w:tr>
        <w:trPr>
          <w:trHeight w:val="218"/>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January 31, 2019</w:t>
            </w:r>
          </w:p>
        </w:tc>
        <w:tc>
          <w:tcPr>
            <w:tcW w:w="9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The Bank Ed Corp. and its wholly-owned subsidiary, TheBANK of Edwardsville</w:t>
            </w:r>
          </w:p>
        </w:tc>
      </w:tr>
      <w:tr>
        <w:trPr>
          <w:trHeight w:val="207"/>
        </w:trPr>
        <w:tc>
          <w:tcPr>
            <w:tcW w:w="2240" w:type="dxa"/>
            <w:vAlign w:val="bottom"/>
            <w:gridSpan w:val="2"/>
          </w:tcPr>
          <w:p>
            <w:pPr>
              <w:ind w:left="20"/>
              <w:spacing w:after="0"/>
              <w:rPr>
                <w:sz w:val="20"/>
                <w:szCs w:val="20"/>
                <w:color w:val="auto"/>
              </w:rPr>
            </w:pPr>
            <w:r>
              <w:rPr>
                <w:rFonts w:ascii="Verdana" w:cs="Verdana" w:eastAsia="Verdana" w:hAnsi="Verdana"/>
                <w:sz w:val="14"/>
                <w:szCs w:val="14"/>
                <w:color w:val="auto"/>
              </w:rPr>
              <w:t>August 31, 2019</w:t>
            </w:r>
          </w:p>
        </w:tc>
        <w:tc>
          <w:tcPr>
            <w:tcW w:w="9040" w:type="dxa"/>
            <w:vAlign w:val="bottom"/>
          </w:tcPr>
          <w:p>
            <w:pPr>
              <w:ind w:left="20"/>
              <w:spacing w:after="0"/>
              <w:rPr>
                <w:sz w:val="20"/>
                <w:szCs w:val="20"/>
                <w:color w:val="auto"/>
              </w:rPr>
            </w:pPr>
            <w:r>
              <w:rPr>
                <w:rFonts w:ascii="Verdana" w:cs="Verdana" w:eastAsia="Verdana" w:hAnsi="Verdana"/>
                <w:sz w:val="14"/>
                <w:szCs w:val="14"/>
                <w:color w:val="auto"/>
              </w:rPr>
              <w:t>Investors' Security Trust Company</w:t>
            </w:r>
          </w:p>
        </w:tc>
      </w:tr>
      <w:tr>
        <w:trPr>
          <w:trHeight w:val="218"/>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May 31, 2021</w:t>
            </w:r>
          </w:p>
        </w:tc>
        <w:tc>
          <w:tcPr>
            <w:tcW w:w="9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Cummins-American Corp. and its wholly-owned subsidiary, Glenview State Bank</w:t>
            </w:r>
          </w:p>
        </w:tc>
      </w:tr>
      <w:tr>
        <w:trPr>
          <w:trHeight w:val="207"/>
        </w:trPr>
        <w:tc>
          <w:tcPr>
            <w:tcW w:w="2240" w:type="dxa"/>
            <w:vAlign w:val="bottom"/>
            <w:gridSpan w:val="2"/>
          </w:tcPr>
          <w:p>
            <w:pPr>
              <w:ind w:left="20"/>
              <w:spacing w:after="0"/>
              <w:rPr>
                <w:sz w:val="20"/>
                <w:szCs w:val="20"/>
                <w:color w:val="auto"/>
              </w:rPr>
            </w:pPr>
            <w:r>
              <w:rPr>
                <w:rFonts w:ascii="Verdana" w:cs="Verdana" w:eastAsia="Verdana" w:hAnsi="Verdana"/>
                <w:sz w:val="14"/>
                <w:szCs w:val="14"/>
                <w:color w:val="auto"/>
              </w:rPr>
              <w:t>April 1, 2024</w:t>
            </w:r>
          </w:p>
        </w:tc>
        <w:tc>
          <w:tcPr>
            <w:tcW w:w="9040" w:type="dxa"/>
            <w:vAlign w:val="bottom"/>
          </w:tcPr>
          <w:p>
            <w:pPr>
              <w:ind w:left="20"/>
              <w:spacing w:after="0"/>
              <w:rPr>
                <w:sz w:val="20"/>
                <w:szCs w:val="20"/>
                <w:color w:val="auto"/>
              </w:rPr>
            </w:pPr>
            <w:r>
              <w:rPr>
                <w:rFonts w:ascii="Verdana" w:cs="Verdana" w:eastAsia="Verdana" w:hAnsi="Verdana"/>
                <w:sz w:val="14"/>
                <w:szCs w:val="14"/>
                <w:color w:val="auto"/>
              </w:rPr>
              <w:t>Merchants and Manufacturers Bank Corporation, and its wholly-owned subsidiary, Merchants and Manufacturers Bank</w:t>
            </w:r>
          </w:p>
        </w:tc>
      </w:tr>
      <w:tr>
        <w:trPr>
          <w:trHeight w:val="218"/>
        </w:trPr>
        <w:tc>
          <w:tcPr>
            <w:tcW w:w="22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Planned for 2025</w:t>
            </w:r>
          </w:p>
        </w:tc>
        <w:tc>
          <w:tcPr>
            <w:tcW w:w="9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CrossFirst Bankshares, Inc., and its wholly-owned subsidiary CrossFirst Bank</w:t>
            </w: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Further information related to acquisitions made prior to January 1, 2024, has been presented in the Annual Reports previously filed with the SEC corresponding to each year of each acquisition.</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Planned Partnership with CrossFirst</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August 26, 2024, Busey and CrossFirst entered into an agreement and plan of merger (the “merger agreement”) pursuant to which CrossFirst will merge with and into Busey (the “merger”) and CrossFirst’s wholly-owned subsidiary, CrossFirst Bank, will merge with and into Busey Bank (the “bank merger”). The combined holding company will continue to operate under the First Busey Corporation name and the combined bank will operate under the Busey Bank name. This partnership will create a premier commercial bank in the Midwest, Southwest, and Florida, with 77 full-service locations across 10 states— Arizona, Colorado, Florida, Illinois, Indiana, Kansas, Missouri, New Mexico, Oklahoma, and Texas—and approximately $20 billion in combined assets, $17 billion in total deposits, $14 billion in total loans, and $14 billion in wealth assets under care.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 w:name="page8"/>
    <w:bookmarkEnd w:id="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Under the terms of the merger agreement, CrossFirst stockholders will have the right to receive for each share of CrossFirst common stock 0.6675 of a share of Busey’s common stock. Upon completion of the transaction, Busey’s stockholders will own approximately 63.5% of the combined company and CrossFirst’s stockholders will own approximately 36.5% of the combined company, on a fully-diluted basis. Busey common stock will continue to trade on the Nasdaq under the “BUSE” stock ticker symbol.</w:t>
      </w:r>
    </w:p>
    <w:p>
      <w:pPr>
        <w:spacing w:after="0" w:line="119"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On December 20, 2024, Busey and CrossFirst stockholders voted to approve the merger. On January 16, 2025, Busey received regulatory approval from the Board of Governors of the Federal Reserve System for the merger. The transaction has also been approved by the Illinois Department of Financial and Professional Regulation and the Kansas Office of the State Bank Commissioner. Busey and CrossFirst intend to close the merger on March 1, 2025, subject to the satisfaction of the remaining customary closing conditions. It is anticipated that CrossFirst Bank will merge with and into Busey Bank in mid-2025. At the time of the bank merger, CrossFirst Bank locations will become banking centers of Busey Bank.</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color w:val="auto"/>
        </w:rPr>
        <w:t>In connection with the merger, Busey incurred one-time pretax acquisition-related expenses of $3.9 million in 2024.</w:t>
      </w:r>
    </w:p>
    <w:p>
      <w:pPr>
        <w:spacing w:after="0" w:line="117" w:lineRule="exact"/>
        <w:rPr>
          <w:sz w:val="20"/>
          <w:szCs w:val="20"/>
          <w:color w:val="auto"/>
        </w:rPr>
      </w:pPr>
    </w:p>
    <w:p>
      <w:pPr>
        <w:spacing w:after="0" w:line="171" w:lineRule="exact"/>
        <w:rPr>
          <w:rFonts w:ascii="Verdana" w:cs="Verdana" w:eastAsia="Verdana" w:hAnsi="Verdana"/>
          <w:sz w:val="14"/>
          <w:szCs w:val="14"/>
          <w:color w:val="auto"/>
        </w:rPr>
      </w:pPr>
      <w:r>
        <w:rPr>
          <w:rFonts w:ascii="Verdana" w:cs="Verdana" w:eastAsia="Verdana" w:hAnsi="Verdana"/>
          <w:sz w:val="14"/>
          <w:szCs w:val="14"/>
          <w:color w:val="auto"/>
        </w:rPr>
        <w:t xml:space="preserve">For further details on the merger, see </w:t>
      </w:r>
      <w:hyperlink r:id="rId21">
        <w:r>
          <w:rPr>
            <w:rFonts w:ascii="Verdana" w:cs="Verdana" w:eastAsia="Verdana" w:hAnsi="Verdana"/>
            <w:sz w:val="14"/>
            <w:szCs w:val="14"/>
            <w:u w:val="single" w:color="auto"/>
            <w:color w:val="0000FF"/>
          </w:rPr>
          <w:t>Busey’s Current Report on Form 8</w:t>
        </w:r>
        <w:r>
          <w:rPr>
            <w:rFonts w:ascii="MS PGothic" w:cs="MS PGothic" w:eastAsia="MS PGothic" w:hAnsi="MS PGothic"/>
            <w:sz w:val="14"/>
            <w:szCs w:val="14"/>
            <w:u w:val="single" w:color="auto"/>
            <w:color w:val="0000FF"/>
          </w:rPr>
          <w:t>‑</w:t>
        </w:r>
        <w:r>
          <w:rPr>
            <w:rFonts w:ascii="Verdana" w:cs="Verdana" w:eastAsia="Verdana" w:hAnsi="Verdana"/>
            <w:sz w:val="14"/>
            <w:szCs w:val="14"/>
            <w:u w:val="single" w:color="auto"/>
            <w:color w:val="0000FF"/>
          </w:rPr>
          <w:t>K</w:t>
        </w:r>
        <w:r>
          <w:rPr>
            <w:rFonts w:ascii="Verdana" w:cs="Verdana" w:eastAsia="Verdana" w:hAnsi="Verdana"/>
            <w:sz w:val="14"/>
            <w:szCs w:val="14"/>
            <w:u w:val="single" w:color="auto"/>
            <w:color w:val="auto"/>
          </w:rPr>
          <w:t xml:space="preserve"> </w:t>
        </w:r>
      </w:hyperlink>
      <w:r>
        <w:rPr>
          <w:rFonts w:ascii="Verdana" w:cs="Verdana" w:eastAsia="Verdana" w:hAnsi="Verdana"/>
          <w:sz w:val="14"/>
          <w:szCs w:val="14"/>
          <w:color w:val="auto"/>
        </w:rPr>
        <w:t>announcing the merger, which was filed with the SEC on August 27, 2024.</w:t>
      </w:r>
    </w:p>
    <w:p>
      <w:pPr>
        <w:spacing w:after="0" w:line="16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2024 Acquisition of Merchants and Manufacturers Bank Corporation</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On April 1, 2024, Busey completed its acquisition of M&amp;M and its wholly-owned subsidiary, M&amp;M Bank, through a merger transaction. This partnership added M&amp;M’s Life Equity Loan</w:t>
      </w:r>
      <w:r>
        <w:rPr>
          <w:rFonts w:ascii="Verdana" w:cs="Verdana" w:eastAsia="Verdana" w:hAnsi="Verdana"/>
          <w:sz w:val="9"/>
          <w:szCs w:val="9"/>
          <w:color w:val="auto"/>
        </w:rPr>
        <w:t>®</w:t>
      </w:r>
      <w:r>
        <w:rPr>
          <w:rFonts w:ascii="Verdana" w:cs="Verdana" w:eastAsia="Verdana" w:hAnsi="Verdana"/>
          <w:sz w:val="14"/>
          <w:szCs w:val="14"/>
          <w:color w:val="auto"/>
        </w:rPr>
        <w:t xml:space="preserve"> products to Busey’s existing suite of services and expanded Busey’s presence in the suburban Chicago market. M&amp;M’s results of operations were included in Busey’s results of operation beginning April 1, 2024.</w:t>
      </w:r>
    </w:p>
    <w:p>
      <w:pPr>
        <w:spacing w:after="0" w:line="128" w:lineRule="exact"/>
        <w:rPr>
          <w:sz w:val="20"/>
          <w:szCs w:val="20"/>
          <w:color w:val="auto"/>
        </w:rPr>
      </w:pPr>
    </w:p>
    <w:p>
      <w:pPr>
        <w:ind w:right="800"/>
        <w:spacing w:after="0" w:line="434" w:lineRule="auto"/>
        <w:rPr>
          <w:sz w:val="20"/>
          <w:szCs w:val="20"/>
          <w:color w:val="auto"/>
        </w:rPr>
      </w:pPr>
      <w:r>
        <w:rPr>
          <w:rFonts w:ascii="Verdana" w:cs="Verdana" w:eastAsia="Verdana" w:hAnsi="Verdana"/>
          <w:sz w:val="14"/>
          <w:szCs w:val="14"/>
          <w:color w:val="auto"/>
        </w:rPr>
        <w:t xml:space="preserve">For further information regarding these acquisitions,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 Mergers and Acquisitions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in the Notes to the Consolidated Financial Statements. </w:t>
      </w:r>
      <w:r>
        <w:rPr>
          <w:rFonts w:ascii="Verdana" w:cs="Verdana" w:eastAsia="Verdana" w:hAnsi="Verdana"/>
          <w:sz w:val="14"/>
          <w:szCs w:val="14"/>
          <w:b w:val="1"/>
          <w:bCs w:val="1"/>
          <w:color w:val="auto"/>
        </w:rPr>
        <w:t>BANKING CENTER MARKETS</w:t>
      </w:r>
    </w:p>
    <w:p>
      <w:pPr>
        <w:jc w:val="both"/>
        <w:spacing w:after="0" w:line="246" w:lineRule="auto"/>
        <w:rPr>
          <w:sz w:val="20"/>
          <w:szCs w:val="20"/>
          <w:color w:val="auto"/>
        </w:rPr>
      </w:pPr>
      <w:r>
        <w:rPr>
          <w:rFonts w:ascii="Verdana" w:cs="Verdana" w:eastAsia="Verdana" w:hAnsi="Verdana"/>
          <w:sz w:val="14"/>
          <w:szCs w:val="14"/>
          <w:color w:val="auto"/>
        </w:rPr>
        <w:t>Busey Bank serves the Illinois banking market with 50 banking centers. Seventeen of Busey’s Illinois banking centers are positioned to serve the suburban Chicago market, 21 banking centers serve central Illinois markets, and 12 banking centers in Illinois are located within the St. Louis Metropolitan Statistical Area. Busey’s Illinois markets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Bank has eight banking centers in Missouri. St. Louis, Missouri has a diverse economy with major employment sectors including health care, financial services, professional and business services, and retail. Busey has a total of 20 banking centers within the boundaries of the St. Louis Metropolitan Statistical Area, including branches in both Illinois and Missouri.</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Bank has one banking center in the Indianapolis, Indiana area, which is the most populous city of Indiana with a diverse economy, particularly because it serves as the headquarters of many large corporations.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 w:name="page9"/>
    <w:bookmarkEnd w:id="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Market Competition</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payment technology solution companies, financial technology companies, and certain governmental agencies, all of which actively engage in marketing various types of loans, deposit accounts, wealth management, and other products and services.</w:t>
      </w:r>
    </w:p>
    <w:p>
      <w:pPr>
        <w:spacing w:after="0" w:line="123"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 Bank faces substantial competition in attracting deposits from other commercial banks, savings institutions, digital banks, money market and mutual funds, credit unions, insurance agencies, brokerage firms, and other investment vehicles. Customers for banking services are generally influenced by convenience, quality of service, personal contacts, price of services, and availability of products. Busey Bank attracts a significant amount of deposits through its banking centers, primarily from the communities in which those banking centers are located; therefore, competition for those deposits is principally from other commercial banks, savings institutions, and credit unions located in the same communities. Busey Bank competes for deposits by offering a variety of deposit accounts at competitive rates, high-quality customer service, convenient business hours, technology enabled solutions including internet and mobile banking, and convenient banking centers with inter-branch deposit and withdrawal privileges.</w:t>
      </w:r>
    </w:p>
    <w:p>
      <w:pPr>
        <w:spacing w:after="0" w:line="136"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Based on information obtained from the FDIC Summary of Deposits dated June 30, 2024, the most recent report available, out of 355 financial institutions headquartered in the State of Illinois, Busey Bank ranked fourth in total deposits within the Illinois market. Further, Busey Bank ranked in the top 10 in total deposits in nine Illinois counties: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3"/>
          </w:tcPr>
          <w:p>
            <w:pPr>
              <w:ind w:left="2140"/>
              <w:spacing w:after="0"/>
              <w:rPr>
                <w:sz w:val="20"/>
                <w:szCs w:val="20"/>
                <w:color w:val="auto"/>
              </w:rPr>
            </w:pPr>
            <w:r>
              <w:rPr>
                <w:rFonts w:ascii="Verdana" w:cs="Verdana" w:eastAsia="Verdana" w:hAnsi="Verdana"/>
                <w:sz w:val="10"/>
                <w:szCs w:val="10"/>
                <w:b w:val="1"/>
                <w:bCs w:val="1"/>
                <w:color w:val="auto"/>
              </w:rPr>
              <w:t>As of June 30, 2024</w:t>
            </w:r>
          </w:p>
        </w:tc>
        <w:tc>
          <w:tcPr>
            <w:tcW w:w="0" w:type="dxa"/>
            <w:vAlign w:val="bottom"/>
          </w:tcPr>
          <w:p>
            <w:pPr>
              <w:spacing w:after="0"/>
              <w:rPr>
                <w:sz w:val="1"/>
                <w:szCs w:val="1"/>
                <w:color w:val="auto"/>
              </w:rPr>
            </w:pPr>
          </w:p>
        </w:tc>
      </w:tr>
      <w:tr>
        <w:trPr>
          <w:trHeight w:val="93"/>
        </w:trPr>
        <w:tc>
          <w:tcPr>
            <w:tcW w:w="2960" w:type="dxa"/>
            <w:vAlign w:val="bottom"/>
            <w:vMerge w:val="restart"/>
          </w:tcPr>
          <w:p>
            <w:pPr>
              <w:ind w:left="20"/>
              <w:spacing w:after="0"/>
              <w:rPr>
                <w:sz w:val="20"/>
                <w:szCs w:val="20"/>
                <w:color w:val="auto"/>
              </w:rPr>
            </w:pPr>
            <w:r>
              <w:rPr>
                <w:rFonts w:ascii="Verdana" w:cs="Verdana" w:eastAsia="Verdana" w:hAnsi="Verdana"/>
                <w:sz w:val="10"/>
                <w:szCs w:val="10"/>
                <w:b w:val="1"/>
                <w:bCs w:val="1"/>
                <w:color w:val="auto"/>
              </w:rPr>
              <w:t>County</w:t>
            </w: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auto"/>
              </w:rPr>
              <w:t>Busey Bank</w:t>
            </w:r>
          </w:p>
        </w:tc>
        <w:tc>
          <w:tcPr>
            <w:tcW w:w="0" w:type="dxa"/>
            <w:vAlign w:val="bottom"/>
          </w:tcPr>
          <w:p>
            <w:pPr>
              <w:spacing w:after="0"/>
              <w:rPr>
                <w:sz w:val="1"/>
                <w:szCs w:val="1"/>
                <w:color w:val="auto"/>
              </w:rPr>
            </w:pPr>
          </w:p>
        </w:tc>
      </w:tr>
      <w:tr>
        <w:trPr>
          <w:trHeight w:val="133"/>
        </w:trPr>
        <w:tc>
          <w:tcPr>
            <w:tcW w:w="2960" w:type="dxa"/>
            <w:vAlign w:val="bottom"/>
            <w:tcBorders>
              <w:bottom w:val="single" w:sz="8" w:color="auto"/>
            </w:tcBorders>
            <w:vMerge w:val="continue"/>
          </w:tcPr>
          <w:p>
            <w:pPr>
              <w:spacing w:after="0"/>
              <w:rPr>
                <w:sz w:val="11"/>
                <w:szCs w:val="11"/>
                <w:color w:val="auto"/>
              </w:rPr>
            </w:pPr>
          </w:p>
        </w:tc>
        <w:tc>
          <w:tcPr>
            <w:tcW w:w="596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2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8"/>
              </w:rPr>
              <w:t>Market Share Ranking</w:t>
            </w:r>
          </w:p>
        </w:tc>
        <w:tc>
          <w:tcPr>
            <w:tcW w:w="0" w:type="dxa"/>
            <w:vAlign w:val="bottom"/>
          </w:tcPr>
          <w:p>
            <w:pPr>
              <w:spacing w:after="0"/>
              <w:rPr>
                <w:sz w:val="1"/>
                <w:szCs w:val="1"/>
                <w:color w:val="auto"/>
              </w:rPr>
            </w:pPr>
          </w:p>
        </w:tc>
      </w:tr>
      <w:tr>
        <w:trPr>
          <w:trHeight w:val="208"/>
        </w:trPr>
        <w:tc>
          <w:tcPr>
            <w:tcW w:w="2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Champaign</w:t>
            </w:r>
          </w:p>
        </w:tc>
        <w:tc>
          <w:tcPr>
            <w:tcW w:w="8320" w:type="dxa"/>
            <w:vAlign w:val="bottom"/>
            <w:gridSpan w:val="3"/>
            <w:shd w:val="clear" w:color="auto" w:fill="E0E7ED"/>
          </w:tcPr>
          <w:p>
            <w:pPr>
              <w:jc w:val="center"/>
              <w:ind w:left="5991"/>
              <w:spacing w:after="0"/>
              <w:rPr>
                <w:sz w:val="20"/>
                <w:szCs w:val="20"/>
                <w:color w:val="auto"/>
              </w:rPr>
            </w:pPr>
            <w:r>
              <w:rPr>
                <w:rFonts w:ascii="Verdana" w:cs="Verdana" w:eastAsia="Verdana" w:hAnsi="Verdana"/>
                <w:sz w:val="14"/>
                <w:szCs w:val="14"/>
                <w:color w:val="auto"/>
              </w:rPr>
              <w:t>1</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Verdana" w:cs="Verdana" w:eastAsia="Verdana" w:hAnsi="Verdana"/>
                <w:sz w:val="14"/>
                <w:szCs w:val="14"/>
                <w:color w:val="auto"/>
              </w:rPr>
              <w:t>Macon</w:t>
            </w:r>
          </w:p>
        </w:tc>
        <w:tc>
          <w:tcPr>
            <w:tcW w:w="8320" w:type="dxa"/>
            <w:vAlign w:val="bottom"/>
            <w:gridSpan w:val="3"/>
          </w:tcPr>
          <w:p>
            <w:pPr>
              <w:jc w:val="center"/>
              <w:ind w:left="5991"/>
              <w:spacing w:after="0"/>
              <w:rPr>
                <w:sz w:val="20"/>
                <w:szCs w:val="20"/>
                <w:color w:val="auto"/>
              </w:rPr>
            </w:pPr>
            <w:r>
              <w:rPr>
                <w:rFonts w:ascii="Verdana" w:cs="Verdana" w:eastAsia="Verdana" w:hAnsi="Verdana"/>
                <w:sz w:val="14"/>
                <w:szCs w:val="14"/>
                <w:color w:val="auto"/>
              </w:rPr>
              <w:t>2</w:t>
            </w:r>
          </w:p>
        </w:tc>
        <w:tc>
          <w:tcPr>
            <w:tcW w:w="0" w:type="dxa"/>
            <w:vAlign w:val="bottom"/>
          </w:tcPr>
          <w:p>
            <w:pPr>
              <w:spacing w:after="0"/>
              <w:rPr>
                <w:sz w:val="1"/>
                <w:szCs w:val="1"/>
                <w:color w:val="auto"/>
              </w:rPr>
            </w:pPr>
          </w:p>
        </w:tc>
      </w:tr>
      <w:tr>
        <w:trPr>
          <w:trHeight w:val="218"/>
        </w:trPr>
        <w:tc>
          <w:tcPr>
            <w:tcW w:w="2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Madison</w:t>
            </w:r>
          </w:p>
        </w:tc>
        <w:tc>
          <w:tcPr>
            <w:tcW w:w="8320" w:type="dxa"/>
            <w:vAlign w:val="bottom"/>
            <w:gridSpan w:val="3"/>
            <w:shd w:val="clear" w:color="auto" w:fill="E0E7ED"/>
          </w:tcPr>
          <w:p>
            <w:pPr>
              <w:jc w:val="center"/>
              <w:ind w:left="5991"/>
              <w:spacing w:after="0"/>
              <w:rPr>
                <w:sz w:val="20"/>
                <w:szCs w:val="20"/>
                <w:color w:val="auto"/>
              </w:rPr>
            </w:pPr>
            <w:r>
              <w:rPr>
                <w:rFonts w:ascii="Verdana" w:cs="Verdana" w:eastAsia="Verdana" w:hAnsi="Verdana"/>
                <w:sz w:val="14"/>
                <w:szCs w:val="14"/>
                <w:color w:val="auto"/>
              </w:rPr>
              <w:t>2</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Verdana" w:cs="Verdana" w:eastAsia="Verdana" w:hAnsi="Verdana"/>
                <w:sz w:val="14"/>
                <w:szCs w:val="14"/>
                <w:color w:val="auto"/>
              </w:rPr>
              <w:t>Grundy</w:t>
            </w:r>
          </w:p>
        </w:tc>
        <w:tc>
          <w:tcPr>
            <w:tcW w:w="8320" w:type="dxa"/>
            <w:vAlign w:val="bottom"/>
            <w:gridSpan w:val="3"/>
          </w:tcPr>
          <w:p>
            <w:pPr>
              <w:jc w:val="center"/>
              <w:ind w:left="5991"/>
              <w:spacing w:after="0"/>
              <w:rPr>
                <w:sz w:val="20"/>
                <w:szCs w:val="20"/>
                <w:color w:val="auto"/>
              </w:rPr>
            </w:pPr>
            <w:r>
              <w:rPr>
                <w:rFonts w:ascii="Verdana" w:cs="Verdana" w:eastAsia="Verdana" w:hAnsi="Verdana"/>
                <w:sz w:val="14"/>
                <w:szCs w:val="14"/>
                <w:color w:val="auto"/>
              </w:rPr>
              <w:t>3</w:t>
            </w:r>
          </w:p>
        </w:tc>
        <w:tc>
          <w:tcPr>
            <w:tcW w:w="0" w:type="dxa"/>
            <w:vAlign w:val="bottom"/>
          </w:tcPr>
          <w:p>
            <w:pPr>
              <w:spacing w:after="0"/>
              <w:rPr>
                <w:sz w:val="1"/>
                <w:szCs w:val="1"/>
                <w:color w:val="auto"/>
              </w:rPr>
            </w:pPr>
          </w:p>
        </w:tc>
      </w:tr>
      <w:tr>
        <w:trPr>
          <w:trHeight w:val="218"/>
        </w:trPr>
        <w:tc>
          <w:tcPr>
            <w:tcW w:w="2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St. Clair</w:t>
            </w:r>
          </w:p>
        </w:tc>
        <w:tc>
          <w:tcPr>
            <w:tcW w:w="8320" w:type="dxa"/>
            <w:vAlign w:val="bottom"/>
            <w:gridSpan w:val="3"/>
            <w:shd w:val="clear" w:color="auto" w:fill="E0E7ED"/>
          </w:tcPr>
          <w:p>
            <w:pPr>
              <w:jc w:val="center"/>
              <w:ind w:left="5991"/>
              <w:spacing w:after="0"/>
              <w:rPr>
                <w:sz w:val="20"/>
                <w:szCs w:val="20"/>
                <w:color w:val="auto"/>
              </w:rPr>
            </w:pPr>
            <w:r>
              <w:rPr>
                <w:rFonts w:ascii="Verdana" w:cs="Verdana" w:eastAsia="Verdana" w:hAnsi="Verdana"/>
                <w:sz w:val="14"/>
                <w:szCs w:val="14"/>
                <w:color w:val="auto"/>
              </w:rPr>
              <w:t>7</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Verdana" w:cs="Verdana" w:eastAsia="Verdana" w:hAnsi="Verdana"/>
                <w:sz w:val="14"/>
                <w:szCs w:val="14"/>
                <w:color w:val="auto"/>
              </w:rPr>
              <w:t>Tazewell</w:t>
            </w:r>
          </w:p>
        </w:tc>
        <w:tc>
          <w:tcPr>
            <w:tcW w:w="8320" w:type="dxa"/>
            <w:vAlign w:val="bottom"/>
            <w:gridSpan w:val="3"/>
          </w:tcPr>
          <w:p>
            <w:pPr>
              <w:jc w:val="center"/>
              <w:ind w:left="5991"/>
              <w:spacing w:after="0"/>
              <w:rPr>
                <w:sz w:val="20"/>
                <w:szCs w:val="20"/>
                <w:color w:val="auto"/>
              </w:rPr>
            </w:pPr>
            <w:r>
              <w:rPr>
                <w:rFonts w:ascii="Verdana" w:cs="Verdana" w:eastAsia="Verdana" w:hAnsi="Verdana"/>
                <w:sz w:val="14"/>
                <w:szCs w:val="14"/>
                <w:color w:val="auto"/>
              </w:rPr>
              <w:t>3</w:t>
            </w:r>
          </w:p>
        </w:tc>
        <w:tc>
          <w:tcPr>
            <w:tcW w:w="0" w:type="dxa"/>
            <w:vAlign w:val="bottom"/>
          </w:tcPr>
          <w:p>
            <w:pPr>
              <w:spacing w:after="0"/>
              <w:rPr>
                <w:sz w:val="1"/>
                <w:szCs w:val="1"/>
                <w:color w:val="auto"/>
              </w:rPr>
            </w:pPr>
          </w:p>
        </w:tc>
      </w:tr>
      <w:tr>
        <w:trPr>
          <w:trHeight w:val="218"/>
        </w:trPr>
        <w:tc>
          <w:tcPr>
            <w:tcW w:w="2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McLean</w:t>
            </w:r>
          </w:p>
        </w:tc>
        <w:tc>
          <w:tcPr>
            <w:tcW w:w="8320" w:type="dxa"/>
            <w:vAlign w:val="bottom"/>
            <w:gridSpan w:val="3"/>
            <w:shd w:val="clear" w:color="auto" w:fill="E0E7ED"/>
          </w:tcPr>
          <w:p>
            <w:pPr>
              <w:jc w:val="center"/>
              <w:ind w:left="5991"/>
              <w:spacing w:after="0"/>
              <w:rPr>
                <w:sz w:val="20"/>
                <w:szCs w:val="20"/>
                <w:color w:val="auto"/>
              </w:rPr>
            </w:pPr>
            <w:r>
              <w:rPr>
                <w:rFonts w:ascii="Verdana" w:cs="Verdana" w:eastAsia="Verdana" w:hAnsi="Verdana"/>
                <w:sz w:val="14"/>
                <w:szCs w:val="14"/>
                <w:color w:val="auto"/>
              </w:rPr>
              <w:t>3</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Verdana" w:cs="Verdana" w:eastAsia="Verdana" w:hAnsi="Verdana"/>
                <w:sz w:val="14"/>
                <w:szCs w:val="14"/>
                <w:color w:val="auto"/>
              </w:rPr>
              <w:t>Peoria</w:t>
            </w:r>
          </w:p>
        </w:tc>
        <w:tc>
          <w:tcPr>
            <w:tcW w:w="8320" w:type="dxa"/>
            <w:vAlign w:val="bottom"/>
            <w:gridSpan w:val="3"/>
          </w:tcPr>
          <w:p>
            <w:pPr>
              <w:jc w:val="center"/>
              <w:ind w:left="5991"/>
              <w:spacing w:after="0"/>
              <w:rPr>
                <w:sz w:val="20"/>
                <w:szCs w:val="20"/>
                <w:color w:val="auto"/>
              </w:rPr>
            </w:pPr>
            <w:r>
              <w:rPr>
                <w:rFonts w:ascii="Verdana" w:cs="Verdana" w:eastAsia="Verdana" w:hAnsi="Verdana"/>
                <w:sz w:val="14"/>
                <w:szCs w:val="14"/>
                <w:color w:val="auto"/>
              </w:rPr>
              <w:t>3</w:t>
            </w:r>
          </w:p>
        </w:tc>
        <w:tc>
          <w:tcPr>
            <w:tcW w:w="0" w:type="dxa"/>
            <w:vAlign w:val="bottom"/>
          </w:tcPr>
          <w:p>
            <w:pPr>
              <w:spacing w:after="0"/>
              <w:rPr>
                <w:sz w:val="1"/>
                <w:szCs w:val="1"/>
                <w:color w:val="auto"/>
              </w:rPr>
            </w:pPr>
          </w:p>
        </w:tc>
      </w:tr>
      <w:tr>
        <w:trPr>
          <w:trHeight w:val="218"/>
        </w:trPr>
        <w:tc>
          <w:tcPr>
            <w:tcW w:w="2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Will</w:t>
            </w:r>
          </w:p>
        </w:tc>
        <w:tc>
          <w:tcPr>
            <w:tcW w:w="8320" w:type="dxa"/>
            <w:vAlign w:val="bottom"/>
            <w:gridSpan w:val="3"/>
            <w:shd w:val="clear" w:color="auto" w:fill="E0E7ED"/>
          </w:tcPr>
          <w:p>
            <w:pPr>
              <w:jc w:val="center"/>
              <w:ind w:left="5991"/>
              <w:spacing w:after="0"/>
              <w:rPr>
                <w:sz w:val="20"/>
                <w:szCs w:val="20"/>
                <w:color w:val="auto"/>
              </w:rPr>
            </w:pPr>
            <w:r>
              <w:rPr>
                <w:rFonts w:ascii="Verdana" w:cs="Verdana" w:eastAsia="Verdana" w:hAnsi="Verdana"/>
                <w:sz w:val="14"/>
                <w:szCs w:val="14"/>
                <w:color w:val="auto"/>
              </w:rPr>
              <w:t>7</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HUMAN CAPITAL</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 is built upon a strong commitment to associate, customer, stockholder, and community, with its associates as the cornerstone of this unwavering commitment. Busey’s vision, Service Excellence in Everything We Do, starts with Busey’s dedication to its associates. Busey is deeply humbled to be consistently recognized nationally and locally throughout the Company’s footprint, including being named nationally among the World’s Best Banks and America’s Best Banks by </w:t>
      </w:r>
      <w:r>
        <w:rPr>
          <w:rFonts w:ascii="Verdana" w:cs="Verdana" w:eastAsia="Verdana" w:hAnsi="Verdana"/>
          <w:sz w:val="14"/>
          <w:szCs w:val="14"/>
          <w:i w:val="1"/>
          <w:iCs w:val="1"/>
          <w:color w:val="auto"/>
        </w:rPr>
        <w:t>Forbes;</w:t>
      </w:r>
      <w:r>
        <w:rPr>
          <w:rFonts w:ascii="Verdana" w:cs="Verdana" w:eastAsia="Verdana" w:hAnsi="Verdana"/>
          <w:sz w:val="14"/>
          <w:szCs w:val="14"/>
          <w:color w:val="auto"/>
        </w:rPr>
        <w:t xml:space="preserve"> the Best Banks to Work For by </w:t>
      </w:r>
      <w:r>
        <w:rPr>
          <w:rFonts w:ascii="Verdana" w:cs="Verdana" w:eastAsia="Verdana" w:hAnsi="Verdana"/>
          <w:sz w:val="14"/>
          <w:szCs w:val="14"/>
          <w:i w:val="1"/>
          <w:iCs w:val="1"/>
          <w:color w:val="auto"/>
        </w:rPr>
        <w:t>American Banker</w:t>
      </w:r>
      <w:r>
        <w:rPr>
          <w:rFonts w:ascii="Verdana" w:cs="Verdana" w:eastAsia="Verdana" w:hAnsi="Verdana"/>
          <w:sz w:val="14"/>
          <w:szCs w:val="14"/>
          <w:color w:val="auto"/>
        </w:rPr>
        <w:t xml:space="preserve">; and the Best Places to Work in </w:t>
      </w:r>
      <w:r>
        <w:rPr>
          <w:rFonts w:ascii="Verdana" w:cs="Verdana" w:eastAsia="Verdana" w:hAnsi="Verdana"/>
          <w:sz w:val="14"/>
          <w:szCs w:val="14"/>
          <w:i w:val="1"/>
          <w:iCs w:val="1"/>
          <w:color w:val="auto"/>
        </w:rPr>
        <w:t>Money Management</w:t>
      </w:r>
      <w:r>
        <w:rPr>
          <w:rFonts w:ascii="Verdana" w:cs="Verdana" w:eastAsia="Verdana" w:hAnsi="Verdana"/>
          <w:sz w:val="14"/>
          <w:szCs w:val="14"/>
          <w:color w:val="auto"/>
        </w:rPr>
        <w:t xml:space="preserve"> by Pension and Investments. Locally, Busey was once again voted among the Best Places to Work in Illinois and a Best Company to Work For in Florida. From exceeding the needs of customers and colleagues to serving their communities selflessly, Busey associates show unmatched dedication to the Company. Their shared experiences are what make these and other awards possible. Since Busey opened its doors 157 years ago, Busey has maintained its core values, creating a strong foundation and shaping its inclusive culture.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 w:name="page10"/>
    <w:bookmarkEnd w:id="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remains committed to fostering a welcoming and supportive environment within its organization, the banking profession, and the communities in which it operates. Busey is dedicated to attracting and retaining talent across a variety of backgrounds and experiences. Teams with varying beliefs and opinions promote productivity, creativity, and innovation, while better meeting and exceeding the needs of Busey’s customer base. Recruiting, supporting, and retaining a workforce with varying perspectives and ideas, while maintaining a welcoming culture, is the foundation of Busey’s core values—One Busey. Busey’s endeavors in this regard are reported to the Employee Benefit and Compensation Committee and to the Board's Enterprise Risk Committee, which hold the organization accountable to this core value at the highest levels of management.</w:t>
      </w:r>
    </w:p>
    <w:p>
      <w:pPr>
        <w:spacing w:after="0" w:line="123"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Associate engagement is an important barometer of Busey’s cultural health. Busey regularly solicits feedback to understand the views of its associates about their work environment and Busey’s culture. The results from engagement surveys are used to implement programs and processes designed to enhance engagement and improve the associate experience. With a strong 91% participation rate and an approach focused on continuous improvement, 2024 results increased to the highest scores in Busey’s history. One such way to keep associates informed and engaged is through quarterly update calls, which are conducted by Busey leadership. These calls provide important information about the financial health of the Company, but more importantly they provide a cultural touchpoint to solidify Busey’s commitment to its number one asset – its associates. A tenet of Busey’s engaged culture is a commitment to investing in associates through unique, award-winning training and development programs. In 2024, 59% of Busey’s associate base engaged in talent and leadership development programs. Since 2017, Busey has been a proud recipient of the Association for Talent Development’s BEST Award, which is presented to organizations that demonstrate enterprise-wide success as a result of employee talent development.</w:t>
      </w:r>
    </w:p>
    <w:p>
      <w:pPr>
        <w:spacing w:after="0" w:line="12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Additionally, Busey cares about the health and well-being of its associates and their families, as evidenced by a strong investment and an 85% participation rate in Busey’s innovative, holistic health and wellness program, B Well. Investments in B Well include a stress management and mental wellness component, lifesaving biometric screenings, a corporate health and wellness coach, onsite wellness center, health club reimbursements, on-demand wellness streaming service and Health Savings Account investments funded by the Company. In 2024, Busey was honored to be recognized among the Illinois' Healthiest Employers by global health insurer Cigna and Crain’s Content Studio, marking the seventh year the Company was named among this elite group.</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color w:val="auto"/>
        </w:rPr>
        <w:t>As of December 31, 2024, Busey and its subsidiaries had a total of 1,509 full-time equivalents. Geographic distribution of Busey associates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ind w:left="60"/>
              <w:spacing w:after="0"/>
              <w:rPr>
                <w:sz w:val="20"/>
                <w:szCs w:val="20"/>
                <w:color w:val="auto"/>
              </w:rPr>
            </w:pPr>
            <w:r>
              <w:rPr>
                <w:rFonts w:ascii="Verdana" w:cs="Verdana" w:eastAsia="Verdana" w:hAnsi="Verdana"/>
                <w:sz w:val="10"/>
                <w:szCs w:val="10"/>
                <w:b w:val="1"/>
                <w:bCs w:val="1"/>
                <w:color w:val="auto"/>
              </w:rPr>
              <w:t>As of December 31, 2024</w:t>
            </w:r>
          </w:p>
        </w:tc>
        <w:tc>
          <w:tcPr>
            <w:tcW w:w="1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660" w:type="dxa"/>
            <w:vAlign w:val="bottom"/>
            <w:tcBorders>
              <w:bottom w:val="single" w:sz="8" w:color="E0E7ED"/>
            </w:tcBorders>
          </w:tcPr>
          <w:p>
            <w:pPr>
              <w:spacing w:after="0"/>
              <w:rPr>
                <w:sz w:val="11"/>
                <w:szCs w:val="11"/>
                <w:color w:val="auto"/>
              </w:rPr>
            </w:pPr>
          </w:p>
        </w:tc>
        <w:tc>
          <w:tcPr>
            <w:tcW w:w="1000" w:type="dxa"/>
            <w:vAlign w:val="bottom"/>
            <w:tcBorders>
              <w:bottom w:val="single" w:sz="8" w:color="auto"/>
            </w:tcBorders>
          </w:tcPr>
          <w:p>
            <w:pPr>
              <w:ind w:left="500"/>
              <w:spacing w:after="0"/>
              <w:rPr>
                <w:sz w:val="20"/>
                <w:szCs w:val="20"/>
                <w:color w:val="auto"/>
              </w:rPr>
            </w:pPr>
            <w:r>
              <w:rPr>
                <w:rFonts w:ascii="Verdana" w:cs="Verdana" w:eastAsia="Verdana" w:hAnsi="Verdana"/>
                <w:sz w:val="10"/>
                <w:szCs w:val="10"/>
                <w:b w:val="1"/>
                <w:bCs w:val="1"/>
                <w:color w:val="auto"/>
                <w:w w:val="94"/>
              </w:rPr>
              <w:t>Full-time</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500" w:type="dxa"/>
            <w:vAlign w:val="bottom"/>
            <w:tcBorders>
              <w:bottom w:val="single" w:sz="8" w:color="auto"/>
            </w:tcBorders>
          </w:tcPr>
          <w:p>
            <w:pPr>
              <w:jc w:val="right"/>
              <w:ind w:right="415"/>
              <w:spacing w:after="0"/>
              <w:rPr>
                <w:sz w:val="20"/>
                <w:szCs w:val="20"/>
                <w:color w:val="auto"/>
              </w:rPr>
            </w:pPr>
            <w:r>
              <w:rPr>
                <w:rFonts w:ascii="Verdana" w:cs="Verdana" w:eastAsia="Verdana" w:hAnsi="Verdana"/>
                <w:sz w:val="10"/>
                <w:szCs w:val="10"/>
                <w:b w:val="1"/>
                <w:bCs w:val="1"/>
                <w:color w:val="auto"/>
              </w:rPr>
              <w:t>Part-time</w:t>
            </w:r>
          </w:p>
        </w:tc>
        <w:tc>
          <w:tcPr>
            <w:tcW w:w="80" w:type="dxa"/>
            <w:vAlign w:val="bottom"/>
            <w:tcBorders>
              <w:bottom w:val="single" w:sz="8" w:color="E0E7ED"/>
            </w:tcBorders>
          </w:tcPr>
          <w:p>
            <w:pPr>
              <w:spacing w:after="0"/>
              <w:rPr>
                <w:sz w:val="11"/>
                <w:szCs w:val="11"/>
                <w:color w:val="auto"/>
              </w:rPr>
            </w:pPr>
          </w:p>
        </w:tc>
        <w:tc>
          <w:tcPr>
            <w:tcW w:w="148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0"/>
                <w:szCs w:val="10"/>
                <w:b w:val="1"/>
                <w:bCs w:val="1"/>
                <w:color w:val="auto"/>
              </w:rPr>
              <w:t>Total</w:t>
            </w:r>
          </w:p>
        </w:tc>
        <w:tc>
          <w:tcPr>
            <w:tcW w:w="20" w:type="dxa"/>
            <w:vAlign w:val="bottom"/>
          </w:tcPr>
          <w:p>
            <w:pPr>
              <w:spacing w:after="0"/>
              <w:rPr>
                <w:sz w:val="11"/>
                <w:szCs w:val="11"/>
                <w:color w:val="auto"/>
              </w:rPr>
            </w:pPr>
          </w:p>
        </w:tc>
      </w:tr>
      <w:tr>
        <w:trPr>
          <w:trHeight w:val="197"/>
        </w:trPr>
        <w:tc>
          <w:tcPr>
            <w:tcW w:w="76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Busey associates by state</w:t>
            </w:r>
          </w:p>
        </w:tc>
        <w:tc>
          <w:tcPr>
            <w:tcW w:w="4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5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7660" w:type="dxa"/>
            <w:vAlign w:val="bottom"/>
            <w:gridSpan w:val="2"/>
          </w:tcPr>
          <w:p>
            <w:pPr>
              <w:ind w:left="140"/>
              <w:spacing w:after="0"/>
              <w:rPr>
                <w:sz w:val="20"/>
                <w:szCs w:val="20"/>
                <w:color w:val="auto"/>
              </w:rPr>
            </w:pPr>
            <w:r>
              <w:rPr>
                <w:rFonts w:ascii="Verdana" w:cs="Verdana" w:eastAsia="Verdana" w:hAnsi="Verdana"/>
                <w:sz w:val="14"/>
                <w:szCs w:val="14"/>
                <w:color w:val="auto"/>
              </w:rPr>
              <w:t>Illinois</w:t>
            </w:r>
          </w:p>
        </w:tc>
        <w:tc>
          <w:tcPr>
            <w:tcW w:w="480" w:type="dxa"/>
            <w:vAlign w:val="bottom"/>
          </w:tcPr>
          <w:p>
            <w:pPr>
              <w:jc w:val="right"/>
              <w:spacing w:after="0"/>
              <w:rPr>
                <w:sz w:val="20"/>
                <w:szCs w:val="20"/>
                <w:color w:val="auto"/>
              </w:rPr>
            </w:pPr>
            <w:r>
              <w:rPr>
                <w:rFonts w:ascii="Verdana" w:cs="Verdana" w:eastAsia="Verdana" w:hAnsi="Verdana"/>
                <w:sz w:val="14"/>
                <w:szCs w:val="14"/>
                <w:color w:val="auto"/>
                <w:w w:val="97"/>
              </w:rPr>
              <w:t>1,128</w:t>
            </w:r>
          </w:p>
        </w:tc>
        <w:tc>
          <w:tcPr>
            <w:tcW w:w="80" w:type="dxa"/>
            <w:vAlign w:val="bottom"/>
          </w:tcPr>
          <w:p>
            <w:pPr>
              <w:spacing w:after="0"/>
              <w:rPr>
                <w:sz w:val="17"/>
                <w:szCs w:val="17"/>
                <w:color w:val="auto"/>
              </w:rPr>
            </w:pPr>
          </w:p>
        </w:tc>
        <w:tc>
          <w:tcPr>
            <w:tcW w:w="1500" w:type="dxa"/>
            <w:vAlign w:val="bottom"/>
          </w:tcPr>
          <w:p>
            <w:pPr>
              <w:jc w:val="right"/>
              <w:ind w:right="15"/>
              <w:spacing w:after="0"/>
              <w:rPr>
                <w:sz w:val="20"/>
                <w:szCs w:val="20"/>
                <w:color w:val="auto"/>
              </w:rPr>
            </w:pPr>
            <w:r>
              <w:rPr>
                <w:rFonts w:ascii="Verdana" w:cs="Verdana" w:eastAsia="Verdana" w:hAnsi="Verdana"/>
                <w:sz w:val="14"/>
                <w:szCs w:val="14"/>
                <w:color w:val="auto"/>
              </w:rPr>
              <w:t>74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Verdana" w:cs="Verdana" w:eastAsia="Verdana" w:hAnsi="Verdana"/>
                <w:sz w:val="14"/>
                <w:szCs w:val="14"/>
                <w:color w:val="auto"/>
              </w:rPr>
              <w:t>1,202</w:t>
            </w:r>
          </w:p>
        </w:tc>
        <w:tc>
          <w:tcPr>
            <w:tcW w:w="20" w:type="dxa"/>
            <w:vAlign w:val="bottom"/>
          </w:tcPr>
          <w:p>
            <w:pPr>
              <w:spacing w:after="0"/>
              <w:rPr>
                <w:sz w:val="17"/>
                <w:szCs w:val="17"/>
                <w:color w:val="auto"/>
              </w:rPr>
            </w:pPr>
          </w:p>
        </w:tc>
      </w:tr>
      <w:tr>
        <w:trPr>
          <w:trHeight w:val="218"/>
        </w:trPr>
        <w:tc>
          <w:tcPr>
            <w:tcW w:w="766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Missouri</w:t>
            </w:r>
          </w:p>
        </w:tc>
        <w:tc>
          <w:tcPr>
            <w:tcW w:w="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174</w:t>
            </w:r>
          </w:p>
        </w:tc>
        <w:tc>
          <w:tcPr>
            <w:tcW w:w="80" w:type="dxa"/>
            <w:vAlign w:val="bottom"/>
            <w:shd w:val="clear" w:color="auto" w:fill="E0E7ED"/>
          </w:tcPr>
          <w:p>
            <w:pPr>
              <w:spacing w:after="0"/>
              <w:rPr>
                <w:sz w:val="18"/>
                <w:szCs w:val="18"/>
                <w:color w:val="auto"/>
              </w:rPr>
            </w:pPr>
          </w:p>
        </w:tc>
        <w:tc>
          <w:tcPr>
            <w:tcW w:w="150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5</w:t>
            </w:r>
          </w:p>
        </w:tc>
        <w:tc>
          <w:tcPr>
            <w:tcW w:w="80" w:type="dxa"/>
            <w:vAlign w:val="bottom"/>
            <w:shd w:val="clear" w:color="auto" w:fill="E0E7ED"/>
          </w:tcPr>
          <w:p>
            <w:pPr>
              <w:spacing w:after="0"/>
              <w:rPr>
                <w:sz w:val="18"/>
                <w:szCs w:val="18"/>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179</w:t>
            </w:r>
          </w:p>
        </w:tc>
        <w:tc>
          <w:tcPr>
            <w:tcW w:w="20" w:type="dxa"/>
            <w:vAlign w:val="bottom"/>
          </w:tcPr>
          <w:p>
            <w:pPr>
              <w:spacing w:after="0"/>
              <w:rPr>
                <w:sz w:val="18"/>
                <w:szCs w:val="18"/>
                <w:color w:val="auto"/>
              </w:rPr>
            </w:pPr>
          </w:p>
        </w:tc>
      </w:tr>
      <w:tr>
        <w:trPr>
          <w:trHeight w:val="207"/>
        </w:trPr>
        <w:tc>
          <w:tcPr>
            <w:tcW w:w="7660" w:type="dxa"/>
            <w:vAlign w:val="bottom"/>
            <w:gridSpan w:val="2"/>
          </w:tcPr>
          <w:p>
            <w:pPr>
              <w:ind w:left="140"/>
              <w:spacing w:after="0"/>
              <w:rPr>
                <w:sz w:val="20"/>
                <w:szCs w:val="20"/>
                <w:color w:val="auto"/>
              </w:rPr>
            </w:pPr>
            <w:r>
              <w:rPr>
                <w:rFonts w:ascii="Verdana" w:cs="Verdana" w:eastAsia="Verdana" w:hAnsi="Verdana"/>
                <w:sz w:val="14"/>
                <w:szCs w:val="14"/>
                <w:color w:val="auto"/>
              </w:rPr>
              <w:t>Florida</w:t>
            </w:r>
          </w:p>
        </w:tc>
        <w:tc>
          <w:tcPr>
            <w:tcW w:w="480" w:type="dxa"/>
            <w:vAlign w:val="bottom"/>
          </w:tcPr>
          <w:p>
            <w:pPr>
              <w:jc w:val="right"/>
              <w:spacing w:after="0"/>
              <w:rPr>
                <w:sz w:val="20"/>
                <w:szCs w:val="20"/>
                <w:color w:val="auto"/>
              </w:rPr>
            </w:pPr>
            <w:r>
              <w:rPr>
                <w:rFonts w:ascii="Verdana" w:cs="Verdana" w:eastAsia="Verdana" w:hAnsi="Verdana"/>
                <w:sz w:val="14"/>
                <w:szCs w:val="14"/>
                <w:color w:val="auto"/>
              </w:rPr>
              <w:t>89</w:t>
            </w: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Verdana" w:cs="Verdana" w:eastAsia="Verdana" w:hAnsi="Verdana"/>
                <w:sz w:val="14"/>
                <w:szCs w:val="14"/>
                <w:color w:val="auto"/>
              </w:rPr>
              <w:t>89</w:t>
            </w:r>
          </w:p>
        </w:tc>
        <w:tc>
          <w:tcPr>
            <w:tcW w:w="20" w:type="dxa"/>
            <w:vAlign w:val="bottom"/>
          </w:tcPr>
          <w:p>
            <w:pPr>
              <w:spacing w:after="0"/>
              <w:rPr>
                <w:sz w:val="17"/>
                <w:szCs w:val="17"/>
                <w:color w:val="auto"/>
              </w:rPr>
            </w:pPr>
          </w:p>
        </w:tc>
      </w:tr>
      <w:tr>
        <w:trPr>
          <w:trHeight w:val="218"/>
        </w:trPr>
        <w:tc>
          <w:tcPr>
            <w:tcW w:w="766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Indiana</w:t>
            </w:r>
          </w:p>
        </w:tc>
        <w:tc>
          <w:tcPr>
            <w:tcW w:w="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w:t>
            </w:r>
          </w:p>
        </w:tc>
        <w:tc>
          <w:tcPr>
            <w:tcW w:w="80" w:type="dxa"/>
            <w:vAlign w:val="bottom"/>
            <w:shd w:val="clear" w:color="auto" w:fill="E0E7ED"/>
          </w:tcPr>
          <w:p>
            <w:pPr>
              <w:spacing w:after="0"/>
              <w:rPr>
                <w:sz w:val="18"/>
                <w:szCs w:val="18"/>
                <w:color w:val="auto"/>
              </w:rPr>
            </w:pPr>
          </w:p>
        </w:tc>
        <w:tc>
          <w:tcPr>
            <w:tcW w:w="150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w:t>
            </w:r>
          </w:p>
        </w:tc>
        <w:tc>
          <w:tcPr>
            <w:tcW w:w="80" w:type="dxa"/>
            <w:vAlign w:val="bottom"/>
            <w:shd w:val="clear" w:color="auto" w:fill="E0E7ED"/>
          </w:tcPr>
          <w:p>
            <w:pPr>
              <w:spacing w:after="0"/>
              <w:rPr>
                <w:sz w:val="18"/>
                <w:szCs w:val="18"/>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w:t>
            </w:r>
          </w:p>
        </w:tc>
        <w:tc>
          <w:tcPr>
            <w:tcW w:w="20" w:type="dxa"/>
            <w:vAlign w:val="bottom"/>
          </w:tcPr>
          <w:p>
            <w:pPr>
              <w:spacing w:after="0"/>
              <w:rPr>
                <w:sz w:val="18"/>
                <w:szCs w:val="18"/>
                <w:color w:val="auto"/>
              </w:rPr>
            </w:pPr>
          </w:p>
        </w:tc>
      </w:tr>
      <w:tr>
        <w:trPr>
          <w:trHeight w:val="207"/>
        </w:trPr>
        <w:tc>
          <w:tcPr>
            <w:tcW w:w="66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Remote</w:t>
            </w: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49</w:t>
            </w:r>
          </w:p>
        </w:tc>
        <w:tc>
          <w:tcPr>
            <w:tcW w:w="80" w:type="dxa"/>
            <w:vAlign w:val="bottom"/>
            <w:tcBorders>
              <w:bottom w:val="single" w:sz="8" w:color="E0E7ED"/>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49</w:t>
            </w:r>
          </w:p>
        </w:tc>
        <w:tc>
          <w:tcPr>
            <w:tcW w:w="20" w:type="dxa"/>
            <w:vAlign w:val="bottom"/>
          </w:tcPr>
          <w:p>
            <w:pPr>
              <w:spacing w:after="0"/>
              <w:rPr>
                <w:sz w:val="17"/>
                <w:szCs w:val="17"/>
                <w:color w:val="auto"/>
              </w:rPr>
            </w:pPr>
          </w:p>
        </w:tc>
      </w:tr>
      <w:tr>
        <w:trPr>
          <w:trHeight w:val="228"/>
        </w:trPr>
        <w:tc>
          <w:tcPr>
            <w:tcW w:w="76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Total number of associates</w:t>
            </w:r>
          </w:p>
        </w:tc>
        <w:tc>
          <w:tcPr>
            <w:tcW w:w="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97"/>
              </w:rPr>
              <w:t>1,468</w:t>
            </w:r>
          </w:p>
        </w:tc>
        <w:tc>
          <w:tcPr>
            <w:tcW w:w="80" w:type="dxa"/>
            <w:vAlign w:val="bottom"/>
            <w:shd w:val="clear" w:color="auto" w:fill="E0E7ED"/>
          </w:tcPr>
          <w:p>
            <w:pPr>
              <w:spacing w:after="0"/>
              <w:rPr>
                <w:sz w:val="19"/>
                <w:szCs w:val="19"/>
                <w:color w:val="auto"/>
              </w:rPr>
            </w:pPr>
          </w:p>
        </w:tc>
        <w:tc>
          <w:tcPr>
            <w:tcW w:w="150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80</w:t>
            </w:r>
          </w:p>
        </w:tc>
        <w:tc>
          <w:tcPr>
            <w:tcW w:w="80" w:type="dxa"/>
            <w:vAlign w:val="bottom"/>
            <w:shd w:val="clear" w:color="auto" w:fill="E0E7ED"/>
          </w:tcPr>
          <w:p>
            <w:pPr>
              <w:spacing w:after="0"/>
              <w:rPr>
                <w:sz w:val="19"/>
                <w:szCs w:val="19"/>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1,548</w:t>
            </w:r>
          </w:p>
        </w:tc>
        <w:tc>
          <w:tcPr>
            <w:tcW w:w="20" w:type="dxa"/>
            <w:vAlign w:val="bottom"/>
          </w:tcPr>
          <w:p>
            <w:pPr>
              <w:spacing w:after="0"/>
              <w:rPr>
                <w:sz w:val="19"/>
                <w:szCs w:val="19"/>
                <w:color w:val="auto"/>
              </w:rPr>
            </w:pPr>
          </w:p>
        </w:tc>
      </w:tr>
      <w:tr>
        <w:trPr>
          <w:trHeight w:val="20"/>
        </w:trPr>
        <w:tc>
          <w:tcPr>
            <w:tcW w:w="666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3"/>
        </w:trPr>
        <w:tc>
          <w:tcPr>
            <w:tcW w:w="6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2"/>
        </w:trPr>
        <w:tc>
          <w:tcPr>
            <w:tcW w:w="6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Full-time equivalents</w:t>
            </w:r>
          </w:p>
        </w:tc>
        <w:tc>
          <w:tcPr>
            <w:tcW w:w="1000" w:type="dxa"/>
            <w:vAlign w:val="bottom"/>
            <w:tcBorders>
              <w:bottom w:val="single" w:sz="8" w:color="auto"/>
            </w:tcBorders>
            <w:shd w:val="clear" w:color="auto" w:fill="E0E7ED"/>
          </w:tcPr>
          <w:p>
            <w:pPr>
              <w:spacing w:after="0"/>
              <w:rPr>
                <w:sz w:val="20"/>
                <w:szCs w:val="20"/>
                <w:color w:val="auto"/>
              </w:rPr>
            </w:pPr>
          </w:p>
        </w:tc>
        <w:tc>
          <w:tcPr>
            <w:tcW w:w="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97"/>
              </w:rPr>
              <w:t>1,468</w:t>
            </w:r>
          </w:p>
        </w:tc>
        <w:tc>
          <w:tcPr>
            <w:tcW w:w="80" w:type="dxa"/>
            <w:vAlign w:val="bottom"/>
            <w:tcBorders>
              <w:bottom w:val="single" w:sz="8" w:color="E0E7ED"/>
            </w:tcBorders>
            <w:shd w:val="clear" w:color="auto" w:fill="E0E7ED"/>
          </w:tcPr>
          <w:p>
            <w:pPr>
              <w:spacing w:after="0"/>
              <w:rPr>
                <w:sz w:val="20"/>
                <w:szCs w:val="20"/>
                <w:color w:val="auto"/>
              </w:rPr>
            </w:pPr>
          </w:p>
        </w:tc>
        <w:tc>
          <w:tcPr>
            <w:tcW w:w="15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41</w:t>
            </w:r>
          </w:p>
        </w:tc>
        <w:tc>
          <w:tcPr>
            <w:tcW w:w="80" w:type="dxa"/>
            <w:vAlign w:val="bottom"/>
            <w:tcBorders>
              <w:bottom w:val="single" w:sz="8" w:color="E0E7ED"/>
            </w:tcBorders>
            <w:shd w:val="clear" w:color="auto" w:fill="E0E7ED"/>
          </w:tcPr>
          <w:p>
            <w:pPr>
              <w:spacing w:after="0"/>
              <w:rPr>
                <w:sz w:val="20"/>
                <w:szCs w:val="20"/>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1,509</w:t>
            </w:r>
          </w:p>
        </w:tc>
        <w:tc>
          <w:tcPr>
            <w:tcW w:w="2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5"/>
        </w:trPr>
        <w:tc>
          <w:tcPr>
            <w:tcW w:w="6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40" w:type="dxa"/>
            <w:vAlign w:val="bottom"/>
            <w:gridSpan w:val="6"/>
          </w:tcPr>
          <w:p>
            <w:pPr>
              <w:ind w:left="36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w:t>
            </w:r>
          </w:p>
        </w:tc>
      </w:tr>
      <w:tr>
        <w:trPr>
          <w:trHeight w:val="224"/>
        </w:trPr>
        <w:tc>
          <w:tcPr>
            <w:tcW w:w="666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 w:name="page11"/>
    <w:bookmarkEnd w:id="1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CORPORATE GOVERNANCE</w:t>
      </w:r>
    </w:p>
    <w:p>
      <w:pPr>
        <w:spacing w:after="0" w:line="138" w:lineRule="exact"/>
        <w:rPr>
          <w:sz w:val="20"/>
          <w:szCs w:val="20"/>
          <w:color w:val="auto"/>
        </w:rPr>
      </w:pPr>
    </w:p>
    <w:p>
      <w:pPr>
        <w:jc w:val="both"/>
        <w:spacing w:after="0" w:line="188" w:lineRule="exact"/>
        <w:rPr>
          <w:sz w:val="20"/>
          <w:szCs w:val="20"/>
          <w:color w:val="auto"/>
        </w:rPr>
      </w:pPr>
      <w:r>
        <w:rPr>
          <w:rFonts w:ascii="Verdana" w:cs="Verdana" w:eastAsia="Verdana" w:hAnsi="Verdana"/>
          <w:sz w:val="14"/>
          <w:szCs w:val="14"/>
          <w:color w:val="auto"/>
        </w:rPr>
        <w:t xml:space="preserve">Information about Busey’s Board of Directors and Executive Officers is presented under “Officers &amp; Directors” on Busey’s Investor Relations website at </w:t>
      </w:r>
      <w:r>
        <w:rPr>
          <w:rFonts w:ascii="Verdana" w:cs="Verdana" w:eastAsia="Verdana" w:hAnsi="Verdana"/>
          <w:sz w:val="14"/>
          <w:szCs w:val="14"/>
          <w:i w:val="1"/>
          <w:iCs w:val="1"/>
          <w:color w:val="auto"/>
        </w:rPr>
        <w:t>ir.busey.com</w:t>
      </w:r>
      <w:r>
        <w:rPr>
          <w:rFonts w:ascii="Verdana" w:cs="Verdana" w:eastAsia="Verdana" w:hAnsi="Verdana"/>
          <w:sz w:val="14"/>
          <w:szCs w:val="14"/>
          <w:color w:val="auto"/>
        </w:rPr>
        <w:t>. Additionally, a listing of Busey’s executive officers is presented in Part III, Item 10 of this Form 10</w:t>
      </w:r>
      <w:r>
        <w:rPr>
          <w:rFonts w:ascii="MS PGothic" w:cs="MS PGothic" w:eastAsia="MS PGothic" w:hAnsi="MS PGothic"/>
          <w:sz w:val="14"/>
          <w:szCs w:val="14"/>
          <w:color w:val="auto"/>
        </w:rPr>
        <w:t>‑</w:t>
      </w:r>
      <w:r>
        <w:rPr>
          <w:rFonts w:ascii="Verdana" w:cs="Verdana" w:eastAsia="Verdana" w:hAnsi="Verdana"/>
          <w:sz w:val="14"/>
          <w:szCs w:val="14"/>
          <w:color w:val="auto"/>
        </w:rPr>
        <w:t>K under the caption</w:t>
      </w:r>
      <w:r>
        <w:rPr>
          <w:rFonts w:ascii="Verdana" w:cs="Verdana" w:eastAsia="Verdana" w:hAnsi="Verdana"/>
          <w:sz w:val="14"/>
          <w:szCs w:val="14"/>
          <w:i w:val="1"/>
          <w:iCs w:val="1"/>
          <w:color w:val="auto"/>
        </w:rPr>
        <w:t xml:space="preserve"> “</w:t>
      </w:r>
      <w:r>
        <w:rPr>
          <w:rFonts w:ascii="Verdana" w:cs="Verdana" w:eastAsia="Verdana" w:hAnsi="Verdana"/>
          <w:sz w:val="14"/>
          <w:szCs w:val="14"/>
          <w:i w:val="1"/>
          <w:iCs w:val="1"/>
          <w:u w:val="single" w:color="auto"/>
          <w:color w:val="0000FF"/>
        </w:rPr>
        <w:t>Executive Officers</w:t>
      </w:r>
      <w:r>
        <w:rPr>
          <w:rFonts w:ascii="Verdana" w:cs="Verdana" w:eastAsia="Verdana" w:hAnsi="Verdana"/>
          <w:sz w:val="14"/>
          <w:szCs w:val="14"/>
          <w:i w:val="1"/>
          <w:iCs w:val="1"/>
          <w:color w:val="auto"/>
        </w:rPr>
        <w:t>.”</w:t>
      </w:r>
    </w:p>
    <w:p>
      <w:pPr>
        <w:spacing w:after="0" w:line="102"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has adopted a code of ethics applicable to all Busey associates, officers, and directors. The text of this code of ethics is presented under “Governance Documents” on Busey’s Investor Relations website at </w:t>
      </w:r>
      <w:r>
        <w:rPr>
          <w:rFonts w:ascii="Verdana" w:cs="Verdana" w:eastAsia="Verdana" w:hAnsi="Verdana"/>
          <w:sz w:val="14"/>
          <w:szCs w:val="14"/>
          <w:i w:val="1"/>
          <w:iCs w:val="1"/>
          <w:color w:val="auto"/>
        </w:rPr>
        <w:t>ir.busey.com</w:t>
      </w:r>
      <w:r>
        <w:rPr>
          <w:rFonts w:ascii="Verdana" w:cs="Verdana" w:eastAsia="Verdana" w:hAnsi="Verdana"/>
          <w:sz w:val="14"/>
          <w:szCs w:val="14"/>
          <w:color w:val="auto"/>
        </w:rPr>
        <w:t>.</w:t>
      </w:r>
    </w:p>
    <w:p>
      <w:pPr>
        <w:spacing w:after="0" w:line="12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Reference to Busey’s Investor Relations website does not constitute incorporation by reference of the information contained on the website and it should not be considered part of this document.</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SUPERVISION, REGULATION, AND OTHER FACTORS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General</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FDIC-insured institutions, like Busey Bank, as well as their holding companies and affiliates, are extensively regulated under federal and state law. As a result, Busey’s growth and earnings performance may be affected not only by management decisions, competitive dynamics, and general economic conditions, but also by the requirements of federal and state statutes and by the regulations and policies of various banking agencies, including the DFPR, the Federal Reserve, the FDIC and the CFPB. Furthermore, taxation laws administered by the Internal Revenue Service and state taxing authorities, accounting rules developed by the FASB, securities laws administered by the SEC and state securities authorities, and anti-money laundering laws and sanctions enforced by the U.S. Treasury have an impact on Busey’s business. The effect of these statutes, regulations, regulatory policies, and accounting rules are significant to Busey’s operations and results.</w:t>
      </w:r>
    </w:p>
    <w:p>
      <w:pPr>
        <w:spacing w:after="0" w:line="125"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banking agencies issued under them, affect, among other things, the scope of Busey’s business; the kinds and amounts of investments that Busey and Busey Bank may make; required capital levels relative to assets; the nature and amount of collateral for loans; the establishment of branches; the ability of Busey and Busey Bank to merge, consolidate and acquire; dealings with Busey’s and Busey Bank’s insiders and affiliates; and Busey’s payment of dividends.</w:t>
      </w:r>
    </w:p>
    <w:p>
      <w:pPr>
        <w:spacing w:after="0" w:line="123"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In reaction to the global financial crisis and particularly following the passage of the Dodd-Frank Act in 2010, Busey experienced heightened regulatory requirements and scrutiny. Although the reforms primarily targeted large banking organizations and systemically important financial institutions (at the time, those with assets of $50 billion and greater), certain provisions of the law triggered at $10 billion in assets and the influence of other provisions filtered down in varying degrees to community banks over time, causing Busey’s compliance and risk management processes, and the costs thereof, to increase. The Regulatory Relief Act provided meaningful relief for banks and their holding companies that were not considered systemically important (amended to be those with assets under $250 billion). However, the $10 billion threshold remained in place for certain Dodd-Frank Act reforms that are applicable to Busey, as discussed below. It is anticipated that the current presidential administration and the current U.S. Congress likely will not increase the regulatory burden on banking organizations. At this time, however, it is not possible to predict with any certainty the actual impact that the current political climate may have on the banking industry or the operations of Busey or Busey Bank.</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 w:name="page12"/>
    <w:bookmarkEnd w:id="1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supervisory framework for U.S. banking organizations subjects banks and bank holding companies to regular examination by their respective banking agencies, which results in examination reports and ratings that are not publicly available and that can impact the conduct and growth of their businesses.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The approach to supervision adopted by each banking agency may have significant impacts on the operations and results of Busey and Busey Bank, as well as the banking industry in general. Based on statements made by congressional leaders and the acting leaders of certain federal banking agencies, there may be changes in the supervisory processes and approach made by the banking agencies, but it is not possible at this time to predict the specific changes (or the timing of any such changes) that may be made.</w:t>
      </w:r>
    </w:p>
    <w:p>
      <w:pPr>
        <w:spacing w:after="0" w:line="12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following is a summary of the material elements of the supervisory and regulatory framework applicable to First Busey and Busey Bank. It does not describe all of the statutes, regulations, and regulatory policies that apply, nor does it restate all of the requirements of those that are described. The descriptions are qualified in their entirety by reference to particular statutory and regulatory provisions.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The $10 billion Threshold</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As indicated above, the Dodd-Frank Act included a number of requirements that were triggered when a banking entity crossed over $10 billion in assets. Those included requirements for stress testing capital, maintenance of a risk committee, adherence to the Volcker Rule’s complicated prohibitions on proprietary trading and ownership of private funds, limitations on interchange fees for certain debit transactions, clearing of swap agreements, and examination and enforcement related to consumer financial services by the CFPB, in addition to a number of heightened reporting requirements. The Regulatory Relief Act eliminated the stress test and risk committee requirements for banking entities between $10 billion and $50 billion, but the other regulations and reporting requirements under the Dodd-Frank Act were not changed.</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color w:val="auto"/>
        </w:rPr>
        <w:t>Busey crossed the $10 billion threshold in 2020. The material consequences to Busey of crossing the $10 billion threshold are as follows: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Interchange Fees</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Durbin Amendment to the Dodd-Frank Act required the Federal Reserve to establish a maximum permissible interchange fee for many types of debit transactions. Interchange fees, also known as “swipe” fees, are charges that merchants pay to card-issuing banks, such as Busey Bank, for processing electronic payment transactions. The Federal Reserve set the maximum interchange fee at 21 cents, plus five bps of the transaction value. The Federal Reserve also adopted a rule to allow a debit card issuer to recover one cent per transaction for fraud prevention purposes if the issuer complies with certain fraud-related requirements required by the Federal Reserve. Fee limits imposed by the Durbin Amendment are applicable to any banking organization with over $10 billion in assets and became applicable to Busey Bank on July 1, 2022, following a six-month transition period. Compliance with the Durbin Amendment has reduced Busey Bank’s earnings on the covered debit transactions.</w:t>
      </w:r>
    </w:p>
    <w:p>
      <w:pPr>
        <w:spacing w:after="0" w:line="200" w:lineRule="exact"/>
        <w:rPr>
          <w:sz w:val="20"/>
          <w:szCs w:val="20"/>
          <w:color w:val="auto"/>
        </w:rPr>
      </w:pPr>
    </w:p>
    <w:p>
      <w:pPr>
        <w:spacing w:after="0" w:line="254" w:lineRule="exact"/>
        <w:rPr>
          <w:sz w:val="20"/>
          <w:szCs w:val="20"/>
          <w:color w:val="auto"/>
        </w:rPr>
      </w:pPr>
    </w:p>
    <w:p>
      <w:pPr>
        <w:ind w:left="80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 w:name="page13"/>
    <w:bookmarkEnd w:id="1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Volcker Rule</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The Volcker Rule (also a part of the Dodd-Frank Act) restricts the ability of banking organizations (holding companies and their affiliates) with over $10 billion in assets to sponsor or invest in private funds, or to engage in certain types of proprietary trading. In October 2019, the Federal Reserve, OCC, FDIC, Commodity Futures Trading Commission, and SEC finalized rules to tailor the application of the Volcker Rule based on the size and scope of a banking organization’s trading activities and to clarify and amend certain definitions, requirements, and exemptions. Banking organizations have two years (with a possibility of extensions) to comply with the Volcker requirements after crossing the $10 billion threshold. Busey does not materially engage in the activities prohibited by the Volcker Rule; therefore, the application of the rule will not have a material effect on Busey’s operations.</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CFPB Examination and Enforcement</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Although most of the CFPB’s rules issued under federal consumer financial protection laws are applicable to all providers of consumer financial services, the CFPB only has examination and enforcement authority over banks with more than $10 billion in assets (measured over four consecutive quarters). Busey Bank is under CFPB oversight for consumer banking transactions and continues to be examined for compliance with consumer laws by its primary federal regulator, the Federal Reserve.</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Clearing Swaps Agreements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Banks with over $10 billion in assets are required to clear swaps agreements on exchanges. Busey Bank began to comply with the exchange requirement beginning in 2021.</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Risk Committee</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Dodd-Frank Act required publicly traded bank holding companies with more than $10 billion in total consolidated assets to establish and maintain a risk committee. Pursuant to the Federal Reserve’s final rules issued under the Regulatory Relief Act, that threshold was increased to $50 billion. Although it is not yet required to have a risk committee in place, Busey established a committee comprised of holding company directors in 2018 to oversee risk matters in preparation for future growth.</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The Role of Capital</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Regulatory capital represents the net assets of a banking organization available to absorb losses. Because of the risks attendant to their business, FDIC-insured institutions, such as Busey Bank, as well as their holding companies (i.e., banking organizations), generally are required to hold more capital than other businesses. These requirements directly affect Busey’s earnings capabilities. Although capital historically has been one of the key measures of the financial health of both bank holding companies and banks, its role became fundamentally more important in the wake of the global financial crisis, as the banking regulators recognized that the amount and quality of capital held by banking organizations prior to that crisis was insufficient to absorb losses during periods of severe stress.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 w:name="page14"/>
    <w:bookmarkEnd w:id="1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Capital Levels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Banking organizations have been required to hold minimum levels of capital based on guidelines established by the banking agencies since 1983. The minimum capital levels for banking organizations have been expressed in terms of ratios of “capital” divided by “total assets.” Beginning in 1989, capital guidelines for U.S. banking organizations have been based upon international capital accords, known as “Basel” accords, adopted by the Basel Committee on Banking Supervision, a committee of central banks and bank supervisors that acts as the primary global standard-setter for prudential regulation, as implemented by the U.S. federal banking agencies on an interagency basis. These accords recognized that bank assets for the purpose of the capital ratio calculations needed to be risk weighted (the theory being that riskier assets should require more capital) and that off-balance sheet exposures needed to be factored into the calculations. Following the global financial crisis, the Group of Governors and Heads of Supervision, the oversight body of the Basel Committee on Banking Supervision, announced an agreement on a strengthened set of capital requirements for banking organizations around the world, known as the Basel III accords, to address deficiencies recognized in connection with the global financial crisis.</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The Basel III Rule</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U.S. federal banking agencies adopted the Basel III Rule in regulations that were effective (with a number of phase-ins) in 2015. The Basel III Rule established capital standards for banks and bank holding companies that are meaningfully more stringent than those established previously and are still in effect today. The Basel III Rule is applicable to all banking organizations that are subject to minimum capital requirements, including national banks, state banks, and savings and loan associations, as well as to most bank and savings and loan holding companies. First Busey and Busey Bank are each subject to the Basel III Rule as described below.</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Risk-Weighting Assets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Three of the required Basel III capital ratios, as discussed immediately below, are calculated using a denominator of total “risk-weighted” assets. In the calculation of so-called “risk weights,” which was introduced in the first Basel accord, bank assets were divided into four basic risk-weighted categories of zero, 20, 50, and 100%. Basel III required a more complex, detailed and calibrated assessment of risk in the calculation of risk weightings. Although it uses the same technique introduced by the Basel I accord in assigning assets to risk-weight categories, it significantly increases the number of categories and adds conditions to the assignment of certain risk weights. Risk weights were established as high as 250% for certain CRE exposures, and higher for certain derivatives.</w:t>
      </w:r>
    </w:p>
    <w:p>
      <w:pPr>
        <w:spacing w:after="0" w:line="133"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The assignment of risk weights is likely to continue to be under review by federal banking agencies as they seek to implement certain remaining elements of Basel III. In July 2023, the Biden Administration banking agencies had proposed wide-ranging and significant changes to the Basel III Rules (the “Basel III Endgame Proposal”), which would have, among other requirements, imposed structural changes to the calculation of capital requirements and risk-weighted assets. The Basel III Endgame Proposal would generally have impacted the capital requirements applicable to banking organizations with $100 billion or more in total assets and, as a general matter, would not impact Busey. The Basel III Endgame Proposal has not been, and is not expected to be, adopted in a form substantially similar to the Basel III Endgame Proposal. The banking agencies may issue their own version of this proposal.</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 w:name="page15"/>
    <w:bookmarkEnd w:id="1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Minimum Capital Ratio Requirements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Basel III Rule also increased the required quantity and quality of capital. Not only did it increase most of the required minimum capital ratios in effect prior to January 1, 2015, but in requiring that forms of capital be of higher quality to absorb loss, it also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The Basel III Rule also constrained the inclusion of minority interests, mortgage-servicing assets, and deferred tax assets in capital and required deductions from Common Equity Tier 1 Capital if such assets exceeded a percentage of a banking organization’s Common Equity Tier 1 Capital.</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Basel III Rule requires banking organizations to maintain </w:t>
      </w:r>
      <w:r>
        <w:rPr>
          <w:rFonts w:ascii="Verdana" w:cs="Verdana" w:eastAsia="Verdana" w:hAnsi="Verdana"/>
          <w:sz w:val="14"/>
          <w:szCs w:val="14"/>
          <w:b w:val="1"/>
          <w:bCs w:val="1"/>
          <w:color w:val="auto"/>
        </w:rPr>
        <w:t>minimum</w:t>
      </w:r>
      <w:r>
        <w:rPr>
          <w:rFonts w:ascii="Verdana" w:cs="Verdana" w:eastAsia="Verdana" w:hAnsi="Verdana"/>
          <w:sz w:val="14"/>
          <w:szCs w:val="14"/>
          <w:color w:val="auto"/>
        </w:rPr>
        <w:t xml:space="preserve"> capital ratios as follows:</w:t>
      </w:r>
    </w:p>
    <w:p>
      <w:pPr>
        <w:spacing w:after="0" w:line="148" w:lineRule="exact"/>
        <w:rPr>
          <w:sz w:val="20"/>
          <w:szCs w:val="20"/>
          <w:color w:val="auto"/>
        </w:rPr>
      </w:pPr>
    </w:p>
    <w:p>
      <w:pPr>
        <w:ind w:left="500" w:hanging="240"/>
        <w:spacing w:after="0"/>
        <w:tabs>
          <w:tab w:leader="none" w:pos="500" w:val="left"/>
        </w:tabs>
        <w:numPr>
          <w:ilvl w:val="0"/>
          <w:numId w:val="3"/>
        </w:numPr>
        <w:rPr>
          <w:rFonts w:ascii="Verdana" w:cs="Verdana" w:eastAsia="Verdana" w:hAnsi="Verdana"/>
          <w:sz w:val="14"/>
          <w:szCs w:val="14"/>
          <w:color w:val="auto"/>
        </w:rPr>
      </w:pPr>
      <w:r>
        <w:rPr>
          <w:rFonts w:ascii="Verdana" w:cs="Verdana" w:eastAsia="Verdana" w:hAnsi="Verdana"/>
          <w:sz w:val="14"/>
          <w:szCs w:val="14"/>
          <w:color w:val="auto"/>
        </w:rPr>
        <w:t>A ratio of Common Equity Tier 1 Capital equal to 4.5% of risk-weighted assets;</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3"/>
        </w:numPr>
        <w:rPr>
          <w:rFonts w:ascii="Verdana" w:cs="Verdana" w:eastAsia="Verdana" w:hAnsi="Verdana"/>
          <w:sz w:val="14"/>
          <w:szCs w:val="14"/>
          <w:color w:val="auto"/>
        </w:rPr>
      </w:pPr>
      <w:r>
        <w:rPr>
          <w:rFonts w:ascii="Verdana" w:cs="Verdana" w:eastAsia="Verdana" w:hAnsi="Verdana"/>
          <w:sz w:val="14"/>
          <w:szCs w:val="14"/>
          <w:color w:val="auto"/>
        </w:rPr>
        <w:t>A ratio of Tier 1 Capital equal to 6% of risk-weighted assets;</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3"/>
        </w:numPr>
        <w:rPr>
          <w:rFonts w:ascii="Verdana" w:cs="Verdana" w:eastAsia="Verdana" w:hAnsi="Verdana"/>
          <w:sz w:val="14"/>
          <w:szCs w:val="14"/>
          <w:color w:val="auto"/>
        </w:rPr>
      </w:pPr>
      <w:r>
        <w:rPr>
          <w:rFonts w:ascii="Verdana" w:cs="Verdana" w:eastAsia="Verdana" w:hAnsi="Verdana"/>
          <w:sz w:val="14"/>
          <w:szCs w:val="14"/>
          <w:color w:val="auto"/>
        </w:rPr>
        <w:t>A continuation of the minimum required amount of Total Capital (Tier 1 plus Tier 2) at 8% of risk-weighted assets; and</w:t>
      </w:r>
    </w:p>
    <w:p>
      <w:pPr>
        <w:spacing w:after="0" w:line="148" w:lineRule="exact"/>
        <w:rPr>
          <w:rFonts w:ascii="Verdana" w:cs="Verdana" w:eastAsia="Verdana" w:hAnsi="Verdana"/>
          <w:sz w:val="14"/>
          <w:szCs w:val="14"/>
          <w:color w:val="auto"/>
        </w:rPr>
      </w:pPr>
    </w:p>
    <w:p>
      <w:pPr>
        <w:ind w:left="500" w:hanging="240"/>
        <w:spacing w:after="0"/>
        <w:tabs>
          <w:tab w:leader="none" w:pos="500" w:val="left"/>
        </w:tabs>
        <w:numPr>
          <w:ilvl w:val="0"/>
          <w:numId w:val="3"/>
        </w:numPr>
        <w:rPr>
          <w:rFonts w:ascii="Verdana" w:cs="Verdana" w:eastAsia="Verdana" w:hAnsi="Verdana"/>
          <w:sz w:val="14"/>
          <w:szCs w:val="14"/>
          <w:color w:val="auto"/>
        </w:rPr>
      </w:pPr>
      <w:r>
        <w:rPr>
          <w:rFonts w:ascii="Verdana" w:cs="Verdana" w:eastAsia="Verdana" w:hAnsi="Verdana"/>
          <w:sz w:val="14"/>
          <w:szCs w:val="14"/>
          <w:color w:val="auto"/>
        </w:rPr>
        <w:t>A leverage ratio of Tier 1 Capital to total quarterly average assets equal to 4% in all circumstances.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Capital Conservation Buffer</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In addition, banking organizations that want to make capital distributions (including for dividends and repurchases of stock) and pay discretionary bonuses to executive officers without restriction also must maintain 2.5% in Common Equity Tier 1 Capital attributable to a capital conservation buffer. The purpose of the conservation buffer is to ensure that banking institutions maintain a buffer of capital that can be used to absorb losses during periods of financial and economic stress. Factoring in the conservation buffer increases the minimum ratios depicted above to 7% for Common Equity Tier 1 Capital, 8.5% for Tier 1 Capital and 10.5% for Total Capital.</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Well-Capitalized Requirements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ratios described above are minimum standards for banking organizations to be considered “adequately capitalized.” Banking agencies uniformly encourage banking organizations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(1) qualify for exemptions from prior notice or application requirements otherwise applicable to certain types of activities; (2) qualify for expedited processing of other required notices or applications; and (3) accept, roll-over or renew brokered deposits. Higher capital levels also could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Verdana" w:cs="Verdana" w:eastAsia="Verdana" w:hAnsi="Verdana"/>
          <w:sz w:val="14"/>
          <w:szCs w:val="14"/>
          <w:i w:val="1"/>
          <w:iCs w:val="1"/>
          <w:color w:val="auto"/>
        </w:rPr>
        <w:t>i.e.</w:t>
      </w:r>
      <w:r>
        <w:rPr>
          <w:rFonts w:ascii="Verdana" w:cs="Verdana" w:eastAsia="Verdana" w:hAnsi="Verdana"/>
          <w:sz w:val="14"/>
          <w:szCs w:val="14"/>
          <w:color w:val="auto"/>
        </w:rPr>
        <w:t>, Tier 1 Capital less all intangible assets), well above the minimum levels.</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color w:val="auto"/>
        </w:rPr>
        <w:t>Under the capital regulations of the Federal Reserve, in order to be well-capitalized, a banking organization must maintain all of the following:</w:t>
      </w:r>
    </w:p>
    <w:p>
      <w:pPr>
        <w:spacing w:after="0" w:line="148" w:lineRule="exact"/>
        <w:rPr>
          <w:sz w:val="20"/>
          <w:szCs w:val="20"/>
          <w:color w:val="auto"/>
        </w:rPr>
      </w:pPr>
    </w:p>
    <w:p>
      <w:pPr>
        <w:ind w:left="500" w:hanging="240"/>
        <w:spacing w:after="0"/>
        <w:tabs>
          <w:tab w:leader="none" w:pos="500" w:val="left"/>
        </w:tabs>
        <w:numPr>
          <w:ilvl w:val="0"/>
          <w:numId w:val="4"/>
        </w:numPr>
        <w:rPr>
          <w:rFonts w:ascii="Verdana" w:cs="Verdana" w:eastAsia="Verdana" w:hAnsi="Verdana"/>
          <w:sz w:val="14"/>
          <w:szCs w:val="14"/>
          <w:color w:val="auto"/>
        </w:rPr>
      </w:pPr>
      <w:r>
        <w:rPr>
          <w:rFonts w:ascii="Verdana" w:cs="Verdana" w:eastAsia="Verdana" w:hAnsi="Verdana"/>
          <w:sz w:val="14"/>
          <w:szCs w:val="14"/>
          <w:color w:val="auto"/>
        </w:rPr>
        <w:t>A Common Equity Tier 1 Capital ratio to risk-weighted assets of 6.5% or more;</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 w:name="page16"/>
    <w:bookmarkEnd w:id="1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240"/>
        <w:spacing w:after="0"/>
        <w:tabs>
          <w:tab w:leader="none" w:pos="500" w:val="left"/>
        </w:tabs>
        <w:numPr>
          <w:ilvl w:val="0"/>
          <w:numId w:val="5"/>
        </w:numPr>
        <w:rPr>
          <w:rFonts w:ascii="Verdana" w:cs="Verdana" w:eastAsia="Verdana" w:hAnsi="Verdana"/>
          <w:sz w:val="14"/>
          <w:szCs w:val="14"/>
          <w:color w:val="auto"/>
        </w:rPr>
      </w:pPr>
      <w:r>
        <w:rPr>
          <w:rFonts w:ascii="Verdana" w:cs="Verdana" w:eastAsia="Verdana" w:hAnsi="Verdana"/>
          <w:sz w:val="14"/>
          <w:szCs w:val="14"/>
          <w:color w:val="auto"/>
        </w:rPr>
        <w:t>A ratio of Tier 1 Capital to total risk-weighted assets of 8% or more;</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5"/>
        </w:numPr>
        <w:rPr>
          <w:rFonts w:ascii="Verdana" w:cs="Verdana" w:eastAsia="Verdana" w:hAnsi="Verdana"/>
          <w:sz w:val="14"/>
          <w:szCs w:val="14"/>
          <w:color w:val="auto"/>
        </w:rPr>
      </w:pPr>
      <w:r>
        <w:rPr>
          <w:rFonts w:ascii="Verdana" w:cs="Verdana" w:eastAsia="Verdana" w:hAnsi="Verdana"/>
          <w:sz w:val="14"/>
          <w:szCs w:val="14"/>
          <w:color w:val="auto"/>
        </w:rPr>
        <w:t>A ratio of Total Capital to total risk-weighted assets of 10% or more; and</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5"/>
        </w:numPr>
        <w:rPr>
          <w:rFonts w:ascii="Verdana" w:cs="Verdana" w:eastAsia="Verdana" w:hAnsi="Verdana"/>
          <w:sz w:val="14"/>
          <w:szCs w:val="14"/>
          <w:color w:val="auto"/>
        </w:rPr>
      </w:pPr>
      <w:r>
        <w:rPr>
          <w:rFonts w:ascii="Verdana" w:cs="Verdana" w:eastAsia="Verdana" w:hAnsi="Verdana"/>
          <w:sz w:val="14"/>
          <w:szCs w:val="14"/>
          <w:color w:val="auto"/>
        </w:rPr>
        <w:t>A leverage ratio of Tier 1 Capital to total adjusted average quarterly assets of 5% or greater.</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It is possible under the Basel III Rule to be well-capitalized while remaining out of compliance with the capital conservation buffer discussed above.</w:t>
      </w:r>
    </w:p>
    <w:p>
      <w:pPr>
        <w:spacing w:after="0" w:line="138" w:lineRule="exact"/>
        <w:rPr>
          <w:sz w:val="20"/>
          <w:szCs w:val="20"/>
          <w:color w:val="auto"/>
        </w:rPr>
      </w:pPr>
    </w:p>
    <w:p>
      <w:pPr>
        <w:jc w:val="both"/>
        <w:spacing w:after="0" w:line="256" w:lineRule="auto"/>
        <w:rPr>
          <w:sz w:val="20"/>
          <w:szCs w:val="20"/>
          <w:color w:val="auto"/>
        </w:rPr>
      </w:pPr>
      <w:r>
        <w:rPr>
          <w:rFonts w:ascii="Verdana" w:cs="Verdana" w:eastAsia="Verdana" w:hAnsi="Verdana"/>
          <w:sz w:val="14"/>
          <w:szCs w:val="14"/>
          <w:color w:val="auto"/>
        </w:rPr>
        <w:t>As of December 31, 2024: (1) Busey Bank was not subject to a directive from the Federal Reserve or the DFPR to increase its capital, and (2) Busey Bank was well-capitalized, as defined by Federal Reserve regulations. As of December 31, 2024, Busey had regulatory capital in excess of the Federal Reserve’s requirements and met the Basel III Rule requirements to be well-capitalized. First Busey also is in compliance with the capital conservation buffer.</w:t>
      </w:r>
    </w:p>
    <w:p>
      <w:pPr>
        <w:spacing w:after="0" w:line="124"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Prompt Corrective Action</w:t>
      </w:r>
    </w:p>
    <w:p>
      <w:pPr>
        <w:spacing w:after="0" w:line="138"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The concept of a banking organization being “well-capitalized” is part of a regulatory enforcement regime that provides the federal banking agencies with broad power to take “prompt corrective action” to resolve the problems of depository institutions based on the capital level of each particular institution. The extent of the regulators’ powers depends on whether the banking organization in question is “adequately capitalized,” “undercapitalized,” “significantly undercapitalized” or “critically undercapitalized,” in each case as defined by regulation. Depending upon the capital category to which a banking organization is assigned, the banking agencies’ corrective powers include: (1) requiring the institution to submit a capital restoration plan; (2) limiting the institution’s asset growth and restricting its activities; (3) requiring the institution to issue additional capital stock (including additional voting stock) or to sell itself;</w:t>
      </w:r>
    </w:p>
    <w:p>
      <w:pPr>
        <w:spacing w:after="0" w:line="2" w:lineRule="exact"/>
        <w:rPr>
          <w:sz w:val="20"/>
          <w:szCs w:val="20"/>
          <w:color w:val="auto"/>
        </w:rPr>
      </w:pPr>
    </w:p>
    <w:p>
      <w:pPr>
        <w:jc w:val="both"/>
        <w:ind w:firstLine="5"/>
        <w:spacing w:after="0" w:line="246" w:lineRule="auto"/>
        <w:tabs>
          <w:tab w:leader="none" w:pos="276" w:val="left"/>
        </w:tabs>
        <w:numPr>
          <w:ilvl w:val="0"/>
          <w:numId w:val="6"/>
        </w:numPr>
        <w:rPr>
          <w:rFonts w:ascii="Verdana" w:cs="Verdana" w:eastAsia="Verdana" w:hAnsi="Verdana"/>
          <w:sz w:val="14"/>
          <w:szCs w:val="14"/>
          <w:color w:val="auto"/>
        </w:rPr>
      </w:pPr>
      <w:r>
        <w:rPr>
          <w:rFonts w:ascii="Verdana" w:cs="Verdana" w:eastAsia="Verdana" w:hAnsi="Verdana"/>
          <w:sz w:val="14"/>
          <w:szCs w:val="14"/>
          <w:color w:val="auto"/>
        </w:rPr>
        <w:t>restricting transactions between the institution and its affiliates; (5) restricting the interest rate that the institution may pay on deposits; (6) ordering a new election of directors of the institution; (7) requiring that senior executive officers or directors be dismissed; (8) prohibiting the institution from accepting deposits from correspondent banks; (9) requiring the institution to divest certain subsidiaries; (10) prohibiting the payment of principal or interest on subordinated debt; and (11) ultimately, appointing a receiver for the institution.</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Supervision and Regulation of First Busey Corporation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General</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First Busey Corporation, as the sole stockholder of Busey Bank, is a bank holding company. As a bank holding company, First Busey Corporation is registered with, and subject to regulation, supervision, and enforcement by, the Federal Reserve under the BHCA. First Busey Corporation is legally obligated to act as a source of financial and managerial strength to Busey Bank and to commit resources to support it in circumstances where First Busey Corporation might not otherwise do so. Under the BHCA, First Busey Corporation is subject to periodic examination by the Federal Reserve and is required to file with the Federal Reserve periodic reports of its operations and such additional information regarding First Busey Corporation and Busey Bank as the Federal Reserve may require.</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 w:name="page17"/>
    <w:bookmarkEnd w:id="1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Acquisitions, Activities and Financial Holding Company Election</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 xml:space="preserve">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 -managed in order to effect interstate mergers or acquisitions. For a discussion of the capital requirements,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Business—Supervision, Regulation and Other Factors—The Role</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of Capital</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above.</w:t>
      </w:r>
    </w:p>
    <w:p>
      <w:pPr>
        <w:spacing w:after="0" w:line="127"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The BHCA generally prohibits bank holding companies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w:t>
      </w:r>
    </w:p>
    <w:p>
      <w:pPr>
        <w:spacing w:after="0" w:line="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as to be a proper incident thereto.” This authority permits First Busey Corporation to engage in a variety of banking-related businesses, including the ownership and operation of a savings association, or any entity engaged in consumer finance, equipment leasing, and mortgage banking and brokerage services. The BHCA does not place territorial restrictions on the domestic activities of nonbank subsidiaries of bank holding companies.</w:t>
      </w:r>
    </w:p>
    <w:p>
      <w:pPr>
        <w:spacing w:after="0" w:line="12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as long as the activity does not pose a substantial risk to the safety or soundness of FDIC-insured institutions or the financial system generally. First Busey Corporation has elected to operate as a financial holding company. In order to maintain its status as a financial holding company, First Busey and Busey Bank must be well-capitalized, well-managed, and Busey Bank must have a least a satisfactory CRA rating. If the Federal Reserve determines that a financial holding company is not well-capitalized or well-managed, the Federal Reserve will provide a period of time in which to re-achieve compliance with those requirements, but during the period of noncompliance the Federal Reserve may place any limitations on the financial holding company that it deems appropriate. Furthermore, if the Federal Reserve determines that a financial holding company’s subsidiary bank has not received a satisfactory CRA rating, that financial holding company will not be able to commence any new financial activities or acquire a company that engages in such activities.</w:t>
      </w:r>
    </w:p>
    <w:p>
      <w:pPr>
        <w:spacing w:after="0" w:line="12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Change in Control</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Federal law also prohibits any person or company from acquiring “control” of an FDIC-insured depository institution or its holding company without prior notice to the appropriate federal banking agency. “Control” is conclusively presumed to exist upon the acquisition of 25% or more of the outstanding voting securities of a bank or bank holding company but may arise under certain circumstances between 10% and 24.99% ownership.</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 w:name="page18"/>
    <w:bookmarkEnd w:id="1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Capital Requirements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Bank holding companies are required to maintain capital in accordance with Federal Reserve capital adequacy requirements. For a discussion of capital requirements,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Business—Supervision, Regulation and Other Factors—The Role of Capital</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above.</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Dividend Payments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First Busey Corporation's ability to pay dividends to its stockholders may be affected by both general corporate law considerations and the policies and capital requirements of the Federal Reserve applicable to bank holding companies. As a Nevada corporation, First Busey Corporation is subject to the limitations of Nevada law, which allows First Busey Corporation to pay dividends unless, after such dividend, (1) First Busey Corporation would not be able to pay its debts as they become due in the usual course of business or (2) First Busey Corporation’s total assets would be less than the sum of its total liabilities plus any amount that would be needed, if First Busey Corporation were to be dissolved at the time of the dividend payment, to satisfy the preferential rights upon dissolution of stockholders whose rights are superior to the rights of the stockholders receiving the distribution.</w:t>
      </w:r>
    </w:p>
    <w:p>
      <w:pPr>
        <w:spacing w:after="0" w:line="123"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 xml:space="preserve">As a general matter, the Federal Reserve has indicated that the board of directors of a bank holding company should eliminate, defer, or significantly reduce dividends to stockholders if: (1) the company’s net income available to stockholders for the past four quarters, net of dividends previously paid during that period, is not sufficient to fully fund the dividends; (2) 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banking organizations that want to pay unrestricted dividends must maintain 2.5% in Common Equity Tier 1 Capital attributable to the capital conservation buffer.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Business—Supervision, Regulation and Other</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Factors—The Role of Capital</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above.</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Incentive Compensation</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There have been a number of developments in recent years focused on incentive compensation plans sponsored by bank holding companies and their subsidiary banks, reflecting recognition by federal banking agencies and U.S. Congress that flawed incentive compensation practices in the financial industry were one of many factors contributing to the global financial crisis. The result is interagency guidance on sound incentive compensation practices for banking organizations.</w:t>
      </w:r>
    </w:p>
    <w:p>
      <w:pPr>
        <w:spacing w:after="0" w:line="119"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interagency guidance recognized three core principles. Effective incentive plans should: (1) provide employees with incentives that appropriately balance risk and reward; (2) be compatible with effective controls and risk-management; and (3) be supported by strong corporate governance, including active and effective oversight by the organization’s board of directors. Much of the guidance is directed at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Under the interagency guidance, smaller banking organizations, like Busey, that use incentive compensation arrangements are expected to implement less extensive, formalized, and detailed policies, procedures, and systems than those of larger banks.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 w:name="page19"/>
    <w:bookmarkEnd w:id="1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In May 2024, certain of the federal banking and other financial services agencies released a proposed rule regarding certain incentive-based compensation arrangements at certain financial institutions with at least $1 billion in assets, as required under Section 956 of the Dodd-Frank Act. This proposal was largely based on an earlier 2016 proposal. The Federal Reserve and the SEC, however, did not join this proposal, signaling potential interagency misalignment and raising doubts regarding the likelihood of the proposed rule being finalized in its current form. The FDIC has indicated that the agencies will continue to coordinate to reach consensus, but it is not yet clear whether this initiative will continue during the current president’s administration.</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Monetary Policy</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monetary policy of the Federal Reserve has a significant effect on the operating results of bank holding companies and their subsidiaries. Among the tools available to the Federal Reserve to affect the money supply are open market transactions in U.S. government securities and changes in the discount rate on bank borrowings. These tools are used in varying combinations to influence overall growth and distribution of bank loans, investments, and deposits, and their use may affect interest rates charged on loans or paid on deposits, which may impact the business and operations of Busey and Busey Bank.</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Federal Securities Regulation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First Busey Corporation’s common stock is registered with the SEC under the Securities Act and the Exchange Act. Consequently, First Busey Corporation is subject to the information, proxy solicitation, insider trading and other restrictions and requirements of the SEC under the Exchange Act.</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Corporate Governance</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Dodd-Frank Act addressed many investor protection, corporate governance, and executive compensation matters that will affect most U.S. publicly traded companies. It increased stockholder influence over boards of directors by requiring companies to give stockholders a nonbinding vote on executive compensation and so-called “golden parachute” payments, and it authorized the SEC to promulgate rules that would allow stockholders to nominate and solicit voters for their own candidates using a company’s proxy materials. The Dodd-Frank Act also directed the Federal Reserve, together with the other federal banking and financial services agencies, to promulgate rules prohibiting excessive compensation paid to executives of bank holding companies, regardless of whether such companies are publicly traded. As discussed in the “Incentive Compensation” section above, the federal banking and financial services agencies have proposed rules regarding incentive-based compensation arrangements for certain financial institutions, but no rule has been adopted at this time.</w:t>
      </w:r>
    </w:p>
    <w:p>
      <w:pPr>
        <w:spacing w:after="0" w:line="29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Supervision and Regulation of Busey Bank</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General</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Bank is an Illinois-chartered bank. Its deposit accounts are insured by the FDIC’s Deposit Insurance Fund to the maximum extent provided under federal law and FDIC regulations, currently $250,000 per insured depositor category. As an Illinois-chartered FDIC-insured bank, Busey Bank is subject to the examination, supervision, reporting, and enforcement requirements of the DFPR, the chartering authority for Illinois banks. In October 2024, Busey Bank became a member of the Federal Reserve System, and as a result, Busey Bank became subject to the examination, reporting, regulatory, and enforcement requirements of the Federal Reserve. In addition, the FDIC, as administrator of its Deposit Insurance Fund, has regulatory authority over Busey Bank.</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9" w:name="page20"/>
    <w:bookmarkEnd w:id="1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Deposit Insurance</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As an FDIC-insured institution, Busey Bank is required to pay deposit insurance premium assessments to the FDIC. The FDIC has adopted a risk-based assessment system whereby FDIC-insured institutions pay insurance premiums at rates based on their risk classification. For institutions like Busey Bank that are not considered large and highly complex banking organizations, the risk classification is based on examination ratings and financial ratios. A bank’s assessment is then calculated by multiplying its assessment rate by its assessment base (average consolidated total assets minus its average tangible equity). The total base assessment rates, effective as of January 1, 2023, currently range from 2.5 bps to 32 bps on an annualized basis. However, the maximum rate is 18 bps for FDIC-insured institutions in the top two categories of examination composite ratings.</w:t>
      </w:r>
    </w:p>
    <w:p>
      <w:pPr>
        <w:spacing w:after="0" w:line="123"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At least semi-annually, the FDIC updates its loss and income projections for its Deposit Insurance Fund and, if needed, increases or decreases the assessment rates, following a notice and comment period on proposed rule making. For this purpose, the reserve ratio is the Deposit Insurance Fund balance divided by estimated insured deposits. In response to the global financial crisis, the Dodd-Frank Act increased the minimum reserve ratio from 1.15% to 1.35% of the estimated amount of total insured deposits. In its October 2024 semiannual update, the FDIC stated that the reserve ratio likely will reach the statutory minimum by the September 30, 2028, deadline, and no adjustments to the base assessment rates is currently projected.</w:t>
      </w:r>
    </w:p>
    <w:p>
      <w:pPr>
        <w:spacing w:after="0" w:line="13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In addition, because the total cost of the failures of Silicon Valley Bank and Signature Bank was approximately $24.1 billion, the FDIC adopted a special assessment for banking organizations with assets of $5 billion or more, at an annual rate of 13.4 bps beginning with the first quarterly assessment period of 2024 and an invoice payment date of June 28, 2024. The FDIC will continue to collect special assessments for an anticipated total of eight quarterly assessment periods. The base for the special assessment is equal to an insured depository institution’s estimated uninsured deposits for the December 31, 2022, reporting period, adjusted to exclude the first $5 billion in estimated uninsured deposits. Busey Bank, as part of a banking organization with assets of $5 billion or more, was technically subject to the FDIC special assessment; however, Busey Bank did not have to pay this assessment due to uninsured deposits being below the $5 billion exclusion threshold.</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Supervisory Assessments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All Illinois-chartered banks are required to pay supervisory assessments to the DFPR to fund the operations of that agency. The amount of the assessment is calculated on the basis of each bank’s total assets. During the year ended December 31, 2024, Busey Bank paid supervisory assessments to the DFPR totaling approximately $0.8 million.</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Capital Requirements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Banks are generally required to maintain capital levels in excess of other businesses. For a discussion of capital requirements,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Supervision, Regulation and Other Factors—The Role of Capital</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above.</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Liquidity Requirements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Liquidity is a measure of the ability and ease with which bank assets may be converted to meet financial obligations to pay deposits or other funding sources. Banks are required to implement liquidity risk management frameworks that ensure they maintain sufficient liquidity, including a cushion of unencumbered, high quality, liquid assets to withstand a range of stress events. The level and speed of deposit outflows contributing to the failures of Silicon Valley Bank, Signature Bank, and First Republic Bank in the first half of 2023 was unprecedented and contributed to acute liquidity and funding strain on the financial industry. These events have further underscored the importance of liquidity risk management and contingency funding planning by insured depository institutions like Busey Bank, as highlighted in a 2023 addendum to interagency guidance on funding and liquidity risk management.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0" w:name="page21"/>
    <w:bookmarkEnd w:id="2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Primary roles of liquidity risk management are to: (1) prospectively assess the need for funds to meet obligations; and (2) ensure the availability of cash or collateral to fulfill those needs at the appropriate time by coordinating the various sources of funds available to the institution under normal and stressed conditions. Basel III includes a liquidity framework that requires the largest insured institutions to measure their liquidity against specific liquidity tests. One test, referred to as the liquidity coverage ratio,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net stable funding ratio,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2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Although these tests do not apply to Busey Bank, management continues to review its liquidity risk management framework in light of regulatory and industry developments. For instance, in July 2024, the FDIC released a request for information on deposits, soliciting information on whether, and to what extent, certain types of deposits may behave differently from each other (particularly during periods of economic or financial stress). At the present time, it is unclear how the FDIC may use the information that it gathered pursuant to this request, if at all. However, the possibility remains that the information obtained through this request, or through other requests by the FDIC or other banking agencies, may be used to make regulatory changes that could have a future impact on liquidity monitoring and risk management requirements applicable to Busey Bank.</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Dividend Payments</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The primary source of funds for First Busey Corporation is dividends from Busey Bank. Under Illinois banking law, Illinois-chartered banks generally may pay dividends only out of undivided profits. The DFPR may restrict the declaration or payment of a dividend by an Illinois-chartered bank. The Federal Reserve Act also imposes limitations on the amount of dividends paid by state member banks, such as Busey Bank. Without Federal Reserve approval, a state member bank may not pay dividends in any calendar year that, in the aggregate, exceed that bank’s calendar year-to-date net income plus the bank’s retained income for the two preceding calendar years.</w:t>
      </w:r>
    </w:p>
    <w:p>
      <w:pPr>
        <w:spacing w:after="0" w:line="122"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Notwithstanding the availability of funds for dividends, the Federal Reserve, the FDIC, and the DFPR may prohibit the payment of dividends by Busey Bank if any of these banking agencies determines that such payment would constitute an unsafe or unsound practice. In addition, under the Basel III Rule, FDIC-insured institutions that want to pay unrestricted dividends must maintain 2.5% in Common Equity Tier 1 Capital attributable to the capital conservation buffer.</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State Bank Investments, Activities, and Acquisitions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Deposit Insurance Fund. These restrictions have not had, and are not currently expected to have, a material impact on the operations of Busey Bank.</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1" w:name="page22"/>
    <w:bookmarkEnd w:id="2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 Bank may be required to seek approval from their applicable state regulator and the Federal Reserve (or in some cases, the FDIC) before engaging in certain acquisitions or mergers under applicable state and federal law. In 2024, each of the OCC and the FDIC separately released updated policy statements —and in the case of the OCC, a final rule—regarding how each banking agency reviews applications submitted pursuant to the Bank Merger Act based on statutory factors. The acting chairperson of the FDIC has indicated that the FDIC may seek to reverse the FDIC’s 2024 policy statement. Although the Federal Reserve, Busey Bank’s primary federal regulator, did not release any updated policy statement or rules regarding its review process under the Bank Merger Act in recent years, management of Busey Bank and Busey has considered the impact that the OCC’s and FDIC’s rules and guidance may have on the review of any relevant transactions that Busey Bank undertakes.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Insider Transactions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Bank is subject to certain restrictions imposed by federal law on “covered transactions” between Busey Bank and its “affiliates.” First Busey Corporation is an affiliate of Busey Bank for purposes of these restrictions, and covered transactions subject to the restrictions include extensions of credit to First Busey Corporation, investments in the stock or other securities of First Busey Corporation, and the acceptance of the stock or other securities of First Busey Corporation as collateral for loans made by Busey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33"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Certain limitations and reporting requirements are also placed on extensions of credit by Busey Bank to its directors and officers, to directors and officers of First Busey Corporation and its subsidiaries, to principal stockholders of First Busey Corporation, and to “related interests” of such directors, officers, and principal stockholders. In addition, federal law and regulations may affect the terms upon which any person who is a director or officer of First Busey Corporation or Busey Bank, or a principal stockholder of First Busey Corporation, may obtain credit from banks with which Busey Bank maintains a correspondent relationship.</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Safety and Soundness Standards/Risk Management</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2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In general, the safety and soundness standards prescribe the goals to be achieved in each area, and each institution is responsible for establishing its own procedures to achieve those goals. Although regulatory standards do not have the force of law, if an institution operates in an unsafe and unsound manner,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banking agency is required to issue an order directing the institution to cure the deficiency. Until the deficiency cited in the agency’s order is cured, the agency may restrict the FDIC-insured institution’s rate of growth, require the FDIC-insured institution to increase its capital, restrict the rates the institution pays on deposits, or require the institution to take any action that the agency deems appropriate under the circumstances. Noncompliance with safety and soundness may also constitute grounds for other enforcement action by the federal banking agencies, including cease and desist orders and civil money penalty assessments.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2" w:name="page23"/>
    <w:bookmarkEnd w:id="2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 xml:space="preserve">During the past decade, banking agencies have increasingly emphasized the importance of sound risk management processes and strong internal controls when evaluating the activities of the FDIC-insured institutions they supervise. Properly managing risk has been identified as critical to the conduct of safe and sound banking activities, and has become even more important as new technologies, product innovation, and the size and speed of financial transactions have changed the nature of banking markets. The banking agencies have identified a spectrum of risks facing a banking organization including, but not limited to, credit, market, liquidity, operational, legal, and reputational risk. The key risk themes identified by Busey for 2024 are discussed under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1A.</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Risk Factors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below. Busey Bank is expected to have active board and senior management oversight; adequate policies, procedures, and limits; adequate risk</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measurement, monitoring, and management information systems; and comprehensive internal controls. The federal banking agencies also have released specific risk management guidance on certain topics, including third-party relationships, in response to the proliferation of relationships between banking organizations and financial technology companies (although the guidance applies more broadly).</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Privacy and Cybersecurity</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Busey Bank is subject to many U.S. federal and state laws and regulations governing requirements for maintaining policies and procedures to protect non-public personal and other confidential information of its customers. These laws require Busey Bank to periodically disclose its privacy policies and practices relating to sharing such information and permit consumers to opt out of their ability to share information with unaffiliated third parties under certain circumstances. They also impact Busey Bank’s ability to share certain information with affiliates and non-affiliates for marketing and/or non-marketing purposes, or to contact customers with marketing offers. In addition, Busey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 Busey Bank and Busey also are subject to a number of federal and state laws and regulations requiring notifications and disclosures regarding certain cybersecurity incidents. Busey Bank must also consider and address cybersecurity considerations as part of its risk management processes.</w:t>
      </w:r>
    </w:p>
    <w:p>
      <w:pPr>
        <w:spacing w:after="0" w:line="13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Branching Authority</w:t>
      </w:r>
    </w:p>
    <w:p>
      <w:pPr>
        <w:spacing w:after="0" w:line="138"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Illinois banks, such as Busey Bank,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(1) regulatory approval; (2) federal and state deposit concentration limits; and</w:t>
      </w:r>
    </w:p>
    <w:p>
      <w:pPr>
        <w:spacing w:after="0" w:line="1" w:lineRule="exact"/>
        <w:rPr>
          <w:sz w:val="20"/>
          <w:szCs w:val="20"/>
          <w:color w:val="auto"/>
        </w:rPr>
      </w:pPr>
    </w:p>
    <w:p>
      <w:pPr>
        <w:ind w:right="220" w:firstLine="5"/>
        <w:spacing w:after="0" w:line="441" w:lineRule="auto"/>
        <w:tabs>
          <w:tab w:leader="none" w:pos="268" w:val="left"/>
        </w:tabs>
        <w:numPr>
          <w:ilvl w:val="0"/>
          <w:numId w:val="7"/>
        </w:numPr>
        <w:rPr>
          <w:rFonts w:ascii="Verdana" w:cs="Verdana" w:eastAsia="Verdana" w:hAnsi="Verdana"/>
          <w:sz w:val="14"/>
          <w:szCs w:val="14"/>
          <w:color w:val="auto"/>
        </w:rPr>
      </w:pPr>
      <w:r>
        <w:rPr>
          <w:rFonts w:ascii="Verdana" w:cs="Verdana" w:eastAsia="Verdana" w:hAnsi="Verdana"/>
          <w:sz w:val="14"/>
          <w:szCs w:val="14"/>
          <w:color w:val="auto"/>
        </w:rPr>
        <w:t xml:space="preserve">state law limitations requiring the merging bank to have been in existence for a minimum period of time (not to exceed five years) prior to the merger. </w:t>
      </w:r>
      <w:r>
        <w:rPr>
          <w:rFonts w:ascii="Verdana" w:cs="Verdana" w:eastAsia="Verdana" w:hAnsi="Verdana"/>
          <w:sz w:val="14"/>
          <w:szCs w:val="14"/>
          <w:u w:val="single" w:color="auto"/>
          <w:color w:val="auto"/>
        </w:rPr>
        <w:t>Federal Home Loan Bank System</w:t>
      </w:r>
    </w:p>
    <w:p>
      <w:pPr>
        <w:spacing w:after="0" w:line="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Bank is a member of a FHLB, which serves as a central credit facility for its members. The FHLB is funded primarily from proceeds from the sale of obligations of the FHLB system. It makes loans to member banks in the form of FHLB advances. All advances from the FHLB are required to be fully collateralized as determined by the FHLB.</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3" w:name="page24"/>
    <w:bookmarkEnd w:id="2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Community Reinvestment Act Requirements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The CRA requires Busey Bank to have a continuing and affirmative obligation in a safe and sound manner to help meet the credit needs of the entire community, including low- and moderate-income neighborhoods. Federal banking agencies regularly assess Busey Bank’s record of meeting the credit needs of its communities in dedicated examinations. Busey Bank’s CRA ratings derived from these examinations can have significant impacts on the activities in which Busey Bank and Busey may engage. For example, a low CRA rating may impact the review of applications for acquisitions by Busey Bank, or Busey’s financial holding company status.</w:t>
      </w:r>
    </w:p>
    <w:p>
      <w:pPr>
        <w:spacing w:after="0" w:line="12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On October 24, 2023, the banking agencies issued a final rule to strengthen and modernize the CRA regulations (the "CRA Rule"). Management of Busey Bank has effectively assessed the impact of the CRA Rule on its CRA lending and investment activities in its respective markets and continues to align its program with current and future expectations.</w:t>
      </w:r>
    </w:p>
    <w:p>
      <w:pPr>
        <w:spacing w:after="0" w:line="12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CRA Rule is designed to update how CRA activities qualify for consideration, where CRA activities are considered, and how CRA activities are evaluated. More specifically, the banking agencies described the goals of the CRA Rule as follows: (1) to expand access to credit, investment, and basic banking services in low and moderate-income communities; (2) to adapt to changes in the banking industry, including mobile and internet banking by modernizing assessment areas while maintaining a focus on branch-based areas; (3) to provide greater clarity, consistency, and transparency in the application of the regulations through the use of standardized metrics as part of CRA evaluations and clarifying eligible CRA activities focused on low- and moderate-income communities and under-served rural communities; (4) to tailor CRA rules and data collection to bank size and business model; and (5) to maintain a unified approach among the regulators.</w:t>
      </w:r>
    </w:p>
    <w:p>
      <w:pPr>
        <w:spacing w:after="0" w:line="12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In 2022, Busey Bank, like all Illinois chartered banks, became subject to state-level CRA standards, following passage of the Illinois CRA. This means that, in addition to the federal CRA review, Busey Bank will be reviewed by the DFPR to assess Busey Bank’s record of meeting the credit needs of its communities. Like the potential impact under the federal CRA, applications for additional acquisitions or activities would be affected by the evaluation of Busey Bank’s effectiveness in meeting its Illinois CRA requirements.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Anti-Money Laundering/Countering the Financing of Terrorism/Sanctions</w:t>
      </w:r>
    </w:p>
    <w:p>
      <w:pPr>
        <w:spacing w:after="0" w:line="14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Bank Secrecy Act is the common name for a series of laws and regulations enacted in the United States to combat money laundering and the financing of terrorism. These laws and regulations are designed to deny terrorists and criminals the ability to obtain access to the U.S. financial system and have significant implications for FDIC-insured institutions and other businesses involved in the transfer of money. The so-called Anti-Money Laundering/Countering the Financing of Terrorism regime under the Bank Secrecy Act provides a foundation to promote financial transparency and deter and detect those who seek to misuse the U.S. financial system to launder criminal proceeds, finance terrorist acts, or move funds for other illicit purposes. The laws mandate financial services companies to have policies and procedures with respect to measures designed to address the following matters: (1) customer identification programs; (2) money laundering; (3) terrorist financing; (4) identifying and reporting suspicious activities and currency transactions; (5) currency crimes; and (6) cooperation between FDIC-insured institutions and law enforcement authorities. Busey Bank must also comply with stringent economic and trade sanctions regimes administered and enforced by the Office of Foreign Assets Control.</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4" w:name="page25"/>
    <w:bookmarkEnd w:id="2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Concentrations in Commercial Real Estate</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Concentration risk exists when FDIC-insured institutions deploy too many assets to any one industry or segment. A concentration in CRE is one example of regulatory concern that has, in recent years, been subject to additional scrutiny by federal banking agencies as well as the SEC for publicly-traded banking organizations. The interagency CRE Guidance provides supervisory criteria, including the following numerical indicators, to assist bank examiners in identifying banks with potentially significant CRE loan concentrations that may warrant greater supervisory scrutiny: (1) CRE loans exceeding 300% of capital and increasing 50% or more in the preceding three years; or (2) construction and land development loans exceeding 100% of capital. The CRE Guidance does not limit banks’ levels of CRE lending activities, but rather guides institutions in developing risk management practices and levels of capital that are commensurate with the level and nature of their CRE concentrations. On December 18, 2015, and again in more recent years, the federal banking agencies have issued statements to reinforce prudent risk-management practices related to CRE lending, having observed substantial growth in many CRE asset and lending markets, increased competitive pressures, rising CRE concentrations in banks, and an easing of CRE underwriting standards. The federal banking agencies have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2024, Busey Bank did not exceed these guidelines.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Consumer Financial Services</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Busey Bank, as well as the authority to prohibit “unfair, deceptive or abusive” acts and practices. The CFPB has examination and enforcement authority over providers with more than $10 billion in assets. Busey Bank is under CFPB oversight for consumer banking transactions.</w:t>
      </w:r>
    </w:p>
    <w:p>
      <w:pPr>
        <w:spacing w:after="0" w:line="12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Because abuses in connection with residential mortgages were a significant factor contributing to the global financial crisis, many initial rules issued by the CFPB and required by the Dodd-Frank Act addressed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and the CFPB’s enabling regulations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CFPB has from time to time released additional rules as to qualified mortgages and the borrower’s ability to repay.</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5" w:name="page26"/>
    <w:bookmarkEnd w:id="2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Over the last several years, the CFPB has taken an aggressive approach to the regulation and supervision, where applicable, of providers of consumer financial products and services. In particular, the CFPB has taken, or attempted to take, a proactive, multi-front approach to protect consumers from excessive overdraft and non-sufficient funds fees. This includes proposed and final rules, interpretive opinions, and enforcement actions. In 2024, the CFPB finalized a rule that eliminated an exemption for overdraft fees from lending laws (the “Overdraft Rule”). The Overdraft Rule, which has an effective date of October 1, 2025, applies to financial institutions, such as FDIC-insured institutions, with over $10 billion in assets , like Busey Bank, and provides several different options on how to approach charging overdraft fees. Busey expects that the implementation of this rule may result in a decrease in fee income. Several banks and trade associations have sued the CFPB regarding the Overdraft Rule, claiming that the CFPB has exceeded its regulatory authority. The CFPB is now under new acting leadership and has paused much of its existing work. It remains unclear what this will mean for the agency and its oversight of consumer protection laws and regulations. Though some of the CFPB’s rulemakings are under review, the laws, rules, and regulations that the agency has enforced since its inception currently remain intact and could be enforced by other banking agencies.</w:t>
      </w:r>
    </w:p>
    <w:p>
      <w:pPr>
        <w:spacing w:after="0" w:line="127"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Consumer protection rules have an impact on Busey Bank’s operations, including by increasing compliance costs and potentially negatively affecting earnings. Busey Bank must also comply with certain state consumer protection laws and requirements in the states in which it operates.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SECURITIES AND EXCHANGE COMMISSION REPORTING AND OTHER INFORMATION</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Busey makes its Annual Reports, Quarterly Reports, Current Reports, and any amendments thereto available, free of charge, on its website at </w:t>
      </w:r>
      <w:r>
        <w:rPr>
          <w:rFonts w:ascii="Verdana" w:cs="Verdana" w:eastAsia="Verdana" w:hAnsi="Verdana"/>
          <w:sz w:val="14"/>
          <w:szCs w:val="14"/>
          <w:i w:val="1"/>
          <w:iCs w:val="1"/>
          <w:color w:val="auto"/>
        </w:rPr>
        <w:t>busey.com</w:t>
      </w:r>
      <w:r>
        <w:rPr>
          <w:rFonts w:ascii="Verdana" w:cs="Verdana" w:eastAsia="Verdana" w:hAnsi="Verdana"/>
          <w:sz w:val="14"/>
          <w:szCs w:val="14"/>
          <w:color w:val="auto"/>
        </w:rPr>
        <w:t xml:space="preserve"> as soon as reasonably practicable after such reports are electronically filed with or furnished to the SEC. Reference to Busey’s website does not constitute incorporation by reference of the information contained on the website and it should not be considered part of this document.</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SEC maintains an internet site at </w:t>
      </w:r>
      <w:r>
        <w:rPr>
          <w:rFonts w:ascii="Verdana" w:cs="Verdana" w:eastAsia="Verdana" w:hAnsi="Verdana"/>
          <w:sz w:val="14"/>
          <w:szCs w:val="14"/>
          <w:i w:val="1"/>
          <w:iCs w:val="1"/>
          <w:color w:val="auto"/>
        </w:rPr>
        <w:t>sec.gov</w:t>
      </w:r>
      <w:r>
        <w:rPr>
          <w:rFonts w:ascii="Verdana" w:cs="Verdana" w:eastAsia="Verdana" w:hAnsi="Verdana"/>
          <w:sz w:val="14"/>
          <w:szCs w:val="14"/>
          <w:color w:val="auto"/>
        </w:rPr>
        <w:t>, which contains reports, proxy and information statements, and other information regarding issuers that file electronically with the SEC, and from which Busey’s SEC filings may be accessed.</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NON-GAAP FINANCIAL INFORMATION</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This Annual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noninterest items and provide additional perspective on Busey’s performance over time.</w:t>
      </w:r>
    </w:p>
    <w:p>
      <w:pPr>
        <w:spacing w:after="0" w:line="1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estimated federal income tax rates, or effective tax rates as noted with the tables below.</w:t>
      </w:r>
    </w:p>
    <w:p>
      <w:pPr>
        <w:spacing w:after="0" w:line="1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following tables present reconciliations between these non-GAAP measures and what management believes to be the most directly comparable GAAP financial measures.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6" w:name="page27"/>
    <w:bookmarkEnd w:id="2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Pre-Provision Net Revenue and Related Measures</w:t>
      </w:r>
    </w:p>
    <w:p>
      <w:pPr>
        <w:spacing w:after="0" w:line="42" w:lineRule="exact"/>
        <w:rPr>
          <w:sz w:val="20"/>
          <w:szCs w:val="20"/>
          <w:color w:val="auto"/>
        </w:rPr>
      </w:pP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31"/>
        </w:trPr>
        <w:tc>
          <w:tcPr>
            <w:tcW w:w="5180" w:type="dxa"/>
            <w:vAlign w:val="bottom"/>
            <w:tcBorders>
              <w:bottom w:val="single" w:sz="8" w:color="E0E7ED"/>
            </w:tcBorders>
          </w:tcPr>
          <w:p>
            <w:pPr>
              <w:spacing w:after="0"/>
              <w:rPr>
                <w:sz w:val="11"/>
                <w:szCs w:val="11"/>
                <w:color w:val="auto"/>
              </w:rPr>
            </w:pPr>
          </w:p>
        </w:tc>
        <w:tc>
          <w:tcPr>
            <w:tcW w:w="8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51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 (GAAP)</w:t>
            </w:r>
          </w:p>
        </w:tc>
        <w:tc>
          <w:tcPr>
            <w:tcW w:w="84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322,611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320,621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323,628</w:t>
            </w:r>
          </w:p>
        </w:tc>
      </w:tr>
      <w:tr>
        <w:trPr>
          <w:trHeight w:val="207"/>
        </w:trPr>
        <w:tc>
          <w:tcPr>
            <w:tcW w:w="5180" w:type="dxa"/>
            <w:vAlign w:val="bottom"/>
          </w:tcPr>
          <w:p>
            <w:pPr>
              <w:ind w:left="20"/>
              <w:spacing w:after="0"/>
              <w:rPr>
                <w:sz w:val="20"/>
                <w:szCs w:val="20"/>
                <w:color w:val="auto"/>
              </w:rPr>
            </w:pPr>
            <w:r>
              <w:rPr>
                <w:rFonts w:ascii="Verdana" w:cs="Verdana" w:eastAsia="Verdana" w:hAnsi="Verdana"/>
                <w:sz w:val="14"/>
                <w:szCs w:val="14"/>
                <w:b w:val="1"/>
                <w:bCs w:val="1"/>
                <w:color w:val="auto"/>
              </w:rPr>
              <w:t>Total noninterest income (GAAP)</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139,682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121,214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126,613</w:t>
            </w:r>
          </w:p>
        </w:tc>
      </w:tr>
      <w:tr>
        <w:trPr>
          <w:trHeight w:val="218"/>
        </w:trPr>
        <w:tc>
          <w:tcPr>
            <w:tcW w:w="51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security (gains) losses (GAAP)</w:t>
            </w:r>
          </w:p>
        </w:tc>
        <w:tc>
          <w:tcPr>
            <w:tcW w:w="8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6,102</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2,199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2,133</w:t>
            </w:r>
          </w:p>
        </w:tc>
      </w:tr>
      <w:tr>
        <w:trPr>
          <w:trHeight w:val="207"/>
        </w:trPr>
        <w:tc>
          <w:tcPr>
            <w:tcW w:w="518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b w:val="1"/>
                <w:bCs w:val="1"/>
                <w:color w:val="auto"/>
              </w:rPr>
              <w:t>Total noninterest expense (GAAP)</w:t>
            </w:r>
          </w:p>
        </w:tc>
        <w:tc>
          <w:tcPr>
            <w:tcW w:w="84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1"/>
              <w:spacing w:after="0"/>
              <w:rPr>
                <w:sz w:val="20"/>
                <w:szCs w:val="20"/>
                <w:color w:val="auto"/>
              </w:rPr>
            </w:pPr>
            <w:r>
              <w:rPr>
                <w:rFonts w:ascii="Verdana" w:cs="Verdana" w:eastAsia="Verdana" w:hAnsi="Verdana"/>
                <w:sz w:val="14"/>
                <w:szCs w:val="14"/>
                <w:color w:val="auto"/>
              </w:rPr>
              <w:t>(300,399)</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1"/>
              <w:spacing w:after="0"/>
              <w:rPr>
                <w:sz w:val="20"/>
                <w:szCs w:val="20"/>
                <w:color w:val="auto"/>
              </w:rPr>
            </w:pPr>
            <w:r>
              <w:rPr>
                <w:rFonts w:ascii="Verdana" w:cs="Verdana" w:eastAsia="Verdana" w:hAnsi="Verdana"/>
                <w:sz w:val="14"/>
                <w:szCs w:val="14"/>
                <w:color w:val="auto"/>
              </w:rPr>
              <w:t>(285,532)</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1"/>
              <w:spacing w:after="0"/>
              <w:rPr>
                <w:sz w:val="20"/>
                <w:szCs w:val="20"/>
                <w:color w:val="auto"/>
              </w:rPr>
            </w:pPr>
            <w:r>
              <w:rPr>
                <w:rFonts w:ascii="Verdana" w:cs="Verdana" w:eastAsia="Verdana" w:hAnsi="Verdana"/>
                <w:sz w:val="14"/>
                <w:szCs w:val="14"/>
                <w:color w:val="auto"/>
              </w:rPr>
              <w:t>(283,881)</w:t>
            </w:r>
          </w:p>
        </w:tc>
      </w:tr>
      <w:tr>
        <w:trPr>
          <w:trHeight w:val="208"/>
        </w:trPr>
        <w:tc>
          <w:tcPr>
            <w:tcW w:w="51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Pre-provision net revenue (Non-GAAP)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[a]</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167,996</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158,502</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168,493</w:t>
            </w:r>
          </w:p>
        </w:tc>
      </w:tr>
      <w:tr>
        <w:trPr>
          <w:trHeight w:val="207"/>
        </w:trPr>
        <w:tc>
          <w:tcPr>
            <w:tcW w:w="5180" w:type="dxa"/>
            <w:vAlign w:val="bottom"/>
          </w:tcPr>
          <w:p>
            <w:pPr>
              <w:ind w:left="140"/>
              <w:spacing w:after="0"/>
              <w:rPr>
                <w:sz w:val="20"/>
                <w:szCs w:val="20"/>
                <w:color w:val="auto"/>
              </w:rPr>
            </w:pPr>
            <w:r>
              <w:rPr>
                <w:rFonts w:ascii="Verdana" w:cs="Verdana" w:eastAsia="Verdana" w:hAnsi="Verdana"/>
                <w:sz w:val="14"/>
                <w:szCs w:val="14"/>
                <w:color w:val="auto"/>
              </w:rPr>
              <w:t>Acquisition and restructuring expenses</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8,140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4,328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4,537</w:t>
            </w:r>
          </w:p>
        </w:tc>
      </w:tr>
      <w:tr>
        <w:trPr>
          <w:trHeight w:val="218"/>
        </w:trPr>
        <w:tc>
          <w:tcPr>
            <w:tcW w:w="51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Provision for unfunded commitments</w:t>
            </w:r>
          </w:p>
        </w:tc>
        <w:tc>
          <w:tcPr>
            <w:tcW w:w="8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11"/>
              <w:spacing w:after="0"/>
              <w:rPr>
                <w:sz w:val="20"/>
                <w:szCs w:val="20"/>
                <w:color w:val="auto"/>
              </w:rPr>
            </w:pPr>
            <w:r>
              <w:rPr>
                <w:rFonts w:ascii="Verdana" w:cs="Verdana" w:eastAsia="Verdana" w:hAnsi="Verdana"/>
                <w:sz w:val="14"/>
                <w:szCs w:val="14"/>
                <w:color w:val="auto"/>
              </w:rPr>
              <w:t>(1,095)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461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61</w:t>
            </w:r>
          </w:p>
        </w:tc>
      </w:tr>
      <w:tr>
        <w:trPr>
          <w:trHeight w:val="207"/>
        </w:trPr>
        <w:tc>
          <w:tcPr>
            <w:tcW w:w="5180" w:type="dxa"/>
            <w:vAlign w:val="bottom"/>
          </w:tcPr>
          <w:p>
            <w:pPr>
              <w:ind w:left="140"/>
              <w:spacing w:after="0"/>
              <w:rPr>
                <w:sz w:val="20"/>
                <w:szCs w:val="20"/>
                <w:color w:val="auto"/>
              </w:rPr>
            </w:pPr>
            <w:r>
              <w:rPr>
                <w:rFonts w:ascii="Verdana" w:cs="Verdana" w:eastAsia="Verdana" w:hAnsi="Verdana"/>
                <w:sz w:val="14"/>
                <w:szCs w:val="14"/>
                <w:color w:val="auto"/>
              </w:rPr>
              <w:t>Amortization of New Markets Tax Credit</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8,999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6,333</w:t>
            </w:r>
          </w:p>
        </w:tc>
      </w:tr>
      <w:tr>
        <w:trPr>
          <w:trHeight w:val="212"/>
        </w:trPr>
        <w:tc>
          <w:tcPr>
            <w:tcW w:w="51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Realized (gain) loss on the sale of mortgage service rights</w:t>
            </w:r>
          </w:p>
        </w:tc>
        <w:tc>
          <w:tcPr>
            <w:tcW w:w="8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11"/>
              <w:spacing w:after="0"/>
              <w:rPr>
                <w:sz w:val="20"/>
                <w:szCs w:val="20"/>
                <w:color w:val="auto"/>
              </w:rPr>
            </w:pPr>
            <w:r>
              <w:rPr>
                <w:rFonts w:ascii="Verdana" w:cs="Verdana" w:eastAsia="Verdana" w:hAnsi="Verdana"/>
                <w:sz w:val="14"/>
                <w:szCs w:val="14"/>
                <w:color w:val="auto"/>
              </w:rPr>
              <w:t>(7,724)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w:t>
            </w:r>
          </w:p>
        </w:tc>
      </w:tr>
      <w:tr>
        <w:trPr>
          <w:trHeight w:val="208"/>
        </w:trPr>
        <w:tc>
          <w:tcPr>
            <w:tcW w:w="5180" w:type="dxa"/>
            <w:vAlign w:val="bottom"/>
          </w:tcPr>
          <w:p>
            <w:pPr>
              <w:ind w:left="20"/>
              <w:spacing w:after="0"/>
              <w:rPr>
                <w:sz w:val="20"/>
                <w:szCs w:val="20"/>
                <w:color w:val="auto"/>
              </w:rPr>
            </w:pPr>
            <w:r>
              <w:rPr>
                <w:rFonts w:ascii="Verdana" w:cs="Verdana" w:eastAsia="Verdana" w:hAnsi="Verdana"/>
                <w:sz w:val="14"/>
                <w:szCs w:val="14"/>
                <w:color w:val="auto"/>
              </w:rPr>
              <w:t>Adjusted pre-provision net revenue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[b]</w:t>
            </w: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top w:val="single" w:sz="8" w:color="auto"/>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167,317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tcBorders>
              <w:top w:val="single" w:sz="8" w:color="auto"/>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172,290</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top w:val="single" w:sz="8" w:color="auto"/>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179,424</w:t>
            </w:r>
          </w:p>
        </w:tc>
      </w:tr>
      <w:tr>
        <w:trPr>
          <w:trHeight w:val="20"/>
        </w:trPr>
        <w:tc>
          <w:tcPr>
            <w:tcW w:w="518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518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r>
      <w:tr>
        <w:trPr>
          <w:trHeight w:val="207"/>
        </w:trPr>
        <w:tc>
          <w:tcPr>
            <w:tcW w:w="5180" w:type="dxa"/>
            <w:vAlign w:val="bottom"/>
          </w:tcPr>
          <w:p>
            <w:pPr>
              <w:ind w:left="20"/>
              <w:spacing w:after="0"/>
              <w:rPr>
                <w:sz w:val="20"/>
                <w:szCs w:val="20"/>
                <w:color w:val="auto"/>
              </w:rPr>
            </w:pPr>
            <w:r>
              <w:rPr>
                <w:rFonts w:ascii="Verdana" w:cs="Verdana" w:eastAsia="Verdana" w:hAnsi="Verdana"/>
                <w:sz w:val="14"/>
                <w:szCs w:val="14"/>
                <w:color w:val="auto"/>
              </w:rPr>
              <w:t>Average total assets (GAAP)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[c]</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12,051,871</w:t>
            </w:r>
          </w:p>
        </w:tc>
        <w:tc>
          <w:tcPr>
            <w:tcW w:w="80" w:type="dxa"/>
            <w:vAlign w:val="bottom"/>
          </w:tcPr>
          <w:p>
            <w:pPr>
              <w:spacing w:after="0"/>
              <w:rPr>
                <w:sz w:val="17"/>
                <w:szCs w:val="17"/>
                <w:color w:val="auto"/>
              </w:rPr>
            </w:pPr>
          </w:p>
        </w:tc>
        <w:tc>
          <w:tcPr>
            <w:tcW w:w="380" w:type="dxa"/>
            <w:vAlign w:val="bottom"/>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12,246,218</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12,492,948</w:t>
            </w:r>
          </w:p>
        </w:tc>
      </w:tr>
      <w:tr>
        <w:trPr>
          <w:trHeight w:val="218"/>
        </w:trPr>
        <w:tc>
          <w:tcPr>
            <w:tcW w:w="518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r>
      <w:tr>
        <w:trPr>
          <w:trHeight w:val="207"/>
        </w:trPr>
        <w:tc>
          <w:tcPr>
            <w:tcW w:w="5180" w:type="dxa"/>
            <w:vAlign w:val="bottom"/>
          </w:tcPr>
          <w:p>
            <w:pPr>
              <w:ind w:left="20"/>
              <w:spacing w:after="0"/>
              <w:rPr>
                <w:sz w:val="20"/>
                <w:szCs w:val="20"/>
                <w:color w:val="auto"/>
              </w:rPr>
            </w:pPr>
            <w:r>
              <w:rPr>
                <w:rFonts w:ascii="Verdana" w:cs="Verdana" w:eastAsia="Verdana" w:hAnsi="Verdana"/>
                <w:sz w:val="14"/>
                <w:szCs w:val="14"/>
                <w:color w:val="auto"/>
              </w:rPr>
              <w:t>Pre-provision net revenue to average total assets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[a÷c]</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1.39 %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1.29 %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1.35 %</w:t>
            </w:r>
          </w:p>
        </w:tc>
      </w:tr>
      <w:tr>
        <w:trPr>
          <w:trHeight w:val="218"/>
        </w:trPr>
        <w:tc>
          <w:tcPr>
            <w:tcW w:w="51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pre-provision net revenue to average total assets (Non-GAAP)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[b÷c]</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1.39 %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1.41 %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7" w:name="page28"/>
    <w:bookmarkEnd w:id="2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Adjusted Net Income, Average Tangible Common Equity, and Related Ratios</w:t>
      </w:r>
    </w:p>
    <w:p>
      <w:pPr>
        <w:spacing w:after="0" w:line="42" w:lineRule="exact"/>
        <w:rPr>
          <w:sz w:val="20"/>
          <w:szCs w:val="20"/>
          <w:color w:val="auto"/>
        </w:rPr>
      </w:pPr>
    </w:p>
    <w:p>
      <w:pPr>
        <w:jc w:val="center"/>
        <w:spacing w:after="0"/>
        <w:rPr>
          <w:sz w:val="20"/>
          <w:szCs w:val="20"/>
          <w:color w:val="auto"/>
        </w:rPr>
      </w:pPr>
      <w:r>
        <w:rPr>
          <w:rFonts w:ascii="Verdana" w:cs="Verdana" w:eastAsia="Verdana" w:hAnsi="Verdana"/>
          <w:sz w:val="14"/>
          <w:szCs w:val="14"/>
          <w:i w:val="1"/>
          <w:iCs w:val="1"/>
          <w:color w:val="auto"/>
        </w:rPr>
        <w:t>(dollars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31"/>
        </w:trPr>
        <w:tc>
          <w:tcPr>
            <w:tcW w:w="4980" w:type="dxa"/>
            <w:vAlign w:val="bottom"/>
            <w:tcBorders>
              <w:bottom w:val="single" w:sz="8" w:color="E0E7ED"/>
            </w:tcBorders>
          </w:tcPr>
          <w:p>
            <w:pPr>
              <w:spacing w:after="0"/>
              <w:rPr>
                <w:sz w:val="11"/>
                <w:szCs w:val="11"/>
                <w:color w:val="auto"/>
              </w:rPr>
            </w:pPr>
          </w:p>
        </w:tc>
        <w:tc>
          <w:tcPr>
            <w:tcW w:w="10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0"/>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0"/>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income (GAAP)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[a]</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113,691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122,565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128,311</w:t>
            </w:r>
          </w:p>
        </w:tc>
      </w:tr>
      <w:tr>
        <w:trPr>
          <w:trHeight w:val="207"/>
        </w:trPr>
        <w:tc>
          <w:tcPr>
            <w:tcW w:w="4980" w:type="dxa"/>
            <w:vAlign w:val="bottom"/>
          </w:tcPr>
          <w:p>
            <w:pPr>
              <w:ind w:left="140"/>
              <w:spacing w:after="0"/>
              <w:rPr>
                <w:sz w:val="20"/>
                <w:szCs w:val="20"/>
                <w:color w:val="auto"/>
              </w:rPr>
            </w:pPr>
            <w:r>
              <w:rPr>
                <w:rFonts w:ascii="Verdana" w:cs="Verdana" w:eastAsia="Verdana" w:hAnsi="Verdana"/>
                <w:sz w:val="14"/>
                <w:szCs w:val="14"/>
                <w:color w:val="auto"/>
              </w:rPr>
              <w:t>Acquisition expenses: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8"/>
        </w:trPr>
        <w:tc>
          <w:tcPr>
            <w:tcW w:w="4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Salaries, wages, and employee benefits</w:t>
            </w: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1,457</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587</w:t>
            </w:r>
          </w:p>
        </w:tc>
      </w:tr>
      <w:tr>
        <w:trPr>
          <w:trHeight w:val="207"/>
        </w:trPr>
        <w:tc>
          <w:tcPr>
            <w:tcW w:w="4980" w:type="dxa"/>
            <w:vAlign w:val="bottom"/>
          </w:tcPr>
          <w:p>
            <w:pPr>
              <w:ind w:left="280"/>
              <w:spacing w:after="0"/>
              <w:rPr>
                <w:sz w:val="20"/>
                <w:szCs w:val="20"/>
                <w:color w:val="auto"/>
              </w:rPr>
            </w:pPr>
            <w:r>
              <w:rPr>
                <w:rFonts w:ascii="Verdana" w:cs="Verdana" w:eastAsia="Verdana" w:hAnsi="Verdana"/>
                <w:sz w:val="14"/>
                <w:szCs w:val="14"/>
                <w:color w:val="auto"/>
              </w:rPr>
              <w:t>Data processing</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214</w:t>
            </w:r>
          </w:p>
        </w:tc>
      </w:tr>
      <w:tr>
        <w:trPr>
          <w:trHeight w:val="212"/>
        </w:trPr>
        <w:tc>
          <w:tcPr>
            <w:tcW w:w="4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Professional fees, occupancy, furniture and fixtures, and other</w:t>
            </w:r>
          </w:p>
        </w:tc>
        <w:tc>
          <w:tcPr>
            <w:tcW w:w="104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4,896</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357</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258</w:t>
            </w:r>
          </w:p>
        </w:tc>
      </w:tr>
      <w:tr>
        <w:trPr>
          <w:trHeight w:val="203"/>
        </w:trPr>
        <w:tc>
          <w:tcPr>
            <w:tcW w:w="4980" w:type="dxa"/>
            <w:vAlign w:val="bottom"/>
          </w:tcPr>
          <w:p>
            <w:pPr>
              <w:ind w:left="140"/>
              <w:spacing w:after="0"/>
              <w:rPr>
                <w:sz w:val="20"/>
                <w:szCs w:val="20"/>
                <w:color w:val="auto"/>
              </w:rPr>
            </w:pPr>
            <w:r>
              <w:rPr>
                <w:rFonts w:ascii="Verdana" w:cs="Verdana" w:eastAsia="Verdana" w:hAnsi="Verdana"/>
                <w:sz w:val="14"/>
                <w:szCs w:val="14"/>
                <w:color w:val="auto"/>
              </w:rPr>
              <w:t>Acquisition expenses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6,901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357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1,059</w:t>
            </w:r>
          </w:p>
        </w:tc>
      </w:tr>
      <w:tr>
        <w:trPr>
          <w:trHeight w:val="218"/>
        </w:trPr>
        <w:tc>
          <w:tcPr>
            <w:tcW w:w="4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Restructuring expenses:</w:t>
            </w: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r>
      <w:tr>
        <w:trPr>
          <w:trHeight w:val="207"/>
        </w:trPr>
        <w:tc>
          <w:tcPr>
            <w:tcW w:w="4980" w:type="dxa"/>
            <w:vAlign w:val="bottom"/>
          </w:tcPr>
          <w:p>
            <w:pPr>
              <w:ind w:left="280"/>
              <w:spacing w:after="0"/>
              <w:rPr>
                <w:sz w:val="20"/>
                <w:szCs w:val="20"/>
                <w:color w:val="auto"/>
              </w:rPr>
            </w:pPr>
            <w:r>
              <w:rPr>
                <w:rFonts w:ascii="Verdana" w:cs="Verdana" w:eastAsia="Verdana" w:hAnsi="Verdana"/>
                <w:sz w:val="14"/>
                <w:szCs w:val="14"/>
                <w:color w:val="auto"/>
              </w:rPr>
              <w:t>Salaries, wages, and employee benefits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3,760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2,409</w:t>
            </w:r>
          </w:p>
        </w:tc>
      </w:tr>
      <w:tr>
        <w:trPr>
          <w:trHeight w:val="218"/>
        </w:trPr>
        <w:tc>
          <w:tcPr>
            <w:tcW w:w="4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Loss on leases or fixed asset impairment</w:t>
            </w: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986</w:t>
            </w:r>
          </w:p>
        </w:tc>
      </w:tr>
      <w:tr>
        <w:trPr>
          <w:trHeight w:val="207"/>
        </w:trPr>
        <w:tc>
          <w:tcPr>
            <w:tcW w:w="498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Professional fees, occupancy, furniture and fixtures, and other</w:t>
            </w:r>
          </w:p>
        </w:tc>
        <w:tc>
          <w:tcPr>
            <w:tcW w:w="104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1,116</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211</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83</w:t>
            </w:r>
          </w:p>
        </w:tc>
      </w:tr>
      <w:tr>
        <w:trPr>
          <w:trHeight w:val="203"/>
        </w:trPr>
        <w:tc>
          <w:tcPr>
            <w:tcW w:w="4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Restructuring expenses</w:t>
            </w:r>
          </w:p>
        </w:tc>
        <w:tc>
          <w:tcPr>
            <w:tcW w:w="104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1,239</w:t>
            </w:r>
          </w:p>
        </w:tc>
        <w:tc>
          <w:tcPr>
            <w:tcW w:w="8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3,971</w:t>
            </w:r>
          </w:p>
        </w:tc>
        <w:tc>
          <w:tcPr>
            <w:tcW w:w="8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3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3,478</w:t>
            </w:r>
          </w:p>
        </w:tc>
      </w:tr>
      <w:tr>
        <w:trPr>
          <w:trHeight w:val="203"/>
        </w:trPr>
        <w:tc>
          <w:tcPr>
            <w:tcW w:w="4980" w:type="dxa"/>
            <w:vAlign w:val="bottom"/>
          </w:tcPr>
          <w:p>
            <w:pPr>
              <w:ind w:left="140"/>
              <w:spacing w:after="0"/>
              <w:rPr>
                <w:sz w:val="20"/>
                <w:szCs w:val="20"/>
                <w:color w:val="auto"/>
              </w:rPr>
            </w:pPr>
            <w:r>
              <w:rPr>
                <w:rFonts w:ascii="Verdana" w:cs="Verdana" w:eastAsia="Verdana" w:hAnsi="Verdana"/>
                <w:sz w:val="14"/>
                <w:szCs w:val="14"/>
                <w:color w:val="auto"/>
              </w:rPr>
              <w:t>Acquisition and restructuring expenses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8,140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4,328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4,537</w:t>
            </w:r>
          </w:p>
        </w:tc>
      </w:tr>
      <w:tr>
        <w:trPr>
          <w:trHeight w:val="212"/>
        </w:trPr>
        <w:tc>
          <w:tcPr>
            <w:tcW w:w="4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Related tax benefit</w:t>
            </w:r>
            <w:r>
              <w:rPr>
                <w:rFonts w:ascii="Verdana" w:cs="Verdana" w:eastAsia="Verdana" w:hAnsi="Verdana"/>
                <w:sz w:val="9"/>
                <w:szCs w:val="9"/>
                <w:color w:val="auto"/>
              </w:rPr>
              <w:t>1</w:t>
            </w:r>
          </w:p>
        </w:tc>
        <w:tc>
          <w:tcPr>
            <w:tcW w:w="104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4"/>
                <w:szCs w:val="14"/>
                <w:color w:val="auto"/>
              </w:rPr>
              <w:t>(2,026)</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4"/>
                <w:szCs w:val="14"/>
                <w:color w:val="auto"/>
              </w:rPr>
              <w:t>(881)</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4"/>
                <w:szCs w:val="14"/>
                <w:color w:val="auto"/>
              </w:rPr>
              <w:t>(938)</w:t>
            </w:r>
          </w:p>
        </w:tc>
      </w:tr>
      <w:tr>
        <w:trPr>
          <w:trHeight w:val="208"/>
        </w:trPr>
        <w:tc>
          <w:tcPr>
            <w:tcW w:w="4980" w:type="dxa"/>
            <w:vAlign w:val="bottom"/>
          </w:tcPr>
          <w:p>
            <w:pPr>
              <w:ind w:left="20"/>
              <w:spacing w:after="0"/>
              <w:rPr>
                <w:sz w:val="20"/>
                <w:szCs w:val="20"/>
                <w:color w:val="auto"/>
              </w:rPr>
            </w:pPr>
            <w:r>
              <w:rPr>
                <w:rFonts w:ascii="Verdana" w:cs="Verdana" w:eastAsia="Verdana" w:hAnsi="Verdana"/>
                <w:sz w:val="14"/>
                <w:szCs w:val="14"/>
                <w:color w:val="auto"/>
              </w:rPr>
              <w:t>Adjusted net income (Non-GAAP)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[b]</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119,805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126,012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131,910</w:t>
            </w:r>
          </w:p>
        </w:tc>
      </w:tr>
      <w:tr>
        <w:trPr>
          <w:trHeight w:val="20"/>
        </w:trPr>
        <w:tc>
          <w:tcPr>
            <w:tcW w:w="498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498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r>
      <w:tr>
        <w:trPr>
          <w:trHeight w:val="187"/>
        </w:trPr>
        <w:tc>
          <w:tcPr>
            <w:tcW w:w="4980" w:type="dxa"/>
            <w:vAlign w:val="bottom"/>
          </w:tcPr>
          <w:p>
            <w:pPr>
              <w:ind w:left="20"/>
              <w:spacing w:after="0"/>
              <w:rPr>
                <w:sz w:val="20"/>
                <w:szCs w:val="20"/>
                <w:color w:val="auto"/>
              </w:rPr>
            </w:pPr>
            <w:r>
              <w:rPr>
                <w:rFonts w:ascii="Verdana" w:cs="Verdana" w:eastAsia="Verdana" w:hAnsi="Verdana"/>
                <w:sz w:val="14"/>
                <w:szCs w:val="14"/>
                <w:b w:val="1"/>
                <w:bCs w:val="1"/>
                <w:color w:val="auto"/>
              </w:rPr>
              <w:t>Weighted average number of common shares outstanding,</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0"/>
        </w:trPr>
        <w:tc>
          <w:tcPr>
            <w:tcW w:w="4980" w:type="dxa"/>
            <w:vAlign w:val="bottom"/>
          </w:tcPr>
          <w:p>
            <w:pPr>
              <w:ind w:left="20"/>
              <w:spacing w:after="0"/>
              <w:rPr>
                <w:sz w:val="20"/>
                <w:szCs w:val="20"/>
                <w:color w:val="auto"/>
              </w:rPr>
            </w:pPr>
            <w:r>
              <w:rPr>
                <w:rFonts w:ascii="Verdana" w:cs="Verdana" w:eastAsia="Verdana" w:hAnsi="Verdana"/>
                <w:sz w:val="14"/>
                <w:szCs w:val="14"/>
                <w:b w:val="1"/>
                <w:bCs w:val="1"/>
                <w:color w:val="auto"/>
              </w:rPr>
              <w:t>diluted (GAAP)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[c]</w:t>
            </w:r>
          </w:p>
        </w:tc>
        <w:tc>
          <w:tcPr>
            <w:tcW w:w="380" w:type="dxa"/>
            <w:vAlign w:val="bottom"/>
          </w:tcPr>
          <w:p>
            <w:pPr>
              <w:spacing w:after="0"/>
              <w:rPr>
                <w:sz w:val="16"/>
                <w:szCs w:val="16"/>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57,543,001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56,256,148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56,137,164</w:t>
            </w:r>
          </w:p>
        </w:tc>
      </w:tr>
      <w:tr>
        <w:trPr>
          <w:trHeight w:val="21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Diluted earnings per common share (GAAP)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[a÷c]</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1.98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2.18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2.29</w:t>
            </w:r>
          </w:p>
        </w:tc>
      </w:tr>
      <w:tr>
        <w:trPr>
          <w:trHeight w:val="207"/>
        </w:trPr>
        <w:tc>
          <w:tcPr>
            <w:tcW w:w="4980" w:type="dxa"/>
            <w:vAlign w:val="bottom"/>
          </w:tcPr>
          <w:p>
            <w:pPr>
              <w:ind w:left="20"/>
              <w:spacing w:after="0"/>
              <w:rPr>
                <w:sz w:val="20"/>
                <w:szCs w:val="20"/>
                <w:color w:val="auto"/>
              </w:rPr>
            </w:pPr>
            <w:r>
              <w:rPr>
                <w:rFonts w:ascii="Verdana" w:cs="Verdana" w:eastAsia="Verdana" w:hAnsi="Verdana"/>
                <w:sz w:val="14"/>
                <w:szCs w:val="14"/>
                <w:color w:val="auto"/>
              </w:rPr>
              <w:t>Adjusted diluted earnings per common share (Non-GAAP)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[b÷c]</w:t>
            </w: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2.08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2.24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2.35</w:t>
            </w:r>
          </w:p>
        </w:tc>
      </w:tr>
      <w:tr>
        <w:trPr>
          <w:trHeight w:val="218"/>
        </w:trPr>
        <w:tc>
          <w:tcPr>
            <w:tcW w:w="498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r>
      <w:tr>
        <w:trPr>
          <w:trHeight w:val="207"/>
        </w:trPr>
        <w:tc>
          <w:tcPr>
            <w:tcW w:w="4980" w:type="dxa"/>
            <w:vAlign w:val="bottom"/>
          </w:tcPr>
          <w:p>
            <w:pPr>
              <w:ind w:left="20"/>
              <w:spacing w:after="0"/>
              <w:rPr>
                <w:sz w:val="20"/>
                <w:szCs w:val="20"/>
                <w:color w:val="auto"/>
              </w:rPr>
            </w:pPr>
            <w:r>
              <w:rPr>
                <w:rFonts w:ascii="Verdana" w:cs="Verdana" w:eastAsia="Verdana" w:hAnsi="Verdana"/>
                <w:sz w:val="14"/>
                <w:szCs w:val="14"/>
                <w:b w:val="1"/>
                <w:bCs w:val="1"/>
                <w:color w:val="auto"/>
              </w:rPr>
              <w:t>Average total assets (GAAP)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[d]</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12,051,871</w:t>
            </w:r>
          </w:p>
        </w:tc>
        <w:tc>
          <w:tcPr>
            <w:tcW w:w="80" w:type="dxa"/>
            <w:vAlign w:val="bottom"/>
          </w:tcPr>
          <w:p>
            <w:pPr>
              <w:spacing w:after="0"/>
              <w:rPr>
                <w:sz w:val="17"/>
                <w:szCs w:val="17"/>
                <w:color w:val="auto"/>
              </w:rPr>
            </w:pPr>
          </w:p>
        </w:tc>
        <w:tc>
          <w:tcPr>
            <w:tcW w:w="380" w:type="dxa"/>
            <w:vAlign w:val="bottom"/>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12,246,218</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12,492,948</w:t>
            </w:r>
          </w:p>
        </w:tc>
      </w:tr>
      <w:tr>
        <w:trPr>
          <w:trHeight w:val="21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Return on average assets (GAAP)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[a÷d]</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0.94 %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1.03 %</w:t>
            </w:r>
          </w:p>
        </w:tc>
      </w:tr>
      <w:tr>
        <w:trPr>
          <w:trHeight w:val="207"/>
        </w:trPr>
        <w:tc>
          <w:tcPr>
            <w:tcW w:w="4980" w:type="dxa"/>
            <w:vAlign w:val="bottom"/>
          </w:tcPr>
          <w:p>
            <w:pPr>
              <w:ind w:left="20"/>
              <w:spacing w:after="0"/>
              <w:rPr>
                <w:sz w:val="20"/>
                <w:szCs w:val="20"/>
                <w:color w:val="auto"/>
              </w:rPr>
            </w:pPr>
            <w:r>
              <w:rPr>
                <w:rFonts w:ascii="Verdana" w:cs="Verdana" w:eastAsia="Verdana" w:hAnsi="Verdana"/>
                <w:sz w:val="14"/>
                <w:szCs w:val="14"/>
                <w:color w:val="auto"/>
              </w:rPr>
              <w:t>Adjusted return on average assets (Non-GAAP)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[b÷d]</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0.99 %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1.03 %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1.06 %</w:t>
            </w:r>
          </w:p>
        </w:tc>
      </w:tr>
      <w:tr>
        <w:trPr>
          <w:trHeight w:val="218"/>
        </w:trPr>
        <w:tc>
          <w:tcPr>
            <w:tcW w:w="498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r>
      <w:tr>
        <w:trPr>
          <w:trHeight w:val="207"/>
        </w:trPr>
        <w:tc>
          <w:tcPr>
            <w:tcW w:w="4980" w:type="dxa"/>
            <w:vAlign w:val="bottom"/>
          </w:tcPr>
          <w:p>
            <w:pPr>
              <w:ind w:left="20"/>
              <w:spacing w:after="0"/>
              <w:rPr>
                <w:sz w:val="20"/>
                <w:szCs w:val="20"/>
                <w:color w:val="auto"/>
              </w:rPr>
            </w:pPr>
            <w:r>
              <w:rPr>
                <w:rFonts w:ascii="Verdana" w:cs="Verdana" w:eastAsia="Verdana" w:hAnsi="Verdana"/>
                <w:sz w:val="14"/>
                <w:szCs w:val="14"/>
                <w:b w:val="1"/>
                <w:bCs w:val="1"/>
                <w:color w:val="auto"/>
              </w:rPr>
              <w:t>Average common equity (GAAP)</w:t>
            </w:r>
          </w:p>
        </w:tc>
        <w:tc>
          <w:tcPr>
            <w:tcW w:w="104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1,342,424</w:t>
            </w:r>
          </w:p>
        </w:tc>
        <w:tc>
          <w:tcPr>
            <w:tcW w:w="80" w:type="dxa"/>
            <w:vAlign w:val="bottom"/>
          </w:tcPr>
          <w:p>
            <w:pPr>
              <w:spacing w:after="0"/>
              <w:rPr>
                <w:sz w:val="17"/>
                <w:szCs w:val="17"/>
                <w:color w:val="auto"/>
              </w:rPr>
            </w:pPr>
          </w:p>
        </w:tc>
        <w:tc>
          <w:tcPr>
            <w:tcW w:w="380" w:type="dxa"/>
            <w:vAlign w:val="bottom"/>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1,197,511</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50"/>
              <w:spacing w:after="0"/>
              <w:rPr>
                <w:sz w:val="20"/>
                <w:szCs w:val="20"/>
                <w:color w:val="auto"/>
              </w:rPr>
            </w:pPr>
            <w:r>
              <w:rPr>
                <w:rFonts w:ascii="Verdana" w:cs="Verdana" w:eastAsia="Verdana" w:hAnsi="Verdana"/>
                <w:sz w:val="14"/>
                <w:szCs w:val="14"/>
                <w:color w:val="auto"/>
              </w:rPr>
              <w:t>1,195,171</w:t>
            </w:r>
          </w:p>
        </w:tc>
      </w:tr>
      <w:tr>
        <w:trPr>
          <w:trHeight w:val="212"/>
        </w:trPr>
        <w:tc>
          <w:tcPr>
            <w:tcW w:w="4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Average goodwill and other intangible assets, net</w:t>
            </w:r>
          </w:p>
        </w:tc>
        <w:tc>
          <w:tcPr>
            <w:tcW w:w="104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4"/>
                <w:szCs w:val="14"/>
                <w:color w:val="auto"/>
              </w:rPr>
              <w:t>(366,601)</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4"/>
                <w:szCs w:val="14"/>
                <w:color w:val="auto"/>
              </w:rPr>
              <w:t>(359,347)</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4"/>
                <w:szCs w:val="14"/>
                <w:color w:val="auto"/>
              </w:rPr>
              <w:t>(370,424)</w:t>
            </w:r>
          </w:p>
        </w:tc>
      </w:tr>
      <w:tr>
        <w:trPr>
          <w:trHeight w:val="208"/>
        </w:trPr>
        <w:tc>
          <w:tcPr>
            <w:tcW w:w="4980" w:type="dxa"/>
            <w:vAlign w:val="bottom"/>
          </w:tcPr>
          <w:p>
            <w:pPr>
              <w:ind w:left="20"/>
              <w:spacing w:after="0"/>
              <w:rPr>
                <w:sz w:val="20"/>
                <w:szCs w:val="20"/>
                <w:color w:val="auto"/>
              </w:rPr>
            </w:pPr>
            <w:r>
              <w:rPr>
                <w:rFonts w:ascii="Verdana" w:cs="Verdana" w:eastAsia="Verdana" w:hAnsi="Verdana"/>
                <w:sz w:val="14"/>
                <w:szCs w:val="14"/>
                <w:color w:val="auto"/>
              </w:rPr>
              <w:t>Average tangible common equity (Non-GAAP)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[e]</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975,823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2"/>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838,164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824,747</w:t>
            </w:r>
          </w:p>
        </w:tc>
      </w:tr>
      <w:tr>
        <w:trPr>
          <w:trHeight w:val="20"/>
        </w:trPr>
        <w:tc>
          <w:tcPr>
            <w:tcW w:w="4980" w:type="dxa"/>
            <w:vAlign w:val="bottom"/>
            <w:tcBorders>
              <w:bottom w:val="single" w:sz="8" w:color="E0E7ED"/>
            </w:tcBorders>
          </w:tcPr>
          <w:p>
            <w:pPr>
              <w:spacing w:after="0" w:line="20" w:lineRule="exact"/>
              <w:rPr>
                <w:sz w:val="1"/>
                <w:szCs w:val="1"/>
                <w:color w:val="auto"/>
              </w:rPr>
            </w:pPr>
          </w:p>
        </w:tc>
        <w:tc>
          <w:tcPr>
            <w:tcW w:w="104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3"/>
        </w:trPr>
        <w:tc>
          <w:tcPr>
            <w:tcW w:w="498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320" w:type="dxa"/>
            <w:vAlign w:val="bottom"/>
            <w:shd w:val="clear" w:color="auto" w:fill="E0E7ED"/>
          </w:tcPr>
          <w:p>
            <w:pPr>
              <w:spacing w:after="0"/>
              <w:rPr>
                <w:sz w:val="15"/>
                <w:szCs w:val="15"/>
                <w:color w:val="auto"/>
              </w:rPr>
            </w:pPr>
          </w:p>
        </w:tc>
      </w:tr>
      <w:tr>
        <w:trPr>
          <w:trHeight w:val="207"/>
        </w:trPr>
        <w:tc>
          <w:tcPr>
            <w:tcW w:w="4980" w:type="dxa"/>
            <w:vAlign w:val="bottom"/>
          </w:tcPr>
          <w:p>
            <w:pPr>
              <w:ind w:left="20"/>
              <w:spacing w:after="0"/>
              <w:rPr>
                <w:sz w:val="20"/>
                <w:szCs w:val="20"/>
                <w:color w:val="auto"/>
              </w:rPr>
            </w:pPr>
            <w:r>
              <w:rPr>
                <w:rFonts w:ascii="Verdana" w:cs="Verdana" w:eastAsia="Verdana" w:hAnsi="Verdana"/>
                <w:sz w:val="14"/>
                <w:szCs w:val="14"/>
                <w:color w:val="auto"/>
              </w:rPr>
              <w:t>Return on average tangible common equity (Non-GAAP)</w:t>
            </w:r>
          </w:p>
        </w:tc>
        <w:tc>
          <w:tcPr>
            <w:tcW w:w="1040" w:type="dxa"/>
            <w:vAlign w:val="bottom"/>
          </w:tcPr>
          <w:p>
            <w:pPr>
              <w:ind w:left="260"/>
              <w:spacing w:after="0"/>
              <w:rPr>
                <w:sz w:val="20"/>
                <w:szCs w:val="20"/>
                <w:color w:val="auto"/>
              </w:rPr>
            </w:pPr>
            <w:r>
              <w:rPr>
                <w:rFonts w:ascii="Verdana" w:cs="Verdana" w:eastAsia="Verdana" w:hAnsi="Verdana"/>
                <w:sz w:val="14"/>
                <w:szCs w:val="14"/>
                <w:color w:val="auto"/>
              </w:rPr>
              <w:t>[a÷e]</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11.65 %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14.62 %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15.56 %</w:t>
            </w:r>
          </w:p>
        </w:tc>
      </w:tr>
      <w:tr>
        <w:trPr>
          <w:trHeight w:val="21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return on average tangible common equity (Non-GAAP)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[b÷e]</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12.28 %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15.03 %</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15.99 %</w:t>
            </w:r>
          </w:p>
        </w:tc>
      </w:tr>
    </w:tbl>
    <w:p>
      <w:pPr>
        <w:spacing w:after="0" w:line="44"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140"/>
        <w:spacing w:after="0"/>
        <w:tabs>
          <w:tab w:leader="none" w:pos="360" w:val="left"/>
        </w:tabs>
        <w:rPr>
          <w:sz w:val="20"/>
          <w:szCs w:val="20"/>
          <w:color w:val="auto"/>
        </w:rPr>
      </w:pPr>
      <w:r>
        <w:rPr>
          <w:rFonts w:ascii="Verdana" w:cs="Verdana" w:eastAsia="Verdana" w:hAnsi="Verdana"/>
          <w:sz w:val="10"/>
          <w:szCs w:val="10"/>
          <w:color w:val="auto"/>
        </w:rPr>
        <w:t>1.</w:t>
        <w:tab/>
        <w:t>Tax benefits were calculated by multiplying acquisition expenses and other restructuring expenses by tax rates of 24.9%, 20.4%, and 20.7% for the years ended December 31, 2024, 2023, and 2022, respectively.</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8" w:name="page29"/>
    <w:bookmarkEnd w:id="2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ind w:left="320" w:right="740"/>
        <w:spacing w:after="0" w:line="319" w:lineRule="auto"/>
        <w:rPr>
          <w:sz w:val="20"/>
          <w:szCs w:val="20"/>
          <w:color w:val="auto"/>
        </w:rPr>
      </w:pPr>
      <w:r>
        <w:rPr>
          <w:rFonts w:ascii="Verdana" w:cs="Verdana" w:eastAsia="Verdana" w:hAnsi="Verdana"/>
          <w:sz w:val="14"/>
          <w:szCs w:val="14"/>
          <w:b w:val="1"/>
          <w:bCs w:val="1"/>
          <w:color w:val="auto"/>
        </w:rPr>
        <w:t xml:space="preserve">Tax-Equivalent Net Interest Income, Adjusted Net Interest Income, Net Interest Margin, and Adjusted Net Interest Margin </w:t>
      </w:r>
      <w:r>
        <w:rPr>
          <w:rFonts w:ascii="Verdana" w:cs="Verdana" w:eastAsia="Verdana" w:hAnsi="Verdana"/>
          <w:sz w:val="14"/>
          <w:szCs w:val="14"/>
          <w:i w:val="1"/>
          <w:iCs w:val="1"/>
          <w:color w:val="auto"/>
        </w:rPr>
        <w:t>(dollars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31"/>
        </w:trPr>
        <w:tc>
          <w:tcPr>
            <w:tcW w:w="4980" w:type="dxa"/>
            <w:vAlign w:val="bottom"/>
            <w:tcBorders>
              <w:bottom w:val="single" w:sz="8" w:color="E0E7ED"/>
            </w:tcBorders>
          </w:tcPr>
          <w:p>
            <w:pPr>
              <w:spacing w:after="0"/>
              <w:rPr>
                <w:sz w:val="11"/>
                <w:szCs w:val="11"/>
                <w:color w:val="auto"/>
              </w:rPr>
            </w:pPr>
          </w:p>
        </w:tc>
        <w:tc>
          <w:tcPr>
            <w:tcW w:w="10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 (GAAP)</w:t>
            </w:r>
          </w:p>
        </w:tc>
        <w:tc>
          <w:tcPr>
            <w:tcW w:w="104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322,611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320,621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323,628</w:t>
            </w:r>
          </w:p>
        </w:tc>
      </w:tr>
      <w:tr>
        <w:trPr>
          <w:trHeight w:val="207"/>
        </w:trPr>
        <w:tc>
          <w:tcPr>
            <w:tcW w:w="4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Tax-equivalent adjustment</w:t>
            </w:r>
            <w:r>
              <w:rPr>
                <w:rFonts w:ascii="Verdana" w:cs="Verdana" w:eastAsia="Verdana" w:hAnsi="Verdana"/>
                <w:sz w:val="9"/>
                <w:szCs w:val="9"/>
                <w:color w:val="auto"/>
              </w:rPr>
              <w:t>1</w:t>
            </w:r>
          </w:p>
        </w:tc>
        <w:tc>
          <w:tcPr>
            <w:tcW w:w="104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1,693</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2,173</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2,199</w:t>
            </w:r>
          </w:p>
        </w:tc>
      </w:tr>
      <w:tr>
        <w:trPr>
          <w:trHeight w:val="208"/>
        </w:trPr>
        <w:tc>
          <w:tcPr>
            <w:tcW w:w="4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Tax-equivalent net interest income (Non-GAAP)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[a]</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324,304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322,794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325,827</w:t>
            </w:r>
          </w:p>
        </w:tc>
      </w:tr>
      <w:tr>
        <w:trPr>
          <w:trHeight w:val="207"/>
        </w:trPr>
        <w:tc>
          <w:tcPr>
            <w:tcW w:w="4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Purchase accounting accretion related to business combinations</w:t>
            </w:r>
          </w:p>
        </w:tc>
        <w:tc>
          <w:tcPr>
            <w:tcW w:w="104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2"/>
              <w:spacing w:after="0"/>
              <w:rPr>
                <w:sz w:val="20"/>
                <w:szCs w:val="20"/>
                <w:color w:val="auto"/>
              </w:rPr>
            </w:pPr>
            <w:r>
              <w:rPr>
                <w:rFonts w:ascii="Verdana" w:cs="Verdana" w:eastAsia="Verdana" w:hAnsi="Verdana"/>
                <w:sz w:val="14"/>
                <w:szCs w:val="14"/>
                <w:color w:val="auto"/>
              </w:rPr>
              <w:t>(3,166)</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2"/>
              <w:spacing w:after="0"/>
              <w:rPr>
                <w:sz w:val="20"/>
                <w:szCs w:val="20"/>
                <w:color w:val="auto"/>
              </w:rPr>
            </w:pPr>
            <w:r>
              <w:rPr>
                <w:rFonts w:ascii="Verdana" w:cs="Verdana" w:eastAsia="Verdana" w:hAnsi="Verdana"/>
                <w:sz w:val="14"/>
                <w:szCs w:val="14"/>
                <w:color w:val="auto"/>
              </w:rPr>
              <w:t>(1,477)</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2"/>
              <w:spacing w:after="0"/>
              <w:rPr>
                <w:sz w:val="20"/>
                <w:szCs w:val="20"/>
                <w:color w:val="auto"/>
              </w:rPr>
            </w:pPr>
            <w:r>
              <w:rPr>
                <w:rFonts w:ascii="Verdana" w:cs="Verdana" w:eastAsia="Verdana" w:hAnsi="Verdana"/>
                <w:sz w:val="14"/>
                <w:szCs w:val="14"/>
                <w:color w:val="auto"/>
              </w:rPr>
              <w:t>(3,134)</w:t>
            </w:r>
          </w:p>
        </w:tc>
      </w:tr>
      <w:tr>
        <w:trPr>
          <w:trHeight w:val="233"/>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Adjusted net interest income (Non-GAAP)</w:t>
            </w:r>
          </w:p>
        </w:tc>
        <w:tc>
          <w:tcPr>
            <w:tcW w:w="1040" w:type="dxa"/>
            <w:vAlign w:val="bottom"/>
            <w:tcBorders>
              <w:bottom w:val="single" w:sz="8" w:color="E0E7ED"/>
            </w:tcBorders>
            <w:shd w:val="clear" w:color="auto" w:fill="E0E7ED"/>
          </w:tcPr>
          <w:p>
            <w:pPr>
              <w:ind w:left="260"/>
              <w:spacing w:after="0"/>
              <w:rPr>
                <w:sz w:val="20"/>
                <w:szCs w:val="20"/>
                <w:color w:val="auto"/>
              </w:rPr>
            </w:pPr>
            <w:r>
              <w:rPr>
                <w:rFonts w:ascii="Verdana" w:cs="Verdana" w:eastAsia="Verdana" w:hAnsi="Verdana"/>
                <w:sz w:val="14"/>
                <w:szCs w:val="14"/>
                <w:color w:val="auto"/>
              </w:rPr>
              <w:t>[b]</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321,138</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321,317</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322,693</w:t>
            </w: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104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2"/>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Average interest-earning assets (GAAP)</w:t>
            </w:r>
          </w:p>
        </w:tc>
        <w:tc>
          <w:tcPr>
            <w:tcW w:w="104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[c]</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10,999,424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5"/>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11,181,010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11,479,730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Net interest margin (Non-GAAP)</w:t>
            </w:r>
          </w:p>
        </w:tc>
        <w:tc>
          <w:tcPr>
            <w:tcW w:w="2300" w:type="dxa"/>
            <w:vAlign w:val="bottom"/>
            <w:shd w:val="clear" w:color="auto" w:fill="E0E7ED"/>
          </w:tcPr>
          <w:p>
            <w:pPr>
              <w:ind w:left="1120"/>
              <w:spacing w:after="0"/>
              <w:rPr>
                <w:sz w:val="20"/>
                <w:szCs w:val="20"/>
                <w:color w:val="auto"/>
              </w:rPr>
            </w:pPr>
            <w:r>
              <w:rPr>
                <w:rFonts w:ascii="Verdana" w:cs="Verdana" w:eastAsia="Verdana" w:hAnsi="Verdana"/>
                <w:sz w:val="14"/>
                <w:szCs w:val="14"/>
                <w:color w:val="auto"/>
              </w:rPr>
              <w:t>[a÷c]</w:t>
            </w:r>
          </w:p>
        </w:tc>
        <w:tc>
          <w:tcPr>
            <w:tcW w:w="1920" w:type="dxa"/>
            <w:vAlign w:val="bottom"/>
            <w:shd w:val="clear" w:color="auto" w:fill="E0E7ED"/>
          </w:tcPr>
          <w:p>
            <w:pPr>
              <w:jc w:val="right"/>
              <w:ind w:right="569"/>
              <w:spacing w:after="0"/>
              <w:rPr>
                <w:sz w:val="20"/>
                <w:szCs w:val="20"/>
                <w:color w:val="auto"/>
              </w:rPr>
            </w:pPr>
            <w:r>
              <w:rPr>
                <w:rFonts w:ascii="Verdana" w:cs="Verdana" w:eastAsia="Verdana" w:hAnsi="Verdana"/>
                <w:sz w:val="14"/>
                <w:szCs w:val="14"/>
                <w:color w:val="auto"/>
              </w:rPr>
              <w:t>2.95 %</w:t>
            </w:r>
          </w:p>
        </w:tc>
        <w:tc>
          <w:tcPr>
            <w:tcW w:w="1780" w:type="dxa"/>
            <w:vAlign w:val="bottom"/>
            <w:shd w:val="clear" w:color="auto" w:fill="E0E7ED"/>
          </w:tcPr>
          <w:p>
            <w:pPr>
              <w:jc w:val="right"/>
              <w:ind w:right="569"/>
              <w:spacing w:after="0"/>
              <w:rPr>
                <w:sz w:val="20"/>
                <w:szCs w:val="20"/>
                <w:color w:val="auto"/>
              </w:rPr>
            </w:pPr>
            <w:r>
              <w:rPr>
                <w:rFonts w:ascii="Verdana" w:cs="Verdana" w:eastAsia="Verdana" w:hAnsi="Verdana"/>
                <w:sz w:val="14"/>
                <w:szCs w:val="14"/>
                <w:color w:val="auto"/>
              </w:rPr>
              <w:t>2.89 %</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2.84 %</w:t>
            </w:r>
          </w:p>
        </w:tc>
      </w:tr>
      <w:tr>
        <w:trPr>
          <w:trHeight w:val="201"/>
        </w:trPr>
        <w:tc>
          <w:tcPr>
            <w:tcW w:w="4120" w:type="dxa"/>
            <w:vAlign w:val="bottom"/>
          </w:tcPr>
          <w:p>
            <w:pPr>
              <w:ind w:left="20"/>
              <w:spacing w:after="0"/>
              <w:rPr>
                <w:sz w:val="20"/>
                <w:szCs w:val="20"/>
                <w:color w:val="auto"/>
              </w:rPr>
            </w:pPr>
            <w:r>
              <w:rPr>
                <w:rFonts w:ascii="Verdana" w:cs="Verdana" w:eastAsia="Verdana" w:hAnsi="Verdana"/>
                <w:sz w:val="14"/>
                <w:szCs w:val="14"/>
                <w:color w:val="auto"/>
              </w:rPr>
              <w:t>Adjusted net interest margin (Non-GAAP)</w:t>
            </w:r>
          </w:p>
        </w:tc>
        <w:tc>
          <w:tcPr>
            <w:tcW w:w="2300" w:type="dxa"/>
            <w:vAlign w:val="bottom"/>
          </w:tcPr>
          <w:p>
            <w:pPr>
              <w:ind w:left="1120"/>
              <w:spacing w:after="0"/>
              <w:rPr>
                <w:sz w:val="20"/>
                <w:szCs w:val="20"/>
                <w:color w:val="auto"/>
              </w:rPr>
            </w:pPr>
            <w:r>
              <w:rPr>
                <w:rFonts w:ascii="Verdana" w:cs="Verdana" w:eastAsia="Verdana" w:hAnsi="Verdana"/>
                <w:sz w:val="14"/>
                <w:szCs w:val="14"/>
                <w:color w:val="auto"/>
              </w:rPr>
              <w:t>[b÷c]</w:t>
            </w:r>
          </w:p>
        </w:tc>
        <w:tc>
          <w:tcPr>
            <w:tcW w:w="1920" w:type="dxa"/>
            <w:vAlign w:val="bottom"/>
          </w:tcPr>
          <w:p>
            <w:pPr>
              <w:jc w:val="right"/>
              <w:ind w:right="569"/>
              <w:spacing w:after="0"/>
              <w:rPr>
                <w:sz w:val="20"/>
                <w:szCs w:val="20"/>
                <w:color w:val="auto"/>
              </w:rPr>
            </w:pPr>
            <w:r>
              <w:rPr>
                <w:rFonts w:ascii="Verdana" w:cs="Verdana" w:eastAsia="Verdana" w:hAnsi="Verdana"/>
                <w:sz w:val="14"/>
                <w:szCs w:val="14"/>
                <w:color w:val="auto"/>
              </w:rPr>
              <w:t>2.92 %</w:t>
            </w:r>
          </w:p>
        </w:tc>
        <w:tc>
          <w:tcPr>
            <w:tcW w:w="1780" w:type="dxa"/>
            <w:vAlign w:val="bottom"/>
          </w:tcPr>
          <w:p>
            <w:pPr>
              <w:jc w:val="right"/>
              <w:ind w:right="569"/>
              <w:spacing w:after="0"/>
              <w:rPr>
                <w:sz w:val="20"/>
                <w:szCs w:val="20"/>
                <w:color w:val="auto"/>
              </w:rPr>
            </w:pPr>
            <w:r>
              <w:rPr>
                <w:rFonts w:ascii="Verdana" w:cs="Verdana" w:eastAsia="Verdana" w:hAnsi="Verdana"/>
                <w:sz w:val="14"/>
                <w:szCs w:val="14"/>
                <w:color w:val="auto"/>
              </w:rPr>
              <w:t>2.87 %</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2.81 %</w:t>
            </w: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140"/>
        <w:spacing w:after="0"/>
        <w:tabs>
          <w:tab w:leader="none" w:pos="360" w:val="left"/>
        </w:tabs>
        <w:rPr>
          <w:sz w:val="20"/>
          <w:szCs w:val="20"/>
          <w:color w:val="auto"/>
        </w:rPr>
      </w:pPr>
      <w:r>
        <w:rPr>
          <w:rFonts w:ascii="Verdana" w:cs="Verdana" w:eastAsia="Verdana" w:hAnsi="Verdana"/>
          <w:sz w:val="10"/>
          <w:szCs w:val="10"/>
          <w:color w:val="auto"/>
        </w:rPr>
        <w:t>1.</w:t>
        <w:tab/>
        <w:t>Tax-equivalent adjustments were calculated using an estimated federal income tax rate of 21%, applied to non-taxable interest income on investments and loans.</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9" w:name="page30"/>
    <w:bookmarkEnd w:id="2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spacing w:after="0" w:line="319" w:lineRule="auto"/>
        <w:rPr>
          <w:sz w:val="20"/>
          <w:szCs w:val="20"/>
          <w:color w:val="auto"/>
        </w:rPr>
      </w:pPr>
      <w:r>
        <w:rPr>
          <w:rFonts w:ascii="Verdana" w:cs="Verdana" w:eastAsia="Verdana" w:hAnsi="Verdana"/>
          <w:sz w:val="14"/>
          <w:szCs w:val="14"/>
          <w:b w:val="1"/>
          <w:bCs w:val="1"/>
          <w:color w:val="auto"/>
        </w:rPr>
        <w:t xml:space="preserve">Adjusted Noninterest Income, Revenue Measures, Adjusted Noninterest Expense, Adjusted Core Expense, and Efficiency Ratios </w:t>
      </w:r>
      <w:r>
        <w:rPr>
          <w:rFonts w:ascii="Verdana" w:cs="Verdana" w:eastAsia="Verdana" w:hAnsi="Verdana"/>
          <w:sz w:val="14"/>
          <w:szCs w:val="14"/>
          <w:i w:val="1"/>
          <w:iCs w:val="1"/>
          <w:color w:val="auto"/>
        </w:rPr>
        <w:t>(dollars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31"/>
        </w:trPr>
        <w:tc>
          <w:tcPr>
            <w:tcW w:w="5100" w:type="dxa"/>
            <w:vAlign w:val="bottom"/>
            <w:tcBorders>
              <w:bottom w:val="single" w:sz="8" w:color="E0E7ED"/>
            </w:tcBorders>
          </w:tcPr>
          <w:p>
            <w:pPr>
              <w:spacing w:after="0"/>
              <w:rPr>
                <w:sz w:val="11"/>
                <w:szCs w:val="11"/>
                <w:color w:val="auto"/>
              </w:rPr>
            </w:pPr>
          </w:p>
        </w:tc>
        <w:tc>
          <w:tcPr>
            <w:tcW w:w="96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52"/>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51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 (GAAP)</w:t>
            </w:r>
          </w:p>
        </w:tc>
        <w:tc>
          <w:tcPr>
            <w:tcW w:w="960" w:type="dxa"/>
            <w:vAlign w:val="bottom"/>
            <w:shd w:val="clear" w:color="auto" w:fill="E0E7ED"/>
          </w:tcPr>
          <w:p>
            <w:pPr>
              <w:ind w:left="180"/>
              <w:spacing w:after="0"/>
              <w:rPr>
                <w:sz w:val="20"/>
                <w:szCs w:val="20"/>
                <w:color w:val="auto"/>
              </w:rPr>
            </w:pPr>
            <w:r>
              <w:rPr>
                <w:rFonts w:ascii="Verdana" w:cs="Verdana" w:eastAsia="Verdana" w:hAnsi="Verdana"/>
                <w:sz w:val="14"/>
                <w:szCs w:val="14"/>
                <w:color w:val="auto"/>
              </w:rPr>
              <w:t>[a]</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322,611</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jc w:val="right"/>
              <w:ind w:right="236"/>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320,621</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323,628</w:t>
            </w:r>
          </w:p>
        </w:tc>
      </w:tr>
      <w:tr>
        <w:trPr>
          <w:trHeight w:val="207"/>
        </w:trPr>
        <w:tc>
          <w:tcPr>
            <w:tcW w:w="51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Tax-equivalent adjustment</w:t>
            </w:r>
            <w:r>
              <w:rPr>
                <w:rFonts w:ascii="Verdana" w:cs="Verdana" w:eastAsia="Verdana" w:hAnsi="Verdana"/>
                <w:sz w:val="9"/>
                <w:szCs w:val="9"/>
                <w:color w:val="auto"/>
              </w:rPr>
              <w:t>1</w:t>
            </w:r>
          </w:p>
        </w:tc>
        <w:tc>
          <w:tcPr>
            <w:tcW w:w="96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1,693</w:t>
            </w:r>
          </w:p>
        </w:tc>
        <w:tc>
          <w:tcPr>
            <w:tcW w:w="8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2,173</w:t>
            </w:r>
          </w:p>
        </w:tc>
        <w:tc>
          <w:tcPr>
            <w:tcW w:w="8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2,199</w:t>
            </w:r>
          </w:p>
        </w:tc>
      </w:tr>
      <w:tr>
        <w:trPr>
          <w:trHeight w:val="203"/>
        </w:trPr>
        <w:tc>
          <w:tcPr>
            <w:tcW w:w="51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Tax-equivalent net interest income (Non-GAAP)</w:t>
            </w:r>
          </w:p>
        </w:tc>
        <w:tc>
          <w:tcPr>
            <w:tcW w:w="960" w:type="dxa"/>
            <w:vAlign w:val="bottom"/>
            <w:shd w:val="clear" w:color="auto" w:fill="E0E7ED"/>
          </w:tcPr>
          <w:p>
            <w:pPr>
              <w:ind w:left="180"/>
              <w:spacing w:after="0"/>
              <w:rPr>
                <w:sz w:val="20"/>
                <w:szCs w:val="20"/>
                <w:color w:val="auto"/>
              </w:rPr>
            </w:pPr>
            <w:r>
              <w:rPr>
                <w:rFonts w:ascii="Verdana" w:cs="Verdana" w:eastAsia="Verdana" w:hAnsi="Verdana"/>
                <w:sz w:val="14"/>
                <w:szCs w:val="14"/>
                <w:color w:val="auto"/>
              </w:rPr>
              <w:t>[b]</w:t>
            </w:r>
          </w:p>
        </w:tc>
        <w:tc>
          <w:tcPr>
            <w:tcW w:w="400" w:type="dxa"/>
            <w:vAlign w:val="bottom"/>
            <w:tcBorders>
              <w:bottom w:val="single" w:sz="8" w:color="auto"/>
            </w:tcBorders>
            <w:shd w:val="clear" w:color="auto" w:fill="E0E7ED"/>
          </w:tcPr>
          <w:p>
            <w:pPr>
              <w:spacing w:after="0"/>
              <w:rPr>
                <w:sz w:val="17"/>
                <w:szCs w:val="17"/>
                <w:color w:val="auto"/>
              </w:rPr>
            </w:pP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324,304</w:t>
            </w:r>
          </w:p>
        </w:tc>
        <w:tc>
          <w:tcPr>
            <w:tcW w:w="80" w:type="dxa"/>
            <w:vAlign w:val="bottom"/>
            <w:shd w:val="clear" w:color="auto" w:fill="E0E7ED"/>
          </w:tcPr>
          <w:p>
            <w:pPr>
              <w:spacing w:after="0"/>
              <w:rPr>
                <w:sz w:val="17"/>
                <w:szCs w:val="17"/>
                <w:color w:val="auto"/>
              </w:rPr>
            </w:pPr>
          </w:p>
        </w:tc>
        <w:tc>
          <w:tcPr>
            <w:tcW w:w="400" w:type="dxa"/>
            <w:vAlign w:val="bottom"/>
            <w:tcBorders>
              <w:bottom w:val="single" w:sz="8" w:color="auto"/>
            </w:tcBorders>
            <w:shd w:val="clear" w:color="auto" w:fill="E0E7ED"/>
          </w:tcPr>
          <w:p>
            <w:pPr>
              <w:spacing w:after="0"/>
              <w:rPr>
                <w:sz w:val="17"/>
                <w:szCs w:val="17"/>
                <w:color w:val="auto"/>
              </w:rPr>
            </w:pPr>
          </w:p>
        </w:tc>
        <w:tc>
          <w:tcPr>
            <w:tcW w:w="130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322,794</w:t>
            </w:r>
          </w:p>
        </w:tc>
        <w:tc>
          <w:tcPr>
            <w:tcW w:w="80" w:type="dxa"/>
            <w:vAlign w:val="bottom"/>
            <w:shd w:val="clear" w:color="auto" w:fill="E0E7ED"/>
          </w:tcPr>
          <w:p>
            <w:pPr>
              <w:spacing w:after="0"/>
              <w:rPr>
                <w:sz w:val="17"/>
                <w:szCs w:val="17"/>
                <w:color w:val="auto"/>
              </w:rPr>
            </w:pPr>
          </w:p>
        </w:tc>
        <w:tc>
          <w:tcPr>
            <w:tcW w:w="400" w:type="dxa"/>
            <w:vAlign w:val="bottom"/>
            <w:tcBorders>
              <w:bottom w:val="single" w:sz="8" w:color="auto"/>
            </w:tcBorders>
            <w:shd w:val="clear" w:color="auto" w:fill="E0E7ED"/>
          </w:tcPr>
          <w:p>
            <w:pPr>
              <w:spacing w:after="0"/>
              <w:rPr>
                <w:sz w:val="17"/>
                <w:szCs w:val="17"/>
                <w:color w:val="auto"/>
              </w:rPr>
            </w:pP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325,827</w:t>
            </w:r>
          </w:p>
        </w:tc>
      </w:tr>
      <w:tr>
        <w:trPr>
          <w:trHeight w:val="198"/>
        </w:trPr>
        <w:tc>
          <w:tcPr>
            <w:tcW w:w="5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2"/>
        </w:trPr>
        <w:tc>
          <w:tcPr>
            <w:tcW w:w="51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noninterest income (GAAP)</w:t>
            </w:r>
          </w:p>
        </w:tc>
        <w:tc>
          <w:tcPr>
            <w:tcW w:w="96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139,682</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121,214</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126,613</w:t>
            </w:r>
          </w:p>
        </w:tc>
      </w:tr>
      <w:tr>
        <w:trPr>
          <w:trHeight w:val="207"/>
        </w:trPr>
        <w:tc>
          <w:tcPr>
            <w:tcW w:w="51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Net security (gains) losses (GAAP)</w:t>
            </w:r>
          </w:p>
        </w:tc>
        <w:tc>
          <w:tcPr>
            <w:tcW w:w="96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6,102</w:t>
            </w:r>
          </w:p>
        </w:tc>
        <w:tc>
          <w:tcPr>
            <w:tcW w:w="8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2,199</w:t>
            </w:r>
          </w:p>
        </w:tc>
        <w:tc>
          <w:tcPr>
            <w:tcW w:w="80" w:type="dxa"/>
            <w:vAlign w:val="bottom"/>
            <w:tcBorders>
              <w:bottom w:val="single" w:sz="8" w:color="E0E7E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2,133</w:t>
            </w:r>
          </w:p>
        </w:tc>
      </w:tr>
      <w:tr>
        <w:trPr>
          <w:trHeight w:val="172"/>
        </w:trPr>
        <w:tc>
          <w:tcPr>
            <w:tcW w:w="51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Noninterest income excluding net securities gains and losses (Non-</w:t>
            </w:r>
          </w:p>
        </w:tc>
        <w:tc>
          <w:tcPr>
            <w:tcW w:w="960" w:type="dxa"/>
            <w:vAlign w:val="bottom"/>
            <w:shd w:val="clear" w:color="auto" w:fill="E0E7ED"/>
          </w:tcPr>
          <w:p>
            <w:pPr>
              <w:spacing w:after="0"/>
              <w:rPr>
                <w:sz w:val="14"/>
                <w:szCs w:val="14"/>
                <w:color w:val="auto"/>
              </w:rPr>
            </w:pPr>
          </w:p>
        </w:tc>
        <w:tc>
          <w:tcPr>
            <w:tcW w:w="4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400" w:type="dxa"/>
            <w:vAlign w:val="bottom"/>
            <w:shd w:val="clear" w:color="auto" w:fill="E0E7ED"/>
          </w:tcPr>
          <w:p>
            <w:pPr>
              <w:spacing w:after="0"/>
              <w:rPr>
                <w:sz w:val="14"/>
                <w:szCs w:val="14"/>
                <w:color w:val="auto"/>
              </w:rPr>
            </w:pPr>
          </w:p>
        </w:tc>
        <w:tc>
          <w:tcPr>
            <w:tcW w:w="13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4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95"/>
        </w:trPr>
        <w:tc>
          <w:tcPr>
            <w:tcW w:w="51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GAAP)</w:t>
            </w:r>
          </w:p>
        </w:tc>
        <w:tc>
          <w:tcPr>
            <w:tcW w:w="960" w:type="dxa"/>
            <w:vAlign w:val="bottom"/>
            <w:shd w:val="clear" w:color="auto" w:fill="E0E7ED"/>
          </w:tcPr>
          <w:p>
            <w:pPr>
              <w:ind w:left="180"/>
              <w:spacing w:after="0"/>
              <w:rPr>
                <w:sz w:val="20"/>
                <w:szCs w:val="20"/>
                <w:color w:val="auto"/>
              </w:rPr>
            </w:pPr>
            <w:r>
              <w:rPr>
                <w:rFonts w:ascii="Verdana" w:cs="Verdana" w:eastAsia="Verdana" w:hAnsi="Verdana"/>
                <w:sz w:val="14"/>
                <w:szCs w:val="14"/>
                <w:color w:val="auto"/>
              </w:rPr>
              <w:t>[c]</w:t>
            </w:r>
          </w:p>
        </w:tc>
        <w:tc>
          <w:tcPr>
            <w:tcW w:w="400" w:type="dxa"/>
            <w:vAlign w:val="bottom"/>
            <w:shd w:val="clear" w:color="auto" w:fill="E0E7ED"/>
          </w:tcPr>
          <w:p>
            <w:pPr>
              <w:spacing w:after="0"/>
              <w:rPr>
                <w:sz w:val="16"/>
                <w:szCs w:val="16"/>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145,784</w:t>
            </w:r>
          </w:p>
        </w:tc>
        <w:tc>
          <w:tcPr>
            <w:tcW w:w="80" w:type="dxa"/>
            <w:vAlign w:val="bottom"/>
            <w:shd w:val="clear" w:color="auto" w:fill="E0E7ED"/>
          </w:tcPr>
          <w:p>
            <w:pPr>
              <w:spacing w:after="0"/>
              <w:rPr>
                <w:sz w:val="16"/>
                <w:szCs w:val="16"/>
                <w:color w:val="auto"/>
              </w:rPr>
            </w:pPr>
          </w:p>
        </w:tc>
        <w:tc>
          <w:tcPr>
            <w:tcW w:w="400" w:type="dxa"/>
            <w:vAlign w:val="bottom"/>
            <w:shd w:val="clear" w:color="auto" w:fill="E0E7ED"/>
          </w:tcPr>
          <w:p>
            <w:pPr>
              <w:spacing w:after="0"/>
              <w:rPr>
                <w:sz w:val="16"/>
                <w:szCs w:val="16"/>
                <w:color w:val="auto"/>
              </w:rPr>
            </w:pPr>
          </w:p>
        </w:tc>
        <w:tc>
          <w:tcPr>
            <w:tcW w:w="13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123,413</w:t>
            </w:r>
          </w:p>
        </w:tc>
        <w:tc>
          <w:tcPr>
            <w:tcW w:w="80" w:type="dxa"/>
            <w:vAlign w:val="bottom"/>
            <w:shd w:val="clear" w:color="auto" w:fill="E0E7ED"/>
          </w:tcPr>
          <w:p>
            <w:pPr>
              <w:spacing w:after="0"/>
              <w:rPr>
                <w:sz w:val="16"/>
                <w:szCs w:val="16"/>
                <w:color w:val="auto"/>
              </w:rPr>
            </w:pPr>
          </w:p>
        </w:tc>
        <w:tc>
          <w:tcPr>
            <w:tcW w:w="400" w:type="dxa"/>
            <w:vAlign w:val="bottom"/>
            <w:shd w:val="clear" w:color="auto" w:fill="E0E7ED"/>
          </w:tcPr>
          <w:p>
            <w:pPr>
              <w:spacing w:after="0"/>
              <w:rPr>
                <w:sz w:val="16"/>
                <w:szCs w:val="16"/>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128,746</w:t>
            </w:r>
          </w:p>
        </w:tc>
      </w:tr>
      <w:tr>
        <w:trPr>
          <w:trHeight w:val="187"/>
        </w:trPr>
        <w:tc>
          <w:tcPr>
            <w:tcW w:w="5100" w:type="dxa"/>
            <w:vAlign w:val="bottom"/>
          </w:tcPr>
          <w:p>
            <w:pPr>
              <w:ind w:left="140"/>
              <w:spacing w:after="0"/>
              <w:rPr>
                <w:sz w:val="20"/>
                <w:szCs w:val="20"/>
                <w:color w:val="auto"/>
              </w:rPr>
            </w:pPr>
            <w:r>
              <w:rPr>
                <w:rFonts w:ascii="Verdana" w:cs="Verdana" w:eastAsia="Verdana" w:hAnsi="Verdana"/>
                <w:sz w:val="14"/>
                <w:szCs w:val="14"/>
                <w:color w:val="auto"/>
              </w:rPr>
              <w:t>Realized net (gains) losses on the sale of mortgage servicing rights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100" w:type="dxa"/>
            <w:vAlign w:val="bottom"/>
          </w:tcPr>
          <w:p>
            <w:pPr>
              <w:ind w:left="140"/>
              <w:spacing w:after="0"/>
              <w:rPr>
                <w:sz w:val="20"/>
                <w:szCs w:val="20"/>
                <w:color w:val="auto"/>
              </w:rPr>
            </w:pPr>
            <w:r>
              <w:rPr>
                <w:rFonts w:ascii="Verdana" w:cs="Verdana" w:eastAsia="Verdana" w:hAnsi="Verdana"/>
                <w:sz w:val="14"/>
                <w:szCs w:val="14"/>
                <w:color w:val="auto"/>
              </w:rPr>
              <w:t>(GAAP)</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Verdana" w:cs="Verdana" w:eastAsia="Verdana" w:hAnsi="Verdana"/>
                <w:sz w:val="14"/>
                <w:szCs w:val="14"/>
                <w:color w:val="auto"/>
              </w:rPr>
              <w:t>(7,724)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w:t>
            </w:r>
          </w:p>
        </w:tc>
      </w:tr>
      <w:tr>
        <w:trPr>
          <w:trHeight w:val="233"/>
        </w:trPr>
        <w:tc>
          <w:tcPr>
            <w:tcW w:w="51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Adjusted noninterest income (Non-GAAP)</w:t>
            </w:r>
          </w:p>
        </w:tc>
        <w:tc>
          <w:tcPr>
            <w:tcW w:w="960" w:type="dxa"/>
            <w:vAlign w:val="bottom"/>
            <w:tcBorders>
              <w:top w:val="single" w:sz="8" w:color="E0E7ED"/>
              <w:bottom w:val="single" w:sz="8" w:color="E0E7ED"/>
            </w:tcBorders>
            <w:shd w:val="clear" w:color="auto" w:fill="E0E7ED"/>
          </w:tcPr>
          <w:p>
            <w:pPr>
              <w:ind w:left="180"/>
              <w:spacing w:after="0"/>
              <w:rPr>
                <w:sz w:val="20"/>
                <w:szCs w:val="20"/>
                <w:color w:val="auto"/>
              </w:rPr>
            </w:pPr>
            <w:r>
              <w:rPr>
                <w:rFonts w:ascii="Verdana" w:cs="Verdana" w:eastAsia="Verdana" w:hAnsi="Verdana"/>
                <w:sz w:val="14"/>
                <w:szCs w:val="14"/>
                <w:color w:val="auto"/>
              </w:rPr>
              <w:t>[d]</w:t>
            </w:r>
          </w:p>
        </w:tc>
        <w:tc>
          <w:tcPr>
            <w:tcW w:w="400" w:type="dxa"/>
            <w:vAlign w:val="bottom"/>
            <w:tcBorders>
              <w:top w:val="single" w:sz="8" w:color="auto"/>
              <w:bottom w:val="single" w:sz="8" w:color="auto"/>
            </w:tcBorders>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top w:val="single" w:sz="8" w:color="auto"/>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138,060</w:t>
            </w:r>
          </w:p>
        </w:tc>
        <w:tc>
          <w:tcPr>
            <w:tcW w:w="80" w:type="dxa"/>
            <w:vAlign w:val="bottom"/>
            <w:tcBorders>
              <w:top w:val="single" w:sz="8" w:color="E0E7ED"/>
              <w:bottom w:val="single" w:sz="8" w:color="E0E7ED"/>
            </w:tcBorders>
            <w:shd w:val="clear" w:color="auto" w:fill="E0E7ED"/>
          </w:tcPr>
          <w:p>
            <w:pPr>
              <w:spacing w:after="0"/>
              <w:rPr>
                <w:sz w:val="19"/>
                <w:szCs w:val="19"/>
                <w:color w:val="auto"/>
              </w:rPr>
            </w:pPr>
          </w:p>
        </w:tc>
        <w:tc>
          <w:tcPr>
            <w:tcW w:w="400" w:type="dxa"/>
            <w:vAlign w:val="bottom"/>
            <w:tcBorders>
              <w:top w:val="single" w:sz="8" w:color="auto"/>
              <w:bottom w:val="single" w:sz="8" w:color="auto"/>
            </w:tcBorders>
            <w:shd w:val="clear" w:color="auto" w:fill="E0E7ED"/>
          </w:tcPr>
          <w:p>
            <w:pPr>
              <w:jc w:val="right"/>
              <w:ind w:right="236"/>
              <w:spacing w:after="0"/>
              <w:rPr>
                <w:sz w:val="20"/>
                <w:szCs w:val="20"/>
                <w:color w:val="auto"/>
              </w:rPr>
            </w:pPr>
            <w:r>
              <w:rPr>
                <w:rFonts w:ascii="Verdana" w:cs="Verdana" w:eastAsia="Verdana" w:hAnsi="Verdana"/>
                <w:sz w:val="14"/>
                <w:szCs w:val="14"/>
                <w:color w:val="auto"/>
                <w:w w:val="88"/>
              </w:rPr>
              <w:t>$</w:t>
            </w:r>
          </w:p>
        </w:tc>
        <w:tc>
          <w:tcPr>
            <w:tcW w:w="1300" w:type="dxa"/>
            <w:vAlign w:val="bottom"/>
            <w:tcBorders>
              <w:top w:val="single" w:sz="8" w:color="auto"/>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123,413</w:t>
            </w:r>
          </w:p>
        </w:tc>
        <w:tc>
          <w:tcPr>
            <w:tcW w:w="80" w:type="dxa"/>
            <w:vAlign w:val="bottom"/>
            <w:tcBorders>
              <w:top w:val="single" w:sz="8" w:color="E0E7ED"/>
              <w:bottom w:val="single" w:sz="8" w:color="E0E7ED"/>
            </w:tcBorders>
            <w:shd w:val="clear" w:color="auto" w:fill="E0E7ED"/>
          </w:tcPr>
          <w:p>
            <w:pPr>
              <w:spacing w:after="0"/>
              <w:rPr>
                <w:sz w:val="19"/>
                <w:szCs w:val="19"/>
                <w:color w:val="auto"/>
              </w:rPr>
            </w:pPr>
          </w:p>
        </w:tc>
        <w:tc>
          <w:tcPr>
            <w:tcW w:w="400" w:type="dxa"/>
            <w:vAlign w:val="bottom"/>
            <w:tcBorders>
              <w:top w:val="single" w:sz="8" w:color="auto"/>
              <w:bottom w:val="single" w:sz="8" w:color="auto"/>
            </w:tcBorders>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top w:val="single" w:sz="8" w:color="auto"/>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128,746</w:t>
            </w:r>
          </w:p>
        </w:tc>
      </w:tr>
      <w:tr>
        <w:trPr>
          <w:trHeight w:val="20"/>
        </w:trPr>
        <w:tc>
          <w:tcPr>
            <w:tcW w:w="5100" w:type="dxa"/>
            <w:vAlign w:val="bottom"/>
            <w:tcBorders>
              <w:top w:val="single" w:sz="8" w:color="E0E7ED"/>
            </w:tcBorders>
          </w:tcPr>
          <w:p>
            <w:pPr>
              <w:spacing w:after="0" w:line="20" w:lineRule="exact"/>
              <w:rPr>
                <w:sz w:val="1"/>
                <w:szCs w:val="1"/>
                <w:color w:val="auto"/>
              </w:rPr>
            </w:pPr>
          </w:p>
        </w:tc>
        <w:tc>
          <w:tcPr>
            <w:tcW w:w="96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p>
      <w:pPr>
        <w:spacing w:after="0" w:line="208"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Tax-equivalent revenue (Non-GAAP)</w:t>
      </w:r>
    </w:p>
    <w:p>
      <w:pPr>
        <w:spacing w:after="0" w:line="42"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Adjusted tax-equivalent revenue (Non-GAAP)</w:t>
      </w:r>
    </w:p>
    <w:p>
      <w:pPr>
        <w:spacing w:after="0" w:line="42"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Operating revenue (Non-GAAP)</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Verdana" w:cs="Verdana" w:eastAsia="Verdana" w:hAnsi="Verdana"/>
                <w:sz w:val="14"/>
                <w:szCs w:val="14"/>
                <w:color w:val="auto"/>
              </w:rPr>
              <w:t>[e = b+c] $</w:t>
            </w: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470,088</w:t>
            </w:r>
          </w:p>
        </w:tc>
        <w:tc>
          <w:tcPr>
            <w:tcW w:w="640" w:type="dxa"/>
            <w:vAlign w:val="bottom"/>
          </w:tcPr>
          <w:p>
            <w:pPr>
              <w:jc w:val="right"/>
              <w:ind w:right="329"/>
              <w:spacing w:after="0"/>
              <w:rPr>
                <w:sz w:val="20"/>
                <w:szCs w:val="20"/>
                <w:color w:val="auto"/>
              </w:rPr>
            </w:pPr>
            <w:r>
              <w:rPr>
                <w:rFonts w:ascii="Verdana" w:cs="Verdana" w:eastAsia="Verdana" w:hAnsi="Verdana"/>
                <w:sz w:val="14"/>
                <w:szCs w:val="14"/>
                <w:color w:val="auto"/>
              </w:rPr>
              <w:t>$</w:t>
            </w: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446,207</w:t>
            </w:r>
          </w:p>
        </w:tc>
        <w:tc>
          <w:tcPr>
            <w:tcW w:w="620" w:type="dxa"/>
            <w:vAlign w:val="bottom"/>
          </w:tcPr>
          <w:p>
            <w:pPr>
              <w:jc w:val="right"/>
              <w:ind w:right="309"/>
              <w:spacing w:after="0"/>
              <w:rPr>
                <w:sz w:val="20"/>
                <w:szCs w:val="20"/>
                <w:color w:val="auto"/>
              </w:rPr>
            </w:pPr>
            <w:r>
              <w:rPr>
                <w:rFonts w:ascii="Verdana" w:cs="Verdana" w:eastAsia="Verdana" w:hAnsi="Verdana"/>
                <w:sz w:val="14"/>
                <w:szCs w:val="14"/>
                <w:color w:val="auto"/>
              </w:rPr>
              <w:t>$</w:t>
            </w:r>
          </w:p>
        </w:tc>
        <w:tc>
          <w:tcPr>
            <w:tcW w:w="980" w:type="dxa"/>
            <w:vAlign w:val="bottom"/>
          </w:tcPr>
          <w:p>
            <w:pPr>
              <w:jc w:val="right"/>
              <w:spacing w:after="0"/>
              <w:rPr>
                <w:sz w:val="20"/>
                <w:szCs w:val="20"/>
                <w:color w:val="auto"/>
              </w:rPr>
            </w:pPr>
            <w:r>
              <w:rPr>
                <w:rFonts w:ascii="Verdana" w:cs="Verdana" w:eastAsia="Verdana" w:hAnsi="Verdana"/>
                <w:sz w:val="14"/>
                <w:szCs w:val="14"/>
                <w:color w:val="auto"/>
              </w:rPr>
              <w:t>454,573</w:t>
            </w:r>
          </w:p>
        </w:tc>
      </w:tr>
      <w:tr>
        <w:trPr>
          <w:trHeight w:val="212"/>
        </w:trPr>
        <w:tc>
          <w:tcPr>
            <w:tcW w:w="1260" w:type="dxa"/>
            <w:vAlign w:val="bottom"/>
          </w:tcPr>
          <w:p>
            <w:pPr>
              <w:spacing w:after="0"/>
              <w:rPr>
                <w:sz w:val="20"/>
                <w:szCs w:val="20"/>
                <w:color w:val="auto"/>
              </w:rPr>
            </w:pPr>
            <w:r>
              <w:rPr>
                <w:rFonts w:ascii="Verdana" w:cs="Verdana" w:eastAsia="Verdana" w:hAnsi="Verdana"/>
                <w:sz w:val="14"/>
                <w:szCs w:val="14"/>
                <w:color w:val="auto"/>
              </w:rPr>
              <w:t>[f = b+d]</w:t>
            </w: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462,364</w:t>
            </w:r>
          </w:p>
        </w:tc>
        <w:tc>
          <w:tcPr>
            <w:tcW w:w="64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446,207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454,573</w:t>
            </w:r>
          </w:p>
        </w:tc>
      </w:tr>
      <w:tr>
        <w:trPr>
          <w:trHeight w:val="212"/>
        </w:trPr>
        <w:tc>
          <w:tcPr>
            <w:tcW w:w="1260" w:type="dxa"/>
            <w:vAlign w:val="bottom"/>
          </w:tcPr>
          <w:p>
            <w:pPr>
              <w:spacing w:after="0"/>
              <w:rPr>
                <w:sz w:val="20"/>
                <w:szCs w:val="20"/>
                <w:color w:val="auto"/>
              </w:rPr>
            </w:pPr>
            <w:r>
              <w:rPr>
                <w:rFonts w:ascii="Verdana" w:cs="Verdana" w:eastAsia="Verdana" w:hAnsi="Verdana"/>
                <w:sz w:val="14"/>
                <w:szCs w:val="14"/>
                <w:color w:val="auto"/>
              </w:rPr>
              <w:t>[g = a+d]</w:t>
            </w: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460,671</w:t>
            </w:r>
          </w:p>
        </w:tc>
        <w:tc>
          <w:tcPr>
            <w:tcW w:w="640" w:type="dxa"/>
            <w:vAlign w:val="bottom"/>
          </w:tcPr>
          <w:p>
            <w:pPr>
              <w:spacing w:after="0"/>
              <w:rPr>
                <w:sz w:val="18"/>
                <w:szCs w:val="18"/>
                <w:color w:val="auto"/>
              </w:rPr>
            </w:pPr>
          </w:p>
        </w:tc>
        <w:tc>
          <w:tcPr>
            <w:tcW w:w="1140" w:type="dxa"/>
            <w:vAlign w:val="bottom"/>
          </w:tcPr>
          <w:p>
            <w:pPr>
              <w:jc w:val="right"/>
              <w:ind w:right="89"/>
              <w:spacing w:after="0"/>
              <w:rPr>
                <w:sz w:val="20"/>
                <w:szCs w:val="20"/>
                <w:color w:val="auto"/>
              </w:rPr>
            </w:pPr>
            <w:r>
              <w:rPr>
                <w:rFonts w:ascii="Verdana" w:cs="Verdana" w:eastAsia="Verdana" w:hAnsi="Verdana"/>
                <w:sz w:val="14"/>
                <w:szCs w:val="14"/>
                <w:color w:val="auto"/>
              </w:rPr>
              <w:t>444,034</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452,374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-127000</wp:posOffset>
            </wp:positionV>
            <wp:extent cx="7161530"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000"/>
          </w:cols>
          <w:pgMar w:left="300" w:top="273" w:right="31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noninterest income to operating revenue (Non-GAAP)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[d÷g]</w:t>
            </w: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29.97 %</w:t>
            </w:r>
          </w:p>
        </w:tc>
        <w:tc>
          <w:tcPr>
            <w:tcW w:w="80" w:type="dxa"/>
            <w:vAlign w:val="bottom"/>
            <w:shd w:val="clear" w:color="auto" w:fill="E0E7ED"/>
          </w:tcPr>
          <w:p>
            <w:pPr>
              <w:spacing w:after="0"/>
              <w:rPr>
                <w:sz w:val="18"/>
                <w:szCs w:val="18"/>
                <w:color w:val="auto"/>
              </w:rPr>
            </w:pPr>
          </w:p>
        </w:tc>
        <w:tc>
          <w:tcPr>
            <w:tcW w:w="50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27.79 %</w:t>
            </w: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28.46 %</w:t>
            </w:r>
          </w:p>
        </w:tc>
      </w:tr>
      <w:tr>
        <w:trPr>
          <w:trHeight w:val="212"/>
        </w:trPr>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2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noninterest expense (GAAP)</w:t>
            </w:r>
          </w:p>
        </w:tc>
        <w:tc>
          <w:tcPr>
            <w:tcW w:w="840" w:type="dxa"/>
            <w:vAlign w:val="bottom"/>
            <w:shd w:val="clear" w:color="auto" w:fill="E0E7ED"/>
          </w:tcPr>
          <w:p>
            <w:pPr>
              <w:spacing w:after="0"/>
              <w:rPr>
                <w:sz w:val="18"/>
                <w:szCs w:val="18"/>
                <w:color w:val="auto"/>
              </w:rPr>
            </w:pPr>
          </w:p>
        </w:tc>
        <w:tc>
          <w:tcPr>
            <w:tcW w:w="480" w:type="dxa"/>
            <w:vAlign w:val="bottom"/>
            <w:shd w:val="clear" w:color="auto" w:fill="E0E7ED"/>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300,399</w:t>
            </w:r>
          </w:p>
        </w:tc>
        <w:tc>
          <w:tcPr>
            <w:tcW w:w="80" w:type="dxa"/>
            <w:vAlign w:val="bottom"/>
            <w:shd w:val="clear" w:color="auto" w:fill="E0E7ED"/>
          </w:tcPr>
          <w:p>
            <w:pPr>
              <w:spacing w:after="0"/>
              <w:rPr>
                <w:sz w:val="18"/>
                <w:szCs w:val="18"/>
                <w:color w:val="auto"/>
              </w:rPr>
            </w:pPr>
          </w:p>
        </w:tc>
        <w:tc>
          <w:tcPr>
            <w:tcW w:w="500" w:type="dxa"/>
            <w:vAlign w:val="bottom"/>
            <w:shd w:val="clear" w:color="auto" w:fill="E0E7ED"/>
          </w:tcPr>
          <w:p>
            <w:pPr>
              <w:jc w:val="right"/>
              <w:ind w:right="32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285,532</w:t>
            </w: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283,881</w:t>
            </w:r>
          </w:p>
        </w:tc>
      </w:tr>
      <w:tr>
        <w:trPr>
          <w:trHeight w:val="207"/>
        </w:trPr>
        <w:tc>
          <w:tcPr>
            <w:tcW w:w="52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Amortization of intangible assets (GAAP)</w:t>
            </w:r>
          </w:p>
        </w:tc>
        <w:tc>
          <w:tcPr>
            <w:tcW w:w="840" w:type="dxa"/>
            <w:vAlign w:val="bottom"/>
            <w:tcBorders>
              <w:bottom w:val="single" w:sz="8" w:color="E0E7ED"/>
            </w:tcBorders>
          </w:tcPr>
          <w:p>
            <w:pPr>
              <w:ind w:left="60"/>
              <w:spacing w:after="0"/>
              <w:rPr>
                <w:sz w:val="20"/>
                <w:szCs w:val="20"/>
                <w:color w:val="auto"/>
              </w:rPr>
            </w:pPr>
            <w:r>
              <w:rPr>
                <w:rFonts w:ascii="Verdana" w:cs="Verdana" w:eastAsia="Verdana" w:hAnsi="Verdana"/>
                <w:sz w:val="14"/>
                <w:szCs w:val="14"/>
                <w:color w:val="auto"/>
              </w:rPr>
              <w:t>[h]</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(10,057)</w:t>
            </w:r>
          </w:p>
        </w:tc>
        <w:tc>
          <w:tcPr>
            <w:tcW w:w="80" w:type="dxa"/>
            <w:vAlign w:val="bottom"/>
            <w:tcBorders>
              <w:bottom w:val="single" w:sz="8" w:color="E0E7ED"/>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(10,432)</w:t>
            </w:r>
          </w:p>
        </w:tc>
        <w:tc>
          <w:tcPr>
            <w:tcW w:w="80" w:type="dxa"/>
            <w:vAlign w:val="bottom"/>
            <w:tcBorders>
              <w:bottom w:val="single" w:sz="8" w:color="E0E7ED"/>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rPr>
              <w:t>(11,628)</w:t>
            </w:r>
          </w:p>
        </w:tc>
      </w:tr>
      <w:tr>
        <w:trPr>
          <w:trHeight w:val="172"/>
        </w:trPr>
        <w:tc>
          <w:tcPr>
            <w:tcW w:w="52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Noninterest expense excluding amortization of intangible assets (Non-</w:t>
            </w:r>
          </w:p>
        </w:tc>
        <w:tc>
          <w:tcPr>
            <w:tcW w:w="840" w:type="dxa"/>
            <w:vAlign w:val="bottom"/>
            <w:shd w:val="clear" w:color="auto" w:fill="E0E7ED"/>
          </w:tcPr>
          <w:p>
            <w:pPr>
              <w:spacing w:after="0"/>
              <w:rPr>
                <w:sz w:val="14"/>
                <w:szCs w:val="14"/>
                <w:color w:val="auto"/>
              </w:rPr>
            </w:pPr>
          </w:p>
        </w:tc>
        <w:tc>
          <w:tcPr>
            <w:tcW w:w="4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50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4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r>
      <w:tr>
        <w:trPr>
          <w:trHeight w:val="195"/>
        </w:trPr>
        <w:tc>
          <w:tcPr>
            <w:tcW w:w="52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[i]</w:t>
            </w:r>
          </w:p>
        </w:tc>
        <w:tc>
          <w:tcPr>
            <w:tcW w:w="48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290,342</w:t>
            </w:r>
          </w:p>
        </w:tc>
        <w:tc>
          <w:tcPr>
            <w:tcW w:w="80" w:type="dxa"/>
            <w:vAlign w:val="bottom"/>
            <w:shd w:val="clear" w:color="auto" w:fill="E0E7ED"/>
          </w:tcPr>
          <w:p>
            <w:pPr>
              <w:spacing w:after="0"/>
              <w:rPr>
                <w:sz w:val="16"/>
                <w:szCs w:val="16"/>
                <w:color w:val="auto"/>
              </w:rPr>
            </w:pPr>
          </w:p>
        </w:tc>
        <w:tc>
          <w:tcPr>
            <w:tcW w:w="50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275,100</w:t>
            </w:r>
          </w:p>
        </w:tc>
        <w:tc>
          <w:tcPr>
            <w:tcW w:w="80" w:type="dxa"/>
            <w:vAlign w:val="bottom"/>
            <w:shd w:val="clear" w:color="auto" w:fill="E0E7ED"/>
          </w:tcPr>
          <w:p>
            <w:pPr>
              <w:spacing w:after="0"/>
              <w:rPr>
                <w:sz w:val="16"/>
                <w:szCs w:val="16"/>
                <w:color w:val="auto"/>
              </w:rPr>
            </w:pPr>
          </w:p>
        </w:tc>
        <w:tc>
          <w:tcPr>
            <w:tcW w:w="48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272,253</w:t>
            </w:r>
          </w:p>
        </w:tc>
      </w:tr>
      <w:tr>
        <w:trPr>
          <w:trHeight w:val="207"/>
        </w:trPr>
        <w:tc>
          <w:tcPr>
            <w:tcW w:w="52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Acquisition and restructuring expenses</w:t>
            </w:r>
          </w:p>
        </w:tc>
        <w:tc>
          <w:tcPr>
            <w:tcW w:w="840" w:type="dxa"/>
            <w:vAlign w:val="bottom"/>
            <w:tcBorders>
              <w:bottom w:val="single" w:sz="8" w:color="E0E7ED"/>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(8,140)</w:t>
            </w:r>
          </w:p>
        </w:tc>
        <w:tc>
          <w:tcPr>
            <w:tcW w:w="80" w:type="dxa"/>
            <w:vAlign w:val="bottom"/>
            <w:tcBorders>
              <w:bottom w:val="single" w:sz="8" w:color="E0E7ED"/>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(4,328)</w:t>
            </w:r>
          </w:p>
        </w:tc>
        <w:tc>
          <w:tcPr>
            <w:tcW w:w="80" w:type="dxa"/>
            <w:vAlign w:val="bottom"/>
            <w:tcBorders>
              <w:bottom w:val="single" w:sz="8" w:color="E0E7ED"/>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rPr>
              <w:t>(4,537)</w:t>
            </w:r>
          </w:p>
        </w:tc>
      </w:tr>
      <w:tr>
        <w:trPr>
          <w:trHeight w:val="208"/>
        </w:trPr>
        <w:tc>
          <w:tcPr>
            <w:tcW w:w="52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noninterest expense (Non-GAAP)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[j]</w:t>
            </w: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282,202</w:t>
            </w:r>
          </w:p>
        </w:tc>
        <w:tc>
          <w:tcPr>
            <w:tcW w:w="80" w:type="dxa"/>
            <w:vAlign w:val="bottom"/>
            <w:shd w:val="clear" w:color="auto" w:fill="E0E7ED"/>
          </w:tcPr>
          <w:p>
            <w:pPr>
              <w:spacing w:after="0"/>
              <w:rPr>
                <w:sz w:val="18"/>
                <w:szCs w:val="18"/>
                <w:color w:val="auto"/>
              </w:rPr>
            </w:pPr>
          </w:p>
        </w:tc>
        <w:tc>
          <w:tcPr>
            <w:tcW w:w="50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270,772</w:t>
            </w: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267,716</w:t>
            </w:r>
          </w:p>
        </w:tc>
      </w:tr>
      <w:tr>
        <w:trPr>
          <w:trHeight w:val="207"/>
        </w:trPr>
        <w:tc>
          <w:tcPr>
            <w:tcW w:w="5220" w:type="dxa"/>
            <w:vAlign w:val="bottom"/>
          </w:tcPr>
          <w:p>
            <w:pPr>
              <w:ind w:left="140"/>
              <w:spacing w:after="0"/>
              <w:rPr>
                <w:sz w:val="20"/>
                <w:szCs w:val="20"/>
                <w:color w:val="auto"/>
              </w:rPr>
            </w:pPr>
            <w:r>
              <w:rPr>
                <w:rFonts w:ascii="Verdana" w:cs="Verdana" w:eastAsia="Verdana" w:hAnsi="Verdana"/>
                <w:sz w:val="14"/>
                <w:szCs w:val="14"/>
                <w:color w:val="auto"/>
              </w:rPr>
              <w:t>Provision for unfunded commitments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49"/>
              <w:spacing w:after="0"/>
              <w:rPr>
                <w:sz w:val="20"/>
                <w:szCs w:val="20"/>
                <w:color w:val="auto"/>
              </w:rPr>
            </w:pPr>
            <w:r>
              <w:rPr>
                <w:rFonts w:ascii="Verdana" w:cs="Verdana" w:eastAsia="Verdana" w:hAnsi="Verdana"/>
                <w:sz w:val="14"/>
                <w:szCs w:val="14"/>
                <w:color w:val="auto"/>
              </w:rPr>
              <w:t>1,095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ind w:right="109"/>
              <w:spacing w:after="0"/>
              <w:rPr>
                <w:sz w:val="20"/>
                <w:szCs w:val="20"/>
                <w:color w:val="auto"/>
              </w:rPr>
            </w:pPr>
            <w:r>
              <w:rPr>
                <w:rFonts w:ascii="Verdana" w:cs="Verdana" w:eastAsia="Verdana" w:hAnsi="Verdana"/>
                <w:sz w:val="14"/>
                <w:szCs w:val="14"/>
                <w:color w:val="auto"/>
              </w:rPr>
              <w:t>(461)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89"/>
              <w:spacing w:after="0"/>
              <w:rPr>
                <w:sz w:val="20"/>
                <w:szCs w:val="20"/>
                <w:color w:val="auto"/>
              </w:rPr>
            </w:pPr>
            <w:r>
              <w:rPr>
                <w:rFonts w:ascii="Verdana" w:cs="Verdana" w:eastAsia="Verdana" w:hAnsi="Verdana"/>
                <w:sz w:val="14"/>
                <w:szCs w:val="14"/>
                <w:color w:val="auto"/>
              </w:rPr>
              <w:t>(61)</w:t>
            </w:r>
          </w:p>
        </w:tc>
      </w:tr>
      <w:tr>
        <w:trPr>
          <w:trHeight w:val="212"/>
        </w:trPr>
        <w:tc>
          <w:tcPr>
            <w:tcW w:w="52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Amortization of New Markets Tax Credit</w:t>
            </w:r>
          </w:p>
        </w:tc>
        <w:tc>
          <w:tcPr>
            <w:tcW w:w="84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50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09"/>
              <w:spacing w:after="0"/>
              <w:rPr>
                <w:sz w:val="20"/>
                <w:szCs w:val="20"/>
                <w:color w:val="auto"/>
              </w:rPr>
            </w:pPr>
            <w:r>
              <w:rPr>
                <w:rFonts w:ascii="Verdana" w:cs="Verdana" w:eastAsia="Verdana" w:hAnsi="Verdana"/>
                <w:sz w:val="14"/>
                <w:szCs w:val="14"/>
                <w:color w:val="auto"/>
              </w:rPr>
              <w:t>(8,999)</w:t>
            </w: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rPr>
              <w:t>(6,333)</w:t>
            </w:r>
          </w:p>
        </w:tc>
      </w:tr>
      <w:tr>
        <w:trPr>
          <w:trHeight w:val="208"/>
        </w:trPr>
        <w:tc>
          <w:tcPr>
            <w:tcW w:w="5220" w:type="dxa"/>
            <w:vAlign w:val="bottom"/>
          </w:tcPr>
          <w:p>
            <w:pPr>
              <w:ind w:left="20"/>
              <w:spacing w:after="0"/>
              <w:rPr>
                <w:sz w:val="20"/>
                <w:szCs w:val="20"/>
                <w:color w:val="auto"/>
              </w:rPr>
            </w:pPr>
            <w:r>
              <w:rPr>
                <w:rFonts w:ascii="Verdana" w:cs="Verdana" w:eastAsia="Verdana" w:hAnsi="Verdana"/>
                <w:sz w:val="14"/>
                <w:szCs w:val="14"/>
                <w:color w:val="auto"/>
              </w:rPr>
              <w:t>Adjusted core expense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[k]</w:t>
            </w: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283,297</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261,312</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261,322</w:t>
            </w:r>
          </w:p>
        </w:tc>
      </w:tr>
      <w:tr>
        <w:trPr>
          <w:trHeight w:val="20"/>
        </w:trPr>
        <w:tc>
          <w:tcPr>
            <w:tcW w:w="522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522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4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50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r>
      <w:tr>
        <w:trPr>
          <w:trHeight w:val="207"/>
        </w:trPr>
        <w:tc>
          <w:tcPr>
            <w:tcW w:w="5220" w:type="dxa"/>
            <w:vAlign w:val="bottom"/>
          </w:tcPr>
          <w:p>
            <w:pPr>
              <w:ind w:left="20"/>
              <w:spacing w:after="0"/>
              <w:rPr>
                <w:sz w:val="20"/>
                <w:szCs w:val="20"/>
                <w:color w:val="auto"/>
              </w:rPr>
            </w:pPr>
            <w:r>
              <w:rPr>
                <w:rFonts w:ascii="Verdana" w:cs="Verdana" w:eastAsia="Verdana" w:hAnsi="Verdana"/>
                <w:sz w:val="14"/>
                <w:szCs w:val="14"/>
                <w:color w:val="auto"/>
              </w:rPr>
              <w:t>Noninterest expense, excluding non-operating adjustments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[j-h]</w:t>
            </w:r>
          </w:p>
        </w:tc>
        <w:tc>
          <w:tcPr>
            <w:tcW w:w="480" w:type="dxa"/>
            <w:vAlign w:val="bottom"/>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ind w:right="149"/>
              <w:spacing w:after="0"/>
              <w:rPr>
                <w:sz w:val="20"/>
                <w:szCs w:val="20"/>
                <w:color w:val="auto"/>
              </w:rPr>
            </w:pPr>
            <w:r>
              <w:rPr>
                <w:rFonts w:ascii="Verdana" w:cs="Verdana" w:eastAsia="Verdana" w:hAnsi="Verdana"/>
                <w:sz w:val="14"/>
                <w:szCs w:val="14"/>
                <w:color w:val="auto"/>
              </w:rPr>
              <w:t>292,259</w:t>
            </w:r>
          </w:p>
        </w:tc>
        <w:tc>
          <w:tcPr>
            <w:tcW w:w="80" w:type="dxa"/>
            <w:vAlign w:val="bottom"/>
          </w:tcPr>
          <w:p>
            <w:pPr>
              <w:spacing w:after="0"/>
              <w:rPr>
                <w:sz w:val="17"/>
                <w:szCs w:val="17"/>
                <w:color w:val="auto"/>
              </w:rPr>
            </w:pPr>
          </w:p>
        </w:tc>
        <w:tc>
          <w:tcPr>
            <w:tcW w:w="500" w:type="dxa"/>
            <w:vAlign w:val="bottom"/>
          </w:tcPr>
          <w:p>
            <w:pPr>
              <w:jc w:val="right"/>
              <w:ind w:right="32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ind w:right="149"/>
              <w:spacing w:after="0"/>
              <w:rPr>
                <w:sz w:val="20"/>
                <w:szCs w:val="20"/>
                <w:color w:val="auto"/>
              </w:rPr>
            </w:pPr>
            <w:r>
              <w:rPr>
                <w:rFonts w:ascii="Verdana" w:cs="Verdana" w:eastAsia="Verdana" w:hAnsi="Verdana"/>
                <w:sz w:val="14"/>
                <w:szCs w:val="14"/>
                <w:color w:val="auto"/>
              </w:rPr>
              <w:t>281,204</w:t>
            </w:r>
          </w:p>
        </w:tc>
        <w:tc>
          <w:tcPr>
            <w:tcW w:w="80" w:type="dxa"/>
            <w:vAlign w:val="bottom"/>
          </w:tcPr>
          <w:p>
            <w:pPr>
              <w:spacing w:after="0"/>
              <w:rPr>
                <w:sz w:val="17"/>
                <w:szCs w:val="17"/>
                <w:color w:val="auto"/>
              </w:rPr>
            </w:pPr>
          </w:p>
        </w:tc>
        <w:tc>
          <w:tcPr>
            <w:tcW w:w="480" w:type="dxa"/>
            <w:vAlign w:val="bottom"/>
          </w:tcPr>
          <w:p>
            <w:pPr>
              <w:jc w:val="right"/>
              <w:ind w:right="3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ind w:right="149"/>
              <w:spacing w:after="0"/>
              <w:rPr>
                <w:sz w:val="20"/>
                <w:szCs w:val="20"/>
                <w:color w:val="auto"/>
              </w:rPr>
            </w:pPr>
            <w:r>
              <w:rPr>
                <w:rFonts w:ascii="Verdana" w:cs="Verdana" w:eastAsia="Verdana" w:hAnsi="Verdana"/>
                <w:sz w:val="14"/>
                <w:szCs w:val="14"/>
                <w:color w:val="auto"/>
              </w:rPr>
              <w:t>279,344</w:t>
            </w:r>
          </w:p>
        </w:tc>
      </w:tr>
      <w:tr>
        <w:trPr>
          <w:trHeight w:val="218"/>
        </w:trPr>
        <w:tc>
          <w:tcPr>
            <w:tcW w:w="522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0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5220" w:type="dxa"/>
            <w:vAlign w:val="bottom"/>
          </w:tcPr>
          <w:p>
            <w:pPr>
              <w:ind w:left="20"/>
              <w:spacing w:after="0"/>
              <w:rPr>
                <w:sz w:val="20"/>
                <w:szCs w:val="20"/>
                <w:color w:val="auto"/>
              </w:rPr>
            </w:pPr>
            <w:r>
              <w:rPr>
                <w:rFonts w:ascii="Verdana" w:cs="Verdana" w:eastAsia="Verdana" w:hAnsi="Verdana"/>
                <w:sz w:val="14"/>
                <w:szCs w:val="14"/>
                <w:color w:val="auto"/>
              </w:rPr>
              <w:t>Efficiency ratio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[i÷e]</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61.76 %</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61.65 %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59.89 %</w:t>
            </w:r>
          </w:p>
        </w:tc>
      </w:tr>
      <w:tr>
        <w:trPr>
          <w:trHeight w:val="218"/>
        </w:trPr>
        <w:tc>
          <w:tcPr>
            <w:tcW w:w="52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efficiency ratio (Non-GAAP)</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4"/>
                <w:szCs w:val="14"/>
                <w:color w:val="auto"/>
              </w:rPr>
              <w:t>[j÷f]</w:t>
            </w: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61.03 %</w:t>
            </w:r>
          </w:p>
        </w:tc>
        <w:tc>
          <w:tcPr>
            <w:tcW w:w="80" w:type="dxa"/>
            <w:vAlign w:val="bottom"/>
            <w:shd w:val="clear" w:color="auto" w:fill="E0E7ED"/>
          </w:tcPr>
          <w:p>
            <w:pPr>
              <w:spacing w:after="0"/>
              <w:rPr>
                <w:sz w:val="18"/>
                <w:szCs w:val="18"/>
                <w:color w:val="auto"/>
              </w:rPr>
            </w:pPr>
          </w:p>
        </w:tc>
        <w:tc>
          <w:tcPr>
            <w:tcW w:w="50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60.68 %</w:t>
            </w:r>
          </w:p>
        </w:tc>
        <w:tc>
          <w:tcPr>
            <w:tcW w:w="80" w:type="dxa"/>
            <w:vAlign w:val="bottom"/>
            <w:shd w:val="clear" w:color="auto" w:fill="E0E7ED"/>
          </w:tcPr>
          <w:p>
            <w:pPr>
              <w:spacing w:after="0"/>
              <w:rPr>
                <w:sz w:val="18"/>
                <w:szCs w:val="18"/>
                <w:color w:val="auto"/>
              </w:rPr>
            </w:pPr>
          </w:p>
        </w:tc>
        <w:tc>
          <w:tcPr>
            <w:tcW w:w="4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58.89 %</w:t>
            </w:r>
          </w:p>
        </w:tc>
      </w:tr>
      <w:tr>
        <w:trPr>
          <w:trHeight w:val="201"/>
        </w:trPr>
        <w:tc>
          <w:tcPr>
            <w:tcW w:w="5220" w:type="dxa"/>
            <w:vAlign w:val="bottom"/>
          </w:tcPr>
          <w:p>
            <w:pPr>
              <w:ind w:left="20"/>
              <w:spacing w:after="0"/>
              <w:rPr>
                <w:sz w:val="20"/>
                <w:szCs w:val="20"/>
                <w:color w:val="auto"/>
              </w:rPr>
            </w:pPr>
            <w:r>
              <w:rPr>
                <w:rFonts w:ascii="Verdana" w:cs="Verdana" w:eastAsia="Verdana" w:hAnsi="Verdana"/>
                <w:sz w:val="14"/>
                <w:szCs w:val="14"/>
                <w:color w:val="auto"/>
              </w:rPr>
              <w:t>Adjusted core efficiency ratio (Non-GAAP)</w:t>
            </w:r>
          </w:p>
        </w:tc>
        <w:tc>
          <w:tcPr>
            <w:tcW w:w="840" w:type="dxa"/>
            <w:vAlign w:val="bottom"/>
          </w:tcPr>
          <w:p>
            <w:pPr>
              <w:ind w:left="60"/>
              <w:spacing w:after="0"/>
              <w:rPr>
                <w:sz w:val="20"/>
                <w:szCs w:val="20"/>
                <w:color w:val="auto"/>
              </w:rPr>
            </w:pPr>
            <w:r>
              <w:rPr>
                <w:rFonts w:ascii="Verdana" w:cs="Verdana" w:eastAsia="Verdana" w:hAnsi="Verdana"/>
                <w:sz w:val="14"/>
                <w:szCs w:val="14"/>
                <w:color w:val="auto"/>
              </w:rPr>
              <w:t>[k÷f]</w:t>
            </w: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61.27 %</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58.56 %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57.49 %</w:t>
            </w: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140"/>
        <w:spacing w:after="0"/>
        <w:tabs>
          <w:tab w:leader="none" w:pos="360" w:val="left"/>
        </w:tabs>
        <w:rPr>
          <w:sz w:val="20"/>
          <w:szCs w:val="20"/>
          <w:color w:val="auto"/>
        </w:rPr>
      </w:pPr>
      <w:r>
        <w:rPr>
          <w:rFonts w:ascii="Verdana" w:cs="Verdana" w:eastAsia="Verdana" w:hAnsi="Verdana"/>
          <w:sz w:val="10"/>
          <w:szCs w:val="10"/>
          <w:color w:val="auto"/>
        </w:rPr>
        <w:t>1.</w:t>
        <w:tab/>
        <w:t>The tax-equivalent adjustments were calculated using an estimated federal income tax rate of 21%, applied to non-taxable interest income on investments and loans.</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type w:val="continuous"/>
        </w:sectPr>
      </w:pPr>
    </w:p>
    <w:bookmarkStart w:id="30" w:name="page31"/>
    <w:bookmarkEnd w:id="3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Tangible Book Value and Tangible Book Value Per Common Share</w:t>
      </w:r>
    </w:p>
    <w:p>
      <w:pPr>
        <w:spacing w:after="0" w:line="42" w:lineRule="exact"/>
        <w:rPr>
          <w:sz w:val="20"/>
          <w:szCs w:val="20"/>
          <w:color w:val="auto"/>
        </w:rPr>
      </w:pPr>
    </w:p>
    <w:p>
      <w:pPr>
        <w:jc w:val="center"/>
        <w:spacing w:after="0"/>
        <w:rPr>
          <w:sz w:val="20"/>
          <w:szCs w:val="20"/>
          <w:color w:val="auto"/>
        </w:rPr>
      </w:pPr>
      <w:r>
        <w:rPr>
          <w:rFonts w:ascii="Verdana" w:cs="Verdana" w:eastAsia="Verdana" w:hAnsi="Verdana"/>
          <w:sz w:val="14"/>
          <w:szCs w:val="14"/>
          <w:i w:val="1"/>
          <w:iCs w:val="1"/>
          <w:color w:val="auto"/>
        </w:rPr>
        <w:t>(dollars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4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Verdana" w:cs="Verdana" w:eastAsia="Verdana" w:hAnsi="Verdana"/>
                <w:sz w:val="10"/>
                <w:szCs w:val="10"/>
                <w:b w:val="1"/>
                <w:bCs w:val="1"/>
                <w:color w:val="auto"/>
              </w:rPr>
              <w:t>As of December 31,</w:t>
            </w:r>
          </w:p>
        </w:tc>
        <w:tc>
          <w:tcPr>
            <w:tcW w:w="1060" w:type="dxa"/>
            <w:vAlign w:val="bottom"/>
            <w:tcBorders>
              <w:bottom w:val="single" w:sz="8" w:color="auto"/>
            </w:tcBorders>
          </w:tcPr>
          <w:p>
            <w:pPr>
              <w:spacing w:after="0"/>
              <w:rPr>
                <w:sz w:val="11"/>
                <w:szCs w:val="11"/>
                <w:color w:val="auto"/>
              </w:rPr>
            </w:pPr>
          </w:p>
        </w:tc>
      </w:tr>
      <w:tr>
        <w:trPr>
          <w:trHeight w:val="131"/>
        </w:trPr>
        <w:tc>
          <w:tcPr>
            <w:tcW w:w="4440" w:type="dxa"/>
            <w:vAlign w:val="bottom"/>
            <w:tcBorders>
              <w:bottom w:val="single" w:sz="8" w:color="E0E7ED"/>
            </w:tcBorders>
          </w:tcPr>
          <w:p>
            <w:pPr>
              <w:spacing w:after="0"/>
              <w:rPr>
                <w:sz w:val="11"/>
                <w:szCs w:val="11"/>
                <w:color w:val="auto"/>
              </w:rPr>
            </w:pPr>
          </w:p>
        </w:tc>
        <w:tc>
          <w:tcPr>
            <w:tcW w:w="3320" w:type="dxa"/>
            <w:vAlign w:val="bottom"/>
            <w:tcBorders>
              <w:bottom w:val="single" w:sz="8" w:color="E0E7ED"/>
            </w:tcBorders>
          </w:tcPr>
          <w:p>
            <w:pPr>
              <w:spacing w:after="0"/>
              <w:rPr>
                <w:sz w:val="11"/>
                <w:szCs w:val="11"/>
                <w:color w:val="auto"/>
              </w:rPr>
            </w:pPr>
          </w:p>
        </w:tc>
        <w:tc>
          <w:tcPr>
            <w:tcW w:w="26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5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stockholders' equity (GAAP)</w:t>
            </w:r>
          </w:p>
        </w:tc>
        <w:tc>
          <w:tcPr>
            <w:tcW w:w="332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280" w:type="dxa"/>
            <w:vAlign w:val="bottom"/>
            <w:gridSpan w:val="2"/>
            <w:shd w:val="clear" w:color="auto" w:fill="E0E7ED"/>
          </w:tcPr>
          <w:p>
            <w:pPr>
              <w:jc w:val="right"/>
              <w:ind w:right="20"/>
              <w:spacing w:after="0"/>
              <w:rPr>
                <w:sz w:val="20"/>
                <w:szCs w:val="20"/>
                <w:color w:val="auto"/>
              </w:rPr>
            </w:pPr>
            <w:r>
              <w:rPr>
                <w:rFonts w:ascii="Verdana" w:cs="Verdana" w:eastAsia="Verdana" w:hAnsi="Verdana"/>
                <w:sz w:val="14"/>
                <w:szCs w:val="14"/>
                <w:color w:val="auto"/>
              </w:rPr>
              <w:t>1,383,269</w:t>
            </w:r>
          </w:p>
        </w:tc>
        <w:tc>
          <w:tcPr>
            <w:tcW w:w="660" w:type="dxa"/>
            <w:vAlign w:val="bottom"/>
            <w:gridSpan w:val="3"/>
            <w:shd w:val="clear" w:color="auto" w:fill="E0E7ED"/>
          </w:tcPr>
          <w:p>
            <w:pPr>
              <w:jc w:val="right"/>
              <w:ind w:right="420"/>
              <w:spacing w:after="0"/>
              <w:rPr>
                <w:sz w:val="20"/>
                <w:szCs w:val="20"/>
                <w:color w:val="auto"/>
              </w:rPr>
            </w:pPr>
            <w:r>
              <w:rPr>
                <w:rFonts w:ascii="Verdana" w:cs="Verdana" w:eastAsia="Verdana" w:hAnsi="Verdana"/>
                <w:sz w:val="14"/>
                <w:szCs w:val="14"/>
                <w:color w:val="auto"/>
              </w:rPr>
              <w:t>$</w:t>
            </w:r>
          </w:p>
        </w:tc>
        <w:tc>
          <w:tcPr>
            <w:tcW w:w="10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1,271,981</w:t>
            </w:r>
          </w:p>
        </w:tc>
      </w:tr>
      <w:tr>
        <w:trPr>
          <w:trHeight w:val="207"/>
        </w:trPr>
        <w:tc>
          <w:tcPr>
            <w:tcW w:w="44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Goodwill and other intangible assets, net (GAAP)</w:t>
            </w:r>
          </w:p>
        </w:tc>
        <w:tc>
          <w:tcPr>
            <w:tcW w:w="3320" w:type="dxa"/>
            <w:vAlign w:val="bottom"/>
            <w:tcBorders>
              <w:bottom w:val="single" w:sz="8" w:color="E0E7ED"/>
            </w:tcBorders>
          </w:tcPr>
          <w:p>
            <w:pPr>
              <w:spacing w:after="0"/>
              <w:rPr>
                <w:sz w:val="17"/>
                <w:szCs w:val="17"/>
                <w:color w:val="auto"/>
              </w:rPr>
            </w:pPr>
          </w:p>
        </w:tc>
        <w:tc>
          <w:tcPr>
            <w:tcW w:w="2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4"/>
                <w:szCs w:val="14"/>
                <w:color w:val="auto"/>
              </w:rPr>
              <w:t>(365,975)</w:t>
            </w:r>
          </w:p>
        </w:tc>
        <w:tc>
          <w:tcPr>
            <w:tcW w:w="100" w:type="dxa"/>
            <w:vAlign w:val="bottom"/>
            <w:tcBorders>
              <w:bottom w:val="single" w:sz="8" w:color="E0E7ED"/>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(353,864)</w:t>
            </w:r>
          </w:p>
        </w:tc>
      </w:tr>
      <w:tr>
        <w:trPr>
          <w:trHeight w:val="228"/>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Tangible book value (Non-GAAP)</w:t>
            </w:r>
          </w:p>
        </w:tc>
        <w:tc>
          <w:tcPr>
            <w:tcW w:w="3320" w:type="dxa"/>
            <w:vAlign w:val="bottom"/>
            <w:shd w:val="clear" w:color="auto" w:fill="E0E7ED"/>
          </w:tcPr>
          <w:p>
            <w:pPr>
              <w:ind w:left="2780"/>
              <w:spacing w:after="0"/>
              <w:rPr>
                <w:sz w:val="20"/>
                <w:szCs w:val="20"/>
                <w:color w:val="auto"/>
              </w:rPr>
            </w:pPr>
            <w:r>
              <w:rPr>
                <w:rFonts w:ascii="Verdana" w:cs="Verdana" w:eastAsia="Verdana" w:hAnsi="Verdana"/>
                <w:sz w:val="14"/>
                <w:szCs w:val="14"/>
                <w:color w:val="auto"/>
              </w:rPr>
              <w:t>[a]</w:t>
            </w: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280" w:type="dxa"/>
            <w:vAlign w:val="bottom"/>
            <w:gridSpan w:val="2"/>
            <w:shd w:val="clear" w:color="auto" w:fill="E0E7ED"/>
          </w:tcPr>
          <w:p>
            <w:pPr>
              <w:jc w:val="right"/>
              <w:ind w:right="20"/>
              <w:spacing w:after="0"/>
              <w:rPr>
                <w:sz w:val="20"/>
                <w:szCs w:val="20"/>
                <w:color w:val="auto"/>
              </w:rPr>
            </w:pPr>
            <w:r>
              <w:rPr>
                <w:rFonts w:ascii="Verdana" w:cs="Verdana" w:eastAsia="Verdana" w:hAnsi="Verdana"/>
                <w:sz w:val="14"/>
                <w:szCs w:val="14"/>
                <w:color w:val="auto"/>
              </w:rPr>
              <w:t>1,017,294</w:t>
            </w:r>
          </w:p>
        </w:tc>
        <w:tc>
          <w:tcPr>
            <w:tcW w:w="660" w:type="dxa"/>
            <w:vAlign w:val="bottom"/>
            <w:gridSpan w:val="3"/>
            <w:shd w:val="clear" w:color="auto" w:fill="E0E7ED"/>
          </w:tcPr>
          <w:p>
            <w:pPr>
              <w:jc w:val="right"/>
              <w:ind w:right="420"/>
              <w:spacing w:after="0"/>
              <w:rPr>
                <w:sz w:val="20"/>
                <w:szCs w:val="20"/>
                <w:color w:val="auto"/>
              </w:rPr>
            </w:pPr>
            <w:r>
              <w:rPr>
                <w:rFonts w:ascii="Verdana" w:cs="Verdana" w:eastAsia="Verdana" w:hAnsi="Verdana"/>
                <w:sz w:val="14"/>
                <w:szCs w:val="14"/>
                <w:color w:val="auto"/>
              </w:rPr>
              <w:t>$</w:t>
            </w:r>
          </w:p>
        </w:tc>
        <w:tc>
          <w:tcPr>
            <w:tcW w:w="10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918,117</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4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Ending number of common shares outstanding (GAAP)</w:t>
            </w:r>
          </w:p>
        </w:tc>
        <w:tc>
          <w:tcPr>
            <w:tcW w:w="3320" w:type="dxa"/>
            <w:vAlign w:val="bottom"/>
            <w:shd w:val="clear" w:color="auto" w:fill="E0E7ED"/>
          </w:tcPr>
          <w:p>
            <w:pPr>
              <w:ind w:left="2780"/>
              <w:spacing w:after="0"/>
              <w:rPr>
                <w:sz w:val="20"/>
                <w:szCs w:val="20"/>
                <w:color w:val="auto"/>
              </w:rPr>
            </w:pPr>
            <w:r>
              <w:rPr>
                <w:rFonts w:ascii="Verdana" w:cs="Verdana" w:eastAsia="Verdana" w:hAnsi="Verdana"/>
                <w:sz w:val="14"/>
                <w:szCs w:val="14"/>
                <w:color w:val="auto"/>
              </w:rPr>
              <w:t>[b]</w:t>
            </w:r>
          </w:p>
        </w:tc>
        <w:tc>
          <w:tcPr>
            <w:tcW w:w="2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20"/>
              <w:spacing w:after="0"/>
              <w:rPr>
                <w:sz w:val="20"/>
                <w:szCs w:val="20"/>
                <w:color w:val="auto"/>
              </w:rPr>
            </w:pPr>
            <w:r>
              <w:rPr>
                <w:rFonts w:ascii="Verdana" w:cs="Verdana" w:eastAsia="Verdana" w:hAnsi="Verdana"/>
                <w:sz w:val="14"/>
                <w:szCs w:val="14"/>
                <w:color w:val="auto"/>
              </w:rPr>
              <w:t>56,895,981</w:t>
            </w:r>
          </w:p>
        </w:tc>
        <w:tc>
          <w:tcPr>
            <w:tcW w:w="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55,244,119</w:t>
            </w:r>
          </w:p>
        </w:tc>
      </w:tr>
      <w:tr>
        <w:trPr>
          <w:trHeight w:val="212"/>
        </w:trPr>
        <w:tc>
          <w:tcPr>
            <w:tcW w:w="4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Tangible book value per common share (Non-GAAP)</w:t>
            </w:r>
          </w:p>
        </w:tc>
        <w:tc>
          <w:tcPr>
            <w:tcW w:w="3320" w:type="dxa"/>
            <w:vAlign w:val="bottom"/>
            <w:shd w:val="clear" w:color="auto" w:fill="E0E7ED"/>
          </w:tcPr>
          <w:p>
            <w:pPr>
              <w:ind w:left="2780"/>
              <w:spacing w:after="0"/>
              <w:rPr>
                <w:sz w:val="20"/>
                <w:szCs w:val="20"/>
                <w:color w:val="auto"/>
              </w:rPr>
            </w:pPr>
            <w:r>
              <w:rPr>
                <w:rFonts w:ascii="Verdana" w:cs="Verdana" w:eastAsia="Verdana" w:hAnsi="Verdana"/>
                <w:sz w:val="14"/>
                <w:szCs w:val="14"/>
                <w:color w:val="auto"/>
              </w:rPr>
              <w:t>[a÷b]</w:t>
            </w: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280" w:type="dxa"/>
            <w:vAlign w:val="bottom"/>
            <w:gridSpan w:val="2"/>
            <w:shd w:val="clear" w:color="auto" w:fill="E0E7ED"/>
          </w:tcPr>
          <w:p>
            <w:pPr>
              <w:jc w:val="right"/>
              <w:ind w:right="20"/>
              <w:spacing w:after="0"/>
              <w:rPr>
                <w:sz w:val="20"/>
                <w:szCs w:val="20"/>
                <w:color w:val="auto"/>
              </w:rPr>
            </w:pPr>
            <w:r>
              <w:rPr>
                <w:rFonts w:ascii="Verdana" w:cs="Verdana" w:eastAsia="Verdana" w:hAnsi="Verdana"/>
                <w:sz w:val="14"/>
                <w:szCs w:val="14"/>
                <w:color w:val="auto"/>
              </w:rPr>
              <w:t>17.88</w:t>
            </w:r>
          </w:p>
        </w:tc>
        <w:tc>
          <w:tcPr>
            <w:tcW w:w="660" w:type="dxa"/>
            <w:vAlign w:val="bottom"/>
            <w:gridSpan w:val="3"/>
            <w:shd w:val="clear" w:color="auto" w:fill="E0E7ED"/>
          </w:tcPr>
          <w:p>
            <w:pPr>
              <w:jc w:val="right"/>
              <w:ind w:right="420"/>
              <w:spacing w:after="0"/>
              <w:rPr>
                <w:sz w:val="20"/>
                <w:szCs w:val="20"/>
                <w:color w:val="auto"/>
              </w:rPr>
            </w:pPr>
            <w:r>
              <w:rPr>
                <w:rFonts w:ascii="Verdana" w:cs="Verdana" w:eastAsia="Verdana" w:hAnsi="Verdana"/>
                <w:sz w:val="14"/>
                <w:szCs w:val="14"/>
                <w:color w:val="auto"/>
              </w:rPr>
              <w:t>$</w:t>
            </w:r>
          </w:p>
        </w:tc>
        <w:tc>
          <w:tcPr>
            <w:tcW w:w="10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16.62</w:t>
            </w:r>
          </w:p>
        </w:tc>
      </w:tr>
      <w:tr>
        <w:trPr>
          <w:trHeight w:val="626"/>
        </w:trPr>
        <w:tc>
          <w:tcPr>
            <w:tcW w:w="9560" w:type="dxa"/>
            <w:vAlign w:val="bottom"/>
            <w:gridSpan w:val="6"/>
          </w:tcPr>
          <w:p>
            <w:pPr>
              <w:ind w:left="2020"/>
              <w:spacing w:after="0"/>
              <w:rPr>
                <w:sz w:val="20"/>
                <w:szCs w:val="20"/>
                <w:color w:val="auto"/>
              </w:rPr>
            </w:pPr>
            <w:r>
              <w:rPr>
                <w:rFonts w:ascii="Verdana" w:cs="Verdana" w:eastAsia="Verdana" w:hAnsi="Verdana"/>
                <w:sz w:val="14"/>
                <w:szCs w:val="14"/>
                <w:b w:val="1"/>
                <w:bCs w:val="1"/>
                <w:color w:val="auto"/>
              </w:rPr>
              <w:t>Tangible Assets, Tangible Common Equity, and Tangible Common Equity to Tangible Assets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444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Verdana" w:cs="Verdana" w:eastAsia="Verdana" w:hAnsi="Verdana"/>
                <w:sz w:val="14"/>
                <w:szCs w:val="14"/>
                <w:i w:val="1"/>
                <w:iCs w:val="1"/>
                <w:color w:val="auto"/>
              </w:rPr>
              <w:t>(dollars in thousands)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54"/>
        </w:trPr>
        <w:tc>
          <w:tcPr>
            <w:tcW w:w="4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160"/>
              <w:spacing w:after="0"/>
              <w:rPr>
                <w:sz w:val="20"/>
                <w:szCs w:val="20"/>
                <w:color w:val="auto"/>
              </w:rPr>
            </w:pPr>
            <w:r>
              <w:rPr>
                <w:rFonts w:ascii="Verdana" w:cs="Verdana" w:eastAsia="Verdana" w:hAnsi="Verdana"/>
                <w:sz w:val="10"/>
                <w:szCs w:val="10"/>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131"/>
        </w:trPr>
        <w:tc>
          <w:tcPr>
            <w:tcW w:w="4440" w:type="dxa"/>
            <w:vAlign w:val="bottom"/>
            <w:tcBorders>
              <w:bottom w:val="single" w:sz="8" w:color="E0E7ED"/>
            </w:tcBorders>
          </w:tcPr>
          <w:p>
            <w:pPr>
              <w:spacing w:after="0"/>
              <w:rPr>
                <w:sz w:val="11"/>
                <w:szCs w:val="11"/>
                <w:color w:val="auto"/>
              </w:rPr>
            </w:pPr>
          </w:p>
        </w:tc>
        <w:tc>
          <w:tcPr>
            <w:tcW w:w="332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5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52"/>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assets (GAAP)</w:t>
            </w:r>
          </w:p>
        </w:tc>
        <w:tc>
          <w:tcPr>
            <w:tcW w:w="332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26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54"/>
              <w:spacing w:after="0"/>
              <w:rPr>
                <w:sz w:val="20"/>
                <w:szCs w:val="20"/>
                <w:color w:val="auto"/>
              </w:rPr>
            </w:pPr>
            <w:r>
              <w:rPr>
                <w:rFonts w:ascii="Verdana" w:cs="Verdana" w:eastAsia="Verdana" w:hAnsi="Verdana"/>
                <w:sz w:val="14"/>
                <w:szCs w:val="14"/>
                <w:color w:val="auto"/>
              </w:rPr>
              <w:t>12,046,722</w:t>
            </w:r>
          </w:p>
        </w:tc>
        <w:tc>
          <w:tcPr>
            <w:tcW w:w="80" w:type="dxa"/>
            <w:vAlign w:val="bottom"/>
            <w:shd w:val="clear" w:color="auto" w:fill="E0E7ED"/>
          </w:tcPr>
          <w:p>
            <w:pPr>
              <w:spacing w:after="0"/>
              <w:rPr>
                <w:sz w:val="18"/>
                <w:szCs w:val="18"/>
                <w:color w:val="auto"/>
              </w:rPr>
            </w:pPr>
          </w:p>
        </w:tc>
        <w:tc>
          <w:tcPr>
            <w:tcW w:w="140" w:type="dxa"/>
            <w:vAlign w:val="bottom"/>
            <w:gridSpan w:val="2"/>
            <w:shd w:val="clear" w:color="auto" w:fill="E0E7ED"/>
          </w:tcPr>
          <w:p>
            <w:pPr>
              <w:jc w:val="right"/>
              <w:ind w:right="40"/>
              <w:spacing w:after="0"/>
              <w:rPr>
                <w:sz w:val="20"/>
                <w:szCs w:val="20"/>
                <w:color w:val="auto"/>
              </w:rPr>
            </w:pPr>
            <w:r>
              <w:rPr>
                <w:rFonts w:ascii="Verdana" w:cs="Verdana" w:eastAsia="Verdana" w:hAnsi="Verdana"/>
                <w:sz w:val="14"/>
                <w:szCs w:val="14"/>
                <w:color w:val="auto"/>
                <w:w w:val="88"/>
              </w:rPr>
              <w:t>$</w:t>
            </w:r>
          </w:p>
        </w:tc>
        <w:tc>
          <w:tcPr>
            <w:tcW w:w="520" w:type="dxa"/>
            <w:vAlign w:val="bottom"/>
            <w:shd w:val="clear" w:color="auto" w:fill="E0E7ED"/>
          </w:tcPr>
          <w:p>
            <w:pPr>
              <w:spacing w:after="0"/>
              <w:rPr>
                <w:sz w:val="18"/>
                <w:szCs w:val="18"/>
                <w:color w:val="auto"/>
              </w:rPr>
            </w:pPr>
          </w:p>
        </w:tc>
        <w:tc>
          <w:tcPr>
            <w:tcW w:w="106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12,283,415</w:t>
            </w:r>
          </w:p>
        </w:tc>
      </w:tr>
      <w:tr>
        <w:trPr>
          <w:trHeight w:val="207"/>
        </w:trPr>
        <w:tc>
          <w:tcPr>
            <w:tcW w:w="4440" w:type="dxa"/>
            <w:vAlign w:val="bottom"/>
          </w:tcPr>
          <w:p>
            <w:pPr>
              <w:ind w:left="140"/>
              <w:spacing w:after="0"/>
              <w:rPr>
                <w:sz w:val="20"/>
                <w:szCs w:val="20"/>
                <w:color w:val="auto"/>
              </w:rPr>
            </w:pPr>
            <w:r>
              <w:rPr>
                <w:rFonts w:ascii="Verdana" w:cs="Verdana" w:eastAsia="Verdana" w:hAnsi="Verdana"/>
                <w:sz w:val="14"/>
                <w:szCs w:val="14"/>
                <w:color w:val="auto"/>
              </w:rPr>
              <w:t>Goodwill and other intangible assets, net (GAAP)</w:t>
            </w: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Verdana" w:cs="Verdana" w:eastAsia="Verdana" w:hAnsi="Verdana"/>
                <w:sz w:val="14"/>
                <w:szCs w:val="14"/>
                <w:color w:val="auto"/>
              </w:rPr>
              <w:t>(365,975)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92"/>
              <w:spacing w:after="0"/>
              <w:rPr>
                <w:sz w:val="20"/>
                <w:szCs w:val="20"/>
                <w:color w:val="auto"/>
              </w:rPr>
            </w:pPr>
            <w:r>
              <w:rPr>
                <w:rFonts w:ascii="Verdana" w:cs="Verdana" w:eastAsia="Verdana" w:hAnsi="Verdana"/>
                <w:sz w:val="14"/>
                <w:szCs w:val="14"/>
                <w:color w:val="auto"/>
              </w:rPr>
              <w:t>(353,864)</w:t>
            </w:r>
          </w:p>
        </w:tc>
      </w:tr>
      <w:tr>
        <w:trPr>
          <w:trHeight w:val="212"/>
        </w:trPr>
        <w:tc>
          <w:tcPr>
            <w:tcW w:w="44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Tax effect of other intangible assets</w:t>
            </w:r>
            <w:r>
              <w:rPr>
                <w:rFonts w:ascii="Verdana" w:cs="Verdana" w:eastAsia="Verdana" w:hAnsi="Verdana"/>
                <w:sz w:val="9"/>
                <w:szCs w:val="9"/>
                <w:color w:val="auto"/>
              </w:rPr>
              <w:t>1</w:t>
            </w:r>
          </w:p>
        </w:tc>
        <w:tc>
          <w:tcPr>
            <w:tcW w:w="332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6,379</w:t>
            </w:r>
          </w:p>
        </w:tc>
        <w:tc>
          <w:tcPr>
            <w:tcW w:w="80" w:type="dxa"/>
            <w:vAlign w:val="bottom"/>
            <w:shd w:val="clear" w:color="auto" w:fill="E0E7ED"/>
          </w:tcPr>
          <w:p>
            <w:pPr>
              <w:spacing w:after="0"/>
              <w:rPr>
                <w:sz w:val="18"/>
                <w:szCs w:val="18"/>
                <w:color w:val="auto"/>
              </w:rPr>
            </w:pPr>
          </w:p>
        </w:tc>
        <w:tc>
          <w:tcPr>
            <w:tcW w:w="40" w:type="dxa"/>
            <w:vAlign w:val="bottom"/>
            <w:tcBorders>
              <w:bottom w:val="single" w:sz="8" w:color="auto"/>
            </w:tcBorders>
            <w:shd w:val="clear" w:color="auto" w:fill="E0E7ED"/>
          </w:tcPr>
          <w:p>
            <w:pPr>
              <w:spacing w:after="0"/>
              <w:rPr>
                <w:sz w:val="18"/>
                <w:szCs w:val="18"/>
                <w:color w:val="auto"/>
              </w:rPr>
            </w:pPr>
          </w:p>
        </w:tc>
        <w:tc>
          <w:tcPr>
            <w:tcW w:w="100" w:type="dxa"/>
            <w:vAlign w:val="bottom"/>
            <w:tcBorders>
              <w:bottom w:val="single" w:sz="8" w:color="auto"/>
            </w:tcBorders>
            <w:shd w:val="clear" w:color="auto" w:fill="E0E7ED"/>
          </w:tcPr>
          <w:p>
            <w:pPr>
              <w:spacing w:after="0"/>
              <w:rPr>
                <w:sz w:val="18"/>
                <w:szCs w:val="18"/>
                <w:color w:val="auto"/>
              </w:rPr>
            </w:pPr>
          </w:p>
        </w:tc>
        <w:tc>
          <w:tcPr>
            <w:tcW w:w="520" w:type="dxa"/>
            <w:vAlign w:val="bottom"/>
            <w:tcBorders>
              <w:bottom w:val="single" w:sz="8" w:color="auto"/>
            </w:tcBorders>
            <w:shd w:val="clear" w:color="auto" w:fill="E0E7ED"/>
          </w:tcPr>
          <w:p>
            <w:pPr>
              <w:spacing w:after="0"/>
              <w:rPr>
                <w:sz w:val="18"/>
                <w:szCs w:val="18"/>
                <w:color w:val="auto"/>
              </w:rPr>
            </w:pPr>
          </w:p>
        </w:tc>
        <w:tc>
          <w:tcPr>
            <w:tcW w:w="106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6,888</w:t>
            </w:r>
          </w:p>
        </w:tc>
      </w:tr>
      <w:tr>
        <w:trPr>
          <w:trHeight w:val="208"/>
        </w:trPr>
        <w:tc>
          <w:tcPr>
            <w:tcW w:w="4440" w:type="dxa"/>
            <w:vAlign w:val="bottom"/>
          </w:tcPr>
          <w:p>
            <w:pPr>
              <w:ind w:left="20"/>
              <w:spacing w:after="0"/>
              <w:rPr>
                <w:sz w:val="20"/>
                <w:szCs w:val="20"/>
                <w:color w:val="auto"/>
              </w:rPr>
            </w:pPr>
            <w:r>
              <w:rPr>
                <w:rFonts w:ascii="Verdana" w:cs="Verdana" w:eastAsia="Verdana" w:hAnsi="Verdana"/>
                <w:sz w:val="14"/>
                <w:szCs w:val="14"/>
                <w:color w:val="auto"/>
              </w:rPr>
              <w:t>Tangible assets (Non-GAAP)</w:t>
            </w:r>
            <w:r>
              <w:rPr>
                <w:rFonts w:ascii="Verdana" w:cs="Verdana" w:eastAsia="Verdana" w:hAnsi="Verdana"/>
                <w:sz w:val="9"/>
                <w:szCs w:val="9"/>
                <w:color w:val="auto"/>
              </w:rPr>
              <w:t>2</w:t>
            </w:r>
          </w:p>
        </w:tc>
        <w:tc>
          <w:tcPr>
            <w:tcW w:w="3320" w:type="dxa"/>
            <w:vAlign w:val="bottom"/>
          </w:tcPr>
          <w:p>
            <w:pPr>
              <w:ind w:left="2540"/>
              <w:spacing w:after="0"/>
              <w:rPr>
                <w:sz w:val="20"/>
                <w:szCs w:val="20"/>
                <w:color w:val="auto"/>
              </w:rPr>
            </w:pPr>
            <w:r>
              <w:rPr>
                <w:rFonts w:ascii="Verdana" w:cs="Verdana" w:eastAsia="Verdana" w:hAnsi="Verdana"/>
                <w:sz w:val="14"/>
                <w:szCs w:val="14"/>
                <w:color w:val="auto"/>
              </w:rPr>
              <w:t>[a]</w:t>
            </w:r>
          </w:p>
        </w:tc>
        <w:tc>
          <w:tcPr>
            <w:tcW w:w="26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w w:val="88"/>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11,687,126</w:t>
            </w: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Verdana" w:cs="Verdana" w:eastAsia="Verdana" w:hAnsi="Verdana"/>
                <w:sz w:val="14"/>
                <w:szCs w:val="14"/>
                <w:color w:val="auto"/>
                <w:w w:val="88"/>
              </w:rPr>
              <w: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11,936,439</w:t>
            </w:r>
          </w:p>
        </w:tc>
      </w:tr>
      <w:tr>
        <w:trPr>
          <w:trHeight w:val="20"/>
        </w:trPr>
        <w:tc>
          <w:tcPr>
            <w:tcW w:w="4440" w:type="dxa"/>
            <w:vAlign w:val="bottom"/>
            <w:tcBorders>
              <w:bottom w:val="single" w:sz="8" w:color="E0E7ED"/>
            </w:tcBorders>
          </w:tcPr>
          <w:p>
            <w:pPr>
              <w:spacing w:after="0" w:line="20" w:lineRule="exact"/>
              <w:rPr>
                <w:sz w:val="1"/>
                <w:szCs w:val="1"/>
                <w:color w:val="auto"/>
              </w:rPr>
            </w:pPr>
          </w:p>
        </w:tc>
        <w:tc>
          <w:tcPr>
            <w:tcW w:w="332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3"/>
        </w:trPr>
        <w:tc>
          <w:tcPr>
            <w:tcW w:w="4440" w:type="dxa"/>
            <w:vAlign w:val="bottom"/>
            <w:shd w:val="clear" w:color="auto" w:fill="E0E7ED"/>
          </w:tcPr>
          <w:p>
            <w:pPr>
              <w:spacing w:after="0"/>
              <w:rPr>
                <w:sz w:val="15"/>
                <w:szCs w:val="15"/>
                <w:color w:val="auto"/>
              </w:rPr>
            </w:pPr>
          </w:p>
        </w:tc>
        <w:tc>
          <w:tcPr>
            <w:tcW w:w="332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r>
      <w:tr>
        <w:trPr>
          <w:trHeight w:val="207"/>
        </w:trPr>
        <w:tc>
          <w:tcPr>
            <w:tcW w:w="4440" w:type="dxa"/>
            <w:vAlign w:val="bottom"/>
          </w:tcPr>
          <w:p>
            <w:pPr>
              <w:ind w:left="20"/>
              <w:spacing w:after="0"/>
              <w:rPr>
                <w:sz w:val="20"/>
                <w:szCs w:val="20"/>
                <w:color w:val="auto"/>
              </w:rPr>
            </w:pPr>
            <w:r>
              <w:rPr>
                <w:rFonts w:ascii="Verdana" w:cs="Verdana" w:eastAsia="Verdana" w:hAnsi="Verdana"/>
                <w:sz w:val="14"/>
                <w:szCs w:val="14"/>
                <w:b w:val="1"/>
                <w:bCs w:val="1"/>
                <w:color w:val="auto"/>
              </w:rPr>
              <w:t>Total stockholders' equity (GAAP)</w:t>
            </w:r>
          </w:p>
        </w:tc>
        <w:tc>
          <w:tcPr>
            <w:tcW w:w="332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260" w:type="dxa"/>
            <w:vAlign w:val="bottom"/>
          </w:tcPr>
          <w:p>
            <w:pPr>
              <w:spacing w:after="0"/>
              <w:rPr>
                <w:sz w:val="17"/>
                <w:szCs w:val="17"/>
                <w:color w:val="auto"/>
              </w:rPr>
            </w:pPr>
          </w:p>
        </w:tc>
        <w:tc>
          <w:tcPr>
            <w:tcW w:w="1200" w:type="dxa"/>
            <w:vAlign w:val="bottom"/>
          </w:tcPr>
          <w:p>
            <w:pPr>
              <w:jc w:val="right"/>
              <w:ind w:right="154"/>
              <w:spacing w:after="0"/>
              <w:rPr>
                <w:sz w:val="20"/>
                <w:szCs w:val="20"/>
                <w:color w:val="auto"/>
              </w:rPr>
            </w:pPr>
            <w:r>
              <w:rPr>
                <w:rFonts w:ascii="Verdana" w:cs="Verdana" w:eastAsia="Verdana" w:hAnsi="Verdana"/>
                <w:sz w:val="14"/>
                <w:szCs w:val="14"/>
                <w:color w:val="auto"/>
              </w:rPr>
              <w:t>1,383,269</w:t>
            </w: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Verdana" w:cs="Verdana" w:eastAsia="Verdana" w:hAnsi="Verdana"/>
                <w:sz w:val="14"/>
                <w:szCs w:val="14"/>
                <w:color w:val="auto"/>
                <w:w w:val="88"/>
              </w:rPr>
              <w:t>$</w:t>
            </w:r>
          </w:p>
        </w:tc>
        <w:tc>
          <w:tcPr>
            <w:tcW w:w="520" w:type="dxa"/>
            <w:vAlign w:val="bottom"/>
          </w:tcPr>
          <w:p>
            <w:pPr>
              <w:spacing w:after="0"/>
              <w:rPr>
                <w:sz w:val="17"/>
                <w:szCs w:val="17"/>
                <w:color w:val="auto"/>
              </w:rPr>
            </w:pPr>
          </w:p>
        </w:tc>
        <w:tc>
          <w:tcPr>
            <w:tcW w:w="1060" w:type="dxa"/>
            <w:vAlign w:val="bottom"/>
          </w:tcPr>
          <w:p>
            <w:pPr>
              <w:jc w:val="right"/>
              <w:ind w:right="152"/>
              <w:spacing w:after="0"/>
              <w:rPr>
                <w:sz w:val="20"/>
                <w:szCs w:val="20"/>
                <w:color w:val="auto"/>
              </w:rPr>
            </w:pPr>
            <w:r>
              <w:rPr>
                <w:rFonts w:ascii="Verdana" w:cs="Verdana" w:eastAsia="Verdana" w:hAnsi="Verdana"/>
                <w:sz w:val="14"/>
                <w:szCs w:val="14"/>
                <w:color w:val="auto"/>
              </w:rPr>
              <w:t>1,271,981</w:t>
            </w:r>
          </w:p>
        </w:tc>
      </w:tr>
      <w:tr>
        <w:trPr>
          <w:trHeight w:val="218"/>
        </w:trPr>
        <w:tc>
          <w:tcPr>
            <w:tcW w:w="44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Goodwill and other intangible assets, net (GAAP)</w:t>
            </w:r>
          </w:p>
        </w:tc>
        <w:tc>
          <w:tcPr>
            <w:tcW w:w="332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14"/>
              <w:spacing w:after="0"/>
              <w:rPr>
                <w:sz w:val="20"/>
                <w:szCs w:val="20"/>
                <w:color w:val="auto"/>
              </w:rPr>
            </w:pPr>
            <w:r>
              <w:rPr>
                <w:rFonts w:ascii="Verdana" w:cs="Verdana" w:eastAsia="Verdana" w:hAnsi="Verdana"/>
                <w:sz w:val="14"/>
                <w:szCs w:val="14"/>
                <w:color w:val="auto"/>
              </w:rPr>
              <w:t>(365,975)</w:t>
            </w:r>
          </w:p>
        </w:tc>
        <w:tc>
          <w:tcPr>
            <w:tcW w:w="80" w:type="dxa"/>
            <w:vAlign w:val="bottom"/>
            <w:shd w:val="clear" w:color="auto" w:fill="E0E7ED"/>
          </w:tcPr>
          <w:p>
            <w:pPr>
              <w:spacing w:after="0"/>
              <w:rPr>
                <w:sz w:val="18"/>
                <w:szCs w:val="18"/>
                <w:color w:val="auto"/>
              </w:rPr>
            </w:pPr>
          </w:p>
        </w:tc>
        <w:tc>
          <w:tcPr>
            <w:tcW w:w="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spacing w:after="0"/>
              <w:rPr>
                <w:sz w:val="18"/>
                <w:szCs w:val="18"/>
                <w:color w:val="auto"/>
              </w:rPr>
            </w:pPr>
          </w:p>
        </w:tc>
        <w:tc>
          <w:tcPr>
            <w:tcW w:w="106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(353,864)</w:t>
            </w:r>
          </w:p>
        </w:tc>
      </w:tr>
      <w:tr>
        <w:trPr>
          <w:trHeight w:val="207"/>
        </w:trPr>
        <w:tc>
          <w:tcPr>
            <w:tcW w:w="44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Tax effect of other intangible assets</w:t>
            </w:r>
            <w:r>
              <w:rPr>
                <w:rFonts w:ascii="Verdana" w:cs="Verdana" w:eastAsia="Verdana" w:hAnsi="Verdana"/>
                <w:sz w:val="9"/>
                <w:szCs w:val="9"/>
                <w:color w:val="auto"/>
              </w:rPr>
              <w:t>1</w:t>
            </w:r>
          </w:p>
        </w:tc>
        <w:tc>
          <w:tcPr>
            <w:tcW w:w="332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6,379</w:t>
            </w:r>
          </w:p>
        </w:tc>
        <w:tc>
          <w:tcPr>
            <w:tcW w:w="80" w:type="dxa"/>
            <w:vAlign w:val="bottom"/>
            <w:tcBorders>
              <w:bottom w:val="single" w:sz="8" w:color="E0E7ED"/>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6,888</w:t>
            </w:r>
          </w:p>
        </w:tc>
      </w:tr>
      <w:tr>
        <w:trPr>
          <w:trHeight w:val="233"/>
        </w:trPr>
        <w:tc>
          <w:tcPr>
            <w:tcW w:w="44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Tangible common equity (Non-GAAP)</w:t>
            </w:r>
            <w:r>
              <w:rPr>
                <w:rFonts w:ascii="Verdana" w:cs="Verdana" w:eastAsia="Verdana" w:hAnsi="Verdana"/>
                <w:sz w:val="9"/>
                <w:szCs w:val="9"/>
                <w:color w:val="auto"/>
              </w:rPr>
              <w:t>2</w:t>
            </w:r>
          </w:p>
        </w:tc>
        <w:tc>
          <w:tcPr>
            <w:tcW w:w="3320" w:type="dxa"/>
            <w:vAlign w:val="bottom"/>
            <w:tcBorders>
              <w:bottom w:val="single" w:sz="8" w:color="E0E7ED"/>
            </w:tcBorders>
            <w:shd w:val="clear" w:color="auto" w:fill="E0E7ED"/>
          </w:tcPr>
          <w:p>
            <w:pPr>
              <w:ind w:left="2540"/>
              <w:spacing w:after="0"/>
              <w:rPr>
                <w:sz w:val="20"/>
                <w:szCs w:val="20"/>
                <w:color w:val="auto"/>
              </w:rPr>
            </w:pPr>
            <w:r>
              <w:rPr>
                <w:rFonts w:ascii="Verdana" w:cs="Verdana" w:eastAsia="Verdana" w:hAnsi="Verdana"/>
                <w:sz w:val="14"/>
                <w:szCs w:val="14"/>
                <w:color w:val="auto"/>
              </w:rPr>
              <w:t>[b]</w:t>
            </w: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260" w:type="dxa"/>
            <w:vAlign w:val="bottom"/>
            <w:tcBorders>
              <w:bottom w:val="single" w:sz="8" w:color="auto"/>
            </w:tcBorders>
            <w:shd w:val="clear" w:color="auto" w:fill="E0E7ED"/>
          </w:tcPr>
          <w:p>
            <w:pPr>
              <w:spacing w:after="0"/>
              <w:rPr>
                <w:sz w:val="19"/>
                <w:szCs w:val="19"/>
                <w:color w:val="auto"/>
              </w:rPr>
            </w:pPr>
          </w:p>
        </w:tc>
        <w:tc>
          <w:tcPr>
            <w:tcW w:w="120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1,023,673</w:t>
            </w:r>
          </w:p>
        </w:tc>
        <w:tc>
          <w:tcPr>
            <w:tcW w:w="80" w:type="dxa"/>
            <w:vAlign w:val="bottom"/>
            <w:tcBorders>
              <w:bottom w:val="single" w:sz="8" w:color="E0E7ED"/>
            </w:tcBorders>
            <w:shd w:val="clear" w:color="auto" w:fill="E0E7ED"/>
          </w:tcPr>
          <w:p>
            <w:pPr>
              <w:spacing w:after="0"/>
              <w:rPr>
                <w:sz w:val="19"/>
                <w:szCs w:val="19"/>
                <w:color w:val="auto"/>
              </w:rPr>
            </w:pPr>
          </w:p>
        </w:tc>
        <w:tc>
          <w:tcPr>
            <w:tcW w:w="140" w:type="dxa"/>
            <w:vAlign w:val="bottom"/>
            <w:tcBorders>
              <w:bottom w:val="single" w:sz="8" w:color="auto"/>
            </w:tcBorders>
            <w:gridSpan w:val="2"/>
            <w:shd w:val="clear" w:color="auto" w:fill="E0E7ED"/>
          </w:tcPr>
          <w:p>
            <w:pPr>
              <w:jc w:val="right"/>
              <w:ind w:right="40"/>
              <w:spacing w:after="0"/>
              <w:rPr>
                <w:sz w:val="20"/>
                <w:szCs w:val="20"/>
                <w:color w:val="auto"/>
              </w:rPr>
            </w:pPr>
            <w:r>
              <w:rPr>
                <w:rFonts w:ascii="Verdana" w:cs="Verdana" w:eastAsia="Verdana" w:hAnsi="Verdana"/>
                <w:sz w:val="14"/>
                <w:szCs w:val="14"/>
                <w:color w:val="auto"/>
                <w:w w:val="88"/>
              </w:rPr>
              <w:t>$</w:t>
            </w:r>
          </w:p>
        </w:tc>
        <w:tc>
          <w:tcPr>
            <w:tcW w:w="520" w:type="dxa"/>
            <w:vAlign w:val="bottom"/>
            <w:tcBorders>
              <w:bottom w:val="single" w:sz="8" w:color="auto"/>
            </w:tcBorders>
            <w:shd w:val="clear" w:color="auto" w:fill="E0E7ED"/>
          </w:tcPr>
          <w:p>
            <w:pPr>
              <w:spacing w:after="0"/>
              <w:rPr>
                <w:sz w:val="19"/>
                <w:szCs w:val="19"/>
                <w:color w:val="auto"/>
              </w:rPr>
            </w:pPr>
          </w:p>
        </w:tc>
        <w:tc>
          <w:tcPr>
            <w:tcW w:w="106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925,005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44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2"/>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Tangible common equity to tangible assets (Non-GAAP)</w:t>
            </w:r>
            <w:r>
              <w:rPr>
                <w:rFonts w:ascii="Verdana" w:cs="Verdana" w:eastAsia="Verdana" w:hAnsi="Verdana"/>
                <w:sz w:val="9"/>
                <w:szCs w:val="9"/>
                <w:color w:val="auto"/>
              </w:rPr>
              <w:t>2</w:t>
            </w:r>
          </w:p>
        </w:tc>
        <w:tc>
          <w:tcPr>
            <w:tcW w:w="3320" w:type="dxa"/>
            <w:vAlign w:val="bottom"/>
            <w:shd w:val="clear" w:color="auto" w:fill="E0E7ED"/>
          </w:tcPr>
          <w:p>
            <w:pPr>
              <w:ind w:left="2540"/>
              <w:spacing w:after="0"/>
              <w:rPr>
                <w:sz w:val="20"/>
                <w:szCs w:val="20"/>
                <w:color w:val="auto"/>
              </w:rPr>
            </w:pPr>
            <w:r>
              <w:rPr>
                <w:rFonts w:ascii="Verdana" w:cs="Verdana" w:eastAsia="Verdana" w:hAnsi="Verdana"/>
                <w:sz w:val="14"/>
                <w:szCs w:val="14"/>
                <w:color w:val="auto"/>
              </w:rPr>
              <w:t>[b÷a]</w:t>
            </w:r>
          </w:p>
        </w:tc>
        <w:tc>
          <w:tcPr>
            <w:tcW w:w="2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8.76 %</w:t>
            </w:r>
          </w:p>
        </w:tc>
        <w:tc>
          <w:tcPr>
            <w:tcW w:w="80" w:type="dxa"/>
            <w:vAlign w:val="bottom"/>
            <w:shd w:val="clear" w:color="auto" w:fill="E0E7ED"/>
          </w:tcPr>
          <w:p>
            <w:pPr>
              <w:spacing w:after="0"/>
              <w:rPr>
                <w:sz w:val="18"/>
                <w:szCs w:val="18"/>
                <w:color w:val="auto"/>
              </w:rPr>
            </w:pPr>
          </w:p>
        </w:tc>
        <w:tc>
          <w:tcPr>
            <w:tcW w:w="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spacing w:after="0"/>
              <w:rPr>
                <w:sz w:val="18"/>
                <w:szCs w:val="18"/>
                <w:color w:val="auto"/>
              </w:rPr>
            </w:pPr>
          </w:p>
        </w:tc>
        <w:tc>
          <w:tcPr>
            <w:tcW w:w="10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7.75 %</w:t>
            </w:r>
          </w:p>
        </w:tc>
      </w:tr>
      <w:tr>
        <w:trPr>
          <w:trHeight w:val="187"/>
        </w:trPr>
        <w:tc>
          <w:tcPr>
            <w:tcW w:w="4440" w:type="dxa"/>
            <w:vAlign w:val="bottom"/>
          </w:tcPr>
          <w:p>
            <w:pPr>
              <w:spacing w:after="0"/>
              <w:rPr>
                <w:sz w:val="20"/>
                <w:szCs w:val="20"/>
                <w:color w:val="auto"/>
              </w:rPr>
            </w:pPr>
            <w:r>
              <w:rPr>
                <w:rFonts w:ascii="Verdana" w:cs="Verdana" w:eastAsia="Verdana" w:hAnsi="Verdana"/>
                <w:sz w:val="10"/>
                <w:szCs w:val="10"/>
                <w:color w:val="auto"/>
              </w:rPr>
              <w:t>___________________________________________</w:t>
            </w:r>
          </w:p>
        </w:tc>
        <w:tc>
          <w:tcPr>
            <w:tcW w:w="3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ind w:left="380" w:hanging="248"/>
        <w:spacing w:after="0" w:line="230" w:lineRule="auto"/>
        <w:tabs>
          <w:tab w:leader="none" w:pos="380" w:val="left"/>
        </w:tabs>
        <w:numPr>
          <w:ilvl w:val="0"/>
          <w:numId w:val="8"/>
        </w:numPr>
        <w:rPr>
          <w:rFonts w:ascii="Verdana" w:cs="Verdana" w:eastAsia="Verdana" w:hAnsi="Verdana"/>
          <w:sz w:val="10"/>
          <w:szCs w:val="10"/>
          <w:color w:val="auto"/>
        </w:rPr>
      </w:pPr>
      <w:r>
        <w:rPr>
          <w:rFonts w:ascii="Verdana" w:cs="Verdana" w:eastAsia="Verdana" w:hAnsi="Verdana"/>
          <w:sz w:val="10"/>
          <w:szCs w:val="10"/>
          <w:color w:val="auto"/>
        </w:rPr>
        <w:t>Net of estimated deferred tax liability, calculated using an estimated tax rate of 26.73% as of December 31, 2024, and 28.0% as of December 31, 2023.</w:t>
      </w:r>
    </w:p>
    <w:p>
      <w:pPr>
        <w:ind w:left="380" w:hanging="248"/>
        <w:spacing w:after="0"/>
        <w:tabs>
          <w:tab w:leader="none" w:pos="380" w:val="left"/>
        </w:tabs>
        <w:numPr>
          <w:ilvl w:val="0"/>
          <w:numId w:val="8"/>
        </w:numPr>
        <w:rPr>
          <w:rFonts w:ascii="Verdana" w:cs="Verdana" w:eastAsia="Verdana" w:hAnsi="Verdana"/>
          <w:sz w:val="10"/>
          <w:szCs w:val="10"/>
          <w:color w:val="auto"/>
        </w:rPr>
      </w:pPr>
      <w:r>
        <w:rPr>
          <w:rFonts w:ascii="Verdana" w:cs="Verdana" w:eastAsia="Verdana" w:hAnsi="Verdana"/>
          <w:sz w:val="10"/>
          <w:szCs w:val="10"/>
          <w:color w:val="auto"/>
        </w:rPr>
        <w:t>Tax-effected measure.</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1" w:name="page32"/>
    <w:bookmarkEnd w:id="3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 Business</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 xml:space="preserve">RECONCILIATION OF NON-GAAP FINANCIAL MEASURES </w:t>
      </w:r>
      <w:r>
        <w:rPr>
          <w:rFonts w:ascii="Verdana" w:cs="Verdana" w:eastAsia="Verdana" w:hAnsi="Verdana"/>
          <w:sz w:val="14"/>
          <w:szCs w:val="14"/>
          <w:b w:val="1"/>
          <w:bCs w:val="1"/>
          <w:i w:val="1"/>
          <w:iCs w:val="1"/>
          <w:color w:val="auto"/>
        </w:rPr>
        <w:t>(Unaudited)</w:t>
      </w:r>
    </w:p>
    <w:p>
      <w:pPr>
        <w:spacing w:after="0" w:line="382"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Core Deposits and Related Ratios</w:t>
      </w:r>
    </w:p>
    <w:p>
      <w:pPr>
        <w:spacing w:after="0" w:line="42" w:lineRule="exact"/>
        <w:rPr>
          <w:sz w:val="20"/>
          <w:szCs w:val="20"/>
          <w:color w:val="auto"/>
        </w:rPr>
      </w:pP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120" w:type="dxa"/>
            <w:vAlign w:val="bottom"/>
            <w:tcBorders>
              <w:bottom w:val="single" w:sz="8" w:color="auto"/>
            </w:tcBorders>
          </w:tcPr>
          <w:p>
            <w:pPr>
              <w:spacing w:after="0"/>
              <w:rPr>
                <w:sz w:val="11"/>
                <w:szCs w:val="11"/>
                <w:color w:val="auto"/>
              </w:rPr>
            </w:pPr>
          </w:p>
        </w:tc>
      </w:tr>
      <w:tr>
        <w:trPr>
          <w:trHeight w:val="131"/>
        </w:trPr>
        <w:tc>
          <w:tcPr>
            <w:tcW w:w="6240" w:type="dxa"/>
            <w:vAlign w:val="bottom"/>
            <w:tcBorders>
              <w:bottom w:val="single" w:sz="8" w:color="E0E7ED"/>
            </w:tcBorders>
          </w:tcPr>
          <w:p>
            <w:pPr>
              <w:spacing w:after="0"/>
              <w:rPr>
                <w:sz w:val="11"/>
                <w:szCs w:val="11"/>
                <w:color w:val="auto"/>
              </w:rPr>
            </w:pPr>
          </w:p>
        </w:tc>
        <w:tc>
          <w:tcPr>
            <w:tcW w:w="158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2023</w:t>
            </w:r>
          </w:p>
        </w:tc>
      </w:tr>
      <w:tr>
        <w:trPr>
          <w:trHeight w:val="212"/>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Portfolio loans (GAAP)</w:t>
            </w:r>
          </w:p>
        </w:tc>
        <w:tc>
          <w:tcPr>
            <w:tcW w:w="1580" w:type="dxa"/>
            <w:vAlign w:val="bottom"/>
            <w:tcBorders>
              <w:bottom w:val="single" w:sz="8" w:color="E0E7ED"/>
            </w:tcBorders>
            <w:shd w:val="clear" w:color="auto" w:fill="E0E7ED"/>
          </w:tcPr>
          <w:p>
            <w:pPr>
              <w:ind w:left="820"/>
              <w:spacing w:after="0"/>
              <w:rPr>
                <w:sz w:val="20"/>
                <w:szCs w:val="20"/>
                <w:color w:val="auto"/>
              </w:rPr>
            </w:pPr>
            <w:r>
              <w:rPr>
                <w:rFonts w:ascii="Verdana" w:cs="Verdana" w:eastAsia="Verdana" w:hAnsi="Verdana"/>
                <w:sz w:val="14"/>
                <w:szCs w:val="14"/>
                <w:color w:val="auto"/>
              </w:rPr>
              <w:t>[a]</w:t>
            </w:r>
          </w:p>
        </w:tc>
        <w:tc>
          <w:tcPr>
            <w:tcW w:w="400" w:type="dxa"/>
            <w:vAlign w:val="bottom"/>
            <w:tcBorders>
              <w:bottom w:val="single" w:sz="8" w:color="auto"/>
            </w:tcBorders>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7,697,087</w:t>
            </w:r>
          </w:p>
        </w:tc>
        <w:tc>
          <w:tcPr>
            <w:tcW w:w="80" w:type="dxa"/>
            <w:vAlign w:val="bottom"/>
            <w:tcBorders>
              <w:bottom w:val="single" w:sz="8" w:color="E0E7ED"/>
            </w:tcBorders>
            <w:shd w:val="clear" w:color="auto" w:fill="E0E7ED"/>
          </w:tcPr>
          <w:p>
            <w:pPr>
              <w:spacing w:after="0"/>
              <w:rPr>
                <w:sz w:val="17"/>
                <w:szCs w:val="17"/>
                <w:color w:val="auto"/>
              </w:rPr>
            </w:pPr>
          </w:p>
        </w:tc>
        <w:tc>
          <w:tcPr>
            <w:tcW w:w="580" w:type="dxa"/>
            <w:vAlign w:val="bottom"/>
            <w:tcBorders>
              <w:bottom w:val="single" w:sz="8" w:color="auto"/>
            </w:tcBorders>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7,651,034</w:t>
            </w: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62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deposits (GAAP)</w:t>
            </w:r>
          </w:p>
        </w:tc>
        <w:tc>
          <w:tcPr>
            <w:tcW w:w="1580" w:type="dxa"/>
            <w:vAlign w:val="bottom"/>
            <w:shd w:val="clear" w:color="auto" w:fill="E0E7ED"/>
          </w:tcPr>
          <w:p>
            <w:pPr>
              <w:ind w:left="820"/>
              <w:spacing w:after="0"/>
              <w:rPr>
                <w:sz w:val="20"/>
                <w:szCs w:val="20"/>
                <w:color w:val="auto"/>
              </w:rPr>
            </w:pPr>
            <w:r>
              <w:rPr>
                <w:rFonts w:ascii="Verdana" w:cs="Verdana" w:eastAsia="Verdana" w:hAnsi="Verdana"/>
                <w:sz w:val="14"/>
                <w:szCs w:val="14"/>
                <w:color w:val="auto"/>
              </w:rPr>
              <w:t>[b]</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4"/>
              <w:spacing w:after="0"/>
              <w:rPr>
                <w:sz w:val="20"/>
                <w:szCs w:val="20"/>
                <w:color w:val="auto"/>
              </w:rPr>
            </w:pPr>
            <w:r>
              <w:rPr>
                <w:rFonts w:ascii="Verdana" w:cs="Verdana" w:eastAsia="Verdana" w:hAnsi="Verdana"/>
                <w:sz w:val="14"/>
                <w:szCs w:val="14"/>
                <w:color w:val="auto"/>
              </w:rPr>
              <w:t>9,982,490</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10,291,156</w:t>
            </w:r>
          </w:p>
        </w:tc>
      </w:tr>
      <w:tr>
        <w:trPr>
          <w:trHeight w:val="207"/>
        </w:trPr>
        <w:tc>
          <w:tcPr>
            <w:tcW w:w="6240" w:type="dxa"/>
            <w:vAlign w:val="bottom"/>
          </w:tcPr>
          <w:p>
            <w:pPr>
              <w:ind w:left="140"/>
              <w:spacing w:after="0"/>
              <w:rPr>
                <w:sz w:val="20"/>
                <w:szCs w:val="20"/>
                <w:color w:val="auto"/>
              </w:rPr>
            </w:pPr>
            <w:r>
              <w:rPr>
                <w:rFonts w:ascii="Verdana" w:cs="Verdana" w:eastAsia="Verdana" w:hAnsi="Verdana"/>
                <w:sz w:val="14"/>
                <w:szCs w:val="14"/>
                <w:color w:val="auto"/>
              </w:rPr>
              <w:t>Brokered deposits, excluding brokered time deposits of $250,000 or more</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94"/>
              <w:spacing w:after="0"/>
              <w:rPr>
                <w:sz w:val="20"/>
                <w:szCs w:val="20"/>
                <w:color w:val="auto"/>
              </w:rPr>
            </w:pPr>
            <w:r>
              <w:rPr>
                <w:rFonts w:ascii="Verdana" w:cs="Verdana" w:eastAsia="Verdana" w:hAnsi="Verdana"/>
                <w:sz w:val="14"/>
                <w:szCs w:val="14"/>
                <w:color w:val="auto"/>
              </w:rPr>
              <w:t>(13,090)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92"/>
              <w:spacing w:after="0"/>
              <w:rPr>
                <w:sz w:val="20"/>
                <w:szCs w:val="20"/>
                <w:color w:val="auto"/>
              </w:rPr>
            </w:pPr>
            <w:r>
              <w:rPr>
                <w:rFonts w:ascii="Verdana" w:cs="Verdana" w:eastAsia="Verdana" w:hAnsi="Verdana"/>
                <w:sz w:val="14"/>
                <w:szCs w:val="14"/>
                <w:color w:val="auto"/>
              </w:rPr>
              <w:t>(6,001)</w:t>
            </w:r>
          </w:p>
        </w:tc>
      </w:tr>
      <w:tr>
        <w:trPr>
          <w:trHeight w:val="212"/>
        </w:trPr>
        <w:tc>
          <w:tcPr>
            <w:tcW w:w="62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Time deposits of $250,000 or more</w:t>
            </w:r>
          </w:p>
        </w:tc>
        <w:tc>
          <w:tcPr>
            <w:tcW w:w="1580" w:type="dxa"/>
            <w:vAlign w:val="bottom"/>
            <w:shd w:val="clear" w:color="auto" w:fill="E0E7ED"/>
          </w:tcPr>
          <w:p>
            <w:pPr>
              <w:spacing w:after="0"/>
              <w:rPr>
                <w:sz w:val="18"/>
                <w:szCs w:val="18"/>
                <w:color w:val="auto"/>
              </w:rPr>
            </w:pPr>
          </w:p>
        </w:tc>
        <w:tc>
          <w:tcPr>
            <w:tcW w:w="4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ind w:right="94"/>
              <w:spacing w:after="0"/>
              <w:rPr>
                <w:sz w:val="20"/>
                <w:szCs w:val="20"/>
                <w:color w:val="auto"/>
              </w:rPr>
            </w:pPr>
            <w:r>
              <w:rPr>
                <w:rFonts w:ascii="Verdana" w:cs="Verdana" w:eastAsia="Verdana" w:hAnsi="Verdana"/>
                <w:sz w:val="14"/>
                <w:szCs w:val="14"/>
                <w:color w:val="auto"/>
              </w:rPr>
              <w:t>(334,503)</w:t>
            </w:r>
          </w:p>
        </w:tc>
        <w:tc>
          <w:tcPr>
            <w:tcW w:w="80" w:type="dxa"/>
            <w:vAlign w:val="bottom"/>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ind w:right="92"/>
              <w:spacing w:after="0"/>
              <w:rPr>
                <w:sz w:val="20"/>
                <w:szCs w:val="20"/>
                <w:color w:val="auto"/>
              </w:rPr>
            </w:pPr>
            <w:r>
              <w:rPr>
                <w:rFonts w:ascii="Verdana" w:cs="Verdana" w:eastAsia="Verdana" w:hAnsi="Verdana"/>
                <w:sz w:val="14"/>
                <w:szCs w:val="14"/>
                <w:color w:val="auto"/>
              </w:rPr>
              <w:t>(386,286)</w:t>
            </w:r>
          </w:p>
        </w:tc>
      </w:tr>
      <w:tr>
        <w:trPr>
          <w:trHeight w:val="208"/>
        </w:trPr>
        <w:tc>
          <w:tcPr>
            <w:tcW w:w="6240" w:type="dxa"/>
            <w:vAlign w:val="bottom"/>
          </w:tcPr>
          <w:p>
            <w:pPr>
              <w:ind w:left="20"/>
              <w:spacing w:after="0"/>
              <w:rPr>
                <w:sz w:val="20"/>
                <w:szCs w:val="20"/>
                <w:color w:val="auto"/>
              </w:rPr>
            </w:pPr>
            <w:r>
              <w:rPr>
                <w:rFonts w:ascii="Verdana" w:cs="Verdana" w:eastAsia="Verdana" w:hAnsi="Verdana"/>
                <w:sz w:val="14"/>
                <w:szCs w:val="14"/>
                <w:color w:val="auto"/>
              </w:rPr>
              <w:t>Core deposits (Non-GAAP)</w:t>
            </w:r>
          </w:p>
        </w:tc>
        <w:tc>
          <w:tcPr>
            <w:tcW w:w="1580" w:type="dxa"/>
            <w:vAlign w:val="bottom"/>
          </w:tcPr>
          <w:p>
            <w:pPr>
              <w:ind w:left="820"/>
              <w:spacing w:after="0"/>
              <w:rPr>
                <w:sz w:val="20"/>
                <w:szCs w:val="20"/>
                <w:color w:val="auto"/>
              </w:rPr>
            </w:pPr>
            <w:r>
              <w:rPr>
                <w:rFonts w:ascii="Verdana" w:cs="Verdana" w:eastAsia="Verdana" w:hAnsi="Verdana"/>
                <w:sz w:val="14"/>
                <w:szCs w:val="14"/>
                <w:color w:val="auto"/>
              </w:rPr>
              <w:t>[c]</w:t>
            </w:r>
          </w:p>
        </w:tc>
        <w:tc>
          <w:tcPr>
            <w:tcW w:w="400" w:type="dxa"/>
            <w:vAlign w:val="bottom"/>
            <w:tcBorders>
              <w:bottom w:val="single" w:sz="8" w:color="auto"/>
            </w:tcBorders>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9,634,897</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9,898,869</w:t>
            </w:r>
          </w:p>
        </w:tc>
      </w:tr>
      <w:tr>
        <w:trPr>
          <w:trHeight w:val="20"/>
        </w:trPr>
        <w:tc>
          <w:tcPr>
            <w:tcW w:w="624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24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4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58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r>
      <w:tr>
        <w:trPr>
          <w:trHeight w:val="207"/>
        </w:trPr>
        <w:tc>
          <w:tcPr>
            <w:tcW w:w="6240" w:type="dxa"/>
            <w:vAlign w:val="bottom"/>
          </w:tcPr>
          <w:p>
            <w:pPr>
              <w:ind w:left="20"/>
              <w:spacing w:after="0"/>
              <w:rPr>
                <w:sz w:val="20"/>
                <w:szCs w:val="20"/>
                <w:color w:val="auto"/>
              </w:rPr>
            </w:pPr>
            <w:r>
              <w:rPr>
                <w:rFonts w:ascii="Verdana" w:cs="Verdana" w:eastAsia="Verdana" w:hAnsi="Verdana"/>
                <w:sz w:val="14"/>
                <w:szCs w:val="14"/>
                <w:b w:val="1"/>
                <w:bCs w:val="1"/>
                <w:color w:val="auto"/>
              </w:rPr>
              <w:t>RATIOS</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62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Core deposits to total deposits (Non-GAAP)</w:t>
            </w:r>
          </w:p>
        </w:tc>
        <w:tc>
          <w:tcPr>
            <w:tcW w:w="1580" w:type="dxa"/>
            <w:vAlign w:val="bottom"/>
            <w:shd w:val="clear" w:color="auto" w:fill="E0E7ED"/>
          </w:tcPr>
          <w:p>
            <w:pPr>
              <w:ind w:left="820"/>
              <w:spacing w:after="0"/>
              <w:rPr>
                <w:sz w:val="20"/>
                <w:szCs w:val="20"/>
                <w:color w:val="auto"/>
              </w:rPr>
            </w:pPr>
            <w:r>
              <w:rPr>
                <w:rFonts w:ascii="Verdana" w:cs="Verdana" w:eastAsia="Verdana" w:hAnsi="Verdana"/>
                <w:sz w:val="14"/>
                <w:szCs w:val="14"/>
                <w:color w:val="auto"/>
              </w:rPr>
              <w:t>[c÷b]</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96.52 %</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96.19 %</w:t>
            </w:r>
          </w:p>
        </w:tc>
      </w:tr>
      <w:tr>
        <w:trPr>
          <w:trHeight w:val="201"/>
        </w:trPr>
        <w:tc>
          <w:tcPr>
            <w:tcW w:w="6240" w:type="dxa"/>
            <w:vAlign w:val="bottom"/>
          </w:tcPr>
          <w:p>
            <w:pPr>
              <w:ind w:left="20"/>
              <w:spacing w:after="0"/>
              <w:rPr>
                <w:sz w:val="20"/>
                <w:szCs w:val="20"/>
                <w:color w:val="auto"/>
              </w:rPr>
            </w:pPr>
            <w:r>
              <w:rPr>
                <w:rFonts w:ascii="Verdana" w:cs="Verdana" w:eastAsia="Verdana" w:hAnsi="Verdana"/>
                <w:sz w:val="14"/>
                <w:szCs w:val="14"/>
                <w:color w:val="auto"/>
              </w:rPr>
              <w:t>Portfolio loans to core deposits (Non-GAAP)</w:t>
            </w:r>
          </w:p>
        </w:tc>
        <w:tc>
          <w:tcPr>
            <w:tcW w:w="1580" w:type="dxa"/>
            <w:vAlign w:val="bottom"/>
          </w:tcPr>
          <w:p>
            <w:pPr>
              <w:ind w:left="820"/>
              <w:spacing w:after="0"/>
              <w:rPr>
                <w:sz w:val="20"/>
                <w:szCs w:val="20"/>
                <w:color w:val="auto"/>
              </w:rPr>
            </w:pPr>
            <w:r>
              <w:rPr>
                <w:rFonts w:ascii="Verdana" w:cs="Verdana" w:eastAsia="Verdana" w:hAnsi="Verdana"/>
                <w:sz w:val="14"/>
                <w:szCs w:val="14"/>
                <w:color w:val="auto"/>
              </w:rPr>
              <w:t>[a÷c]</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79.89 %</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77.29 %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2" w:name="page33"/>
    <w:bookmarkEnd w:id="3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Item 1. Business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SPECIAL CAUTIONARY NOTE REGARDING FORWARD-LOOKING STATEMENTS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Statements contained in or incorporated by reference into this Annual Report that are not historical facts may constitute forward-looking statements within the meaning of Section 27A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Busey’s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Busey’s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business and growth strategies, and any other statements that are not historical facts.</w:t>
      </w:r>
    </w:p>
    <w:p>
      <w:pPr>
        <w:spacing w:after="0" w:line="12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These forward-looking statements are subject to significant risks, assumptions, and uncertainties, and could be affected by many factors. Factors that could have a material adverse effect on Busey’s financial condition, results of operations, and future prospects can be found under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1A. Risk Factors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in this Annual Report and elsewhere in Busey’s periodic and Current Reports filed with the SEC. These factors include, but are not limited to, the following:</w:t>
      </w:r>
    </w:p>
    <w:p>
      <w:pPr>
        <w:spacing w:after="0" w:line="128" w:lineRule="exact"/>
        <w:rPr>
          <w:sz w:val="20"/>
          <w:szCs w:val="20"/>
          <w:color w:val="auto"/>
        </w:rPr>
      </w:pPr>
    </w:p>
    <w:p>
      <w:pPr>
        <w:jc w:val="both"/>
        <w:ind w:left="520" w:hanging="260"/>
        <w:spacing w:after="0" w:line="241" w:lineRule="auto"/>
        <w:tabs>
          <w:tab w:leader="none" w:pos="513"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risks related to the proposed transaction with CrossFirst, including (i) the possibility that the proposed transaction will not close when expected or at all because conditions to the closing are not satisfied on a timely basis or at all; (ii)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(iii) the possibility that the merger may be more expensive to complete than anticipated, including as a result of unexpected factors or events; (iv) diversion of management's attention from ongoing business operations and opportunities; (v) the possibility that Busey may be unable to achieve expected synergies and operating efficiencies in the merger within the expected timeframes or at all; (vi) the possibility that Busey may be unable to successfully integrate CrossFirst's operations with those of Busey or that such integration may be more difficult, time consuming, or costly than expected; (vii) revenues following the proposed transaction may be lower than expected; and (viii) stockholder litigation that could prevent or delay the closing of the proposed transaction or otherwise negatively impact Busey's business and operations;</w:t>
      </w:r>
    </w:p>
    <w:p>
      <w:pPr>
        <w:spacing w:after="0" w:line="126" w:lineRule="exact"/>
        <w:rPr>
          <w:rFonts w:ascii="Verdana" w:cs="Verdana" w:eastAsia="Verdana" w:hAnsi="Verdana"/>
          <w:sz w:val="14"/>
          <w:szCs w:val="14"/>
          <w:color w:val="auto"/>
        </w:rPr>
      </w:pPr>
    </w:p>
    <w:p>
      <w:pPr>
        <w:ind w:left="520" w:hanging="260"/>
        <w:spacing w:after="0" w:line="259" w:lineRule="auto"/>
        <w:tabs>
          <w:tab w:leader="none" w:pos="513"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the strength of the local, state, national, and international economies and financial markets (including effects of inflationary pressures and supply chain constraints);</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3"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effects on the U.S. economy resulting from the implementation of policies proposed by the new presidential administration, including tariffs, mass deportations, and tax regulations;</w:t>
      </w:r>
    </w:p>
    <w:p>
      <w:pPr>
        <w:spacing w:after="0" w:line="120" w:lineRule="exact"/>
        <w:rPr>
          <w:rFonts w:ascii="Verdana" w:cs="Verdana" w:eastAsia="Verdana" w:hAnsi="Verdana"/>
          <w:sz w:val="14"/>
          <w:szCs w:val="14"/>
          <w:color w:val="auto"/>
        </w:rPr>
      </w:pPr>
    </w:p>
    <w:p>
      <w:pPr>
        <w:ind w:left="520" w:hanging="260"/>
        <w:spacing w:after="0" w:line="259" w:lineRule="auto"/>
        <w:tabs>
          <w:tab w:leader="none" w:pos="513"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the economic impact of any future terrorist threats or attacks, widespread disease or pandemics, or other adverse external events that could cause economic deterioration or instability in credit markets (including Russia’s invasion of Ukraine and the conflict in the Middle East);</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3"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changes in state and federal laws, regulations, and governmental policies concerning Busey's general business (including changes in response to the bank failures in 2023 or as a result of changes in policies implemented by the new presidential administration);</w:t>
      </w:r>
    </w:p>
    <w:p>
      <w:pPr>
        <w:spacing w:after="0" w:line="110" w:lineRule="exact"/>
        <w:rPr>
          <w:rFonts w:ascii="Verdana" w:cs="Verdana" w:eastAsia="Verdana" w:hAnsi="Verdana"/>
          <w:sz w:val="14"/>
          <w:szCs w:val="14"/>
          <w:color w:val="auto"/>
        </w:rPr>
      </w:pPr>
    </w:p>
    <w:p>
      <w:pPr>
        <w:ind w:left="500" w:hanging="240"/>
        <w:spacing w:after="0"/>
        <w:tabs>
          <w:tab w:leader="none" w:pos="500"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the imposition of tariffs or other governmental policies impacting the value of products produced by the Company's commercial borrowers;</w:t>
      </w:r>
    </w:p>
    <w:p>
      <w:pPr>
        <w:spacing w:after="0" w:line="147" w:lineRule="exact"/>
        <w:rPr>
          <w:rFonts w:ascii="Verdana" w:cs="Verdana" w:eastAsia="Verdana" w:hAnsi="Verdana"/>
          <w:sz w:val="14"/>
          <w:szCs w:val="14"/>
          <w:color w:val="auto"/>
        </w:rPr>
      </w:pPr>
    </w:p>
    <w:p>
      <w:pPr>
        <w:ind w:left="500" w:hanging="240"/>
        <w:spacing w:after="0"/>
        <w:tabs>
          <w:tab w:leader="none" w:pos="500" w:val="left"/>
        </w:tabs>
        <w:numPr>
          <w:ilvl w:val="0"/>
          <w:numId w:val="9"/>
        </w:numPr>
        <w:rPr>
          <w:rFonts w:ascii="Verdana" w:cs="Verdana" w:eastAsia="Verdana" w:hAnsi="Verdana"/>
          <w:sz w:val="14"/>
          <w:szCs w:val="14"/>
          <w:color w:val="auto"/>
        </w:rPr>
      </w:pPr>
      <w:r>
        <w:rPr>
          <w:rFonts w:ascii="Verdana" w:cs="Verdana" w:eastAsia="Verdana" w:hAnsi="Verdana"/>
          <w:sz w:val="14"/>
          <w:szCs w:val="14"/>
          <w:color w:val="auto"/>
        </w:rPr>
        <w:t>new or revised accounting policies and practices as may be adopted by state and federal regulatory banking agencies, the FASB, the SEC, or the</w:t>
      </w:r>
    </w:p>
    <w:p>
      <w:pPr>
        <w:ind w:left="520"/>
        <w:spacing w:after="0"/>
        <w:rPr>
          <w:rFonts w:ascii="Verdana" w:cs="Verdana" w:eastAsia="Verdana" w:hAnsi="Verdana"/>
          <w:sz w:val="14"/>
          <w:szCs w:val="14"/>
          <w:color w:val="auto"/>
        </w:rPr>
      </w:pPr>
      <w:r>
        <w:rPr>
          <w:rFonts w:ascii="Verdana" w:cs="Verdana" w:eastAsia="Verdana" w:hAnsi="Verdana"/>
          <w:sz w:val="14"/>
          <w:szCs w:val="14"/>
          <w:color w:val="auto"/>
        </w:rPr>
        <w:t>PCAOB;</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3" w:name="page34"/>
    <w:bookmarkEnd w:id="3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Item 1. Business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240"/>
        <w:spacing w:after="0"/>
        <w:tabs>
          <w:tab w:leader="none" w:pos="50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changes in interest rates and prepayment rates of Busey’s assets (including the impact of sustained elevated interest rates);</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3"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increased competition in the financial services sector (including from non-bank competitors such as credit unions and fintech companies) and the inability to attract new customers;</w:t>
      </w:r>
    </w:p>
    <w:p>
      <w:pPr>
        <w:spacing w:after="0" w:line="110"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changes in technology and the ability to develop and maintain secure and reliable electronic systems;</w:t>
      </w:r>
    </w:p>
    <w:p>
      <w:pPr>
        <w:spacing w:after="0" w:line="148"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loss of key executives or associates, talent shortages, and employee turnover;</w:t>
      </w:r>
    </w:p>
    <w:p>
      <w:pPr>
        <w:spacing w:after="0" w:line="137"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changes in consumer spending;</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8"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unexpected outcomes and costs of existing or new litigation, investigations, or other legal proceedings, inquiries, and regulatory actions involving Busey (including with respect to Busey’s Illinois franchise taxes);</w:t>
      </w:r>
    </w:p>
    <w:p>
      <w:pPr>
        <w:spacing w:after="0" w:line="120"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fluctuations in the value of securities held in Busey’s securities portfolio, including as a result of changes in interest rates;</w:t>
      </w:r>
    </w:p>
    <w:p>
      <w:pPr>
        <w:spacing w:after="0" w:line="137" w:lineRule="exact"/>
        <w:rPr>
          <w:rFonts w:ascii="Verdana" w:cs="Verdana" w:eastAsia="Verdana" w:hAnsi="Verdana"/>
          <w:sz w:val="14"/>
          <w:szCs w:val="14"/>
          <w:color w:val="auto"/>
        </w:rPr>
      </w:pPr>
    </w:p>
    <w:p>
      <w:pPr>
        <w:ind w:left="520" w:right="180" w:hanging="260"/>
        <w:spacing w:after="0" w:line="259" w:lineRule="auto"/>
        <w:tabs>
          <w:tab w:leader="none" w:pos="518"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credit risk and risk from concentrations (by type of borrower, geographic area, collateral, and industry), within Busey's loan portfolio and large loans to certain borrowers (including CRE loans);</w:t>
      </w:r>
    </w:p>
    <w:p>
      <w:pPr>
        <w:spacing w:after="0" w:line="110"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overall health of the local and national real estate market;</w:t>
      </w:r>
    </w:p>
    <w:p>
      <w:pPr>
        <w:spacing w:after="0" w:line="148"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ability to maintain an adequate level of allowance for credit losses on loans;</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8"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concentration of large deposits from certain clients who have balances above current FDIC insurance limits and may withdraw deposits to diversify their exposure;</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8"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ability to successfully manage liquidity risk, which may increase dependence on non-core funding sources such as brokered deposits, and may negatively impact Busey's cost of funds;</w:t>
      </w:r>
    </w:p>
    <w:p>
      <w:pPr>
        <w:spacing w:after="0" w:line="120"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level of non-performing assets on Busey’s balance sheets;</w:t>
      </w:r>
    </w:p>
    <w:p>
      <w:pPr>
        <w:spacing w:after="0" w:line="137"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interruptions involving information technology and communications systems or third-party servicers;</w:t>
      </w:r>
    </w:p>
    <w:p>
      <w:pPr>
        <w:spacing w:after="0" w:line="137"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breaches or failures of information security controls or cybersecurity-related incidents;</w:t>
      </w:r>
    </w:p>
    <w:p>
      <w:pPr>
        <w:spacing w:after="0" w:line="148" w:lineRule="exact"/>
        <w:rPr>
          <w:rFonts w:ascii="Verdana" w:cs="Verdana" w:eastAsia="Verdana" w:hAnsi="Verdana"/>
          <w:sz w:val="14"/>
          <w:szCs w:val="14"/>
          <w:color w:val="auto"/>
        </w:rPr>
      </w:pPr>
    </w:p>
    <w:p>
      <w:pPr>
        <w:ind w:left="520" w:hanging="260"/>
        <w:spacing w:after="0" w:line="259" w:lineRule="auto"/>
        <w:tabs>
          <w:tab w:leader="none" w:pos="518"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the economic impact on Busey and its customers of climate change, natural disasters, and exceptional weather occurrences such as tornadoes, hurricanes, floods, blizzards, and droughts; and</w:t>
      </w:r>
    </w:p>
    <w:p>
      <w:pPr>
        <w:spacing w:after="0" w:line="110" w:lineRule="exact"/>
        <w:rPr>
          <w:rFonts w:ascii="Verdana" w:cs="Verdana" w:eastAsia="Verdana" w:hAnsi="Verdana"/>
          <w:sz w:val="14"/>
          <w:szCs w:val="14"/>
          <w:color w:val="auto"/>
        </w:rPr>
      </w:pPr>
    </w:p>
    <w:p>
      <w:pPr>
        <w:ind w:left="520" w:hanging="260"/>
        <w:spacing w:after="0"/>
        <w:tabs>
          <w:tab w:leader="none" w:pos="520" w:val="left"/>
        </w:tabs>
        <w:numPr>
          <w:ilvl w:val="0"/>
          <w:numId w:val="10"/>
        </w:numPr>
        <w:rPr>
          <w:rFonts w:ascii="Verdana" w:cs="Verdana" w:eastAsia="Verdana" w:hAnsi="Verdana"/>
          <w:sz w:val="14"/>
          <w:szCs w:val="14"/>
          <w:color w:val="auto"/>
        </w:rPr>
      </w:pPr>
      <w:r>
        <w:rPr>
          <w:rFonts w:ascii="Verdana" w:cs="Verdana" w:eastAsia="Verdana" w:hAnsi="Verdana"/>
          <w:sz w:val="14"/>
          <w:szCs w:val="14"/>
          <w:color w:val="auto"/>
        </w:rPr>
        <w:t xml:space="preserve">other factors and risks described under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1A. Risk Factors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herein.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Because of those risks and other uncertainties, Busey’s actual future results, performance, achievement, or industry results, may be materially different from the results indicated by these forward-looking statements. In addition, Busey’s past results of operations are not necessarily indicative of its future results.</w:t>
      </w:r>
    </w:p>
    <w:p>
      <w:pPr>
        <w:spacing w:after="0" w:line="12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You should not place undue reliance on any forward-looking statements, which speak only as of the dates on which they were made. Busey does not undertake an obligation to update these forward-looking statements, even though circumstances may change in the future, except as required under federal securities law. Busey qualifies all of its forward-looking statements by these cautionary statements.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4" w:name="page35"/>
    <w:bookmarkEnd w:id="34"/>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1A. RISK FACTORS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This section highlights the risks management believes could adversely affect Busey’s financial performance. Additional risks that could affect Busey adversely and cannot be predicted may arise at any time. Further, risks that are immaterial at this time may have an adverse impact on Busey’s future financial condition.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20"/>
                <w:szCs w:val="20"/>
                <w:color w:val="auto"/>
              </w:rPr>
            </w:pPr>
            <w:r>
              <w:rPr>
                <w:rFonts w:ascii="Verdana" w:cs="Verdana" w:eastAsia="Verdana" w:hAnsi="Verdana"/>
                <w:sz w:val="14"/>
                <w:szCs w:val="14"/>
                <w:b w:val="1"/>
                <w:bCs w:val="1"/>
                <w:color w:val="auto"/>
              </w:rPr>
              <w:t>Contents of Item 1A. Risk Factors</w:t>
            </w:r>
          </w:p>
        </w:tc>
        <w:tc>
          <w:tcPr>
            <w:tcW w:w="4360" w:type="dxa"/>
            <w:vAlign w:val="bottom"/>
          </w:tcPr>
          <w:p>
            <w:pPr>
              <w:spacing w:after="0"/>
              <w:rPr>
                <w:sz w:val="16"/>
                <w:szCs w:val="16"/>
                <w:color w:val="auto"/>
              </w:rPr>
            </w:pPr>
          </w:p>
        </w:tc>
      </w:tr>
      <w:tr>
        <w:trPr>
          <w:trHeight w:val="361"/>
        </w:trPr>
        <w:tc>
          <w:tcPr>
            <w:tcW w:w="6900" w:type="dxa"/>
            <w:vAlign w:val="bottom"/>
          </w:tcPr>
          <w:p>
            <w:pPr>
              <w:ind w:left="20"/>
              <w:spacing w:after="0"/>
              <w:rPr>
                <w:sz w:val="20"/>
                <w:szCs w:val="20"/>
                <w:color w:val="auto"/>
              </w:rPr>
            </w:pPr>
            <w:r>
              <w:rPr>
                <w:rFonts w:ascii="Verdana" w:cs="Verdana" w:eastAsia="Verdana" w:hAnsi="Verdana"/>
                <w:sz w:val="14"/>
                <w:szCs w:val="14"/>
                <w:color w:val="auto"/>
              </w:rPr>
              <w:t>ECONOMIC AND MARKET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35</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REGULATORY AND LEGAL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36</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CREDIT AND LENDING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38</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CAPITAL AND LIQUIDITY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40</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COMPETITIVE AND STRATEGIC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41</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ACCOUNTING AND TAX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43</w:t>
            </w:r>
          </w:p>
        </w:tc>
      </w:tr>
      <w:tr>
        <w:trPr>
          <w:trHeight w:val="223"/>
        </w:trPr>
        <w:tc>
          <w:tcPr>
            <w:tcW w:w="6900" w:type="dxa"/>
            <w:vAlign w:val="bottom"/>
          </w:tcPr>
          <w:p>
            <w:pPr>
              <w:ind w:left="20"/>
              <w:spacing w:after="0"/>
              <w:rPr>
                <w:sz w:val="20"/>
                <w:szCs w:val="20"/>
                <w:color w:val="auto"/>
              </w:rPr>
            </w:pPr>
            <w:r>
              <w:rPr>
                <w:rFonts w:ascii="Verdana" w:cs="Verdana" w:eastAsia="Verdana" w:hAnsi="Verdana"/>
                <w:sz w:val="14"/>
                <w:szCs w:val="14"/>
                <w:color w:val="auto"/>
              </w:rPr>
              <w:t>OPERATIONAL RISKS</w:t>
            </w:r>
          </w:p>
        </w:tc>
        <w:tc>
          <w:tcPr>
            <w:tcW w:w="4360" w:type="dxa"/>
            <w:vAlign w:val="bottom"/>
          </w:tcPr>
          <w:p>
            <w:pPr>
              <w:jc w:val="right"/>
              <w:spacing w:after="0"/>
              <w:rPr>
                <w:sz w:val="20"/>
                <w:szCs w:val="20"/>
                <w:color w:val="auto"/>
              </w:rPr>
            </w:pPr>
            <w:r>
              <w:rPr>
                <w:rFonts w:ascii="Verdana" w:cs="Verdana" w:eastAsia="Verdana" w:hAnsi="Verdana"/>
                <w:sz w:val="14"/>
                <w:szCs w:val="14"/>
                <w:color w:val="auto"/>
              </w:rPr>
              <w:t>44</w:t>
            </w:r>
          </w:p>
        </w:tc>
      </w:tr>
    </w:tbl>
    <w:p>
      <w:pPr>
        <w:spacing w:after="0" w:line="23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ECONOMIC AND MARKET RISKS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Conditions in the financial market and economic conditions, including conditions in the states in which it operates, generally may adversely affect Busey’s business.</w:t>
      </w:r>
    </w:p>
    <w:p>
      <w:pPr>
        <w:spacing w:after="0" w:line="110"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Busey’s general financial performance is highly dependent upon the business environment in the markets where it operates and, in particular, the ability of borrowers to pay interest on, and repay principal of, outstanding loans, and the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36"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Given the complex factors affecting the strength of the U.S. economy, including uncertainties regarding the persistence of inflation; geopolitical developments, such as ongoing conflicts in the Middle East and the Russian invasion of Ukraine, and resulting disruptions in the global energy market; tight labor market conditions domestically; supply chain issues both domestically and internationally; and the potential effects of the new presidential administration, including its response to the foregoing, potential imposition of new tariffs, mass deportations and changes to tax or other financial regulations, uncertainty surrounding future changes may adversely affect Busey’s operating environment and therefore its business, financial condition, results of operations, and growth prospects.</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Shifts in consumer and business behavior during economic uncertainty may impact Busey’s business.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Uncertainty regarding economic conditions may result in changes in consumer and business spending, borrowing, and savings habits. Downturns in the markets where Busey’s banking operations occur could result in a decrease in demand for Busey’s products and services, an increase in loan delinquencies and defaults, high or increased levels of problem assets and foreclosures, and reduced wealth management fees resulting from lower asset values. Such conditions could adversely affect the credit quality of Busey’s loans, financial condition, and results of operations.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5" w:name="page36"/>
    <w:bookmarkEnd w:id="3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Regional economic vulnerabilities and reliance on key industries may heighten risks.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currently conducts its banking operations in central and suburban Chicago, Illinois; the St. Louis, Missouri metropolitan area; central Indiana; and southwest Florida. Busey operates in markets with a significant university and healthcare presence. These industries rely heavily on state and federal funding and contracts. Timely payments by the State of Illinois to its vendors and government-sponsored entities, as well as potential federal changes to healthcare laws, could affect Busey’s primary market areas, which could in turn affect its financial condition and results of operations. A small part of Busey’s business resides in Florida, which can be affected by inclement weather.</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Prolonged elevated interest rates followed by easing cycles create financial volatility.</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Prolonged periods of elevated interest rates followed by an easing cycle pose significant challenges and opportunities for Busey. While an easing cycle, which is characterized by the FOMC taking action to reduce interest rates, can alleviate some funding pressures and encourage borrowing, it also introduces risks to the banking sector. A rapid shift in rates can compress net interest margins, disrupt asset-liability management, and affect the valuation of financial instruments.</w:t>
      </w:r>
    </w:p>
    <w:p>
      <w:pPr>
        <w:spacing w:after="0" w:line="294"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After a series of rate hikes starting in March 2022, the FOMC began an easing cycle in September 2024, responding to slowing inflation and economic growth. As of December 2024, the federal funds target range was reduced to 4.25%–4.5%, marking a gradual reversal from the peak of 5.25%–5.5% in 2023. This shift reflects a softening economic environment, with the FOMC aiming to balance inflation reduction while avoiding a sharp contraction in economic activity.</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Declining interest rates result in reduced income from lending and investment activities, and may drive consumers to seek higher-yielding alternatives outside of traditional banking, both of which could negatively impact Busey’s liquidity and results of operations.</w:t>
      </w:r>
    </w:p>
    <w:p>
      <w:pPr>
        <w:spacing w:after="0" w:line="121"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While rate cuts can stimulate loan demand, they also create potential threats to the banking sector. Falling interest rates may reduce yields on loans and securities more quickly than the cost of deposits declines, narrowing margins. Deposit outflows could accelerate if customers seek higher-yielding alternatives outside traditional banking, further challenging liquidity. Lower rates can lead to prepayments on fixed-rate loans, impacting the value of interest-earning assets and requiring adjustments to portfolios.</w:t>
      </w:r>
    </w:p>
    <w:p>
      <w:pPr>
        <w:spacing w:after="0" w:line="1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Despite these risks, the easing cycle may present opportunities for growth. Lower rates can revitalize loan demand, particularly in key areas such as mortgages, auto loans, and small business lending, while providing some relief to borrowers under stress. However, the broader economic environment, including rising consumer debt levels, increasing delinquencies, and persistent inflation risks could still impact Busey’s financial condition, liquidity, and overall performance.</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REGULATORY AND LEGAL RISKS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Changes in government policies and regulatory frameworks could adversely affect operations and profitability.</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Changes in policy and at banking agencies, including changes in interpretation and prioritization, occur over time through policy and personnel changes following federal- and state-level elections, which lead to changes involving the level of oversight and focus on the financial services industry. The nature, timing, and economic and political effects of potential changes to the current legal and regulatory framework affecting financial institutions remain highly uncertain in connection with a change in presidential administration.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6" w:name="page37"/>
    <w:bookmarkEnd w:id="3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Economic conditions, including interest rates, inflation, and consumer spending, may be influenced by shifts in government leadership and policies, affecting Busey’s operations. Additionally, heightened regulatory scrutiny, particularly in consumer compliance, anti-money laundering, and cybersecurity increases operational and compliance burdens for Busey.</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As Busey continues to grow in asset size and complexity, regulatory expectations and scrutiny will increase and could have a potential impact on Busey’s operations and business.</w:t>
      </w:r>
    </w:p>
    <w:p>
      <w:pPr>
        <w:spacing w:after="0" w:line="110"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As Busey’s assets grow, so do regulatory expectations. The planned acquisition of CrossFirst amplifies the complexity of compliance. Certain regulations and laws have embedded asset thresholds that increase scrutiny, reporting requirements, and operational demands. For example, the Dodd-Frank Act includes thresholds for asset size that trigger enhanced oversight. Busey’s continued expansion necessitates adapting its compliance frameworks to meet these increasing demands. Failure to manage compliance risks effectively could result in regulatory violations, leading to significant fines, penalties, and legal costs. Additionally, non-compliance could damage Busey's reputation, erode customer trust, and undermine investor confidence, resulting in a negative impact to Busey’s market valuation. It could also lead to further scrutiny from regulators, potentially hindering future growth opportunities.</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Evolving privacy, data protection, and information security laws and regulations present operational and legal challenges.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In the normal course of business, Busey collects, processes, and retains sensitive and confidential information regarding its customers, and Busey’s collection and handling of such information is subject to regulatory scrutiny. There has been a heightened legislative and regulatory focus on privacy, data protection, and information security. New or revised laws and regulations, including with the respect to the use of artificial intelligence by financial institutions and service providers, may significantly impact Busey’s current and planned privacy, data protection, and information security-related practices; the collection, use, retention, and safeguarding of customer and employee information; and current or planned business activities. Compliance with current or future privacy, data protection, and information security laws could result in higher compliance and technology costs and could restrict Busey’s ability to provide certain products and services, which could adversely affect Busey’s business.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Laws impacting cannabis-related businesses may have an impact on Busey’s operations and risk profile.</w:t>
      </w:r>
    </w:p>
    <w:p>
      <w:pPr>
        <w:spacing w:after="0" w:line="14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Controlled Substances Act makes it illegal under federal law to manufacture, distribute, or dispense marijuana. Starting January 1, 2020, however, the Illinois Cannabis Regulation and Tax Act began permitting adults 21 years or older to legally purchase marijuana for recreational use from licensed dispensaries. Further, voters in Missouri approved an amendment to the state constitution that began permitting adults 21 years and older to legally purchase marijuana for recreational use from licensed dispensaries starting February 3, 2023. It is Busey Bank’s current practice to avoid knowingly providing banking products or services to entities or individuals that: (1) directly or indirectly manufacture, distribute, or dispense marijuana or hemp products, or those with a significant financial interest in such entities; or (2) derive a material amount of revenue from providing products or services to, or other involvement with, such entities. Busey Bank uses reasonable measures, including appropriate new account screening and customer due diligence measures, to ensure that existing and potential customers that operate in the states in which the Bank operates do not engage in any such activities. Nonetheless, shifts in Illinois and Missouri law legalizing cannabis use, along with shifts in Florida law allowing medicinal use and decriminalizing possession, have increased the number of direct and indirect cannabis-related businesses in some of the states in which Busey operates, and therefore increases the likelihood that Busey Bank could interact with such businesses, as well as their owners and employees. Such interactions could create additional legal, regulatory, strategic, and reputational risk to Busey Bank and First Busey Corporation.</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7" w:name="page38"/>
    <w:bookmarkEnd w:id="3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Busey is or may become involved from time to time in suits, legal proceedings, information-gathering requests, investigations, and proceedings by governmental and self-regulatory agencies that may lead to adverse consequences.</w:t>
      </w:r>
    </w:p>
    <w:p>
      <w:pPr>
        <w:spacing w:after="0" w:line="11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may be subject to lawsuits, governmental inquiries, or self-regulatory reviews. These proceedings could result in penalties, adverse judgments, or operational restrictions. While accruals are established for legal contingencies when losses are probable and estimable, outcomes may exceed these amounts, and accordingly, Busey’s ultimate losses may be higher, possibly significantly so, than the amounts accrued for legal loss contingencies, which could adversely affect Busey’s financial condition and results of operations.</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18. Outstanding Commitments and Contingent Liabilities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in the </w:t>
      </w:r>
      <w:r>
        <w:rPr>
          <w:rFonts w:ascii="Verdana" w:cs="Verdana" w:eastAsia="Verdana" w:hAnsi="Verdana"/>
          <w:sz w:val="14"/>
          <w:szCs w:val="14"/>
          <w:u w:val="single" w:color="auto"/>
          <w:color w:val="0000FF"/>
        </w:rPr>
        <w:t>Notes to the Consolidated Financial Statements</w:t>
      </w:r>
      <w:r>
        <w:rPr>
          <w:rFonts w:ascii="Verdana" w:cs="Verdana" w:eastAsia="Verdana" w:hAnsi="Verdana"/>
          <w:sz w:val="14"/>
          <w:szCs w:val="14"/>
          <w:color w:val="auto"/>
        </w:rPr>
        <w:t xml:space="preserve"> for information regarding an inquiry from the Illinois Secretary of State, pursuant to which the Illinois Secretary of State asked for additional information regarding certain of Busey’s franchise tax filings and the calculation of amounts due thereunder.</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CREDIT AND LENDING RISKS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Heightened credit risk associated with lending activities may result in insufficient credit loss provisions, which could have material adverse effects on Busey’s results of operations and financial condition.</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Busey’s lending activities involve inherent risks, including borrower nonpayment, fluctuations in collateral value, and the effects of economic and market conditions. These risks have been amplified by recent economic factors, such as elevated interest rates, inflationary pressures, and a more cautious economic outlook. Busey employs rigorous underwriting standards, monitors industry and geographic loan concentrations, and conducts both internal and external independent loan reviews to mitigate these risks. Despite these efforts, credit risks cannot be entirely eliminated, and borrower defaults could lead to increased non-performing loans, charge-offs, delinquencies, and higher ACL provisions.</w:t>
      </w:r>
    </w:p>
    <w:p>
      <w:pPr>
        <w:spacing w:after="0" w:line="132"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Busey’s commercial loan portfolio reflects a strategic focus on maintaining robust credit quality. However, there are inherent risks in any lending activity, including uncertainties in collateral values, borrower cash flows, and broader economic conditions. To mitigate credit risk, Busey employs rigorous loan approval procedures, monitors concentrations within industries and geographic locations, and conducts independent reviews through internal and external assessments. Stress testing at both the borrower and portfolio levels helps identify vulnerabilities, but such measures cannot fully eliminate credit risks. Borrowers across various industries may face challenges due to sector-specific pressures or macroeconomic factors, which could lead to elevated non-performing loans, charge-offs, or provisioning needs.</w:t>
      </w:r>
    </w:p>
    <w:p>
      <w:pPr>
        <w:spacing w:after="0" w:line="12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establishes the ACL based on detailed analyses of the loan portfolio and broader market conditions, incorporating management judgments and forward-looking forecasts. While management considers the ACL adequate to absorb probable losses, unforeseen economic disruptions or borrower-specific events could necessitate additional provisions, adversely affecting financial performance.</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High levels of non-performing assets could reduce Busey’s profitability and strain operational resources.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Non-performing assets negatively impact Busey’s financial condition through lost interest income, increased loan administration costs, and adverse effects on efficiency ratios. The resolution of these assets demands significant management attention and regulatory compliance, which can divert resources from other priorities. Non-performing loans and OREO properties elevate Busey’s risk profile and require ongoing vigilance to minimize financial and operational disruptions.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8" w:name="page39"/>
    <w:bookmarkEnd w:id="3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 concentrations in volatile markets could increase Busey’s exposure to economic downturns, adversely impacting financial stability.</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may have higher credit risk, or experience higher credit losses, to the extent its loans are concentrated by loan type, industry segment, borrower type, or geographic location of the borrower or collateral. CRE represents an important component of Busey’s loan portfolio and is inherently sensitive to economic fluctuations. Busey’s two primary categories of CRE are (1) CRE that is occupied by the property owner, and (2) CRE that is held as investment property. The risks associated with these categories differ, as provided below:</w:t>
      </w:r>
    </w:p>
    <w:p>
      <w:pPr>
        <w:spacing w:after="0" w:line="119" w:lineRule="exact"/>
        <w:rPr>
          <w:sz w:val="20"/>
          <w:szCs w:val="20"/>
          <w:color w:val="auto"/>
        </w:rPr>
      </w:pPr>
    </w:p>
    <w:p>
      <w:pPr>
        <w:jc w:val="both"/>
        <w:ind w:left="520" w:hanging="260"/>
        <w:spacing w:after="0" w:line="246" w:lineRule="auto"/>
        <w:tabs>
          <w:tab w:leader="none" w:pos="512" w:val="left"/>
        </w:tabs>
        <w:numPr>
          <w:ilvl w:val="0"/>
          <w:numId w:val="11"/>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Occupant owned CRE: </w:t>
      </w:r>
      <w:r>
        <w:rPr>
          <w:rFonts w:ascii="Verdana" w:cs="Verdana" w:eastAsia="Verdana" w:hAnsi="Verdana"/>
          <w:sz w:val="14"/>
          <w:szCs w:val="14"/>
          <w:color w:val="auto"/>
        </w:rPr>
        <w:t>The repayment of occupant owned CRE loans is largely dependent on the performance of the underlying business occupying</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the property. If the borrower’s business experiences financial challenges or operational disruptions, it may impact their ability to service the loan. However, occupant owned CRE loans generally benefit from the borrower’s vested interest in maintaining the property for their own business operations, which may reduce the risk of customer default.</w:t>
      </w:r>
    </w:p>
    <w:p>
      <w:pPr>
        <w:spacing w:after="0" w:line="129" w:lineRule="exact"/>
        <w:rPr>
          <w:rFonts w:ascii="Verdana" w:cs="Verdana" w:eastAsia="Verdana" w:hAnsi="Verdana"/>
          <w:sz w:val="14"/>
          <w:szCs w:val="14"/>
          <w:color w:val="auto"/>
        </w:rPr>
      </w:pPr>
    </w:p>
    <w:p>
      <w:pPr>
        <w:jc w:val="both"/>
        <w:ind w:left="520" w:hanging="260"/>
        <w:spacing w:after="0" w:line="249" w:lineRule="auto"/>
        <w:tabs>
          <w:tab w:leader="none" w:pos="512" w:val="left"/>
        </w:tabs>
        <w:numPr>
          <w:ilvl w:val="0"/>
          <w:numId w:val="11"/>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Investor owned CRE: </w:t>
      </w:r>
      <w:r>
        <w:rPr>
          <w:rFonts w:ascii="Verdana" w:cs="Verdana" w:eastAsia="Verdana" w:hAnsi="Verdana"/>
          <w:sz w:val="14"/>
          <w:szCs w:val="14"/>
          <w:color w:val="auto"/>
        </w:rPr>
        <w:t>In contrast, investor owned CRE loans are primarily reliant on property cash flows generated by third-party tenants. These</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loans are particularly sensitive to factors such as reduced rental income, higher vacancy rates, and regulatory changes. Declines in market demand, economic downturns, or increased tenant defaults could significantly impact the borrower’s ability to repay these loans.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Declining borrower cash flows and fluctuating collateral values may lead to significant losses across Busey’s commercial loan portfolio.</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Busey’s commercial loans are primarily underwritten based on the identified cash flow of the borrower, with collateral serving as secondary support. Credit enhancements often include pledged collateral and personal guarantees, which enhance the likelihood of repayment. However, the availability of funds for repayment—particularly for loans secured by accounts receivable—may depend significantly on the borrower’s ability to collect from their customers. In periods of economic recession, this capacity could decline, increasing repayment risks.</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Collateral securing loans may depreciate over time, be difficult to appraise, or fluctuate in value based on the borrower’s business performance. With larger commercial loans and the less readily marketable nature of collateral, even a small number of loan loss incidents could materially impact Busey’s financial condition and operational results.</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Real estate construction, land acquisition, and development loans are based upon estimates of costs and values associated with the complete project. These estimates may be inaccurate, and Busey may be exposed to significant losses on loans for these projects.</w:t>
      </w:r>
    </w:p>
    <w:p>
      <w:pPr>
        <w:spacing w:after="0" w:line="110"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to estimate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Busey’s appraisal of the value of the completed project proves to be overstated, or market values or rental rates decline, there may be inadequate security for the repayment of the loan upon completion of construction of the project. If Busey is forced to foreclose on a project prior to or at completion due to a default, there can be no assurance that it will be able to recover all of the unpaid balance of, and accrued interest on, the loan as well as related foreclosure and holding costs. In addition, Busey may be required to fund additional amounts to complete the project and may have to hold the property for an unspecified period of time while it attempts to dispose of it.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39" w:name="page40"/>
    <w:bookmarkEnd w:id="3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Credit quality deterioration in investment securities may result in significant realized losses, impacting Busey’s financial performance.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investment portfolio includes securities issued by government-sponsored agencies and non-government entities. While these securities offer portfolio diversification, they are subject to risks such as credit downgrades, collateral underperformance, and issuer defaults. These factors could result in realized losses, negatively impacting Busey’s financial condition and results of operations.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CAPITAL AND LIQUIDITY RISKS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Failure to maintain sufficient capital to meet regulatory requirements could have material adverse effects on financial condition, liquidity, results of operations, and regulatory compliance.</w:t>
      </w:r>
    </w:p>
    <w:p>
      <w:pPr>
        <w:spacing w:after="0" w:line="110"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must meet regulatory capital requirements and maintain sufficient liquidity. Busey’s ability to raise additional capital as needed will depend on conditions in the capital markets, economic conditions, and a number of other factors, including investor perceptions regarding the banking industry, market conditions, and governmental activities, many of which are outside Busey’s control, as well as on its financial condition and performance. Accordingly, Busey cannot guarantee that it will be able to raise additional capital if needed or on terms acceptable to the Company. In particular, if Busey is required to raise additional capital in the current interest rate environment, Busey believes the pricing and other terms investors may require in such an offering may not be attractive to the Company.</w:t>
      </w:r>
    </w:p>
    <w:p>
      <w:pPr>
        <w:spacing w:after="0" w:line="123"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Busey’s failure to continue to maintain capital ratios in excess of the amounts necessary to be considered “well-capitalized” for bank regulatory purposes could affect customer confidence, its ability to grow, its costs of funds, the cost of FDIC insurance, its ability to pay dividends to its stockholders on outstanding stock, its ability to make acquisitions, and its business, results of operations, and financial condition. Furthermore, under FDIC rules, if Busey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Liquidity risks could affect operations and jeopardize Busey’s business, financial condition, and results of operations.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Liquidity is essential to Busey’s business. An inability to raise funds through deposits, borrowings, sales of securities, sales of loans, and other sources could have a substantial negative effect on liquidity. Busey’s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Busey’s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 In addition, increased competition with the largest banks and fintechs for retail deposits may impact Busey’s ability to raise funds through deposits and could have a negative effect on Busey’s liquidity. Any decline in available funding and/or capital could adversely impact Busey’s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0" w:name="page41"/>
    <w:bookmarkEnd w:id="4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COMPETITIVE AND STRATEGIC RISKS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i w:val="1"/>
          <w:iCs w:val="1"/>
          <w:color w:val="auto"/>
        </w:rPr>
        <w:t>If securities or industry analysts do not publish or cease publishing research reports about Busey, if they adversely change their recommendations regarding Busey’s stock, or if Busey’s operating results do not meet their expectations, the price of Busey’s stock could decline.</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trading market for Busey’s common stock is significantly influenced by research and reports from industry analysts. Limited or negative analyst coverage could reduce the stock’s demand, market price, and trading volume. Downgrades, unfavorable comparisons with competitors, or operating results that fall short of analyst expectations may further negatively affect stock performance. The cessation of analyst coverage could exacerbate these challenges, diminishing interest in Busey’s stock.</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Intense competition from traditional banks and fintech companies threatens market share.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operates in highly competitive markets across Illinois, Missouri, Indiana, and Florida, with competitors ranging from national and regional banks to fintech companies offering digital-first solutions. The rise of financial technology has introduced new challengers, including non-banks and large technology corporations, that offer services traditionally provided by banks, such as credit issuance, payment processing, and deposit alternatives.</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Technological innovations, such as digital wallets, peer-to-peer lending, and blockchain-based transactions attract consumer interest and present a risk of disintermediation, where banks are bypassed as intermediaries. To remain competitive, Busey must continuously invest in innovation and adapt to evolving customer preferences. Failure to do so could lead to reduced loans, deposits, commissions, and profitability, adversely impacting Busey’s financial performance.</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Failure to adapt to rapid technological advancements could erode competitiveness.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Technological advancements are reshaping the financial services industry, requiring organizations to balance external competitiveness with internal technological efficiency. Meeting evolving customer expectations for convenience, security, and personalization requires significant investment in innovation and adaptation. Falling behind in the adoption of innovative technologies could result in difficulties attracting new customers, retaining existing ones, and maintaining competitiveness.</w:t>
      </w:r>
    </w:p>
    <w:p>
      <w:pPr>
        <w:spacing w:after="0" w:line="1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Emerging trends, such as generative artificial intelligence, have the potential to disrupt the industry. Although generative artificial intelligence offers opportunities to enhance operational efficiency, it also introduces risks, including fraud, security vulnerabilities, and compliance challenges. While incorporating new technologies into Busey’s business is important in maintaining competitiveness, implementation of such technologies must prioritize security and compliance, which may delay its adoption.</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Busey’s strategy of pursuing acquisitions exposes Busey to financial, execution, and operational risks that could negatively affect Busey.</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Acquisitions remain a cornerstone of Busey’s growth strategy, exemplified by the planned CrossFirst acquisition. While acquisitions provide opportunities for earnings enhancement and market expansion, they also involve significant risks:</w:t>
      </w:r>
    </w:p>
    <w:p>
      <w:pPr>
        <w:spacing w:after="0" w:line="110" w:lineRule="exact"/>
        <w:rPr>
          <w:sz w:val="20"/>
          <w:szCs w:val="20"/>
          <w:color w:val="auto"/>
        </w:rPr>
      </w:pPr>
    </w:p>
    <w:p>
      <w:pPr>
        <w:jc w:val="both"/>
        <w:ind w:left="520" w:hanging="260"/>
        <w:spacing w:after="0" w:line="246" w:lineRule="auto"/>
        <w:tabs>
          <w:tab w:leader="none" w:pos="512" w:val="left"/>
        </w:tabs>
        <w:numPr>
          <w:ilvl w:val="0"/>
          <w:numId w:val="12"/>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Integration Risks: </w:t>
      </w:r>
      <w:r>
        <w:rPr>
          <w:rFonts w:ascii="Verdana" w:cs="Verdana" w:eastAsia="Verdana" w:hAnsi="Verdana"/>
          <w:sz w:val="14"/>
          <w:szCs w:val="14"/>
          <w:color w:val="auto"/>
        </w:rPr>
        <w:t>Aligning systems, procedures, and personnel as well as harmonizing organizational cultures can be complex and disruptive,</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potentially negatively impacting customers. To realize anticipated benefits from a merger, Busey must successfully integrate an acquired company into its existing businesses, risk management framework, compliance systems, and corporate culture, in a manner that permits the anticipated benefits to be realized and that does not materially disrupt existing client relationships or result in decreased revenues due to the loss of clients.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1" w:name="page42"/>
    <w:bookmarkEnd w:id="4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260"/>
        <w:spacing w:after="0" w:line="259"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Credit Quality and Unknown Liabilities: </w:t>
      </w:r>
      <w:r>
        <w:rPr>
          <w:rFonts w:ascii="Verdana" w:cs="Verdana" w:eastAsia="Verdana" w:hAnsi="Verdana"/>
          <w:sz w:val="14"/>
          <w:szCs w:val="14"/>
          <w:color w:val="auto"/>
        </w:rPr>
        <w:t>Acquired assets may carry hidden risks that adversely affect financial performance. Insufficient or</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inadequate due diligence, beyond credit quality, could exacerbate these challenges.</w:t>
      </w:r>
    </w:p>
    <w:p>
      <w:pPr>
        <w:spacing w:after="0" w:line="110" w:lineRule="exact"/>
        <w:rPr>
          <w:rFonts w:ascii="Verdana" w:cs="Verdana" w:eastAsia="Verdana" w:hAnsi="Verdana"/>
          <w:sz w:val="14"/>
          <w:szCs w:val="14"/>
          <w:color w:val="auto"/>
        </w:rPr>
      </w:pPr>
    </w:p>
    <w:p>
      <w:pPr>
        <w:jc w:val="both"/>
        <w:ind w:left="520" w:hanging="260"/>
        <w:spacing w:after="0" w:line="249"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Market Conditions: </w:t>
      </w:r>
      <w:r>
        <w:rPr>
          <w:rFonts w:ascii="Verdana" w:cs="Verdana" w:eastAsia="Verdana" w:hAnsi="Verdana"/>
          <w:sz w:val="14"/>
          <w:szCs w:val="14"/>
          <w:color w:val="auto"/>
        </w:rPr>
        <w:t>The price of acquisitions fluctuates with market conditions. Busey has experienced times during which acquisitions could not be</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made in specific markets at prices that Busey’s management considered acceptable, and Busey expects that it will experience this condition in the future in one or more markets.</w:t>
      </w:r>
    </w:p>
    <w:p>
      <w:pPr>
        <w:spacing w:after="0" w:line="117" w:lineRule="exact"/>
        <w:rPr>
          <w:rFonts w:ascii="Verdana" w:cs="Verdana" w:eastAsia="Verdana" w:hAnsi="Verdana"/>
          <w:sz w:val="14"/>
          <w:szCs w:val="14"/>
          <w:color w:val="auto"/>
        </w:rPr>
      </w:pPr>
    </w:p>
    <w:p>
      <w:pPr>
        <w:jc w:val="both"/>
        <w:ind w:left="520" w:hanging="260"/>
        <w:spacing w:after="0" w:line="242"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Employee Attrition: </w:t>
      </w:r>
      <w:r>
        <w:rPr>
          <w:rFonts w:ascii="Verdana" w:cs="Verdana" w:eastAsia="Verdana" w:hAnsi="Verdana"/>
          <w:sz w:val="14"/>
          <w:szCs w:val="14"/>
          <w:color w:val="auto"/>
        </w:rPr>
        <w:t>The integration process can lead to employee turnover, particularly among key personnel. The success of a merger is</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dependent, in part, on Busey’s ability to retain the talents and dedication of key employees. During an acquisition, it is possible that key employees may decide not to remain with the acquired company while the merger is pending or with Busey after the merger. If Busey is unable to retain key employees, including management, who are critical to the successful integration and future operations of the combined company, Busey could face disruptions in its operations, loss of key information, expertise, or know-how, and unanticipated additional recruitment costs. In addition, following a merger, if key employees terminate their employment, Busey’s business activities may be adversely affected, and management’s attention may be diverted from successfully hiring suitable replacements, all of which may cause Busey’s business to suffer.</w:t>
      </w:r>
    </w:p>
    <w:p>
      <w:pPr>
        <w:spacing w:after="0" w:line="135" w:lineRule="exact"/>
        <w:rPr>
          <w:rFonts w:ascii="Verdana" w:cs="Verdana" w:eastAsia="Verdana" w:hAnsi="Verdana"/>
          <w:sz w:val="14"/>
          <w:szCs w:val="14"/>
          <w:color w:val="auto"/>
        </w:rPr>
      </w:pPr>
    </w:p>
    <w:p>
      <w:pPr>
        <w:jc w:val="both"/>
        <w:ind w:left="520" w:hanging="260"/>
        <w:spacing w:after="0" w:line="246"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Financing Challenges: </w:t>
      </w:r>
      <w:r>
        <w:rPr>
          <w:rFonts w:ascii="Verdana" w:cs="Verdana" w:eastAsia="Verdana" w:hAnsi="Verdana"/>
          <w:sz w:val="14"/>
          <w:szCs w:val="14"/>
          <w:color w:val="auto"/>
        </w:rPr>
        <w:t>Acquisitions often require incurring debt or issuing new shares, thereby increasing Busey’s leverage and diminishing its</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liquidity. Issuing capital stock to the sellers in an acquisition or to third-parties to raise capital could dilute the interests of Busey’s existing stockholders. Issuance of new shares of Busey common stock may result in fluctuations in the market price of Busey common stock, including a stock price decrease.</w:t>
      </w:r>
    </w:p>
    <w:p>
      <w:pPr>
        <w:spacing w:after="0" w:line="119" w:lineRule="exact"/>
        <w:rPr>
          <w:rFonts w:ascii="Verdana" w:cs="Verdana" w:eastAsia="Verdana" w:hAnsi="Verdana"/>
          <w:sz w:val="14"/>
          <w:szCs w:val="14"/>
          <w:color w:val="auto"/>
        </w:rPr>
      </w:pPr>
    </w:p>
    <w:p>
      <w:pPr>
        <w:jc w:val="both"/>
        <w:ind w:left="520" w:hanging="260"/>
        <w:spacing w:after="0" w:line="246"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Substantial acquisition costs: </w:t>
      </w:r>
      <w:r>
        <w:rPr>
          <w:rFonts w:ascii="Verdana" w:cs="Verdana" w:eastAsia="Verdana" w:hAnsi="Verdana"/>
          <w:sz w:val="14"/>
          <w:szCs w:val="14"/>
          <w:color w:val="auto"/>
        </w:rPr>
        <w:t>With any acquisition, Busey may incur a number of non-recurring costs associated with the merger and integration.</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These costs include legal, financial advisory, accounting, consulting and other advisory fees, severance/employee benefit-related costs, public company filing fees and other regulatory fees, printing costs, system conversion costs, added facilities costs, and other related costs. Further, Busey could incur due diligence expenses which may not result in an acquisition.</w:t>
      </w:r>
    </w:p>
    <w:p>
      <w:pPr>
        <w:spacing w:after="0" w:line="119"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3"/>
        </w:numPr>
        <w:rPr>
          <w:rFonts w:ascii="Verdana" w:cs="Verdana" w:eastAsia="Verdana" w:hAnsi="Verdana"/>
          <w:sz w:val="14"/>
          <w:szCs w:val="14"/>
          <w:color w:val="auto"/>
        </w:rPr>
      </w:pPr>
      <w:r>
        <w:rPr>
          <w:rFonts w:ascii="Verdana" w:cs="Verdana" w:eastAsia="Verdana" w:hAnsi="Verdana"/>
          <w:sz w:val="14"/>
          <w:szCs w:val="14"/>
          <w:b w:val="1"/>
          <w:bCs w:val="1"/>
          <w:color w:val="auto"/>
        </w:rPr>
        <w:t xml:space="preserve">Delayed or unrealized benefits: </w:t>
      </w:r>
      <w:r>
        <w:rPr>
          <w:rFonts w:ascii="Verdana" w:cs="Verdana" w:eastAsia="Verdana" w:hAnsi="Verdana"/>
          <w:sz w:val="14"/>
          <w:szCs w:val="14"/>
          <w:color w:val="auto"/>
        </w:rPr>
        <w:t>The time period in which anticipated benefits of a merger are fully realized may take longer than anticipated, or</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Busey may be unsuccessful in realizing the anticipated benefits from mergers and future acquisitions.</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Introduction of new products and services carries financial and strategic risks.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strives to serve customers with a competitive product set and relevant services. While introducing new lines of business or innovative products and services supports this goal, these efforts carry inherent risks. Competitive pressures, underdeveloped markets, or unforeseen challenges can lead to delayed timelines and missed profitability targets. Significant investments in technology and marketing may not yield the desired outcomes, potentially negatively affecting operating results.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Digital asset trends introduce regulatory, competitive and scalability challenges.</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While Busey does not currently offer digital asset products, such as cryptocurrencies or stablecoins, the global adoption of digital assets presents competitive and regulatory challenges. The appeal of digital assets lies in their transaction speed, cross-border capabilities, and anonymity. However, these attributes also introduce risks, including fraud, volatility, and limited regulatory oversight.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2" w:name="page43"/>
    <w:bookmarkEnd w:id="4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As digital asset adoption grows, Busey must remain vigilant to market dynamics and regulatory developments. Additionally, the ability to effectively and efficiently scale operations to meet customer demand is critical. Failure to scale effectively could constrain Busey’s ability to invest in competitive products, hampering long-term growth and competitiveness.</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Busey’s ability to navigate competitive pressures and strategic challenges depends on proactive investments in innovation, efficient integration of acquisitions, and the ability to anticipate and adapt to emerging trends.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ACCOUNTING AND TAX RISKS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Financial statements are created, in part, by estimates, assumptions, and methods used by management, which, if incorrect, could cause unexpected losses in the future.</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subjective and complex judgments about matters that are inherently uncertain, and materially different amounts could be reported under different conditions or using different assumptions. If such estimates or assumptions underlying Busey’s Consolidated Financial Statements are incorrect, the Company may experience material losses.</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One such assumption and estimate is the valuation analysis of Busey’s goodwill and other intangible assets. Although Busey’s analysis does not indicate impairments exist, the Company is required to perform additional impairment assessments on at least an annual basis, which could result in future impairment charges. Any future impairment of goodwill or other intangible assets, whether based on the current balances or future balances arising out of acquisitions, could have a material adverse effect on the results of operations by reducing net income or increasing net losses.</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Changes in accounting principles or guidelines could adversely affect financial reporting.</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Periodically, agencies such as the FASB or the SEC change the financial accounting and reporting standards or the interpretation of those standards that govern the preparation of Busey’s Financial Statements. These changes are beyond Busey’s control, can be difficult to predict, and could materially impact how Busey reports its financial condition and results of operations. In addition, trends in financial and business reporting, including environmental, social, and governance related disclosures, could require Busey to incur additional reporting expense. Changes in these standards are continuously occurring, and the implementation of such changes could have a material adverse effect on Busey’s financial condition and results of operations.</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 is subject to changes in tax law and may not realize tax benefits which could adversely affect its results of operations.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Changes in tax laws at national or state levels could have an effect on Busey’s short-term and long-term earnings. Tax law changes are both difficult to predict and beyond Busey’s control. Changes in tax laws could affect Busey’s earnings, its customers’ financial positions, or both.</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Deferred tax assets are designed to reduce subsequent period income tax expense. They arise, in part, as a result of net loss carry-overs, and other book accounting to tax accounting differences, for items such as expected credit losses, stock-based compensation, and deferred compensation. Deferred tax assets are recorded for such items when it is anticipated that the tax consequences will be recognized in earnings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22"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In evaluating the need for a valuation allowance, Busey estimates future taxable income based on management forecasts and tax planning strategies that may be available to the Company.</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3" w:name="page44"/>
    <w:bookmarkEnd w:id="4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While Busey has determined that no valuation allowance is currently required for any deferred tax assets, if future events differ significantly from current forecasts, the Company may need to establish a valuation allowance against its net deferred tax assets, which would have a material adverse effect on its results of operations and financial condition. The ultimate realization of deferred tax assets is dependent upon the generation of future taxable income during the periods prior to the expiration of the related net operating losses and may be limited by Section 382 of the Internal Revenue Code.</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i w:val="1"/>
          <w:iCs w:val="1"/>
          <w:color w:val="auto"/>
        </w:rPr>
        <w:t>Investments in tax-advantaged projects may not generate returns as anticipated and may have an adverse impact on Busey’s financial results.</w:t>
      </w:r>
    </w:p>
    <w:p>
      <w:pPr>
        <w:spacing w:after="0" w:line="301"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invests in certain tax-advantaged projects promoting affordable housing, community development, and other community revitalization projects. These investments are designed to generate a return primarily through the realization of federal and state income tax credits and other tax benefits over specified periods. Busey is subject to the risk that previously recorded tax credits, which remain subject to recapture by taxing authorities based on compliance features required at the project level, may fail to meet certain government compliance requirements and may not be realized.</w:t>
      </w:r>
    </w:p>
    <w:p>
      <w:pPr>
        <w:spacing w:after="0" w:line="13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potential inability to realize these tax credits and other tax benefits could negatively impact Busey’s financial results. The ultimate realization of these benefits depends upon having sufficient taxable income and on many other factors outside of Busey’s control, including changes in the applicable tax code and the ability of the projects to be completed. Busey continues to monitor tax law developments and compliance with applicable regulations to mitigate these risks.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OPERATIONAL RISKS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Busey’s framework for managing risks may not be fully effective in mitigating risk and loss.</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risk management framework is designed to identify, measure, monitor, and analyze a broad spectrum of risks, including compliance, operational, and reputational risks. However, as with any framework, inherent limitations exist, particularly as new risks emerge or previously unidentified vulnerabilities become apparent.</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effectiveness of this framework depends on its alignment with Busey’s evolving risk profile, especially in light of the planned CrossFirst merger. As the organization grows in complexity, risks related to integration, system coordination, and operational oversight may challenge the framework's capacity to adapt. Failures to effectively manage these risks could adversely impact Busey’s financial condition, regulatory standing, and overall operational stability.</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To address these challenges, Busey continuously refines its processes, leveraging advanced risk assessment tools and seeking alignment with industry best practices. Despite these efforts, no risk management framework is foolproof, and unforeseen losses or disruptions remain a possibility.</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Technological investments drive efficiency but introduce cybersecurity risks.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Busey’s ongoing investments in technology infrastructure have strengthened operational efficiency, enhanced client service delivery, and supported the scaling of key business functions. Initiatives such as enterprise-wide automation, cloud integration, and enhanced data analytics capabilities have positioned Busey as a forward-thinking financial institution. However, these advancements introduce vulnerabilities, including the risk of cyber-attacks and operational disruptions.</w:t>
      </w:r>
    </w:p>
    <w:p>
      <w:pPr>
        <w:spacing w:after="0" w:line="294"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Federal Reserve’s November 2024 Financial Stability Report has emphasized growing threats posed by sophisticated cyber-attacks. These threats not only compromise data integrity but also pose significant reputational and financial risks. For example: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4" w:name="page45"/>
    <w:bookmarkEnd w:id="4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260"/>
        <w:spacing w:after="0" w:line="259" w:lineRule="auto"/>
        <w:tabs>
          <w:tab w:leader="none" w:pos="512" w:val="left"/>
        </w:tabs>
        <w:numPr>
          <w:ilvl w:val="0"/>
          <w:numId w:val="14"/>
        </w:numPr>
        <w:rPr>
          <w:rFonts w:ascii="Verdana" w:cs="Verdana" w:eastAsia="Verdana" w:hAnsi="Verdana"/>
          <w:sz w:val="14"/>
          <w:szCs w:val="14"/>
          <w:color w:val="auto"/>
        </w:rPr>
      </w:pPr>
      <w:r>
        <w:rPr>
          <w:rFonts w:ascii="Verdana" w:cs="Verdana" w:eastAsia="Verdana" w:hAnsi="Verdana"/>
          <w:sz w:val="14"/>
          <w:szCs w:val="14"/>
          <w:b w:val="1"/>
          <w:bCs w:val="1"/>
          <w:color w:val="auto"/>
        </w:rPr>
        <w:t>Supply Chain Risk Amplification</w:t>
      </w:r>
      <w:r>
        <w:rPr>
          <w:rFonts w:ascii="Verdana" w:cs="Verdana" w:eastAsia="Verdana" w:hAnsi="Verdana"/>
          <w:sz w:val="14"/>
          <w:szCs w:val="14"/>
          <w:color w:val="auto"/>
        </w:rPr>
        <w:t>: Third-party vendors and their subcontractors introduce multi-layered risks, complicating oversight and</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heightening the likelihood of service interruptions or compliance breaches.</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4"/>
        </w:numPr>
        <w:rPr>
          <w:rFonts w:ascii="Verdana" w:cs="Verdana" w:eastAsia="Verdana" w:hAnsi="Verdana"/>
          <w:sz w:val="14"/>
          <w:szCs w:val="14"/>
          <w:color w:val="auto"/>
        </w:rPr>
      </w:pPr>
      <w:r>
        <w:rPr>
          <w:rFonts w:ascii="Verdana" w:cs="Verdana" w:eastAsia="Verdana" w:hAnsi="Verdana"/>
          <w:sz w:val="14"/>
          <w:szCs w:val="14"/>
          <w:b w:val="1"/>
          <w:bCs w:val="1"/>
          <w:color w:val="auto"/>
        </w:rPr>
        <w:t>Advanced Cyber Threats</w:t>
      </w:r>
      <w:r>
        <w:rPr>
          <w:rFonts w:ascii="Verdana" w:cs="Verdana" w:eastAsia="Verdana" w:hAnsi="Verdana"/>
          <w:sz w:val="14"/>
          <w:szCs w:val="14"/>
          <w:color w:val="auto"/>
        </w:rPr>
        <w:t>: As bad actors deploy increasingly sophisticated tactics, including artificial intelligence-driven impersonation and malware,</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the effectiveness of traditional cybersecurity defenses is diminished.</w:t>
      </w:r>
    </w:p>
    <w:p>
      <w:pPr>
        <w:spacing w:after="0" w:line="11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To mitigate these risks, Busey has implemented robust cybersecurity protocols, regular system audits, and incident response plans. The use of artificial intelligence-powered tools, such as Verafin, provide additional layers of fraud detection, enabling proactive threat management. However, as cybersecurity threats evolve, the possibility of system penetration persists even with robust security protocols in place.</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Outsourcing dependencies could disrupt operations and increase compliance risks.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reliance on secure and resilient systems to manage customer relationships, transactions, and data underscores the critical importance of operational stability. Outsourcing arrangements introduce risks tied to service disruptions, compliance violations, and vulnerabilities stemming from subcontractors in downstream supply chains.</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This cascading outsourcing structure adds complexity to communication and coordination, particularly when vendors operate in regions with varying regulatory standards. Risks are further amplified by geopolitical tensions, trade restrictions, or cyberattacks targeting these external partners.</w:t>
      </w:r>
    </w:p>
    <w:p>
      <w:pPr>
        <w:spacing w:after="0" w:line="12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Failures or breaches in these systems could disrupt Busey’s operations, damage its reputation, or result in significant legal exposure. While Busey conducts rigorous due diligence when selecting third-party providers, residual risks from subsequent outsourcing tiers remain challenging to eliminate entirely.</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Fraudulent activities could erode financial stability and customer trust.</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rising sophistication of fraudulent schemes poses a persistent challenge for financial institutions, with Busey being no exception. Fraudulent activities, such as identity theft, phishing, and unauthorized transactions, could result in financial losses, regulatory penalties, and erosion of customer trust.</w:t>
      </w:r>
    </w:p>
    <w:p>
      <w:pPr>
        <w:spacing w:after="0" w:line="12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employs a multi-layered approach to fraud prevention, including internal controls, insurance coverage, and advanced fraud detection tools, like Verafin. However, even robust frameworks may not fully eliminate risks, particularly as threat actors adapt their tactics to exploit emerging vulnerabilities.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Busey’s ability to attract and retain key personnel may affect future growth and earnings.</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ability to attract and retain experienced management and qualified personnel is critical to sustaining growth and executing its strategic objectives.</w:t>
      </w:r>
    </w:p>
    <w:p>
      <w:pPr>
        <w:spacing w:after="0"/>
        <w:rPr>
          <w:sz w:val="20"/>
          <w:szCs w:val="20"/>
          <w:color w:val="auto"/>
        </w:rPr>
      </w:pPr>
      <w:r>
        <w:rPr>
          <w:rFonts w:ascii="Verdana" w:cs="Verdana" w:eastAsia="Verdana" w:hAnsi="Verdana"/>
          <w:sz w:val="14"/>
          <w:szCs w:val="14"/>
          <w:color w:val="auto"/>
        </w:rPr>
        <w:t>The leadership transitions associated with the CrossFirst merger highlight the importance of talent management in preserving operational continuity.</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In addition to retaining key leaders, Busey’s ability to build a diverse and skilled workforce is essential to implementing its community-based strategy effectively. The unexpected departure of high-performing employees or difficulty in recruiting specialized talent could disrupt operations, delay strategic initiatives, or increase costs associated with workforce realignment.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5" w:name="page46"/>
    <w:bookmarkEnd w:id="4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1A. Risk Factors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Damage resulting from negative publicity could harm Busey’s reputation and adversely impact its business and financial condition.</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Busey’s ability to attract and retain customers, investors, and employees is contingent upon maintaining trust. Negative public opinion could result from the Company’s actual or alleged conduct in a number of activities, including, but not limited to, employee misconduct, failure or perceived failure to deliver appropriate standards of service and quality,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w:t>
      </w:r>
    </w:p>
    <w:p>
      <w:pPr>
        <w:spacing w:after="0" w:line="12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CrossFirst merger further underscores the importance of preserving a positive reputation during this period of transformation. Mergers often attract heightened scrutiny from regulators, investors, and the public, amplifying the potential for reputational risks. Missteps in integration, such as service disruptions, a perceived decline in quality, or employee dissatisfaction could adversely impact public perception.</w:t>
      </w:r>
    </w:p>
    <w:p>
      <w:pPr>
        <w:spacing w:after="0" w:line="12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results of such actual or alleged misconduct or missteps could include customer dissatisfaction, inability to attract potential acquisition prospects, litigation, and heightened regulatory scrutiny. These outcomes may lead to lost revenue, higher operating costs, and harm to Busey’s reputation. Despite the cost or efforts made by the Company to address issues arising from reputational harm, there is no assurance that these efforts could fully mitigate adverse impacts on Busey’s business, financial condition, and results of operations.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Rapid adoption of generative artificial intelligence technologies introduces operational vulnerabilities.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rapid adoption of generative artificial intelligence technologies introduces a range of operational risks, including intellectual property disputes, compliance challenges, and data privacy concerns. The use of artificial intelligence in fraud schemes, such as impersonation attacks and social engineering, underscores the urgency of proactive governance.</w:t>
      </w:r>
    </w:p>
    <w:p>
      <w:pPr>
        <w:spacing w:after="0" w:line="12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remains committed to addressing these risks through advanced technological tools, regular assessments, and collaboration with industry peers to stay ahead of evolving threats.</w:t>
      </w:r>
    </w:p>
    <w:p>
      <w:pPr>
        <w:spacing w:after="0" w:line="11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1B. UNRESOLVED STAFF COMMENTS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None.</w:t>
      </w:r>
    </w:p>
    <w:p>
      <w:pPr>
        <w:spacing w:after="0" w:line="14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1C. CYBERSECURITY</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 maintains a cyber security risk management program designed to prevent, detect, and respond to information security threats. The program is designed to align with the Cyber Risk Institute’s Profile framework, which is based on the National Institute of Standards and Technology’s Cybersecurity Framework. The program is led by Busey’s Chief Information Security Officer (“CISO”). Busey’s CISO has been in the role since September 2020 and has over 15 years of experience across external and internal audit, technology risk management, and cybersecurity matters, spanning various industries primarily within the financial services sector, but also including healthcare, technology, consumer products, and manufacturing for both regional and multinational corporations. Busey’s cyber security risk management program is a key part of the Company’s overall risk management system, which is administered by the Chief Risk Officer.</w:t>
      </w:r>
    </w:p>
    <w:p>
      <w:pPr>
        <w:spacing w:after="0" w:line="12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cyber security risk management program includes administrative, technical, and physical safeguards to help ensure the security and confidentiality of customer records and information. Busey has long devoted significant resources to assessing, identifying, and managing risks associated with cybersecurity threats, including:</w:t>
      </w:r>
    </w:p>
    <w:p>
      <w:pPr>
        <w:spacing w:after="0" w:line="128" w:lineRule="exact"/>
        <w:rPr>
          <w:sz w:val="20"/>
          <w:szCs w:val="20"/>
          <w:color w:val="auto"/>
        </w:rPr>
      </w:pPr>
    </w:p>
    <w:p>
      <w:pPr>
        <w:ind w:left="520" w:hanging="260"/>
        <w:spacing w:after="0" w:line="259" w:lineRule="auto"/>
        <w:tabs>
          <w:tab w:leader="none" w:pos="512" w:val="left"/>
        </w:tabs>
        <w:numPr>
          <w:ilvl w:val="0"/>
          <w:numId w:val="15"/>
        </w:numPr>
        <w:rPr>
          <w:rFonts w:ascii="Verdana" w:cs="Verdana" w:eastAsia="Verdana" w:hAnsi="Verdana"/>
          <w:sz w:val="14"/>
          <w:szCs w:val="14"/>
          <w:color w:val="auto"/>
        </w:rPr>
      </w:pPr>
      <w:r>
        <w:rPr>
          <w:rFonts w:ascii="Verdana" w:cs="Verdana" w:eastAsia="Verdana" w:hAnsi="Verdana"/>
          <w:sz w:val="14"/>
          <w:szCs w:val="14"/>
          <w:color w:val="auto"/>
        </w:rPr>
        <w:t>Establishing an internal cybersecurity team that is responsible for conducting regular assessments of Busey’s information systems, existing controls, vulnerabilities, and potential improvements;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6" w:name="page47"/>
    <w:bookmarkEnd w:id="46"/>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240"/>
        <w:spacing w:after="0"/>
        <w:tabs>
          <w:tab w:leader="none" w:pos="500"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Employing continuous monitoring tools that can detect and help respond to cybersecurity threats in real-time;</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Performing due diligence with respect to third-party service providers, including their cybersecurity practices, and requiring contractual commitments from Busey’s service providers to take certain cybersecurity measures;</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Ongoing monitoring and assessment of third-party vendors' cybersecurity practices, including regular audits, compliance checks, and incident reporting requirements;</w:t>
      </w:r>
    </w:p>
    <w:p>
      <w:pPr>
        <w:spacing w:after="0" w:line="120"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Engaging third-party cybersecurity consultants, who conduct periodic penetration testing, vulnerability assessments, and other procedures to identify potential weaknesses in Busey’s systems and processes;</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Mandating periodic cybersecurity training for Busey’s workforce, which includes awareness programs on phishing, social engineering, and other common cyber threats;</w:t>
      </w:r>
    </w:p>
    <w:p>
      <w:pPr>
        <w:spacing w:after="0" w:line="110"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Implementing access control measures such as multi-factor authentication, role-based access controls, and regular access reviews to ensure that only authorized personnel have access to critical systems and data;</w:t>
      </w:r>
    </w:p>
    <w:p>
      <w:pPr>
        <w:spacing w:after="0" w:line="120" w:lineRule="exact"/>
        <w:rPr>
          <w:rFonts w:ascii="Verdana" w:cs="Verdana" w:eastAsia="Verdana" w:hAnsi="Verdana"/>
          <w:sz w:val="14"/>
          <w:szCs w:val="14"/>
          <w:color w:val="auto"/>
        </w:rPr>
      </w:pPr>
    </w:p>
    <w:p>
      <w:pPr>
        <w:ind w:left="500" w:hanging="240"/>
        <w:spacing w:after="0"/>
        <w:tabs>
          <w:tab w:leader="none" w:pos="500"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Using data encryption for both data at rest and data in transit to protect sensitive information; and</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16"/>
        </w:numPr>
        <w:rPr>
          <w:rFonts w:ascii="Verdana" w:cs="Verdana" w:eastAsia="Verdana" w:hAnsi="Verdana"/>
          <w:sz w:val="14"/>
          <w:szCs w:val="14"/>
          <w:color w:val="auto"/>
        </w:rPr>
      </w:pPr>
      <w:r>
        <w:rPr>
          <w:rFonts w:ascii="Verdana" w:cs="Verdana" w:eastAsia="Verdana" w:hAnsi="Verdana"/>
          <w:sz w:val="14"/>
          <w:szCs w:val="14"/>
          <w:color w:val="auto"/>
        </w:rPr>
        <w:t>Creating an incident response plan that outlines the steps to contain, mitigate, and remediate the impact of cybersecurity incidents, including communication protocols and post-incident analysis.</w:t>
      </w:r>
    </w:p>
    <w:p>
      <w:pPr>
        <w:spacing w:after="0" w:line="11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security and privacy policies and procedures are in effect across all of its businesses and geographic locations. Busey adheres to various regulatory requirements and standards, including the Gramm-Leach-Bliley Act to ensure compliance with data protection laws. Additionally, Busey maintains cybersecurity insurance coverage to mitigate potential financial impacts from cyber incidents.</w:t>
      </w:r>
    </w:p>
    <w:p>
      <w:pPr>
        <w:spacing w:after="0" w:line="12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Busey’s board of directors, as a whole and through its Enterprise Risk Committee (the “Risk Committee”), is responsible for the oversight of risk management. In that role, Busey’s board of directors and Risk Committee, with support from Busey’s cybersecurity advisors, are responsible for ensuring that the risk management processes developed and implemented by management are adequate and functioning as designed. To carry out those duties, both the board of directors and the Risk Committee receive quarterly reports from Busey’s management team regarding cybersecurity risks, and Busey’s efforts to prevent, detect, mitigate, and remediate any cybersecurity incidents.</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Busey’s historical data indicates that while Busey has encountered cybersecurity threats and incidents, none have materially affected the Company. Still, Busey faces a number of cybersecurity risks in connection with its business, and it is possible that threats and incidents identified in the future could have a material adverse effect on Busey’s business strategy, results of operations, and financial condition. For additional information on the risks that cybersecurity threats pose to Busey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1A. Risk Factors—Operational Risks</w:t>
      </w:r>
      <w:r>
        <w:rPr>
          <w:rFonts w:ascii="Verdana" w:cs="Verdana" w:eastAsia="Verdana" w:hAnsi="Verdana"/>
          <w:sz w:val="14"/>
          <w:szCs w:val="14"/>
          <w:i w:val="1"/>
          <w:iCs w:val="1"/>
          <w:color w:val="auto"/>
        </w:rPr>
        <w:t>.”</w:t>
      </w:r>
    </w:p>
    <w:p>
      <w:pPr>
        <w:spacing w:after="0" w:line="119"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2. PROPERTIES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First Busey Corporation’s and Busey Bank’s headquarters are located at 100 West University Avenue, Champaign, Illinois. FirsTech’s headquarters is located at 130 North Water Street, Decatur, Illinois. These facilities, which are owned by the Company, house the executive and primary administrative offices of each respective entity. First Busey Corporation and its subsidiaries also own or lease other facilities, such as banking centers of Busey Bank, for business operations.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7" w:name="page48"/>
    <w:bookmarkEnd w:id="47"/>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Busey considers its properties to be suitable and adequate for its present needs. None of the properties are subject to any material encumbrance.</w:t>
      </w:r>
    </w:p>
    <w:p>
      <w:pPr>
        <w:spacing w:after="0" w:line="138" w:lineRule="exact"/>
        <w:rPr>
          <w:sz w:val="20"/>
          <w:szCs w:val="20"/>
          <w:color w:val="auto"/>
        </w:rPr>
      </w:pPr>
    </w:p>
    <w:p>
      <w:pPr>
        <w:ind w:left="4460"/>
        <w:spacing w:after="0"/>
        <w:rPr>
          <w:sz w:val="20"/>
          <w:szCs w:val="20"/>
          <w:color w:val="auto"/>
        </w:rPr>
      </w:pPr>
      <w:r>
        <w:rPr>
          <w:rFonts w:ascii="Verdana" w:cs="Verdana" w:eastAsia="Verdana" w:hAnsi="Verdana"/>
          <w:sz w:val="14"/>
          <w:szCs w:val="14"/>
          <w:b w:val="1"/>
          <w:bCs w:val="1"/>
          <w:color w:val="auto"/>
        </w:rPr>
        <w:t>ITEM 3. LEGAL PROCEEDINGS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 part of the ordinary course of business, First Busey Corporation and its subsidiaries are parties to litigation that is incidental to their regular business activities.</w:t>
      </w:r>
    </w:p>
    <w:p>
      <w:pPr>
        <w:spacing w:after="0" w:line="12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1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4. MINE SAFETY DISCLOSURES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Not applicable.</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8" w:name="page49"/>
    <w:bookmarkEnd w:id="48"/>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40"/>
        <w:spacing w:after="0"/>
        <w:rPr>
          <w:sz w:val="20"/>
          <w:szCs w:val="20"/>
          <w:color w:val="auto"/>
        </w:rPr>
      </w:pPr>
      <w:r>
        <w:rPr>
          <w:rFonts w:ascii="Verdana" w:cs="Verdana" w:eastAsia="Verdana" w:hAnsi="Verdana"/>
          <w:sz w:val="14"/>
          <w:szCs w:val="14"/>
          <w:b w:val="1"/>
          <w:bCs w:val="1"/>
          <w:color w:val="auto"/>
        </w:rPr>
        <w:t>PART II</w:t>
      </w:r>
    </w:p>
    <w:p>
      <w:pPr>
        <w:spacing w:after="0" w:line="138" w:lineRule="exact"/>
        <w:rPr>
          <w:sz w:val="20"/>
          <w:szCs w:val="20"/>
          <w:color w:val="auto"/>
        </w:rPr>
      </w:pPr>
    </w:p>
    <w:p>
      <w:pPr>
        <w:ind w:left="40"/>
        <w:spacing w:after="0"/>
        <w:rPr>
          <w:sz w:val="20"/>
          <w:szCs w:val="20"/>
          <w:color w:val="auto"/>
        </w:rPr>
      </w:pPr>
      <w:r>
        <w:rPr>
          <w:rFonts w:ascii="Verdana" w:cs="Verdana" w:eastAsia="Verdana" w:hAnsi="Verdana"/>
          <w:sz w:val="14"/>
          <w:szCs w:val="14"/>
          <w:b w:val="1"/>
          <w:bCs w:val="1"/>
          <w:color w:val="auto"/>
        </w:rPr>
        <w:t>ITEM 5. MARKET FOR REGISTRANT’S COMMON EQUITY, RELATED STOCKHOLDER MATTERS, AND ISSUER PURCHASES OF EQUITY SECURITIES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COMMON STOCK</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common stock is traded on The Nasdaq Global Select Market under the symbol “BUSE.”</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Busey’s board of directors and management are currently committed to continue paying regular cash dividends; however, no guarantee can be given with respect to future dividends, as they are dependent on certain regulatory restrictions, future earnings, capital requirements, and the financial condition of First Busey Corporation and its subsidiaries.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Business—Supervision, Regulation, and Other Factors—Supervision and Regulation of First Busey</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Corporation—Dividend Payments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and</w:t>
      </w:r>
      <w:r>
        <w:rPr>
          <w:rFonts w:ascii="Verdana" w:cs="Verdana" w:eastAsia="Verdana" w:hAnsi="Verdana"/>
          <w:sz w:val="14"/>
          <w:szCs w:val="14"/>
          <w:i w:val="1"/>
          <w:iCs w:val="1"/>
          <w:color w:val="0000FF"/>
        </w:rPr>
        <w:t xml:space="preserve"> </w:t>
      </w:r>
      <w:r>
        <w:rPr>
          <w:rFonts w:ascii="Verdana" w:cs="Verdana" w:eastAsia="Verdana" w:hAnsi="Verdana"/>
          <w:sz w:val="14"/>
          <w:szCs w:val="14"/>
          <w:i w:val="1"/>
          <w:iCs w:val="1"/>
          <w:color w:val="000000"/>
        </w:rPr>
        <w:t>“</w:t>
      </w:r>
      <w:r>
        <w:rPr>
          <w:rFonts w:ascii="Verdana" w:cs="Verdana" w:eastAsia="Verdana" w:hAnsi="Verdana"/>
          <w:sz w:val="14"/>
          <w:szCs w:val="14"/>
          <w:i w:val="1"/>
          <w:iCs w:val="1"/>
          <w:u w:val="single" w:color="auto"/>
          <w:color w:val="0000FF"/>
        </w:rPr>
        <w:t>Item 1. Business—Supervision, Regulation, and Other Factors—Supervision and Regulation of Busey Bank—Dividend</w:t>
      </w:r>
      <w:r>
        <w:rPr>
          <w:rFonts w:ascii="Verdana" w:cs="Verdana" w:eastAsia="Verdana" w:hAnsi="Verdana"/>
          <w:sz w:val="14"/>
          <w:szCs w:val="14"/>
          <w:i w:val="1"/>
          <w:iCs w:val="1"/>
          <w:color w:val="0000FF"/>
        </w:rPr>
        <w:t xml:space="preserve"> </w:t>
      </w:r>
      <w:r>
        <w:rPr>
          <w:rFonts w:ascii="Verdana" w:cs="Verdana" w:eastAsia="Verdana" w:hAnsi="Verdana"/>
          <w:sz w:val="14"/>
          <w:szCs w:val="14"/>
          <w:i w:val="1"/>
          <w:iCs w:val="1"/>
          <w:u w:val="single" w:color="auto"/>
          <w:color w:val="0000FF"/>
        </w:rPr>
        <w:t>Payments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for further discussion of these matters.</w:t>
      </w:r>
    </w:p>
    <w:p>
      <w:pPr>
        <w:spacing w:after="0" w:line="122"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 of February 27, 2025, First Busey Corporation had 56,958,853 shares of common stock outstanding held by 1,766 holders of record. Additionally, there were an estimated 14,297 beneficial holders whose stock was held in street name by brokerage houses and nominees as of that date.</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STOCK REPURCHASE PLAN</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February 3, 2015, First Busey Corporation's board of directors approved the Stock Repurchase Plan to enable Busey to purchase shares of its common stock through various means including purchases executed on the open market, through block trades or otherwise, and in privately negotiated transactions. The Stock Repurchase Plan provides Busey with treasury shares from which stock-based compensation can be issued, and it limits the number of outstanding shares that may be actively traded. The Stock Repurchase Plan does not obligate Busey to purchase any shares of its common stock, and has no expiration date. The Stock Repurchase Plan may be terminated, or the number of shares authorized for repurchase may be increased or decreased by Busey's board of directors at its discretion at any time.</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color w:val="auto"/>
        </w:rPr>
        <w:t>Under the Stock Repurchase Plan, Busey's board of directors has authorized shares for repurchase as shown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700" w:type="dxa"/>
            <w:vAlign w:val="bottom"/>
          </w:tcPr>
          <w:p>
            <w:pPr>
              <w:spacing w:after="0"/>
              <w:rPr>
                <w:sz w:val="10"/>
                <w:szCs w:val="10"/>
                <w:color w:val="auto"/>
              </w:rPr>
            </w:pPr>
          </w:p>
        </w:tc>
        <w:tc>
          <w:tcPr>
            <w:tcW w:w="1580" w:type="dxa"/>
            <w:vAlign w:val="bottom"/>
          </w:tcPr>
          <w:p>
            <w:pPr>
              <w:jc w:val="right"/>
              <w:ind w:right="236"/>
              <w:spacing w:after="0"/>
              <w:rPr>
                <w:sz w:val="20"/>
                <w:szCs w:val="20"/>
                <w:color w:val="auto"/>
              </w:rPr>
            </w:pPr>
            <w:r>
              <w:rPr>
                <w:rFonts w:ascii="Verdana" w:cs="Verdana" w:eastAsia="Verdana" w:hAnsi="Verdana"/>
                <w:sz w:val="10"/>
                <w:szCs w:val="10"/>
                <w:b w:val="1"/>
                <w:bCs w:val="1"/>
                <w:color w:val="auto"/>
              </w:rPr>
              <w:t>Number of Shares</w:t>
            </w:r>
          </w:p>
        </w:tc>
      </w:tr>
      <w:tr>
        <w:trPr>
          <w:trHeight w:val="133"/>
        </w:trPr>
        <w:tc>
          <w:tcPr>
            <w:tcW w:w="9700" w:type="dxa"/>
            <w:vAlign w:val="bottom"/>
            <w:tcBorders>
              <w:bottom w:val="single" w:sz="8" w:color="DBE2E9"/>
            </w:tcBorders>
          </w:tcPr>
          <w:p>
            <w:pPr>
              <w:spacing w:after="0"/>
              <w:rPr>
                <w:sz w:val="11"/>
                <w:szCs w:val="11"/>
                <w:color w:val="auto"/>
              </w:rPr>
            </w:pPr>
          </w:p>
        </w:tc>
        <w:tc>
          <w:tcPr>
            <w:tcW w:w="1580" w:type="dxa"/>
            <w:vAlign w:val="bottom"/>
            <w:tcBorders>
              <w:bottom w:val="single" w:sz="8" w:color="auto"/>
            </w:tcBorders>
          </w:tcPr>
          <w:p>
            <w:pPr>
              <w:jc w:val="right"/>
              <w:ind w:right="416"/>
              <w:spacing w:after="0"/>
              <w:rPr>
                <w:sz w:val="20"/>
                <w:szCs w:val="20"/>
                <w:color w:val="auto"/>
              </w:rPr>
            </w:pPr>
            <w:r>
              <w:rPr>
                <w:rFonts w:ascii="Verdana" w:cs="Verdana" w:eastAsia="Verdana" w:hAnsi="Verdana"/>
                <w:sz w:val="10"/>
                <w:szCs w:val="10"/>
                <w:b w:val="1"/>
                <w:bCs w:val="1"/>
                <w:color w:val="auto"/>
              </w:rPr>
              <w:t>Authorized</w:t>
            </w:r>
          </w:p>
        </w:tc>
      </w:tr>
      <w:tr>
        <w:trPr>
          <w:trHeight w:val="208"/>
        </w:trPr>
        <w:tc>
          <w:tcPr>
            <w:tcW w:w="9700" w:type="dxa"/>
            <w:vAlign w:val="bottom"/>
            <w:shd w:val="clear" w:color="auto" w:fill="DBE2E9"/>
          </w:tcPr>
          <w:p>
            <w:pPr>
              <w:ind w:left="20"/>
              <w:spacing w:after="0"/>
              <w:rPr>
                <w:sz w:val="20"/>
                <w:szCs w:val="20"/>
                <w:color w:val="auto"/>
              </w:rPr>
            </w:pPr>
            <w:r>
              <w:rPr>
                <w:rFonts w:ascii="Verdana" w:cs="Verdana" w:eastAsia="Verdana" w:hAnsi="Verdana"/>
                <w:sz w:val="14"/>
                <w:szCs w:val="14"/>
                <w:color w:val="auto"/>
              </w:rPr>
              <w:t>February 3, 2015</w:t>
            </w:r>
          </w:p>
        </w:tc>
        <w:tc>
          <w:tcPr>
            <w:tcW w:w="1580" w:type="dxa"/>
            <w:vAlign w:val="bottom"/>
            <w:shd w:val="clear" w:color="auto" w:fill="DBE2E9"/>
          </w:tcPr>
          <w:p>
            <w:pPr>
              <w:jc w:val="right"/>
              <w:spacing w:after="0"/>
              <w:rPr>
                <w:sz w:val="20"/>
                <w:szCs w:val="20"/>
                <w:color w:val="auto"/>
              </w:rPr>
            </w:pPr>
            <w:r>
              <w:rPr>
                <w:rFonts w:ascii="Verdana" w:cs="Verdana" w:eastAsia="Verdana" w:hAnsi="Verdana"/>
                <w:sz w:val="14"/>
                <w:szCs w:val="14"/>
                <w:color w:val="auto"/>
              </w:rPr>
              <w:t>666,667</w:t>
            </w:r>
          </w:p>
        </w:tc>
      </w:tr>
      <w:tr>
        <w:trPr>
          <w:trHeight w:val="207"/>
        </w:trPr>
        <w:tc>
          <w:tcPr>
            <w:tcW w:w="9700" w:type="dxa"/>
            <w:vAlign w:val="bottom"/>
          </w:tcPr>
          <w:p>
            <w:pPr>
              <w:ind w:left="20"/>
              <w:spacing w:after="0"/>
              <w:rPr>
                <w:sz w:val="20"/>
                <w:szCs w:val="20"/>
                <w:color w:val="auto"/>
              </w:rPr>
            </w:pPr>
            <w:r>
              <w:rPr>
                <w:rFonts w:ascii="Verdana" w:cs="Verdana" w:eastAsia="Verdana" w:hAnsi="Verdana"/>
                <w:sz w:val="14"/>
                <w:szCs w:val="14"/>
                <w:color w:val="auto"/>
              </w:rPr>
              <w:t>May 22, 2019</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1,000,000</w:t>
            </w:r>
          </w:p>
        </w:tc>
      </w:tr>
      <w:tr>
        <w:trPr>
          <w:trHeight w:val="218"/>
        </w:trPr>
        <w:tc>
          <w:tcPr>
            <w:tcW w:w="9700" w:type="dxa"/>
            <w:vAlign w:val="bottom"/>
            <w:shd w:val="clear" w:color="auto" w:fill="DBE2E9"/>
          </w:tcPr>
          <w:p>
            <w:pPr>
              <w:ind w:left="20"/>
              <w:spacing w:after="0"/>
              <w:rPr>
                <w:sz w:val="20"/>
                <w:szCs w:val="20"/>
                <w:color w:val="auto"/>
              </w:rPr>
            </w:pPr>
            <w:r>
              <w:rPr>
                <w:rFonts w:ascii="Verdana" w:cs="Verdana" w:eastAsia="Verdana" w:hAnsi="Verdana"/>
                <w:sz w:val="14"/>
                <w:szCs w:val="14"/>
                <w:color w:val="auto"/>
              </w:rPr>
              <w:t>February 5, 2020</w:t>
            </w:r>
          </w:p>
        </w:tc>
        <w:tc>
          <w:tcPr>
            <w:tcW w:w="1580" w:type="dxa"/>
            <w:vAlign w:val="bottom"/>
            <w:shd w:val="clear" w:color="auto" w:fill="DBE2E9"/>
          </w:tcPr>
          <w:p>
            <w:pPr>
              <w:jc w:val="right"/>
              <w:spacing w:after="0"/>
              <w:rPr>
                <w:sz w:val="20"/>
                <w:szCs w:val="20"/>
                <w:color w:val="auto"/>
              </w:rPr>
            </w:pPr>
            <w:r>
              <w:rPr>
                <w:rFonts w:ascii="Verdana" w:cs="Verdana" w:eastAsia="Verdana" w:hAnsi="Verdana"/>
                <w:sz w:val="14"/>
                <w:szCs w:val="14"/>
                <w:color w:val="auto"/>
              </w:rPr>
              <w:t>2,000,000</w:t>
            </w:r>
          </w:p>
        </w:tc>
      </w:tr>
      <w:tr>
        <w:trPr>
          <w:trHeight w:val="201"/>
        </w:trPr>
        <w:tc>
          <w:tcPr>
            <w:tcW w:w="9700" w:type="dxa"/>
            <w:vAlign w:val="bottom"/>
          </w:tcPr>
          <w:p>
            <w:pPr>
              <w:ind w:left="20"/>
              <w:spacing w:after="0"/>
              <w:rPr>
                <w:sz w:val="20"/>
                <w:szCs w:val="20"/>
                <w:color w:val="auto"/>
              </w:rPr>
            </w:pPr>
            <w:r>
              <w:rPr>
                <w:rFonts w:ascii="Verdana" w:cs="Verdana" w:eastAsia="Verdana" w:hAnsi="Verdana"/>
                <w:sz w:val="14"/>
                <w:szCs w:val="14"/>
                <w:color w:val="auto"/>
              </w:rPr>
              <w:t>May 24, 2023</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2,000,000</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During the fourth quarter of 2024, Busey purchased no shares of its common stock pursuant to the Stock Repurchase Plan. As of December 31, 2024, Busey had 1,919,275 shares that may still be purchased under the Stock Repurchase Plan.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9" w:name="page50"/>
    <w:bookmarkEnd w:id="49"/>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STOCK PERFORMANCE GRAPH</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The following graph compares Busey’s performance, as measured by the change in price of its common stock plus reinvested dividends, with the Nasdaq Composite and the S&amp;P U.S. BMI Banks – Midwest Region for the five years ended December 31, 2024. Banks in the S&amp;P U.S. BMI Banks – Midwest Region Index represent all Major Exchange Traded Banks in S&amp;P Capital IQ’s coverage universe that are headquartered in Colorado, Illinois, Indiana, Iowa, Kansas, Kentucky, Michigan, Minnesota, Missouri, Ohio, South Dakota, and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78740</wp:posOffset>
            </wp:positionV>
            <wp:extent cx="4527550" cy="2101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527550" cy="210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tcPr>
          <w:p>
            <w:pPr>
              <w:ind w:left="380"/>
              <w:spacing w:after="0"/>
              <w:rPr>
                <w:sz w:val="20"/>
                <w:szCs w:val="20"/>
                <w:color w:val="auto"/>
              </w:rPr>
            </w:pPr>
            <w:r>
              <w:rPr>
                <w:rFonts w:ascii="Verdana" w:cs="Verdana" w:eastAsia="Verdana" w:hAnsi="Verdana"/>
                <w:sz w:val="10"/>
                <w:szCs w:val="10"/>
                <w:b w:val="1"/>
                <w:bCs w:val="1"/>
                <w:color w:val="auto"/>
              </w:rPr>
              <w:t>As of December 31,</w:t>
            </w: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33"/>
        </w:trPr>
        <w:tc>
          <w:tcPr>
            <w:tcW w:w="394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Index</w:t>
            </w: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0"/>
                <w:szCs w:val="10"/>
                <w:b w:val="1"/>
                <w:bCs w:val="1"/>
                <w:color w:val="auto"/>
              </w:rPr>
              <w:t>2019</w:t>
            </w: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0"/>
                <w:szCs w:val="10"/>
                <w:b w:val="1"/>
                <w:bCs w:val="1"/>
                <w:color w:val="auto"/>
              </w:rPr>
              <w:t>2020</w:t>
            </w: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8"/>
              <w:spacing w:after="0"/>
              <w:rPr>
                <w:sz w:val="20"/>
                <w:szCs w:val="20"/>
                <w:color w:val="auto"/>
              </w:rPr>
            </w:pPr>
            <w:r>
              <w:rPr>
                <w:rFonts w:ascii="Verdana" w:cs="Verdana" w:eastAsia="Verdana" w:hAnsi="Verdana"/>
                <w:sz w:val="10"/>
                <w:szCs w:val="10"/>
                <w:b w:val="1"/>
                <w:bCs w:val="1"/>
                <w:color w:val="auto"/>
              </w:rPr>
              <w:t>2021</w:t>
            </w: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0"/>
                <w:szCs w:val="10"/>
                <w:b w:val="1"/>
                <w:bCs w:val="1"/>
                <w:color w:val="auto"/>
              </w:rPr>
              <w:t>2022</w:t>
            </w:r>
          </w:p>
        </w:tc>
        <w:tc>
          <w:tcPr>
            <w:tcW w:w="8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55"/>
              <w:spacing w:after="0"/>
              <w:rPr>
                <w:sz w:val="20"/>
                <w:szCs w:val="20"/>
                <w:color w:val="auto"/>
              </w:rPr>
            </w:pPr>
            <w:r>
              <w:rPr>
                <w:rFonts w:ascii="Verdana" w:cs="Verdana" w:eastAsia="Verdana" w:hAnsi="Verdana"/>
                <w:sz w:val="10"/>
                <w:szCs w:val="10"/>
                <w:b w:val="1"/>
                <w:bCs w:val="1"/>
                <w:color w:val="auto"/>
              </w:rPr>
              <w:t>2024</w:t>
            </w:r>
          </w:p>
        </w:tc>
      </w:tr>
      <w:tr>
        <w:trPr>
          <w:trHeight w:val="208"/>
        </w:trPr>
        <w:tc>
          <w:tcPr>
            <w:tcW w:w="40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First Busey Corporation</w:t>
            </w: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100.00</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82.03</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107.26</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101.45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rPr>
              <w:t>$</w:t>
            </w: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106.61</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105.30</w:t>
            </w:r>
          </w:p>
        </w:tc>
      </w:tr>
      <w:tr>
        <w:trPr>
          <w:trHeight w:val="207"/>
        </w:trPr>
        <w:tc>
          <w:tcPr>
            <w:tcW w:w="4020" w:type="dxa"/>
            <w:vAlign w:val="bottom"/>
            <w:gridSpan w:val="2"/>
          </w:tcPr>
          <w:p>
            <w:pPr>
              <w:ind w:left="20"/>
              <w:spacing w:after="0"/>
              <w:rPr>
                <w:sz w:val="20"/>
                <w:szCs w:val="20"/>
                <w:color w:val="auto"/>
              </w:rPr>
            </w:pPr>
            <w:r>
              <w:rPr>
                <w:rFonts w:ascii="Verdana" w:cs="Verdana" w:eastAsia="Verdana" w:hAnsi="Verdana"/>
                <w:sz w:val="14"/>
                <w:szCs w:val="14"/>
                <w:color w:val="auto"/>
              </w:rPr>
              <w:t>S&amp;P U.S. BMI Banks – Midwest Region</w:t>
            </w:r>
          </w:p>
        </w:tc>
        <w:tc>
          <w:tcPr>
            <w:tcW w:w="26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Verdana" w:cs="Verdana" w:eastAsia="Verdana" w:hAnsi="Verdana"/>
                <w:sz w:val="14"/>
                <w:szCs w:val="14"/>
                <w:color w:val="auto"/>
              </w:rPr>
              <w:t>100.00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Verdana" w:cs="Verdana" w:eastAsia="Verdana" w:hAnsi="Verdana"/>
                <w:sz w:val="14"/>
                <w:szCs w:val="14"/>
                <w:color w:val="auto"/>
              </w:rPr>
              <w:t>85.98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8"/>
              <w:spacing w:after="0"/>
              <w:rPr>
                <w:sz w:val="20"/>
                <w:szCs w:val="20"/>
                <w:color w:val="auto"/>
              </w:rPr>
            </w:pPr>
            <w:r>
              <w:rPr>
                <w:rFonts w:ascii="Verdana" w:cs="Verdana" w:eastAsia="Verdana" w:hAnsi="Verdana"/>
                <w:sz w:val="14"/>
                <w:szCs w:val="14"/>
                <w:color w:val="auto"/>
              </w:rPr>
              <w:t>113.59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Verdana" w:cs="Verdana" w:eastAsia="Verdana" w:hAnsi="Verdana"/>
                <w:sz w:val="14"/>
                <w:szCs w:val="14"/>
                <w:color w:val="auto"/>
              </w:rPr>
              <w:t>98.03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Verdana" w:cs="Verdana" w:eastAsia="Verdana" w:hAnsi="Verdana"/>
                <w:sz w:val="14"/>
                <w:szCs w:val="14"/>
                <w:color w:val="auto"/>
              </w:rPr>
              <w:t>100.08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Verdana" w:cs="Verdana" w:eastAsia="Verdana" w:hAnsi="Verdana"/>
                <w:sz w:val="14"/>
                <w:szCs w:val="14"/>
                <w:color w:val="auto"/>
              </w:rPr>
              <w:t>122.10</w:t>
            </w:r>
          </w:p>
        </w:tc>
      </w:tr>
      <w:tr>
        <w:trPr>
          <w:trHeight w:val="218"/>
        </w:trPr>
        <w:tc>
          <w:tcPr>
            <w:tcW w:w="40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Nasdaq Composite</w:t>
            </w:r>
          </w:p>
        </w:tc>
        <w:tc>
          <w:tcPr>
            <w:tcW w:w="260" w:type="dxa"/>
            <w:vAlign w:val="bottom"/>
            <w:shd w:val="clear" w:color="auto" w:fill="E0E7ED"/>
          </w:tcPr>
          <w:p>
            <w:pPr>
              <w:spacing w:after="0"/>
              <w:rPr>
                <w:sz w:val="18"/>
                <w:szCs w:val="18"/>
                <w:color w:val="auto"/>
              </w:rPr>
            </w:pP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100.00</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144.92</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88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177.06</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119.45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8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172.77</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223.87</w:t>
            </w:r>
          </w:p>
        </w:tc>
      </w:tr>
    </w:tbl>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6. [RESERVED]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0"/>
        </w:trPr>
        <w:tc>
          <w:tcPr>
            <w:tcW w:w="1240" w:type="dxa"/>
            <w:vAlign w:val="bottom"/>
            <w:tcBorders>
              <w:bottom w:val="single" w:sz="8" w:color="0000FF"/>
            </w:tcBorders>
          </w:tcPr>
          <w:p>
            <w:pPr>
              <w:spacing w:after="0"/>
              <w:rPr>
                <w:sz w:val="20"/>
                <w:szCs w:val="20"/>
                <w:color w:val="auto"/>
              </w:rPr>
            </w:pPr>
            <w:r>
              <w:rPr>
                <w:rFonts w:ascii="Verdana" w:cs="Verdana" w:eastAsia="Verdana" w:hAnsi="Verdana"/>
                <w:sz w:val="14"/>
                <w:szCs w:val="14"/>
                <w:color w:val="0000FF"/>
                <w:w w:val="98"/>
              </w:rPr>
              <w:t>Table of Contents</w:t>
            </w:r>
          </w:p>
        </w:tc>
        <w:tc>
          <w:tcPr>
            <w:tcW w:w="9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797"/>
        </w:trPr>
        <w:tc>
          <w:tcPr>
            <w:tcW w:w="10860" w:type="dxa"/>
            <w:vAlign w:val="bottom"/>
            <w:gridSpan w:val="2"/>
          </w:tcPr>
          <w:p>
            <w:pPr>
              <w:ind w:left="640"/>
              <w:spacing w:after="0"/>
              <w:rPr>
                <w:sz w:val="20"/>
                <w:szCs w:val="20"/>
                <w:color w:val="auto"/>
              </w:rPr>
            </w:pPr>
            <w:r>
              <w:rPr>
                <w:rFonts w:ascii="Verdana" w:cs="Verdana" w:eastAsia="Verdana" w:hAnsi="Verdana"/>
                <w:sz w:val="14"/>
                <w:szCs w:val="14"/>
                <w:b w:val="1"/>
                <w:bCs w:val="1"/>
                <w:color w:val="auto"/>
              </w:rPr>
              <w:t>ITEM 7. MANAGEMENT’S DISCUSSION AND ANALYSIS OF FINANCIAL CONDITION AND RESULTS OF OPERATIONS (Unaudited)</w:t>
            </w:r>
          </w:p>
        </w:tc>
        <w:tc>
          <w:tcPr>
            <w:tcW w:w="400" w:type="dxa"/>
            <w:vAlign w:val="bottom"/>
          </w:tcPr>
          <w:p>
            <w:pPr>
              <w:spacing w:after="0"/>
              <w:rPr>
                <w:sz w:val="24"/>
                <w:szCs w:val="24"/>
                <w:color w:val="auto"/>
              </w:rPr>
            </w:pPr>
          </w:p>
        </w:tc>
      </w:tr>
      <w:tr>
        <w:trPr>
          <w:trHeight w:val="308"/>
        </w:trPr>
        <w:tc>
          <w:tcPr>
            <w:tcW w:w="10860" w:type="dxa"/>
            <w:vAlign w:val="bottom"/>
            <w:gridSpan w:val="2"/>
          </w:tcPr>
          <w:p>
            <w:pPr>
              <w:spacing w:after="0"/>
              <w:rPr>
                <w:sz w:val="20"/>
                <w:szCs w:val="20"/>
                <w:color w:val="auto"/>
              </w:rPr>
            </w:pPr>
            <w:r>
              <w:rPr>
                <w:rFonts w:ascii="Verdana" w:cs="Verdana" w:eastAsia="Verdana" w:hAnsi="Verdana"/>
                <w:sz w:val="14"/>
                <w:szCs w:val="14"/>
                <w:b w:val="1"/>
                <w:bCs w:val="1"/>
                <w:color w:val="auto"/>
              </w:rPr>
              <w:t>Contents of Item 7. Management’s Discussion and Analysis of Financial Condition and Results of Operations (Unaudited) (“MD&amp;A”)</w:t>
            </w:r>
          </w:p>
        </w:tc>
        <w:tc>
          <w:tcPr>
            <w:tcW w:w="400" w:type="dxa"/>
            <w:vAlign w:val="bottom"/>
          </w:tcPr>
          <w:p>
            <w:pPr>
              <w:spacing w:after="0"/>
              <w:rPr>
                <w:sz w:val="24"/>
                <w:szCs w:val="24"/>
                <w:color w:val="auto"/>
              </w:rPr>
            </w:pPr>
          </w:p>
        </w:tc>
      </w:tr>
      <w:tr>
        <w:trPr>
          <w:trHeight w:val="350"/>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SCOPE OF DISCUSSION</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23"/>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BUSEY’S CONSERVATIVE BANKING STRATEGY</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23"/>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Busey executed a two-part balance sheet repositioning strategy in 2024</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12"/>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CRITICAL ACCOUNTING ESTIMATES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52</w:t>
            </w:r>
          </w:p>
        </w:tc>
      </w:tr>
      <w:tr>
        <w:trPr>
          <w:trHeight w:val="223"/>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Fair Value of Assets Acquired and Liabilities Assumed in Business Combinations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Goodwill</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Income Taxes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53</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Allowance for Credit Losses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54</w:t>
            </w:r>
          </w:p>
        </w:tc>
      </w:tr>
      <w:tr>
        <w:trPr>
          <w:trHeight w:val="212"/>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RESULTS OF OPERATIONS — THREE YEARS ENDED DECEMBER 31, 2024</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55</w:t>
            </w:r>
          </w:p>
        </w:tc>
      </w:tr>
      <w:tr>
        <w:trPr>
          <w:trHeight w:val="223"/>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Net Income</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55</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Operating Performance Metrics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55</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Net Interest Income</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56</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Noninterest Income</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60</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Noninterest Expense</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62</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Efficiency Ratio</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63</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Income Taxes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64</w:t>
            </w:r>
          </w:p>
        </w:tc>
      </w:tr>
      <w:tr>
        <w:trPr>
          <w:trHeight w:val="212"/>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FINANCIAL CONDITION</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65</w:t>
            </w:r>
          </w:p>
        </w:tc>
      </w:tr>
      <w:tr>
        <w:trPr>
          <w:trHeight w:val="223"/>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Balance Sheet</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65</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Investment Securities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65</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Portfolio Loans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69</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Deposits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79</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Borrowings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80</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Liquidity</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83</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Off-Balance-Sheet Arrangements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84</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Contractual Obligations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84</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Cash Flows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85</w:t>
            </w:r>
          </w:p>
        </w:tc>
      </w:tr>
      <w:tr>
        <w:trPr>
          <w:trHeight w:val="212"/>
        </w:trPr>
        <w:tc>
          <w:tcPr>
            <w:tcW w:w="10860" w:type="dxa"/>
            <w:vAlign w:val="bottom"/>
            <w:gridSpan w:val="2"/>
          </w:tcPr>
          <w:p>
            <w:pPr>
              <w:ind w:left="280"/>
              <w:spacing w:after="0"/>
              <w:rPr>
                <w:sz w:val="20"/>
                <w:szCs w:val="20"/>
                <w:color w:val="auto"/>
              </w:rPr>
            </w:pPr>
            <w:r>
              <w:rPr>
                <w:rFonts w:ascii="Verdana" w:cs="Verdana" w:eastAsia="Verdana" w:hAnsi="Verdana"/>
                <w:sz w:val="14"/>
                <w:szCs w:val="14"/>
                <w:color w:val="auto"/>
              </w:rPr>
              <w:t>Capital Resources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86</w:t>
            </w:r>
          </w:p>
        </w:tc>
      </w:tr>
      <w:tr>
        <w:trPr>
          <w:trHeight w:val="212"/>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NEW ACCOUNTING PRONOUNCEMENTS</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86</w:t>
            </w:r>
          </w:p>
        </w:tc>
      </w:tr>
      <w:tr>
        <w:trPr>
          <w:trHeight w:val="223"/>
        </w:trPr>
        <w:tc>
          <w:tcPr>
            <w:tcW w:w="10860" w:type="dxa"/>
            <w:vAlign w:val="bottom"/>
            <w:gridSpan w:val="2"/>
          </w:tcPr>
          <w:p>
            <w:pPr>
              <w:ind w:left="20"/>
              <w:spacing w:after="0"/>
              <w:rPr>
                <w:sz w:val="20"/>
                <w:szCs w:val="20"/>
                <w:color w:val="auto"/>
              </w:rPr>
            </w:pPr>
            <w:r>
              <w:rPr>
                <w:rFonts w:ascii="Verdana" w:cs="Verdana" w:eastAsia="Verdana" w:hAnsi="Verdana"/>
                <w:sz w:val="14"/>
                <w:szCs w:val="14"/>
                <w:color w:val="auto"/>
              </w:rPr>
              <w:t>EFFECTS OF INFLATION</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1" w:name="page52"/>
    <w:bookmarkEnd w:id="5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SCOPE OF DISCUSSION</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 following is management’s discussion and analysis of the financial condition as of December 31, 2024, and 2023, and the results of operations for the years ended December 31, 2024, 2023, and 2022, of First Busey Corporation and its subsidiaries. It should be read in conjunction with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and the related </w:t>
      </w:r>
      <w:r>
        <w:rPr>
          <w:rFonts w:ascii="Verdana" w:cs="Verdana" w:eastAsia="Verdana" w:hAnsi="Verdana"/>
          <w:sz w:val="14"/>
          <w:szCs w:val="14"/>
          <w:u w:val="single" w:color="auto"/>
          <w:color w:val="0000FF"/>
        </w:rPr>
        <w:t>Notes to the Consolidated Financial Statements</w:t>
      </w:r>
      <w:r>
        <w:rPr>
          <w:rFonts w:ascii="Verdana" w:cs="Verdana" w:eastAsia="Verdana" w:hAnsi="Verdana"/>
          <w:sz w:val="14"/>
          <w:szCs w:val="14"/>
          <w:color w:val="auto"/>
        </w:rPr>
        <w:t xml:space="preserve"> included in this Annual Report.</w:t>
      </w:r>
    </w:p>
    <w:p>
      <w:pPr>
        <w:spacing w:after="0" w:line="118" w:lineRule="exact"/>
        <w:rPr>
          <w:sz w:val="20"/>
          <w:szCs w:val="20"/>
          <w:color w:val="auto"/>
        </w:rPr>
      </w:pPr>
    </w:p>
    <w:p>
      <w:pPr>
        <w:jc w:val="both"/>
        <w:spacing w:after="0" w:line="252" w:lineRule="auto"/>
        <w:rPr>
          <w:rFonts w:ascii="Verdana" w:cs="Verdana" w:eastAsia="Verdana" w:hAnsi="Verdana"/>
          <w:sz w:val="14"/>
          <w:szCs w:val="14"/>
          <w:color w:val="0000FF"/>
        </w:rPr>
      </w:pPr>
      <w:r>
        <w:rPr>
          <w:rFonts w:ascii="Verdana" w:cs="Verdana" w:eastAsia="Verdana" w:hAnsi="Verdana"/>
          <w:sz w:val="14"/>
          <w:szCs w:val="14"/>
          <w:color w:val="auto"/>
        </w:rPr>
        <w:t xml:space="preserve">Detailed discussion and analysis of Busey’s financial condition and results of operation for 2024 as compared to 2023 can be found below. Comparison of </w:t>
      </w:r>
      <w:hyperlink r:id="rId70">
        <w:r>
          <w:rPr>
            <w:rFonts w:ascii="Verdana" w:cs="Verdana" w:eastAsia="Verdana" w:hAnsi="Verdana"/>
            <w:sz w:val="14"/>
            <w:szCs w:val="14"/>
            <w:color w:val="auto"/>
          </w:rPr>
          <w:t xml:space="preserve">2023 to 2022 can be found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7. Management’s Discussion and Analysis of Financial Condition and Results of Operations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of </w:t>
        </w:r>
        <w:r>
          <w:rPr>
            <w:rFonts w:ascii="Verdana" w:cs="Verdana" w:eastAsia="Verdana" w:hAnsi="Verdana"/>
            <w:sz w:val="14"/>
            <w:szCs w:val="14"/>
            <w:u w:val="single" w:color="auto"/>
            <w:color w:val="0000FF"/>
          </w:rPr>
          <w:t>Busey's 2023 Annual</w:t>
        </w:r>
      </w:hyperlink>
      <w:r>
        <w:rPr>
          <w:rFonts w:ascii="Verdana" w:cs="Verdana" w:eastAsia="Verdana" w:hAnsi="Verdana"/>
          <w:sz w:val="14"/>
          <w:szCs w:val="14"/>
          <w:color w:val="auto"/>
        </w:rPr>
        <w:t xml:space="preserve"> </w:t>
      </w:r>
      <w:hyperlink r:id="rId70">
        <w:r>
          <w:rPr>
            <w:rFonts w:ascii="Verdana" w:cs="Verdana" w:eastAsia="Verdana" w:hAnsi="Verdana"/>
            <w:sz w:val="14"/>
            <w:szCs w:val="14"/>
            <w:u w:val="single" w:color="auto"/>
            <w:color w:val="0000FF"/>
          </w:rPr>
          <w:t>Report</w:t>
        </w:r>
        <w:r>
          <w:rPr>
            <w:rFonts w:ascii="Verdana" w:cs="Verdana" w:eastAsia="Verdana" w:hAnsi="Verdana"/>
            <w:sz w:val="14"/>
            <w:szCs w:val="14"/>
            <w:color w:val="000000"/>
          </w:rPr>
          <w:t>.</w:t>
        </w:r>
      </w:hyperlink>
    </w:p>
    <w:p>
      <w:pPr>
        <w:spacing w:after="0" w:line="301"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BUSEY’S CONSERVATIVE BANKING STRATEGY</w:t>
      </w:r>
    </w:p>
    <w:p>
      <w:pPr>
        <w:spacing w:after="0" w:line="138" w:lineRule="exact"/>
        <w:rPr>
          <w:sz w:val="20"/>
          <w:szCs w:val="20"/>
          <w:color w:val="auto"/>
        </w:rPr>
      </w:pPr>
    </w:p>
    <w:p>
      <w:pPr>
        <w:jc w:val="both"/>
        <w:spacing w:after="0" w:line="213" w:lineRule="auto"/>
        <w:rPr>
          <w:sz w:val="20"/>
          <w:szCs w:val="20"/>
          <w:color w:val="auto"/>
        </w:rPr>
      </w:pPr>
      <w:r>
        <w:rPr>
          <w:rFonts w:ascii="Verdana" w:cs="Verdana" w:eastAsia="Verdana" w:hAnsi="Verdana"/>
          <w:sz w:val="14"/>
          <w:szCs w:val="14"/>
          <w:color w:val="auto"/>
        </w:rPr>
        <w:t>Busey’s financial strength is built on a long-term conservative operating approach. The quality of Busey’s core deposit franchise is a critical value driver of the institution. Busey remains substantially core deposit</w:t>
      </w:r>
      <w:r>
        <w:rPr>
          <w:rFonts w:ascii="Verdana" w:cs="Verdana" w:eastAsia="Verdana" w:hAnsi="Verdana"/>
          <w:sz w:val="18"/>
          <w:szCs w:val="18"/>
          <w:color w:val="auto"/>
          <w:vertAlign w:val="superscript"/>
        </w:rPr>
        <w:t>1</w:t>
      </w:r>
      <w:r>
        <w:rPr>
          <w:rFonts w:ascii="Verdana" w:cs="Verdana" w:eastAsia="Verdana" w:hAnsi="Verdana"/>
          <w:sz w:val="14"/>
          <w:szCs w:val="14"/>
          <w:color w:val="auto"/>
        </w:rPr>
        <w:t xml:space="preserve"> funded, with robust liquidity and significant market share in the communities Busey serves. As of December 31, 2024, Busey’s loan to deposit ratio was 77.1% and core deposits</w:t>
      </w:r>
      <w:r>
        <w:rPr>
          <w:rFonts w:ascii="Verdana" w:cs="Verdana" w:eastAsia="Verdana" w:hAnsi="Verdana"/>
          <w:sz w:val="18"/>
          <w:szCs w:val="18"/>
          <w:color w:val="auto"/>
          <w:vertAlign w:val="superscript"/>
        </w:rPr>
        <w:t>1</w:t>
      </w:r>
      <w:r>
        <w:rPr>
          <w:rFonts w:ascii="Verdana" w:cs="Verdana" w:eastAsia="Verdana" w:hAnsi="Verdana"/>
          <w:sz w:val="14"/>
          <w:szCs w:val="14"/>
          <w:color w:val="auto"/>
        </w:rPr>
        <w:t xml:space="preserve"> represented 96.5% of total deposits. Furthermore, Busey has sufficient on-and off-balance sheet liquidity to manage deposit fluctuations and the liquidity needs of its customers.</w:t>
      </w:r>
    </w:p>
    <w:p>
      <w:pPr>
        <w:spacing w:after="0" w:line="127"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Busey’s credit performance reflects its highly diversified, conservatively underwritten loan portfolio, which has been originated predominantly to established customers with tenured relationships with Busey. Busey’s approach to lending and its underwriting standards are designed to emphasize relationship banking rather than transactional banking. In addition, as a matter of both policy and practice, Busey limits concentration exposures in any particular loan segment. As a result, asset quality remains strong by both Busey’s historical and current industry trends.</w:t>
      </w:r>
    </w:p>
    <w:p>
      <w:pPr>
        <w:spacing w:after="0" w:line="13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Busey’s conservative banking strategy is reflected in the strength of its capital base. Busey strives to consistently maintain capital ratios well in excess of thresholds required to be designated as well capitalized by applicable regulatory guidelines, thereby ensuring financial strength and flexibility across economic and operating cycles. At December 31, 2024, Busey’s leverage ratio of Tier 1 capital to average assets was 11.1%, its common equity Tier 1 capital to risk weighted assets ratio was 14.1%, and its total capital to risk weighted assets ratio was 18.5%.</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 executed a two-part balance sheet repositioning strategy in 2024</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During the first quarter of 2024, Busey sold the mortgage servicing rights on approximately $923.5 million of one- to four-family mortgage loans for a pre-tax gain of $7.7 million, which enabled Busey to sell available-for-sale investment securities with a book value of approximately $108.2 million for a pre-tax loss of $6.8 million with no resulting negative impact to tangible capital. At the time of the sale, the securities sold yielded a weighted average rate of 1.98% and had a weighted-average life of 2.3 years.</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CRITICAL ACCOUNTING ESTIMATES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has established various accounting policies that govern the application of GAAP in the preparation of its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Significant accounting policies are described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1. Significant Accounting Policies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in the </w:t>
      </w:r>
      <w:r>
        <w:rPr>
          <w:rFonts w:ascii="Verdana" w:cs="Verdana" w:eastAsia="Verdana" w:hAnsi="Verdana"/>
          <w:sz w:val="14"/>
          <w:szCs w:val="14"/>
          <w:u w:val="single" w:color="auto"/>
          <w:color w:val="0000FF"/>
        </w:rPr>
        <w:t>Notes to the Consolidated Financial Statements</w:t>
      </w:r>
      <w:r>
        <w:rPr>
          <w:rFonts w:ascii="Verdana" w:cs="Verdana" w:eastAsia="Verdana" w:hAnsi="Verdana"/>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134747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84" w:lineRule="exact"/>
        <w:rPr>
          <w:sz w:val="20"/>
          <w:szCs w:val="20"/>
          <w:color w:val="auto"/>
        </w:rPr>
      </w:pPr>
    </w:p>
    <w:p>
      <w:pPr>
        <w:ind w:left="100" w:hanging="95"/>
        <w:spacing w:after="0"/>
        <w:tabs>
          <w:tab w:leader="none" w:pos="100" w:val="left"/>
        </w:tabs>
        <w:numPr>
          <w:ilvl w:val="0"/>
          <w:numId w:val="17"/>
        </w:numPr>
        <w:rPr>
          <w:rFonts w:ascii="Verdana" w:cs="Verdana" w:eastAsia="Verdana" w:hAnsi="Verdana"/>
          <w:sz w:val="18"/>
          <w:szCs w:val="18"/>
          <w:color w:val="auto"/>
          <w:vertAlign w:val="superscript"/>
        </w:rPr>
      </w:pPr>
      <w:r>
        <w:rPr>
          <w:rFonts w:ascii="Verdana" w:cs="Verdana" w:eastAsia="Verdana" w:hAnsi="Verdana"/>
          <w:sz w:val="10"/>
          <w:szCs w:val="10"/>
          <w:color w:val="auto"/>
        </w:rPr>
        <w:t>Core deposits is a non-GAAP financial measure. For a reconciliation of non-GAAP financial measures to the most directly comparable GAAP financial measures, see “</w:t>
      </w:r>
      <w:r>
        <w:rPr>
          <w:rFonts w:ascii="Verdana" w:cs="Verdana" w:eastAsia="Verdana" w:hAnsi="Verdana"/>
          <w:sz w:val="10"/>
          <w:szCs w:val="10"/>
          <w:i w:val="1"/>
          <w:iCs w:val="1"/>
          <w:u w:val="single" w:color="auto"/>
          <w:color w:val="0000FF"/>
        </w:rPr>
        <w:t>Item 1. Business—Non-GAAP Financial Information.</w:t>
      </w:r>
      <w:r>
        <w:rPr>
          <w:rFonts w:ascii="Verdana" w:cs="Verdana" w:eastAsia="Verdana" w:hAnsi="Verdana"/>
          <w:sz w:val="10"/>
          <w:szCs w:val="10"/>
          <w:color w:val="auto"/>
        </w:rPr>
        <w:t>”</w:t>
      </w:r>
    </w:p>
    <w:p>
      <w:pPr>
        <w:spacing w:after="0" w:line="31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2" w:name="page53"/>
    <w:bookmarkEnd w:id="5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Critical accounting estimates are those that are critical to the portrayal and understanding of Busey’s financial condition and results of operations and require management to make assumptions that are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Busey’s critical accounting estimates. Management has reviewed these critical accounting estimates and related disclosures with Busey’s Audit Committee. The following estimates could be deemed critical:</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Fair Value of Assets Acquired and Liabilities Assumed in Business Combinations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Verdana" w:cs="Verdana" w:eastAsia="Verdana" w:hAnsi="Verdana"/>
          <w:sz w:val="14"/>
          <w:szCs w:val="14"/>
          <w:i w:val="1"/>
          <w:iCs w:val="1"/>
          <w:color w:val="auto"/>
        </w:rPr>
        <w:t>“Fair Value Measurement”</w:t>
      </w:r>
      <w:r>
        <w:rPr>
          <w:rFonts w:ascii="Verdana" w:cs="Verdana" w:eastAsia="Verdana" w:hAnsi="Verdana"/>
          <w:sz w:val="14"/>
          <w:szCs w:val="14"/>
          <w:color w:val="auto"/>
        </w:rPr>
        <w:t xml:space="preserve"> as “the price that would be received to sell an asset or paid to transfer a liability in an orderly transaction between market participants at the measurement date.” The determination of fair values is based on valuations using management’s assumptions of future growth rates, future attrition, discount rates, multiples of earnings or other relevant factors. In addition, Busey engages third party specialists to assist in the development of fair values.</w:t>
      </w:r>
    </w:p>
    <w:p>
      <w:pPr>
        <w:spacing w:after="0" w:line="133"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Verdana" w:cs="Verdana" w:eastAsia="Verdana" w:hAnsi="Verdana"/>
          <w:sz w:val="14"/>
          <w:szCs w:val="14"/>
          <w:i w:val="1"/>
          <w:iCs w:val="1"/>
          <w:color w:val="auto"/>
        </w:rPr>
        <w:t>“Financial Instruments-Credit Losses.”</w:t>
      </w:r>
      <w:r>
        <w:rPr>
          <w:rFonts w:ascii="Verdana" w:cs="Verdana" w:eastAsia="Verdana" w:hAnsi="Verdana"/>
          <w:sz w:val="14"/>
          <w:szCs w:val="14"/>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Goodwill</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Goodwill represents the excess of purchase price over the fair value of net assets acquired using the acquisition method of accounting. Goodwill is not amortized; instead, Busey assesses the potential for impairment on an annual basis or more frequently if events and circumstances indicate that goodwill might be impaired. Management applies significant judgement when testing goodwill for impairment, such as the valuation approach chosen, market multiples for competitors used in the calculation, and forecasts of business outlook.</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Income Taxes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is subject to the income tax laws of U.S., as well as the tax laws of the individual states and municipalities in which the Company conducts its operations. These laws are often complex and subject to nuanced interpretations.</w:t>
      </w:r>
    </w:p>
    <w:p>
      <w:pPr>
        <w:spacing w:after="0" w:line="110"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Income taxes are estimated for the tax effects of the transactions reported on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and consist of an expense for taxes currently due plus assets and/or liabilities for deferred taxes. Deferred taxes represent the future tax consequences of differences between the tax basis and accounting basis of certain assets and liabilities, which will either be taxable or deductible when the assets and liabilities are recovered or settled. Deferred tax assets and liabilities are estimates that are reflected at income tax rates applicable to the period in which the deferred tax assets or liabilities are expected to be realized or settled. Deferred taxes are reported in other assets or other liabilities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Estimated income tax expense is reported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3" w:name="page54"/>
    <w:bookmarkEnd w:id="5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In establishing its provision for income taxes and its estimates of deferred tax assets and liabilities, Busey must make judgments and interpretations about the application of inherently complex tax laws. Busey must also make estimates about when in the future certain items will affect taxable income. Disputes over interpretations of the tax laws may be subject to review and adjudication by the court systems of the various tax jurisdictions or may be settled with the taxing authority upon examination or audit. Although Busey’s management believes that its judgments are sound and its tax estimates are reasonable, interpretations of tax law applied by the taxing jurisdictions could differ. As such, Busey may be exposed to losses or gains, which could be material. An unfavorable tax settlement would result in an increase in Busey’s effective income tax rate in the period of resolution. A favorable tax settlement would result in a reduction in Busey’s effective income tax rate in the period of resolution.</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Allowance for Credit Losses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calculates the ACL at each reporting date. Busey recognizes an allowance for the lifetime expected credit losses for the amount it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Busey may conclude that a loan should be evaluated on an individual basis based on disparate risk characteristics.</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Loans deemed uncollectible are charged against and reduce the ACL. A provision for credit losses is charged to current expense and acts to replenish the ACL in order to maintain the ACL at a level that management deems adequate.</w:t>
      </w:r>
    </w:p>
    <w:p>
      <w:pPr>
        <w:spacing w:after="0" w:line="110"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Determining the ACL involves significant judgments and assumptions. Macroeconomic forecasts provided by a third party and the economic indices sourced are significant judgments used in determining the allowance. Changes in these economic forecasts could significantly affect the ACL and lead to materially different amounts from one period to the next. Additionally, prepayment assumptions impact model output. Further, Busey completes a quarterly evaluation of several qualitative factors to determine if there should be adjustments made to the ACL. These factors include economic conditions, collateral, concentrations, delinquency trends, portfolio composition, underwriting, and certain other risks.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4" w:name="page55"/>
    <w:bookmarkEnd w:id="5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RESULTS OF OPERATIONS — THREE YEARS ENDED DECEMBER 31, 2024</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Net Income</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Results of Busey’s operations are presented below, segregated by operating segment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3"/>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income</w:t>
            </w: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Banking</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3"/>
              <w:spacing w:after="0"/>
              <w:rPr>
                <w:sz w:val="20"/>
                <w:szCs w:val="20"/>
                <w:color w:val="auto"/>
              </w:rPr>
            </w:pPr>
            <w:r>
              <w:rPr>
                <w:rFonts w:ascii="Verdana" w:cs="Verdana" w:eastAsia="Verdana" w:hAnsi="Verdana"/>
                <w:sz w:val="14"/>
                <w:szCs w:val="14"/>
                <w:color w:val="auto"/>
              </w:rPr>
              <w:t>117,266</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123,853</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131,596</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Wealth Management</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22,030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18,804</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18,543</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FirsTech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(670)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847</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Other</w:t>
            </w:r>
          </w:p>
        </w:tc>
        <w:tc>
          <w:tcPr>
            <w:tcW w:w="3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(24,935)</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(20,922)</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(22,675)</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Net income</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4"/>
                <w:szCs w:val="14"/>
                <w:color w:val="auto"/>
              </w:rPr>
              <w:t>113,691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122,565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128,311</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Operating Performance Metrics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Operating performance metrics presented in the table below have been derived from information used by management to monitor and manage Busey’s financial performance </w:t>
      </w:r>
      <w:r>
        <w:rPr>
          <w:rFonts w:ascii="Verdana" w:cs="Verdana" w:eastAsia="Verdana" w:hAnsi="Verdana"/>
          <w:sz w:val="14"/>
          <w:szCs w:val="14"/>
          <w:i w:val="1"/>
          <w:iCs w:val="1"/>
          <w:color w:val="auto"/>
        </w:rPr>
        <w:t>(dollars in thousands, except per share amounts)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31"/>
        </w:trPr>
        <w:tc>
          <w:tcPr>
            <w:tcW w:w="602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Net income</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113,691</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jc w:val="right"/>
              <w:ind w:right="235"/>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122,565</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128,311</w:t>
            </w: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Adjusted net income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119,805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126,012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131,910</w:t>
            </w:r>
          </w:p>
        </w:tc>
      </w:tr>
      <w:tr>
        <w:trPr>
          <w:trHeight w:val="218"/>
        </w:trPr>
        <w:tc>
          <w:tcPr>
            <w:tcW w:w="602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Diluted earnings per common share</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1.98</w:t>
            </w:r>
          </w:p>
        </w:tc>
        <w:tc>
          <w:tcPr>
            <w:tcW w:w="8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2.18</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2.29</w:t>
            </w:r>
          </w:p>
        </w:tc>
      </w:tr>
      <w:tr>
        <w:trPr>
          <w:trHeight w:val="218"/>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diluted earnings per common share (Non-GAAP)</w:t>
            </w:r>
            <w:r>
              <w:rPr>
                <w:rFonts w:ascii="Verdana" w:cs="Verdana" w:eastAsia="Verdana" w:hAnsi="Verdana"/>
                <w:sz w:val="9"/>
                <w:szCs w:val="9"/>
                <w:color w:val="auto"/>
              </w:rPr>
              <w:t>1</w:t>
            </w: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2.08</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2.24</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2.35</w:t>
            </w:r>
          </w:p>
        </w:tc>
      </w:tr>
      <w:tr>
        <w:trPr>
          <w:trHeight w:val="212"/>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Return on average assets</w:t>
            </w: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0.94 %</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1.03 %</w:t>
            </w: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Adjusted return on average assets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0.99 %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1.03 %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1.06 %</w:t>
            </w:r>
          </w:p>
        </w:tc>
      </w:tr>
      <w:tr>
        <w:trPr>
          <w:trHeight w:val="218"/>
        </w:trPr>
        <w:tc>
          <w:tcPr>
            <w:tcW w:w="602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Return on average tangible common equity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11.65 %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14.62 %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15.56 %</w:t>
            </w:r>
          </w:p>
        </w:tc>
      </w:tr>
      <w:tr>
        <w:trPr>
          <w:trHeight w:val="218"/>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return on average tangible common equity (Non-GAAP)</w:t>
            </w:r>
            <w:r>
              <w:rPr>
                <w:rFonts w:ascii="Verdana" w:cs="Verdana" w:eastAsia="Verdana" w:hAnsi="Verdana"/>
                <w:sz w:val="9"/>
                <w:szCs w:val="9"/>
                <w:color w:val="auto"/>
              </w:rPr>
              <w:t>1</w:t>
            </w: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12.28 %</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15.03 %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15.99 %</w:t>
            </w:r>
          </w:p>
        </w:tc>
      </w:tr>
      <w:tr>
        <w:trPr>
          <w:trHeight w:val="212"/>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Pre-provision net revenue (Non-GAAP)</w:t>
            </w:r>
            <w:r>
              <w:rPr>
                <w:rFonts w:ascii="Verdana" w:cs="Verdana" w:eastAsia="Verdana" w:hAnsi="Verdana"/>
                <w:sz w:val="9"/>
                <w:szCs w:val="9"/>
                <w:color w:val="auto"/>
              </w:rPr>
              <w:t>1</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167,996</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jc w:val="right"/>
              <w:ind w:right="235"/>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158,502</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168,493</w:t>
            </w: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Adjusted pre-provision net revenue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167,317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51"/>
              <w:spacing w:after="0"/>
              <w:rPr>
                <w:sz w:val="20"/>
                <w:szCs w:val="20"/>
                <w:color w:val="auto"/>
              </w:rPr>
            </w:pPr>
            <w:r>
              <w:rPr>
                <w:rFonts w:ascii="Verdana" w:cs="Verdana" w:eastAsia="Verdana" w:hAnsi="Verdana"/>
                <w:sz w:val="14"/>
                <w:szCs w:val="14"/>
                <w:color w:val="auto"/>
              </w:rPr>
              <w:t>172,290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179,424</w:t>
            </w:r>
          </w:p>
        </w:tc>
      </w:tr>
      <w:tr>
        <w:trPr>
          <w:trHeight w:val="218"/>
        </w:trPr>
        <w:tc>
          <w:tcPr>
            <w:tcW w:w="602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Pre-provision net revenue to average total assets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1.39 %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1.29 %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1.35 %</w:t>
            </w:r>
          </w:p>
        </w:tc>
      </w:tr>
      <w:tr>
        <w:trPr>
          <w:trHeight w:val="218"/>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pre-provision net revenue to average total assets (Non-GAAP)</w:t>
            </w:r>
            <w:r>
              <w:rPr>
                <w:rFonts w:ascii="Verdana" w:cs="Verdana" w:eastAsia="Verdana" w:hAnsi="Verdana"/>
                <w:sz w:val="9"/>
                <w:szCs w:val="9"/>
                <w:color w:val="auto"/>
              </w:rPr>
              <w:t>1</w:t>
            </w: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1.39 %</w:t>
            </w:r>
          </w:p>
        </w:tc>
        <w:tc>
          <w:tcPr>
            <w:tcW w:w="8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1.41 %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1.44 %</w:t>
            </w: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18"/>
        </w:numPr>
        <w:rPr>
          <w:rFonts w:ascii="Verdana" w:cs="Verdana" w:eastAsia="Verdana" w:hAnsi="Verdana"/>
          <w:sz w:val="10"/>
          <w:szCs w:val="10"/>
          <w:color w:val="auto"/>
        </w:rPr>
      </w:pPr>
      <w:r>
        <w:rPr>
          <w:rFonts w:ascii="Verdana" w:cs="Verdana" w:eastAsia="Verdana" w:hAnsi="Verdana"/>
          <w:sz w:val="10"/>
          <w:szCs w:val="10"/>
          <w:color w:val="auto"/>
        </w:rPr>
        <w:t xml:space="preserve">See </w:t>
      </w:r>
      <w:r>
        <w:rPr>
          <w:rFonts w:ascii="Verdana" w:cs="Verdana" w:eastAsia="Verdana" w:hAnsi="Verdana"/>
          <w:sz w:val="10"/>
          <w:szCs w:val="10"/>
          <w:i w:val="1"/>
          <w:iCs w:val="1"/>
          <w:color w:val="auto"/>
        </w:rPr>
        <w:t>“</w:t>
      </w:r>
      <w:r>
        <w:rPr>
          <w:rFonts w:ascii="Verdana" w:cs="Verdana" w:eastAsia="Verdana" w:hAnsi="Verdana"/>
          <w:sz w:val="10"/>
          <w:szCs w:val="10"/>
          <w:i w:val="1"/>
          <w:iCs w:val="1"/>
          <w:u w:val="single" w:color="auto"/>
          <w:color w:val="0000FF"/>
        </w:rPr>
        <w:t>Item 1. Business—Non-GAAP Financial Information</w:t>
      </w:r>
      <w:r>
        <w:rPr>
          <w:rFonts w:ascii="Verdana" w:cs="Verdana" w:eastAsia="Verdana" w:hAnsi="Verdana"/>
          <w:sz w:val="10"/>
          <w:szCs w:val="10"/>
          <w:i w:val="1"/>
          <w:iCs w:val="1"/>
          <w:color w:val="auto"/>
        </w:rPr>
        <w:t>.”</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5" w:name="page56"/>
    <w:bookmarkEnd w:id="5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Non-Operating Expenses and Non-GAAP Measures</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Busey views certain non-operating items, such as acquisition-related expenses and restructuring charges, as adjustments to net income reported under</w:t>
      </w:r>
    </w:p>
    <w:p>
      <w:pPr>
        <w:spacing w:after="0"/>
        <w:rPr>
          <w:sz w:val="20"/>
          <w:szCs w:val="20"/>
          <w:color w:val="auto"/>
        </w:rPr>
      </w:pPr>
      <w:r>
        <w:rPr>
          <w:rFonts w:ascii="Verdana" w:cs="Verdana" w:eastAsia="Verdana" w:hAnsi="Verdana"/>
          <w:sz w:val="14"/>
          <w:szCs w:val="14"/>
          <w:color w:val="auto"/>
        </w:rPr>
        <w:t xml:space="preserve">GAAP. Non-operating pretax adjustments were as follows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Non-operating expenses</w:t>
            </w:r>
          </w:p>
        </w:tc>
        <w:tc>
          <w:tcPr>
            <w:tcW w:w="102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1020" w:type="dxa"/>
            <w:vAlign w:val="bottom"/>
          </w:tcPr>
          <w:p>
            <w:pPr>
              <w:jc w:val="right"/>
              <w:ind w:right="854"/>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ind w:right="9"/>
              <w:spacing w:after="0"/>
              <w:rPr>
                <w:sz w:val="20"/>
                <w:szCs w:val="20"/>
                <w:color w:val="auto"/>
              </w:rPr>
            </w:pPr>
            <w:r>
              <w:rPr>
                <w:rFonts w:ascii="Verdana" w:cs="Verdana" w:eastAsia="Verdana" w:hAnsi="Verdana"/>
                <w:sz w:val="14"/>
                <w:szCs w:val="14"/>
                <w:color w:val="auto"/>
              </w:rPr>
              <w:t>1,580</w:t>
            </w:r>
          </w:p>
        </w:tc>
        <w:tc>
          <w:tcPr>
            <w:tcW w:w="80" w:type="dxa"/>
            <w:vAlign w:val="bottom"/>
          </w:tcPr>
          <w:p>
            <w:pPr>
              <w:spacing w:after="0"/>
              <w:rPr>
                <w:sz w:val="17"/>
                <w:szCs w:val="17"/>
                <w:color w:val="auto"/>
              </w:rPr>
            </w:pPr>
          </w:p>
        </w:tc>
        <w:tc>
          <w:tcPr>
            <w:tcW w:w="380" w:type="dxa"/>
            <w:vAlign w:val="bottom"/>
          </w:tcPr>
          <w:p>
            <w:pPr>
              <w:jc w:val="right"/>
              <w:ind w:right="214"/>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3,760</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2,996</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Data processing</w:t>
            </w:r>
          </w:p>
        </w:tc>
        <w:tc>
          <w:tcPr>
            <w:tcW w:w="102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548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214</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Net occupancy expense of premises and furniture and equipment expenses</w:t>
            </w:r>
          </w:p>
        </w:tc>
        <w:tc>
          <w:tcPr>
            <w:tcW w:w="102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Verdana" w:cs="Verdana" w:eastAsia="Verdana" w:hAnsi="Verdana"/>
                <w:sz w:val="14"/>
                <w:szCs w:val="14"/>
                <w:color w:val="auto"/>
              </w:rPr>
              <w:t>134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Professional fees</w:t>
            </w:r>
          </w:p>
        </w:tc>
        <w:tc>
          <w:tcPr>
            <w:tcW w:w="102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4,891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435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312</w:t>
            </w: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Other noninterest expense</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987</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133</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1,015</w:t>
            </w: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non-operating expenses</w:t>
            </w:r>
          </w:p>
        </w:tc>
        <w:tc>
          <w:tcPr>
            <w:tcW w:w="1020" w:type="dxa"/>
            <w:vAlign w:val="bottom"/>
            <w:tcBorders>
              <w:bottom w:val="single" w:sz="8" w:color="auto"/>
            </w:tcBorders>
            <w:shd w:val="clear" w:color="auto" w:fill="E0E7ED"/>
          </w:tcPr>
          <w:p>
            <w:pPr>
              <w:jc w:val="right"/>
              <w:ind w:right="854"/>
              <w:spacing w:after="0"/>
              <w:rPr>
                <w:sz w:val="20"/>
                <w:szCs w:val="20"/>
                <w:color w:val="auto"/>
              </w:rPr>
            </w:pPr>
            <w:r>
              <w:rPr>
                <w:rFonts w:ascii="Verdana" w:cs="Verdana" w:eastAsia="Verdana" w:hAnsi="Verdana"/>
                <w:sz w:val="14"/>
                <w:szCs w:val="14"/>
                <w:color w:val="auto"/>
                <w:w w:val="88"/>
              </w:rPr>
              <w:t>$</w:t>
            </w:r>
          </w:p>
        </w:tc>
        <w:tc>
          <w:tcPr>
            <w:tcW w:w="58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8,140</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14"/>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4,328</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4,537</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Non-operating expenses by business objective</w:t>
            </w:r>
          </w:p>
        </w:tc>
        <w:tc>
          <w:tcPr>
            <w:tcW w:w="102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Acquisition expenses</w:t>
            </w:r>
            <w:r>
              <w:rPr>
                <w:rFonts w:ascii="Verdana" w:cs="Verdana" w:eastAsia="Verdana" w:hAnsi="Verdana"/>
                <w:sz w:val="9"/>
                <w:szCs w:val="9"/>
                <w:color w:val="auto"/>
              </w:rPr>
              <w:t>1</w:t>
            </w:r>
          </w:p>
        </w:tc>
        <w:tc>
          <w:tcPr>
            <w:tcW w:w="1020" w:type="dxa"/>
            <w:vAlign w:val="bottom"/>
          </w:tcPr>
          <w:p>
            <w:pPr>
              <w:jc w:val="right"/>
              <w:ind w:right="854"/>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ind w:right="9"/>
              <w:spacing w:after="0"/>
              <w:rPr>
                <w:sz w:val="20"/>
                <w:szCs w:val="20"/>
                <w:color w:val="auto"/>
              </w:rPr>
            </w:pPr>
            <w:r>
              <w:rPr>
                <w:rFonts w:ascii="Verdana" w:cs="Verdana" w:eastAsia="Verdana" w:hAnsi="Verdana"/>
                <w:sz w:val="14"/>
                <w:szCs w:val="14"/>
                <w:color w:val="auto"/>
              </w:rPr>
              <w:t>6,901</w:t>
            </w:r>
          </w:p>
        </w:tc>
        <w:tc>
          <w:tcPr>
            <w:tcW w:w="80" w:type="dxa"/>
            <w:vAlign w:val="bottom"/>
          </w:tcPr>
          <w:p>
            <w:pPr>
              <w:spacing w:after="0"/>
              <w:rPr>
                <w:sz w:val="17"/>
                <w:szCs w:val="17"/>
                <w:color w:val="auto"/>
              </w:rPr>
            </w:pPr>
          </w:p>
        </w:tc>
        <w:tc>
          <w:tcPr>
            <w:tcW w:w="380" w:type="dxa"/>
            <w:vAlign w:val="bottom"/>
          </w:tcPr>
          <w:p>
            <w:pPr>
              <w:jc w:val="right"/>
              <w:ind w:right="214"/>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357</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1,059</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Restructuring expenses</w:t>
            </w:r>
            <w:r>
              <w:rPr>
                <w:rFonts w:ascii="Verdana" w:cs="Verdana" w:eastAsia="Verdana" w:hAnsi="Verdana"/>
                <w:sz w:val="9"/>
                <w:szCs w:val="9"/>
                <w:color w:val="auto"/>
              </w:rPr>
              <w:t>2</w:t>
            </w:r>
          </w:p>
        </w:tc>
        <w:tc>
          <w:tcPr>
            <w:tcW w:w="1020" w:type="dxa"/>
            <w:vAlign w:val="bottom"/>
            <w:tcBorders>
              <w:bottom w:val="single" w:sz="8" w:color="auto"/>
            </w:tcBorders>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1,239</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3,971</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3,478</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Acquisition and restructuring expenses</w:t>
            </w:r>
          </w:p>
        </w:tc>
        <w:tc>
          <w:tcPr>
            <w:tcW w:w="1020" w:type="dxa"/>
            <w:vAlign w:val="bottom"/>
            <w:tcBorders>
              <w:bottom w:val="single" w:sz="8" w:color="auto"/>
            </w:tcBorders>
          </w:tcPr>
          <w:p>
            <w:pPr>
              <w:jc w:val="right"/>
              <w:ind w:right="854"/>
              <w:spacing w:after="0"/>
              <w:rPr>
                <w:sz w:val="20"/>
                <w:szCs w:val="20"/>
                <w:color w:val="auto"/>
              </w:rPr>
            </w:pPr>
            <w:r>
              <w:rPr>
                <w:rFonts w:ascii="Verdana" w:cs="Verdana" w:eastAsia="Verdana" w:hAnsi="Verdana"/>
                <w:sz w:val="14"/>
                <w:szCs w:val="14"/>
                <w:color w:val="auto"/>
                <w:w w:val="88"/>
              </w:rPr>
              <w:t>$</w:t>
            </w:r>
          </w:p>
        </w:tc>
        <w:tc>
          <w:tcPr>
            <w:tcW w:w="5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8,140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4"/>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4,328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4,537</w:t>
            </w:r>
          </w:p>
        </w:tc>
      </w:tr>
      <w:tr>
        <w:trPr>
          <w:trHeight w:val="20"/>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jc w:val="both"/>
        <w:ind w:left="380" w:hanging="248"/>
        <w:spacing w:after="0" w:line="237" w:lineRule="auto"/>
        <w:tabs>
          <w:tab w:leader="none" w:pos="373" w:val="left"/>
        </w:tabs>
        <w:numPr>
          <w:ilvl w:val="0"/>
          <w:numId w:val="19"/>
        </w:numPr>
        <w:rPr>
          <w:rFonts w:ascii="Verdana" w:cs="Verdana" w:eastAsia="Verdana" w:hAnsi="Verdana"/>
          <w:sz w:val="10"/>
          <w:szCs w:val="10"/>
          <w:color w:val="auto"/>
        </w:rPr>
      </w:pPr>
      <w:r>
        <w:rPr>
          <w:rFonts w:ascii="Verdana" w:cs="Verdana" w:eastAsia="Verdana" w:hAnsi="Verdana"/>
          <w:sz w:val="10"/>
          <w:szCs w:val="10"/>
          <w:color w:val="auto"/>
        </w:rPr>
        <w:t>Acquisition expenses in 2024 were related to the acquisition of M&amp;M, which was completed on April 1, 2024, as well as the planned merger with CrossFirst. For 2023, acquisition expenses were related to the then planned acquisition of M&amp;M, as well as to exploratory costs. For 2022, acquisition expenses related to the integration of Cummins-American Corp. and its wholly-owned subsidiary, Glenview State Bank, following completion of this acquisition in 2021, as well as to exploratory costs.</w:t>
      </w:r>
    </w:p>
    <w:p>
      <w:pPr>
        <w:ind w:left="380" w:hanging="248"/>
        <w:spacing w:after="0"/>
        <w:tabs>
          <w:tab w:leader="none" w:pos="380" w:val="left"/>
        </w:tabs>
        <w:numPr>
          <w:ilvl w:val="0"/>
          <w:numId w:val="19"/>
        </w:numPr>
        <w:rPr>
          <w:rFonts w:ascii="Verdana" w:cs="Verdana" w:eastAsia="Verdana" w:hAnsi="Verdana"/>
          <w:sz w:val="10"/>
          <w:szCs w:val="10"/>
          <w:color w:val="auto"/>
        </w:rPr>
      </w:pPr>
      <w:r>
        <w:rPr>
          <w:rFonts w:ascii="Verdana" w:cs="Verdana" w:eastAsia="Verdana" w:hAnsi="Verdana"/>
          <w:sz w:val="10"/>
          <w:szCs w:val="10"/>
          <w:color w:val="auto"/>
        </w:rPr>
        <w:t>Restructuring expenses were related to previously disclosed restructuring and efficiency plans and to corporate strategy advisement.</w:t>
      </w:r>
    </w:p>
    <w:p>
      <w:pPr>
        <w:spacing w:after="0" w:line="133"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 reconciliation of non-GAAP measures, which Busey believes facilitates the assessment of its financial results and peer comparability, is included in tabular form in this Annual Report.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1. Business—Non-GAAP Financial Information</w:t>
      </w:r>
      <w:r>
        <w:rPr>
          <w:rFonts w:ascii="Verdana" w:cs="Verdana" w:eastAsia="Verdana" w:hAnsi="Verdana"/>
          <w:sz w:val="14"/>
          <w:szCs w:val="14"/>
          <w:i w:val="1"/>
          <w:iCs w:val="1"/>
          <w:color w:val="0000EE"/>
        </w:rPr>
        <w:t>.</w:t>
      </w:r>
      <w:r>
        <w:rPr>
          <w:rFonts w:ascii="Verdana" w:cs="Verdana" w:eastAsia="Verdana" w:hAnsi="Verdana"/>
          <w:sz w:val="14"/>
          <w:szCs w:val="14"/>
          <w:i w:val="1"/>
          <w:iCs w:val="1"/>
          <w:color w:val="auto"/>
        </w:rPr>
        <w:t>”</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Net Interest Income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Certain assets with tax-favorable treatment are evaluated on a tax-equivalent basis, assuming a federal income tax rate of 21.0%. Tax-favorable assets generally have lower contractual pre-tax yields than fully taxable assets. A tax-equivalent analysis is performed by adding the tax savings to the earnings on tax-favorable assets. After factoring in the tax-favorable effects of these assets, the yields may be more appropriately evaluated against alternative earning assets. In addition to yield, various other risks are factored into the evaluation process.</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Consolidated Average Balance Sheets and Interest Rates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 table below presents Busey’s Consolidated Average Balance Sheets, detailing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Verdana" w:cs="Verdana" w:eastAsia="Verdana" w:hAnsi="Verdana"/>
                <w:sz w:val="14"/>
                <w:szCs w:val="14"/>
                <w:color w:val="0000FF"/>
              </w:rPr>
              <w:t>Table of Contents</w:t>
            </w:r>
          </w:p>
        </w:tc>
        <w:tc>
          <w:tcPr>
            <w:tcW w:w="2420" w:type="dxa"/>
            <w:vAlign w:val="bottom"/>
            <w:gridSpan w:val="5"/>
          </w:tcPr>
          <w:p>
            <w:pPr>
              <w:spacing w:after="0"/>
              <w:rPr>
                <w:sz w:val="20"/>
                <w:szCs w:val="20"/>
                <w:color w:val="auto"/>
              </w:rPr>
            </w:pPr>
            <w:r>
              <w:rPr>
                <w:rFonts w:ascii="Verdana" w:cs="Verdana" w:eastAsia="Verdana" w:hAnsi="Verdana"/>
                <w:sz w:val="14"/>
                <w:szCs w:val="14"/>
                <w:color w:val="0000FF"/>
              </w:rPr>
              <w:t>Contents of Item 7. MD&amp;A</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9"/>
        </w:trPr>
        <w:tc>
          <w:tcPr>
            <w:tcW w:w="12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480"/>
              <w:spacing w:after="0"/>
              <w:rPr>
                <w:sz w:val="20"/>
                <w:szCs w:val="20"/>
                <w:color w:val="auto"/>
              </w:rPr>
            </w:pPr>
            <w:r>
              <w:rPr>
                <w:rFonts w:ascii="Verdana" w:cs="Verdana" w:eastAsia="Verdana" w:hAnsi="Verdana"/>
                <w:sz w:val="10"/>
                <w:szCs w:val="10"/>
                <w:b w:val="1"/>
                <w:bCs w:val="1"/>
                <w:color w:val="auto"/>
              </w:rPr>
              <w:t>Years Ended December 31,</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w w:val="98"/>
              </w:rPr>
              <w:t>2024</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w w:val="98"/>
              </w:rPr>
              <w:t>2023</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2022</w:t>
            </w: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3"/>
          </w:tcPr>
          <w:p>
            <w:pPr>
              <w:ind w:left="100"/>
              <w:spacing w:after="0" w:line="92" w:lineRule="exact"/>
              <w:rPr>
                <w:sz w:val="20"/>
                <w:szCs w:val="20"/>
                <w:color w:val="auto"/>
              </w:rPr>
            </w:pPr>
            <w:r>
              <w:rPr>
                <w:rFonts w:ascii="Verdana" w:cs="Verdana" w:eastAsia="Verdana" w:hAnsi="Verdana"/>
                <w:sz w:val="10"/>
                <w:szCs w:val="10"/>
                <w:b w:val="1"/>
                <w:bCs w:val="1"/>
                <w:color w:val="auto"/>
              </w:rPr>
              <w:t>Average</w:t>
            </w:r>
          </w:p>
        </w:tc>
        <w:tc>
          <w:tcPr>
            <w:tcW w:w="120" w:type="dxa"/>
            <w:vAlign w:val="bottom"/>
          </w:tcPr>
          <w:p>
            <w:pPr>
              <w:spacing w:after="0"/>
              <w:rPr>
                <w:sz w:val="7"/>
                <w:szCs w:val="7"/>
                <w:color w:val="auto"/>
              </w:rPr>
            </w:pPr>
          </w:p>
        </w:tc>
        <w:tc>
          <w:tcPr>
            <w:tcW w:w="980" w:type="dxa"/>
            <w:vAlign w:val="bottom"/>
            <w:gridSpan w:val="2"/>
          </w:tcPr>
          <w:p>
            <w:pPr>
              <w:ind w:left="160"/>
              <w:spacing w:after="0" w:line="92" w:lineRule="exact"/>
              <w:rPr>
                <w:sz w:val="20"/>
                <w:szCs w:val="20"/>
                <w:color w:val="auto"/>
              </w:rPr>
            </w:pPr>
            <w:r>
              <w:rPr>
                <w:rFonts w:ascii="Verdana" w:cs="Verdana" w:eastAsia="Verdana" w:hAnsi="Verdana"/>
                <w:sz w:val="10"/>
                <w:szCs w:val="10"/>
                <w:b w:val="1"/>
                <w:bCs w:val="1"/>
                <w:color w:val="auto"/>
              </w:rPr>
              <w:t>Income/</w:t>
            </w:r>
          </w:p>
        </w:tc>
        <w:tc>
          <w:tcPr>
            <w:tcW w:w="580" w:type="dxa"/>
            <w:vAlign w:val="bottom"/>
          </w:tcPr>
          <w:p>
            <w:pPr>
              <w:jc w:val="right"/>
              <w:ind w:right="71"/>
              <w:spacing w:after="0" w:line="92" w:lineRule="exact"/>
              <w:rPr>
                <w:sz w:val="20"/>
                <w:szCs w:val="20"/>
                <w:color w:val="auto"/>
              </w:rPr>
            </w:pPr>
            <w:r>
              <w:rPr>
                <w:rFonts w:ascii="Verdana" w:cs="Verdana" w:eastAsia="Verdana" w:hAnsi="Verdana"/>
                <w:sz w:val="10"/>
                <w:szCs w:val="10"/>
                <w:b w:val="1"/>
                <w:bCs w:val="1"/>
                <w:color w:val="auto"/>
              </w:rPr>
              <w:t>Yield/</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tcPr>
          <w:p>
            <w:pPr>
              <w:ind w:left="100"/>
              <w:spacing w:after="0" w:line="92" w:lineRule="exact"/>
              <w:rPr>
                <w:sz w:val="20"/>
                <w:szCs w:val="20"/>
                <w:color w:val="auto"/>
              </w:rPr>
            </w:pPr>
            <w:r>
              <w:rPr>
                <w:rFonts w:ascii="Verdana" w:cs="Verdana" w:eastAsia="Verdana" w:hAnsi="Verdana"/>
                <w:sz w:val="10"/>
                <w:szCs w:val="10"/>
                <w:b w:val="1"/>
                <w:bCs w:val="1"/>
                <w:color w:val="auto"/>
              </w:rPr>
              <w:t>Average</w:t>
            </w:r>
          </w:p>
        </w:tc>
        <w:tc>
          <w:tcPr>
            <w:tcW w:w="120" w:type="dxa"/>
            <w:vAlign w:val="bottom"/>
          </w:tcPr>
          <w:p>
            <w:pPr>
              <w:spacing w:after="0"/>
              <w:rPr>
                <w:sz w:val="7"/>
                <w:szCs w:val="7"/>
                <w:color w:val="auto"/>
              </w:rPr>
            </w:pPr>
          </w:p>
        </w:tc>
        <w:tc>
          <w:tcPr>
            <w:tcW w:w="980" w:type="dxa"/>
            <w:vAlign w:val="bottom"/>
            <w:gridSpan w:val="2"/>
          </w:tcPr>
          <w:p>
            <w:pPr>
              <w:ind w:left="160"/>
              <w:spacing w:after="0" w:line="92" w:lineRule="exact"/>
              <w:rPr>
                <w:sz w:val="20"/>
                <w:szCs w:val="20"/>
                <w:color w:val="auto"/>
              </w:rPr>
            </w:pPr>
            <w:r>
              <w:rPr>
                <w:rFonts w:ascii="Verdana" w:cs="Verdana" w:eastAsia="Verdana" w:hAnsi="Verdana"/>
                <w:sz w:val="10"/>
                <w:szCs w:val="10"/>
                <w:b w:val="1"/>
                <w:bCs w:val="1"/>
                <w:color w:val="auto"/>
              </w:rPr>
              <w:t>Income/</w:t>
            </w:r>
          </w:p>
        </w:tc>
        <w:tc>
          <w:tcPr>
            <w:tcW w:w="580" w:type="dxa"/>
            <w:vAlign w:val="bottom"/>
          </w:tcPr>
          <w:p>
            <w:pPr>
              <w:jc w:val="right"/>
              <w:ind w:right="71"/>
              <w:spacing w:after="0" w:line="92" w:lineRule="exact"/>
              <w:rPr>
                <w:sz w:val="20"/>
                <w:szCs w:val="20"/>
                <w:color w:val="auto"/>
              </w:rPr>
            </w:pPr>
            <w:r>
              <w:rPr>
                <w:rFonts w:ascii="Verdana" w:cs="Verdana" w:eastAsia="Verdana" w:hAnsi="Verdana"/>
                <w:sz w:val="10"/>
                <w:szCs w:val="10"/>
                <w:b w:val="1"/>
                <w:bCs w:val="1"/>
                <w:color w:val="auto"/>
              </w:rPr>
              <w:t>Yield/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gridSpan w:val="2"/>
          </w:tcPr>
          <w:p>
            <w:pPr>
              <w:ind w:left="100"/>
              <w:spacing w:after="0" w:line="92" w:lineRule="exact"/>
              <w:rPr>
                <w:sz w:val="20"/>
                <w:szCs w:val="20"/>
                <w:color w:val="auto"/>
              </w:rPr>
            </w:pPr>
            <w:r>
              <w:rPr>
                <w:rFonts w:ascii="Verdana" w:cs="Verdana" w:eastAsia="Verdana" w:hAnsi="Verdana"/>
                <w:sz w:val="10"/>
                <w:szCs w:val="10"/>
                <w:b w:val="1"/>
                <w:bCs w:val="1"/>
                <w:color w:val="auto"/>
              </w:rPr>
              <w:t>Average</w:t>
            </w:r>
          </w:p>
        </w:tc>
        <w:tc>
          <w:tcPr>
            <w:tcW w:w="120" w:type="dxa"/>
            <w:vAlign w:val="bottom"/>
          </w:tcPr>
          <w:p>
            <w:pPr>
              <w:spacing w:after="0"/>
              <w:rPr>
                <w:sz w:val="7"/>
                <w:szCs w:val="7"/>
                <w:color w:val="auto"/>
              </w:rPr>
            </w:pPr>
          </w:p>
        </w:tc>
        <w:tc>
          <w:tcPr>
            <w:tcW w:w="980" w:type="dxa"/>
            <w:vAlign w:val="bottom"/>
            <w:gridSpan w:val="2"/>
          </w:tcPr>
          <w:p>
            <w:pPr>
              <w:ind w:left="160"/>
              <w:spacing w:after="0" w:line="92" w:lineRule="exact"/>
              <w:rPr>
                <w:sz w:val="20"/>
                <w:szCs w:val="20"/>
                <w:color w:val="auto"/>
              </w:rPr>
            </w:pPr>
            <w:r>
              <w:rPr>
                <w:rFonts w:ascii="Verdana" w:cs="Verdana" w:eastAsia="Verdana" w:hAnsi="Verdana"/>
                <w:sz w:val="10"/>
                <w:szCs w:val="10"/>
                <w:b w:val="1"/>
                <w:bCs w:val="1"/>
                <w:color w:val="auto"/>
              </w:rPr>
              <w:t>Income/</w:t>
            </w:r>
          </w:p>
        </w:tc>
        <w:tc>
          <w:tcPr>
            <w:tcW w:w="600" w:type="dxa"/>
            <w:vAlign w:val="bottom"/>
          </w:tcPr>
          <w:p>
            <w:pPr>
              <w:jc w:val="right"/>
              <w:ind w:right="71"/>
              <w:spacing w:after="0" w:line="92" w:lineRule="exact"/>
              <w:rPr>
                <w:sz w:val="20"/>
                <w:szCs w:val="20"/>
                <w:color w:val="auto"/>
              </w:rPr>
            </w:pPr>
            <w:r>
              <w:rPr>
                <w:rFonts w:ascii="Verdana" w:cs="Verdana" w:eastAsia="Verdana" w:hAnsi="Verdana"/>
                <w:sz w:val="10"/>
                <w:szCs w:val="10"/>
                <w:b w:val="1"/>
                <w:bCs w:val="1"/>
                <w:color w:val="auto"/>
              </w:rPr>
              <w:t>Yield/</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ind w:left="120"/>
              <w:spacing w:after="0"/>
              <w:rPr>
                <w:sz w:val="20"/>
                <w:szCs w:val="20"/>
                <w:color w:val="auto"/>
              </w:rPr>
            </w:pPr>
            <w:r>
              <w:rPr>
                <w:rFonts w:ascii="Verdana" w:cs="Verdana" w:eastAsia="Verdana" w:hAnsi="Verdana"/>
                <w:sz w:val="10"/>
                <w:szCs w:val="10"/>
                <w:b w:val="1"/>
                <w:bCs w:val="1"/>
                <w:color w:val="auto"/>
              </w:rPr>
              <w:t>Balance</w:t>
            </w:r>
          </w:p>
        </w:tc>
        <w:tc>
          <w:tcPr>
            <w:tcW w:w="1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Verdana" w:cs="Verdana" w:eastAsia="Verdana" w:hAnsi="Verdana"/>
                <w:sz w:val="10"/>
                <w:szCs w:val="10"/>
                <w:b w:val="1"/>
                <w:bCs w:val="1"/>
                <w:color w:val="auto"/>
              </w:rPr>
              <w:t>Expense</w:t>
            </w:r>
          </w:p>
        </w:tc>
        <w:tc>
          <w:tcPr>
            <w:tcW w:w="580" w:type="dxa"/>
            <w:vAlign w:val="bottom"/>
          </w:tcPr>
          <w:p>
            <w:pPr>
              <w:jc w:val="right"/>
              <w:ind w:right="111"/>
              <w:spacing w:after="0"/>
              <w:rPr>
                <w:sz w:val="20"/>
                <w:szCs w:val="20"/>
                <w:color w:val="auto"/>
              </w:rPr>
            </w:pPr>
            <w:r>
              <w:rPr>
                <w:rFonts w:ascii="Verdana" w:cs="Verdana" w:eastAsia="Verdana" w:hAnsi="Verdana"/>
                <w:sz w:val="10"/>
                <w:szCs w:val="10"/>
                <w:b w:val="1"/>
                <w:bCs w:val="1"/>
                <w:color w:val="auto"/>
              </w:rPr>
              <w:t>Rate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Balance</w:t>
            </w:r>
          </w:p>
        </w:tc>
        <w:tc>
          <w:tcPr>
            <w:tcW w:w="120" w:type="dxa"/>
            <w:vAlign w:val="bottom"/>
          </w:tcPr>
          <w:p>
            <w:pPr>
              <w:spacing w:after="0"/>
              <w:rPr>
                <w:sz w:val="11"/>
                <w:szCs w:val="11"/>
                <w:color w:val="auto"/>
              </w:rPr>
            </w:pPr>
          </w:p>
        </w:tc>
        <w:tc>
          <w:tcPr>
            <w:tcW w:w="980" w:type="dxa"/>
            <w:vAlign w:val="bottom"/>
            <w:gridSpan w:val="2"/>
          </w:tcPr>
          <w:p>
            <w:pPr>
              <w:ind w:left="160"/>
              <w:spacing w:after="0"/>
              <w:rPr>
                <w:sz w:val="20"/>
                <w:szCs w:val="20"/>
                <w:color w:val="auto"/>
              </w:rPr>
            </w:pPr>
            <w:r>
              <w:rPr>
                <w:rFonts w:ascii="Verdana" w:cs="Verdana" w:eastAsia="Verdana" w:hAnsi="Verdana"/>
                <w:sz w:val="10"/>
                <w:szCs w:val="10"/>
                <w:b w:val="1"/>
                <w:bCs w:val="1"/>
                <w:color w:val="auto"/>
              </w:rPr>
              <w:t>Expense</w:t>
            </w:r>
          </w:p>
        </w:tc>
        <w:tc>
          <w:tcPr>
            <w:tcW w:w="580" w:type="dxa"/>
            <w:vAlign w:val="bottom"/>
          </w:tcPr>
          <w:p>
            <w:pPr>
              <w:jc w:val="right"/>
              <w:ind w:right="111"/>
              <w:spacing w:after="0"/>
              <w:rPr>
                <w:sz w:val="20"/>
                <w:szCs w:val="20"/>
                <w:color w:val="auto"/>
              </w:rPr>
            </w:pPr>
            <w:r>
              <w:rPr>
                <w:rFonts w:ascii="Verdana" w:cs="Verdana" w:eastAsia="Verdana" w:hAnsi="Verdana"/>
                <w:sz w:val="10"/>
                <w:szCs w:val="10"/>
                <w:b w:val="1"/>
                <w:bCs w:val="1"/>
                <w:color w:val="auto"/>
              </w:rPr>
              <w:t>Rate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Balance</w:t>
            </w:r>
          </w:p>
        </w:tc>
        <w:tc>
          <w:tcPr>
            <w:tcW w:w="12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Verdana" w:cs="Verdana" w:eastAsia="Verdana" w:hAnsi="Verdana"/>
                <w:sz w:val="10"/>
                <w:szCs w:val="10"/>
                <w:b w:val="1"/>
                <w:bCs w:val="1"/>
                <w:color w:val="auto"/>
              </w:rPr>
              <w:t>Expense</w:t>
            </w:r>
          </w:p>
        </w:tc>
        <w:tc>
          <w:tcPr>
            <w:tcW w:w="600" w:type="dxa"/>
            <w:vAlign w:val="bottom"/>
          </w:tcPr>
          <w:p>
            <w:pPr>
              <w:jc w:val="right"/>
              <w:ind w:right="111"/>
              <w:spacing w:after="0"/>
              <w:rPr>
                <w:sz w:val="20"/>
                <w:szCs w:val="20"/>
                <w:color w:val="auto"/>
              </w:rPr>
            </w:pPr>
            <w:r>
              <w:rPr>
                <w:rFonts w:ascii="Verdana" w:cs="Verdana" w:eastAsia="Verdana" w:hAnsi="Verdana"/>
                <w:sz w:val="10"/>
                <w:szCs w:val="10"/>
                <w:b w:val="1"/>
                <w:bCs w:val="1"/>
                <w:color w:val="auto"/>
              </w:rPr>
              <w:t>Rate</w:t>
            </w:r>
          </w:p>
        </w:tc>
        <w:tc>
          <w:tcPr>
            <w:tcW w:w="0" w:type="dxa"/>
            <w:vAlign w:val="bottom"/>
          </w:tcPr>
          <w:p>
            <w:pPr>
              <w:spacing w:after="0"/>
              <w:rPr>
                <w:sz w:val="1"/>
                <w:szCs w:val="1"/>
                <w:color w:val="auto"/>
              </w:rPr>
            </w:pPr>
          </w:p>
        </w:tc>
      </w:tr>
      <w:tr>
        <w:trPr>
          <w:trHeight w:val="123"/>
        </w:trPr>
        <w:tc>
          <w:tcPr>
            <w:tcW w:w="1440" w:type="dxa"/>
            <w:vAlign w:val="bottom"/>
            <w:tcBorders>
              <w:top w:val="single" w:sz="8" w:color="E0E7ED"/>
            </w:tcBorders>
            <w:gridSpan w:val="2"/>
            <w:shd w:val="clear" w:color="auto" w:fill="E0E7ED"/>
          </w:tcPr>
          <w:p>
            <w:pPr>
              <w:ind w:left="20"/>
              <w:spacing w:after="0" w:line="113" w:lineRule="exact"/>
              <w:rPr>
                <w:sz w:val="20"/>
                <w:szCs w:val="20"/>
                <w:color w:val="auto"/>
              </w:rPr>
            </w:pPr>
            <w:r>
              <w:rPr>
                <w:rFonts w:ascii="Verdana" w:cs="Verdana" w:eastAsia="Verdana" w:hAnsi="Verdana"/>
                <w:sz w:val="10"/>
                <w:szCs w:val="10"/>
                <w:b w:val="1"/>
                <w:bCs w:val="1"/>
                <w:color w:val="auto"/>
              </w:rPr>
              <w:t>Assets</w:t>
            </w:r>
          </w:p>
        </w:tc>
        <w:tc>
          <w:tcPr>
            <w:tcW w:w="1320" w:type="dxa"/>
            <w:vAlign w:val="bottom"/>
            <w:tcBorders>
              <w:top w:val="single" w:sz="8" w:color="E0E7ED"/>
            </w:tcBorders>
            <w:shd w:val="clear" w:color="auto" w:fill="E0E7ED"/>
          </w:tcPr>
          <w:p>
            <w:pPr>
              <w:spacing w:after="0"/>
              <w:rPr>
                <w:sz w:val="10"/>
                <w:szCs w:val="10"/>
                <w:color w:val="auto"/>
              </w:rPr>
            </w:pPr>
          </w:p>
        </w:tc>
        <w:tc>
          <w:tcPr>
            <w:tcW w:w="180" w:type="dxa"/>
            <w:vAlign w:val="bottom"/>
            <w:tcBorders>
              <w:top w:val="single" w:sz="8" w:color="auto"/>
            </w:tcBorders>
            <w:shd w:val="clear" w:color="auto" w:fill="E0E7ED"/>
          </w:tcPr>
          <w:p>
            <w:pPr>
              <w:spacing w:after="0"/>
              <w:rPr>
                <w:sz w:val="10"/>
                <w:szCs w:val="10"/>
                <w:color w:val="auto"/>
              </w:rPr>
            </w:pPr>
          </w:p>
        </w:tc>
        <w:tc>
          <w:tcPr>
            <w:tcW w:w="380" w:type="dxa"/>
            <w:vAlign w:val="bottom"/>
            <w:tcBorders>
              <w:top w:val="single" w:sz="8" w:color="auto"/>
            </w:tcBorders>
            <w:shd w:val="clear" w:color="auto" w:fill="E0E7ED"/>
          </w:tcPr>
          <w:p>
            <w:pPr>
              <w:spacing w:after="0"/>
              <w:rPr>
                <w:sz w:val="10"/>
                <w:szCs w:val="10"/>
                <w:color w:val="auto"/>
              </w:rPr>
            </w:pPr>
          </w:p>
        </w:tc>
        <w:tc>
          <w:tcPr>
            <w:tcW w:w="48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120" w:type="dxa"/>
            <w:vAlign w:val="bottom"/>
            <w:tcBorders>
              <w:top w:val="single" w:sz="8" w:color="auto"/>
            </w:tcBorders>
            <w:shd w:val="clear" w:color="auto" w:fill="E0E7ED"/>
          </w:tcPr>
          <w:p>
            <w:pPr>
              <w:spacing w:after="0"/>
              <w:rPr>
                <w:sz w:val="10"/>
                <w:szCs w:val="10"/>
                <w:color w:val="auto"/>
              </w:rPr>
            </w:pPr>
          </w:p>
        </w:tc>
        <w:tc>
          <w:tcPr>
            <w:tcW w:w="92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58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200" w:type="dxa"/>
            <w:vAlign w:val="bottom"/>
            <w:tcBorders>
              <w:top w:val="single" w:sz="8" w:color="auto"/>
            </w:tcBorders>
            <w:shd w:val="clear" w:color="auto" w:fill="E0E7ED"/>
          </w:tcPr>
          <w:p>
            <w:pPr>
              <w:spacing w:after="0"/>
              <w:rPr>
                <w:sz w:val="10"/>
                <w:szCs w:val="10"/>
                <w:color w:val="auto"/>
              </w:rPr>
            </w:pPr>
          </w:p>
        </w:tc>
        <w:tc>
          <w:tcPr>
            <w:tcW w:w="86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120" w:type="dxa"/>
            <w:vAlign w:val="bottom"/>
            <w:tcBorders>
              <w:top w:val="single" w:sz="8" w:color="auto"/>
            </w:tcBorders>
            <w:shd w:val="clear" w:color="auto" w:fill="E0E7ED"/>
          </w:tcPr>
          <w:p>
            <w:pPr>
              <w:spacing w:after="0"/>
              <w:rPr>
                <w:sz w:val="10"/>
                <w:szCs w:val="10"/>
                <w:color w:val="auto"/>
              </w:rPr>
            </w:pPr>
          </w:p>
        </w:tc>
        <w:tc>
          <w:tcPr>
            <w:tcW w:w="92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580" w:type="dxa"/>
            <w:vAlign w:val="bottom"/>
            <w:tcBorders>
              <w:top w:val="single" w:sz="8" w:color="auto"/>
            </w:tcBorders>
            <w:shd w:val="clear" w:color="auto" w:fill="E0E7ED"/>
          </w:tcPr>
          <w:p>
            <w:pPr>
              <w:spacing w:after="0"/>
              <w:rPr>
                <w:sz w:val="10"/>
                <w:szCs w:val="10"/>
                <w:color w:val="auto"/>
              </w:rPr>
            </w:pPr>
          </w:p>
        </w:tc>
        <w:tc>
          <w:tcPr>
            <w:tcW w:w="80" w:type="dxa"/>
            <w:vAlign w:val="bottom"/>
            <w:tcBorders>
              <w:top w:val="single" w:sz="8" w:color="E0E7ED"/>
            </w:tcBorders>
            <w:shd w:val="clear" w:color="auto" w:fill="E0E7ED"/>
          </w:tcPr>
          <w:p>
            <w:pPr>
              <w:spacing w:after="0"/>
              <w:rPr>
                <w:sz w:val="10"/>
                <w:szCs w:val="10"/>
                <w:color w:val="auto"/>
              </w:rPr>
            </w:pPr>
          </w:p>
        </w:tc>
        <w:tc>
          <w:tcPr>
            <w:tcW w:w="180" w:type="dxa"/>
            <w:vAlign w:val="bottom"/>
            <w:tcBorders>
              <w:top w:val="single" w:sz="8" w:color="auto"/>
            </w:tcBorders>
            <w:shd w:val="clear" w:color="auto" w:fill="E0E7ED"/>
          </w:tcPr>
          <w:p>
            <w:pPr>
              <w:spacing w:after="0"/>
              <w:rPr>
                <w:sz w:val="10"/>
                <w:szCs w:val="10"/>
                <w:color w:val="auto"/>
              </w:rPr>
            </w:pPr>
          </w:p>
        </w:tc>
        <w:tc>
          <w:tcPr>
            <w:tcW w:w="86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120" w:type="dxa"/>
            <w:vAlign w:val="bottom"/>
            <w:tcBorders>
              <w:top w:val="single" w:sz="8" w:color="auto"/>
            </w:tcBorders>
            <w:shd w:val="clear" w:color="auto" w:fill="E0E7ED"/>
          </w:tcPr>
          <w:p>
            <w:pPr>
              <w:spacing w:after="0"/>
              <w:rPr>
                <w:sz w:val="10"/>
                <w:szCs w:val="10"/>
                <w:color w:val="auto"/>
              </w:rPr>
            </w:pPr>
          </w:p>
        </w:tc>
        <w:tc>
          <w:tcPr>
            <w:tcW w:w="920" w:type="dxa"/>
            <w:vAlign w:val="bottom"/>
            <w:tcBorders>
              <w:top w:val="single" w:sz="8" w:color="auto"/>
            </w:tcBorders>
            <w:shd w:val="clear" w:color="auto" w:fill="E0E7ED"/>
          </w:tcPr>
          <w:p>
            <w:pPr>
              <w:spacing w:after="0"/>
              <w:rPr>
                <w:sz w:val="10"/>
                <w:szCs w:val="10"/>
                <w:color w:val="auto"/>
              </w:rPr>
            </w:pPr>
          </w:p>
        </w:tc>
        <w:tc>
          <w:tcPr>
            <w:tcW w:w="60" w:type="dxa"/>
            <w:vAlign w:val="bottom"/>
            <w:tcBorders>
              <w:top w:val="single" w:sz="8" w:color="E0E7ED"/>
            </w:tcBorders>
            <w:shd w:val="clear" w:color="auto" w:fill="E0E7ED"/>
          </w:tcPr>
          <w:p>
            <w:pPr>
              <w:spacing w:after="0"/>
              <w:rPr>
                <w:sz w:val="10"/>
                <w:szCs w:val="10"/>
                <w:color w:val="auto"/>
              </w:rPr>
            </w:pPr>
          </w:p>
        </w:tc>
        <w:tc>
          <w:tcPr>
            <w:tcW w:w="600" w:type="dxa"/>
            <w:vAlign w:val="bottom"/>
            <w:tcBorders>
              <w:top w:val="single" w:sz="8" w:color="auto"/>
            </w:tcBorders>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60" w:type="dxa"/>
            <w:vAlign w:val="bottom"/>
            <w:gridSpan w:val="3"/>
          </w:tcPr>
          <w:p>
            <w:pPr>
              <w:ind w:left="140"/>
              <w:spacing w:after="0" w:line="96" w:lineRule="exact"/>
              <w:rPr>
                <w:sz w:val="20"/>
                <w:szCs w:val="20"/>
                <w:color w:val="auto"/>
              </w:rPr>
            </w:pPr>
            <w:r>
              <w:rPr>
                <w:rFonts w:ascii="Verdana" w:cs="Verdana" w:eastAsia="Verdana" w:hAnsi="Verdana"/>
                <w:sz w:val="10"/>
                <w:szCs w:val="10"/>
                <w:color w:val="auto"/>
              </w:rPr>
              <w:t>Interest-bearing bank deposits and federal funds</w:t>
            </w:r>
          </w:p>
        </w:tc>
        <w:tc>
          <w:tcPr>
            <w:tcW w:w="180" w:type="dxa"/>
            <w:vAlign w:val="bottom"/>
            <w:vMerge w:val="restart"/>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gridSpan w:val="2"/>
            <w:vMerge w:val="restart"/>
          </w:tcPr>
          <w:p>
            <w:pPr>
              <w:jc w:val="right"/>
              <w:ind w:right="60"/>
              <w:spacing w:after="0"/>
              <w:rPr>
                <w:sz w:val="20"/>
                <w:szCs w:val="20"/>
                <w:color w:val="auto"/>
              </w:rPr>
            </w:pPr>
            <w:r>
              <w:rPr>
                <w:rFonts w:ascii="Verdana" w:cs="Verdana" w:eastAsia="Verdana" w:hAnsi="Verdana"/>
                <w:sz w:val="10"/>
                <w:szCs w:val="10"/>
                <w:color w:val="auto"/>
              </w:rPr>
              <w:t>445,881</w:t>
            </w:r>
          </w:p>
        </w:tc>
        <w:tc>
          <w:tcPr>
            <w:tcW w:w="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22,441</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5.03 %</w:t>
            </w:r>
          </w:p>
        </w:tc>
        <w:tc>
          <w:tcPr>
            <w:tcW w:w="260" w:type="dxa"/>
            <w:vAlign w:val="bottom"/>
            <w:gridSpan w:val="2"/>
            <w:vMerge w:val="restart"/>
          </w:tcPr>
          <w:p>
            <w:pPr>
              <w:jc w:val="right"/>
              <w:ind w:right="71"/>
              <w:spacing w:after="0"/>
              <w:rPr>
                <w:sz w:val="20"/>
                <w:szCs w:val="20"/>
                <w:color w:val="auto"/>
              </w:rPr>
            </w:pPr>
            <w:r>
              <w:rPr>
                <w:rFonts w:ascii="Verdana" w:cs="Verdana" w:eastAsia="Verdana" w:hAnsi="Verdana"/>
                <w:sz w:val="10"/>
                <w:szCs w:val="10"/>
                <w:color w:val="auto"/>
              </w:rPr>
              <w:t>$</w:t>
            </w: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214,422</w:t>
            </w:r>
          </w:p>
        </w:tc>
        <w:tc>
          <w:tcPr>
            <w:tcW w:w="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10,531</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4.91 %</w:t>
            </w:r>
          </w:p>
        </w:tc>
        <w:tc>
          <w:tcPr>
            <w:tcW w:w="260" w:type="dxa"/>
            <w:vAlign w:val="bottom"/>
            <w:gridSpan w:val="2"/>
            <w:vMerge w:val="restart"/>
          </w:tcPr>
          <w:p>
            <w:pPr>
              <w:jc w:val="right"/>
              <w:ind w:right="83"/>
              <w:spacing w:after="0"/>
              <w:rPr>
                <w:sz w:val="20"/>
                <w:szCs w:val="20"/>
                <w:color w:val="auto"/>
              </w:rPr>
            </w:pPr>
            <w:r>
              <w:rPr>
                <w:rFonts w:ascii="Verdana" w:cs="Verdana" w:eastAsia="Verdana" w:hAnsi="Verdana"/>
                <w:sz w:val="10"/>
                <w:szCs w:val="10"/>
                <w:color w:val="auto"/>
              </w:rPr>
              <w:t>$</w:t>
            </w: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290,875</w:t>
            </w:r>
          </w:p>
        </w:tc>
        <w:tc>
          <w:tcPr>
            <w:tcW w:w="6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3,097</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Verdana" w:cs="Verdana" w:eastAsia="Verdana" w:hAnsi="Verdana"/>
                <w:sz w:val="10"/>
                <w:szCs w:val="10"/>
                <w:color w:val="auto"/>
              </w:rPr>
              <w:t>1.06 %</w:t>
            </w: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rPr>
              <w:t>sold</w:t>
            </w:r>
          </w:p>
        </w:tc>
        <w:tc>
          <w:tcPr>
            <w:tcW w:w="13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Investment securities:</w:t>
            </w:r>
          </w:p>
        </w:tc>
        <w:tc>
          <w:tcPr>
            <w:tcW w:w="132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380" w:type="dxa"/>
            <w:vAlign w:val="bottom"/>
            <w:shd w:val="clear" w:color="auto" w:fill="E0E7ED"/>
          </w:tcPr>
          <w:p>
            <w:pPr>
              <w:spacing w:after="0"/>
              <w:rPr>
                <w:sz w:val="12"/>
                <w:szCs w:val="12"/>
                <w:color w:val="auto"/>
              </w:rPr>
            </w:pPr>
          </w:p>
        </w:tc>
        <w:tc>
          <w:tcPr>
            <w:tcW w:w="4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760" w:type="dxa"/>
            <w:vAlign w:val="bottom"/>
            <w:gridSpan w:val="3"/>
          </w:tcPr>
          <w:p>
            <w:pPr>
              <w:ind w:left="280"/>
              <w:spacing w:after="0"/>
              <w:rPr>
                <w:sz w:val="20"/>
                <w:szCs w:val="20"/>
                <w:color w:val="auto"/>
              </w:rPr>
            </w:pPr>
            <w:r>
              <w:rPr>
                <w:rFonts w:ascii="Verdana" w:cs="Verdana" w:eastAsia="Verdana" w:hAnsi="Verdana"/>
                <w:sz w:val="10"/>
                <w:szCs w:val="10"/>
                <w:color w:val="auto"/>
              </w:rPr>
              <w:t>U.S. Government obligations</w:t>
            </w: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5,495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158</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2.88 %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79,669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578</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0.73 %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179,557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1,079</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0.60 %</w:t>
            </w:r>
          </w:p>
        </w:tc>
        <w:tc>
          <w:tcPr>
            <w:tcW w:w="0" w:type="dxa"/>
            <w:vAlign w:val="bottom"/>
          </w:tcPr>
          <w:p>
            <w:pPr>
              <w:spacing w:after="0"/>
              <w:rPr>
                <w:sz w:val="1"/>
                <w:szCs w:val="1"/>
                <w:color w:val="auto"/>
              </w:rPr>
            </w:pPr>
          </w:p>
        </w:tc>
      </w:tr>
      <w:tr>
        <w:trPr>
          <w:trHeight w:val="143"/>
        </w:trPr>
        <w:tc>
          <w:tcPr>
            <w:tcW w:w="2760" w:type="dxa"/>
            <w:vAlign w:val="bottom"/>
            <w:gridSpan w:val="3"/>
            <w:shd w:val="clear" w:color="auto" w:fill="E0E7ED"/>
          </w:tcPr>
          <w:p>
            <w:pPr>
              <w:ind w:left="280"/>
              <w:spacing w:after="0" w:line="143" w:lineRule="exact"/>
              <w:rPr>
                <w:sz w:val="20"/>
                <w:szCs w:val="20"/>
                <w:color w:val="auto"/>
              </w:rPr>
            </w:pPr>
            <w:r>
              <w:rPr>
                <w:rFonts w:ascii="Verdana" w:cs="Verdana" w:eastAsia="Verdana" w:hAnsi="Verdana"/>
                <w:sz w:val="10"/>
                <w:szCs w:val="10"/>
                <w:color w:val="auto"/>
              </w:rPr>
              <w:t>Obligations of states and political subdivisions</w:t>
            </w:r>
            <w:r>
              <w:rPr>
                <w:rFonts w:ascii="Verdana" w:cs="Verdana" w:eastAsia="Verdana" w:hAnsi="Verdana"/>
                <w:sz w:val="12"/>
                <w:szCs w:val="12"/>
                <w:color w:val="auto"/>
                <w:vertAlign w:val="superscript"/>
              </w:rPr>
              <w:t>1</w:t>
            </w:r>
          </w:p>
        </w:tc>
        <w:tc>
          <w:tcPr>
            <w:tcW w:w="18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153,467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4,338</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2.83 %</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233,377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6,560</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2.81 %</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286,220</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7,611</w:t>
            </w: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2.66 %</w:t>
            </w:r>
          </w:p>
        </w:tc>
        <w:tc>
          <w:tcPr>
            <w:tcW w:w="0" w:type="dxa"/>
            <w:vAlign w:val="bottom"/>
          </w:tcPr>
          <w:p>
            <w:pPr>
              <w:spacing w:after="0"/>
              <w:rPr>
                <w:sz w:val="1"/>
                <w:szCs w:val="1"/>
                <w:color w:val="auto"/>
              </w:rPr>
            </w:pPr>
          </w:p>
        </w:tc>
      </w:tr>
      <w:tr>
        <w:trPr>
          <w:trHeight w:val="133"/>
        </w:trPr>
        <w:tc>
          <w:tcPr>
            <w:tcW w:w="1440" w:type="dxa"/>
            <w:vAlign w:val="bottom"/>
            <w:gridSpan w:val="2"/>
          </w:tcPr>
          <w:p>
            <w:pPr>
              <w:ind w:left="280"/>
              <w:spacing w:after="0"/>
              <w:rPr>
                <w:sz w:val="20"/>
                <w:szCs w:val="20"/>
                <w:color w:val="auto"/>
              </w:rPr>
            </w:pPr>
            <w:r>
              <w:rPr>
                <w:rFonts w:ascii="Verdana" w:cs="Verdana" w:eastAsia="Verdana" w:hAnsi="Verdana"/>
                <w:sz w:val="10"/>
                <w:szCs w:val="10"/>
                <w:color w:val="auto"/>
              </w:rPr>
              <w:t>Other securities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2,567,526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69,786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2.72 %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2,875,769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76,568</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2.66 %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3,265,271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61,591</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1.89 %</w:t>
            </w: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Restricted bank stock</w:t>
            </w:r>
          </w:p>
        </w:tc>
        <w:tc>
          <w:tcPr>
            <w:tcW w:w="132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14,414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848</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5.88 %</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16,416</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1,170</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7.13 %</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6,667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189</w:t>
            </w: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2.83 %</w:t>
            </w: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rPr>
              <w:t>Loans held for sale</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8,012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503</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6.28 %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1,885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116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6.13 %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5,178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192</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3.71 %</w:t>
            </w: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line="143" w:lineRule="exact"/>
              <w:rPr>
                <w:sz w:val="20"/>
                <w:szCs w:val="20"/>
                <w:color w:val="auto"/>
              </w:rPr>
            </w:pPr>
            <w:r>
              <w:rPr>
                <w:rFonts w:ascii="Verdana" w:cs="Verdana" w:eastAsia="Verdana" w:hAnsi="Verdana"/>
                <w:sz w:val="10"/>
                <w:szCs w:val="10"/>
                <w:color w:val="auto"/>
              </w:rPr>
              <w:t>Portfolio loans</w:t>
            </w:r>
            <w:r>
              <w:rPr>
                <w:rFonts w:ascii="Verdana" w:cs="Verdana" w:eastAsia="Verdana" w:hAnsi="Verdana"/>
                <w:sz w:val="12"/>
                <w:szCs w:val="12"/>
                <w:color w:val="auto"/>
                <w:vertAlign w:val="superscript"/>
              </w:rPr>
              <w:t>1, 2</w:t>
            </w:r>
          </w:p>
        </w:tc>
        <w:tc>
          <w:tcPr>
            <w:tcW w:w="132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7,804,629</w:t>
            </w:r>
          </w:p>
        </w:tc>
        <w:tc>
          <w:tcPr>
            <w:tcW w:w="60" w:type="dxa"/>
            <w:vAlign w:val="bottom"/>
            <w:shd w:val="clear" w:color="auto" w:fill="E0E7ED"/>
          </w:tcPr>
          <w:p>
            <w:pPr>
              <w:spacing w:after="0"/>
              <w:rPr>
                <w:sz w:val="12"/>
                <w:szCs w:val="12"/>
                <w:color w:val="auto"/>
              </w:rPr>
            </w:pPr>
          </w:p>
        </w:tc>
        <w:tc>
          <w:tcPr>
            <w:tcW w:w="120" w:type="dxa"/>
            <w:vAlign w:val="bottom"/>
            <w:tcBorders>
              <w:bottom w:val="single" w:sz="8" w:color="auto"/>
            </w:tcBorders>
            <w:shd w:val="clear" w:color="auto" w:fill="E0E7ED"/>
          </w:tcPr>
          <w:p>
            <w:pPr>
              <w:spacing w:after="0"/>
              <w:rPr>
                <w:sz w:val="12"/>
                <w:szCs w:val="12"/>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427,300</w:t>
            </w:r>
          </w:p>
        </w:tc>
        <w:tc>
          <w:tcPr>
            <w:tcW w:w="60" w:type="dxa"/>
            <w:vAlign w:val="bottom"/>
            <w:shd w:val="clear" w:color="auto" w:fill="E0E7ED"/>
          </w:tcPr>
          <w:p>
            <w:pPr>
              <w:spacing w:after="0"/>
              <w:rPr>
                <w:sz w:val="12"/>
                <w:szCs w:val="12"/>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5.47 %</w:t>
            </w:r>
          </w:p>
        </w:tc>
        <w:tc>
          <w:tcPr>
            <w:tcW w:w="60" w:type="dxa"/>
            <w:vAlign w:val="bottom"/>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7,759,472</w:t>
            </w:r>
          </w:p>
        </w:tc>
        <w:tc>
          <w:tcPr>
            <w:tcW w:w="60" w:type="dxa"/>
            <w:vAlign w:val="bottom"/>
            <w:shd w:val="clear" w:color="auto" w:fill="E0E7ED"/>
          </w:tcPr>
          <w:p>
            <w:pPr>
              <w:spacing w:after="0"/>
              <w:rPr>
                <w:sz w:val="12"/>
                <w:szCs w:val="12"/>
                <w:color w:val="auto"/>
              </w:rPr>
            </w:pPr>
          </w:p>
        </w:tc>
        <w:tc>
          <w:tcPr>
            <w:tcW w:w="120" w:type="dxa"/>
            <w:vAlign w:val="bottom"/>
            <w:tcBorders>
              <w:bottom w:val="single" w:sz="8" w:color="auto"/>
            </w:tcBorders>
            <w:shd w:val="clear" w:color="auto" w:fill="E0E7ED"/>
          </w:tcPr>
          <w:p>
            <w:pPr>
              <w:spacing w:after="0"/>
              <w:rPr>
                <w:sz w:val="12"/>
                <w:szCs w:val="12"/>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387,193</w:t>
            </w:r>
          </w:p>
        </w:tc>
        <w:tc>
          <w:tcPr>
            <w:tcW w:w="60" w:type="dxa"/>
            <w:vAlign w:val="bottom"/>
            <w:shd w:val="clear" w:color="auto" w:fill="E0E7ED"/>
          </w:tcPr>
          <w:p>
            <w:pPr>
              <w:spacing w:after="0"/>
              <w:rPr>
                <w:sz w:val="12"/>
                <w:szCs w:val="12"/>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4.99 %</w:t>
            </w:r>
          </w:p>
        </w:tc>
        <w:tc>
          <w:tcPr>
            <w:tcW w:w="8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7,445,962</w:t>
            </w:r>
          </w:p>
        </w:tc>
        <w:tc>
          <w:tcPr>
            <w:tcW w:w="60" w:type="dxa"/>
            <w:vAlign w:val="bottom"/>
            <w:shd w:val="clear" w:color="auto" w:fill="E0E7ED"/>
          </w:tcPr>
          <w:p>
            <w:pPr>
              <w:spacing w:after="0"/>
              <w:rPr>
                <w:sz w:val="12"/>
                <w:szCs w:val="12"/>
                <w:color w:val="auto"/>
              </w:rPr>
            </w:pPr>
          </w:p>
        </w:tc>
        <w:tc>
          <w:tcPr>
            <w:tcW w:w="120" w:type="dxa"/>
            <w:vAlign w:val="bottom"/>
            <w:tcBorders>
              <w:bottom w:val="single" w:sz="8" w:color="auto"/>
            </w:tcBorders>
            <w:shd w:val="clear" w:color="auto" w:fill="E0E7ED"/>
          </w:tcPr>
          <w:p>
            <w:pPr>
              <w:spacing w:after="0"/>
              <w:rPr>
                <w:sz w:val="12"/>
                <w:szCs w:val="12"/>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288,615</w:t>
            </w:r>
          </w:p>
        </w:tc>
        <w:tc>
          <w:tcPr>
            <w:tcW w:w="60" w:type="dxa"/>
            <w:vAlign w:val="bottom"/>
            <w:shd w:val="clear" w:color="auto" w:fill="E0E7ED"/>
          </w:tcPr>
          <w:p>
            <w:pPr>
              <w:spacing w:after="0"/>
              <w:rPr>
                <w:sz w:val="12"/>
                <w:szCs w:val="12"/>
                <w:color w:val="auto"/>
              </w:rPr>
            </w:pPr>
          </w:p>
        </w:tc>
        <w:tc>
          <w:tcPr>
            <w:tcW w:w="6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3.88 %</w:t>
            </w:r>
          </w:p>
        </w:tc>
        <w:tc>
          <w:tcPr>
            <w:tcW w:w="0" w:type="dxa"/>
            <w:vAlign w:val="bottom"/>
          </w:tcPr>
          <w:p>
            <w:pPr>
              <w:spacing w:after="0"/>
              <w:rPr>
                <w:sz w:val="1"/>
                <w:szCs w:val="1"/>
                <w:color w:val="auto"/>
              </w:rPr>
            </w:pPr>
          </w:p>
        </w:tc>
      </w:tr>
      <w:tr>
        <w:trPr>
          <w:trHeight w:val="129"/>
        </w:trPr>
        <w:tc>
          <w:tcPr>
            <w:tcW w:w="2760" w:type="dxa"/>
            <w:vAlign w:val="bottom"/>
            <w:gridSpan w:val="3"/>
          </w:tcPr>
          <w:p>
            <w:pPr>
              <w:ind w:left="140"/>
              <w:spacing w:after="0" w:line="129" w:lineRule="exact"/>
              <w:rPr>
                <w:sz w:val="20"/>
                <w:szCs w:val="20"/>
                <w:color w:val="auto"/>
              </w:rPr>
            </w:pPr>
            <w:r>
              <w:rPr>
                <w:rFonts w:ascii="Verdana" w:cs="Verdana" w:eastAsia="Verdana" w:hAnsi="Verdana"/>
                <w:sz w:val="10"/>
                <w:szCs w:val="10"/>
                <w:color w:val="auto"/>
              </w:rPr>
              <w:t>Total interest-earning assets</w:t>
            </w:r>
            <w:r>
              <w:rPr>
                <w:rFonts w:ascii="Verdana" w:cs="Verdana" w:eastAsia="Verdana" w:hAnsi="Verdana"/>
                <w:sz w:val="12"/>
                <w:szCs w:val="12"/>
                <w:color w:val="auto"/>
                <w:vertAlign w:val="superscript"/>
              </w:rPr>
              <w:t>1, 3</w:t>
            </w: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10,999,424</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525,374</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4.78 %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11,181,010</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482,716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4.32 %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11,479,730</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362,374</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3.16 %</w:t>
            </w:r>
          </w:p>
        </w:tc>
        <w:tc>
          <w:tcPr>
            <w:tcW w:w="0" w:type="dxa"/>
            <w:vAlign w:val="bottom"/>
          </w:tcPr>
          <w:p>
            <w:pPr>
              <w:spacing w:after="0"/>
              <w:rPr>
                <w:sz w:val="1"/>
                <w:szCs w:val="1"/>
                <w:color w:val="auto"/>
              </w:rPr>
            </w:pPr>
          </w:p>
        </w:tc>
      </w:tr>
      <w:tr>
        <w:trPr>
          <w:trHeight w:val="20"/>
        </w:trPr>
        <w:tc>
          <w:tcPr>
            <w:tcW w:w="12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132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48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86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86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6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24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132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380" w:type="dxa"/>
            <w:vAlign w:val="bottom"/>
            <w:shd w:val="clear" w:color="auto" w:fill="E0E7ED"/>
          </w:tcPr>
          <w:p>
            <w:pPr>
              <w:spacing w:after="0"/>
              <w:rPr>
                <w:sz w:val="8"/>
                <w:szCs w:val="8"/>
                <w:color w:val="auto"/>
              </w:rPr>
            </w:pPr>
          </w:p>
        </w:tc>
        <w:tc>
          <w:tcPr>
            <w:tcW w:w="4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8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600" w:type="dxa"/>
            <w:vAlign w:val="bottom"/>
            <w:shd w:val="clear" w:color="auto" w:fill="E0E7ED"/>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w w:val="99"/>
              </w:rPr>
              <w:t>Cash and due from banks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109,400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116,530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120,910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Premises and equipment</w:t>
            </w:r>
          </w:p>
        </w:tc>
        <w:tc>
          <w:tcPr>
            <w:tcW w:w="132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121,663</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124,565</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131,657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rPr>
              <w:t>ACL</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0"/>
              <w:spacing w:after="0"/>
              <w:rPr>
                <w:sz w:val="20"/>
                <w:szCs w:val="20"/>
                <w:color w:val="auto"/>
              </w:rPr>
            </w:pPr>
            <w:r>
              <w:rPr>
                <w:rFonts w:ascii="Verdana" w:cs="Verdana" w:eastAsia="Verdana" w:hAnsi="Verdana"/>
                <w:sz w:val="10"/>
                <w:szCs w:val="10"/>
                <w:color w:val="auto"/>
              </w:rPr>
              <w:t>(89,369)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(92,991)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(89,387)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Other assets</w:t>
            </w:r>
          </w:p>
        </w:tc>
        <w:tc>
          <w:tcPr>
            <w:tcW w:w="132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910,753</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917,104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850,038</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40" w:type="dxa"/>
            <w:vAlign w:val="bottom"/>
            <w:gridSpan w:val="2"/>
          </w:tcPr>
          <w:p>
            <w:pPr>
              <w:ind w:left="20"/>
              <w:spacing w:after="0"/>
              <w:rPr>
                <w:sz w:val="20"/>
                <w:szCs w:val="20"/>
                <w:color w:val="auto"/>
              </w:rPr>
            </w:pPr>
            <w:r>
              <w:rPr>
                <w:rFonts w:ascii="Verdana" w:cs="Verdana" w:eastAsia="Verdana" w:hAnsi="Verdana"/>
                <w:sz w:val="10"/>
                <w:szCs w:val="10"/>
                <w:color w:val="auto"/>
              </w:rPr>
              <w:t>Total assets</w:t>
            </w:r>
          </w:p>
        </w:tc>
        <w:tc>
          <w:tcPr>
            <w:tcW w:w="1320" w:type="dxa"/>
            <w:vAlign w:val="bottom"/>
          </w:tcPr>
          <w:p>
            <w:pPr>
              <w:spacing w:after="0"/>
              <w:rPr>
                <w:sz w:val="11"/>
                <w:szCs w:val="11"/>
                <w:color w:val="auto"/>
              </w:rPr>
            </w:pP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tcBorders>
              <w:bottom w:val="single" w:sz="8" w:color="auto"/>
            </w:tcBorders>
            <w:gridSpan w:val="2"/>
          </w:tcPr>
          <w:p>
            <w:pPr>
              <w:jc w:val="right"/>
              <w:ind w:right="60"/>
              <w:spacing w:after="0"/>
              <w:rPr>
                <w:sz w:val="20"/>
                <w:szCs w:val="20"/>
                <w:color w:val="auto"/>
              </w:rPr>
            </w:pPr>
            <w:r>
              <w:rPr>
                <w:rFonts w:ascii="Verdana" w:cs="Verdana" w:eastAsia="Verdana" w:hAnsi="Verdana"/>
                <w:sz w:val="10"/>
                <w:szCs w:val="10"/>
                <w:color w:val="auto"/>
              </w:rPr>
              <w:t>12,051,871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12,246,218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12,492,948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132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6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24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132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380" w:type="dxa"/>
            <w:vAlign w:val="bottom"/>
            <w:shd w:val="clear" w:color="auto" w:fill="E0E7ED"/>
          </w:tcPr>
          <w:p>
            <w:pPr>
              <w:spacing w:after="0"/>
              <w:rPr>
                <w:sz w:val="8"/>
                <w:szCs w:val="8"/>
                <w:color w:val="auto"/>
              </w:rPr>
            </w:pPr>
          </w:p>
        </w:tc>
        <w:tc>
          <w:tcPr>
            <w:tcW w:w="4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8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600" w:type="dxa"/>
            <w:vAlign w:val="bottom"/>
            <w:shd w:val="clear" w:color="auto" w:fill="E0E7ED"/>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760" w:type="dxa"/>
            <w:vAlign w:val="bottom"/>
            <w:gridSpan w:val="3"/>
          </w:tcPr>
          <w:p>
            <w:pPr>
              <w:ind w:left="20"/>
              <w:spacing w:after="0"/>
              <w:rPr>
                <w:sz w:val="20"/>
                <w:szCs w:val="20"/>
                <w:color w:val="auto"/>
              </w:rPr>
            </w:pPr>
            <w:r>
              <w:rPr>
                <w:rFonts w:ascii="Verdana" w:cs="Verdana" w:eastAsia="Verdana" w:hAnsi="Verdana"/>
                <w:sz w:val="10"/>
                <w:szCs w:val="10"/>
                <w:b w:val="1"/>
                <w:bCs w:val="1"/>
                <w:color w:val="auto"/>
              </w:rPr>
              <w:t>Liabilities and stockholders’ equity</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760" w:type="dxa"/>
            <w:vAlign w:val="bottom"/>
            <w:gridSpan w:val="3"/>
            <w:shd w:val="clear" w:color="auto" w:fill="E0E7ED"/>
          </w:tcPr>
          <w:p>
            <w:pPr>
              <w:ind w:left="140"/>
              <w:spacing w:after="0"/>
              <w:rPr>
                <w:sz w:val="20"/>
                <w:szCs w:val="20"/>
                <w:color w:val="auto"/>
              </w:rPr>
            </w:pPr>
            <w:r>
              <w:rPr>
                <w:rFonts w:ascii="Verdana" w:cs="Verdana" w:eastAsia="Verdana" w:hAnsi="Verdana"/>
                <w:sz w:val="10"/>
                <w:szCs w:val="10"/>
                <w:color w:val="auto"/>
              </w:rPr>
              <w:t>Interest-bearing transaction deposits</w:t>
            </w:r>
          </w:p>
        </w:tc>
        <w:tc>
          <w:tcPr>
            <w:tcW w:w="180" w:type="dxa"/>
            <w:vAlign w:val="bottom"/>
            <w:shd w:val="clear" w:color="auto" w:fill="E0E7ED"/>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2,469,664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42,925</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1.74 %</w:t>
            </w:r>
          </w:p>
        </w:tc>
        <w:tc>
          <w:tcPr>
            <w:tcW w:w="260" w:type="dxa"/>
            <w:vAlign w:val="bottom"/>
            <w:gridSpan w:val="2"/>
            <w:shd w:val="clear" w:color="auto" w:fill="E0E7ED"/>
          </w:tcPr>
          <w:p>
            <w:pPr>
              <w:jc w:val="right"/>
              <w:ind w:right="71"/>
              <w:spacing w:after="0"/>
              <w:rPr>
                <w:sz w:val="20"/>
                <w:szCs w:val="20"/>
                <w:color w:val="auto"/>
              </w:rPr>
            </w:pPr>
            <w:r>
              <w:rPr>
                <w:rFonts w:ascii="Verdana" w:cs="Verdana" w:eastAsia="Verdana" w:hAnsi="Verdana"/>
                <w:sz w:val="10"/>
                <w:szCs w:val="10"/>
                <w:color w:val="auto"/>
              </w:rPr>
              <w:t>$</w:t>
            </w: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2,775,045</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43,268</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1.56 %</w:t>
            </w:r>
          </w:p>
        </w:tc>
        <w:tc>
          <w:tcPr>
            <w:tcW w:w="260" w:type="dxa"/>
            <w:vAlign w:val="bottom"/>
            <w:gridSpan w:val="2"/>
            <w:shd w:val="clear" w:color="auto" w:fill="E0E7ED"/>
          </w:tcPr>
          <w:p>
            <w:pPr>
              <w:jc w:val="right"/>
              <w:ind w:right="83"/>
              <w:spacing w:after="0"/>
              <w:rPr>
                <w:sz w:val="20"/>
                <w:szCs w:val="20"/>
                <w:color w:val="auto"/>
              </w:rPr>
            </w:pPr>
            <w:r>
              <w:rPr>
                <w:rFonts w:ascii="Verdana" w:cs="Verdana" w:eastAsia="Verdana" w:hAnsi="Verdana"/>
                <w:sz w:val="10"/>
                <w:szCs w:val="10"/>
                <w:color w:val="auto"/>
              </w:rPr>
              <w:t>$</w:t>
            </w: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2,785,439</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7,150</w:t>
            </w: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0.26 %</w:t>
            </w:r>
          </w:p>
        </w:tc>
        <w:tc>
          <w:tcPr>
            <w:tcW w:w="0" w:type="dxa"/>
            <w:vAlign w:val="bottom"/>
          </w:tcPr>
          <w:p>
            <w:pPr>
              <w:spacing w:after="0"/>
              <w:rPr>
                <w:sz w:val="1"/>
                <w:szCs w:val="1"/>
                <w:color w:val="auto"/>
              </w:rPr>
            </w:pPr>
          </w:p>
        </w:tc>
      </w:tr>
      <w:tr>
        <w:trPr>
          <w:trHeight w:val="133"/>
        </w:trPr>
        <w:tc>
          <w:tcPr>
            <w:tcW w:w="2760" w:type="dxa"/>
            <w:vAlign w:val="bottom"/>
            <w:gridSpan w:val="3"/>
          </w:tcPr>
          <w:p>
            <w:pPr>
              <w:ind w:left="140"/>
              <w:spacing w:after="0"/>
              <w:rPr>
                <w:sz w:val="20"/>
                <w:szCs w:val="20"/>
                <w:color w:val="auto"/>
              </w:rPr>
            </w:pPr>
            <w:r>
              <w:rPr>
                <w:rFonts w:ascii="Verdana" w:cs="Verdana" w:eastAsia="Verdana" w:hAnsi="Verdana"/>
                <w:sz w:val="10"/>
                <w:szCs w:val="10"/>
                <w:color w:val="auto"/>
              </w:rPr>
              <w:t>Savings and money market deposits</w:t>
            </w: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3,246,507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74,536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2.30 %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2,870,397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37,038</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1.29 %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3,326,259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4,237</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0.13 %</w:t>
            </w: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Time deposits</w:t>
            </w:r>
          </w:p>
        </w:tc>
        <w:tc>
          <w:tcPr>
            <w:tcW w:w="132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1,584,953</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61,002</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3.85 %</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1,406,928</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43,679</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3.10 %</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846,738</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4,725</w:t>
            </w: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0.56 %</w:t>
            </w:r>
          </w:p>
        </w:tc>
        <w:tc>
          <w:tcPr>
            <w:tcW w:w="0" w:type="dxa"/>
            <w:vAlign w:val="bottom"/>
          </w:tcPr>
          <w:p>
            <w:pPr>
              <w:spacing w:after="0"/>
              <w:rPr>
                <w:sz w:val="1"/>
                <w:szCs w:val="1"/>
                <w:color w:val="auto"/>
              </w:rPr>
            </w:pPr>
          </w:p>
        </w:tc>
      </w:tr>
      <w:tr>
        <w:trPr>
          <w:trHeight w:val="95"/>
        </w:trPr>
        <w:tc>
          <w:tcPr>
            <w:tcW w:w="2760" w:type="dxa"/>
            <w:vAlign w:val="bottom"/>
            <w:gridSpan w:val="3"/>
          </w:tcPr>
          <w:p>
            <w:pPr>
              <w:ind w:left="140"/>
              <w:spacing w:after="0" w:line="96" w:lineRule="exact"/>
              <w:rPr>
                <w:sz w:val="20"/>
                <w:szCs w:val="20"/>
                <w:color w:val="auto"/>
              </w:rPr>
            </w:pPr>
            <w:r>
              <w:rPr>
                <w:rFonts w:ascii="Verdana" w:cs="Verdana" w:eastAsia="Verdana" w:hAnsi="Verdana"/>
                <w:sz w:val="10"/>
                <w:szCs w:val="10"/>
                <w:color w:val="auto"/>
              </w:rPr>
              <w:t>Federal funds purchased and repurchase</w:t>
            </w:r>
          </w:p>
        </w:tc>
        <w:tc>
          <w:tcPr>
            <w:tcW w:w="180" w:type="dxa"/>
            <w:vAlign w:val="bottom"/>
          </w:tcPr>
          <w:p>
            <w:pPr>
              <w:spacing w:after="0"/>
              <w:rPr>
                <w:sz w:val="8"/>
                <w:szCs w:val="8"/>
                <w:color w:val="auto"/>
              </w:rPr>
            </w:pPr>
          </w:p>
        </w:tc>
        <w:tc>
          <w:tcPr>
            <w:tcW w:w="860" w:type="dxa"/>
            <w:vAlign w:val="bottom"/>
            <w:gridSpan w:val="2"/>
            <w:vMerge w:val="restart"/>
          </w:tcPr>
          <w:p>
            <w:pPr>
              <w:jc w:val="right"/>
              <w:ind w:right="60"/>
              <w:spacing w:after="0"/>
              <w:rPr>
                <w:sz w:val="20"/>
                <w:szCs w:val="20"/>
                <w:color w:val="auto"/>
              </w:rPr>
            </w:pPr>
            <w:r>
              <w:rPr>
                <w:rFonts w:ascii="Verdana" w:cs="Verdana" w:eastAsia="Verdana" w:hAnsi="Verdana"/>
                <w:sz w:val="10"/>
                <w:szCs w:val="10"/>
                <w:color w:val="auto"/>
              </w:rPr>
              <w:t>147,786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4,308</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2.92 %</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200,894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5,203</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2.59 %</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244,004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1,475</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Verdana" w:cs="Verdana" w:eastAsia="Verdana" w:hAnsi="Verdana"/>
                <w:sz w:val="10"/>
                <w:szCs w:val="10"/>
                <w:color w:val="auto"/>
              </w:rPr>
              <w:t>0.60 %</w:t>
            </w: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rPr>
              <w:t>agreements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line="143" w:lineRule="exact"/>
              <w:rPr>
                <w:sz w:val="20"/>
                <w:szCs w:val="20"/>
                <w:color w:val="auto"/>
              </w:rPr>
            </w:pPr>
            <w:r>
              <w:rPr>
                <w:rFonts w:ascii="Verdana" w:cs="Verdana" w:eastAsia="Verdana" w:hAnsi="Verdana"/>
                <w:sz w:val="10"/>
                <w:szCs w:val="10"/>
                <w:color w:val="auto"/>
              </w:rPr>
              <w:t>Borrowings</w:t>
            </w:r>
            <w:r>
              <w:rPr>
                <w:rFonts w:ascii="Verdana" w:cs="Verdana" w:eastAsia="Verdana" w:hAnsi="Verdana"/>
                <w:sz w:val="12"/>
                <w:szCs w:val="12"/>
                <w:color w:val="auto"/>
                <w:vertAlign w:val="superscript"/>
              </w:rPr>
              <w:t>4</w:t>
            </w:r>
          </w:p>
        </w:tc>
        <w:tc>
          <w:tcPr>
            <w:tcW w:w="132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240,137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13,651</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5.68 %</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500,301</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26,881</w:t>
            </w: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5.37 %</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309,175</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15,932</w:t>
            </w: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5.15 %</w:t>
            </w:r>
          </w:p>
        </w:tc>
        <w:tc>
          <w:tcPr>
            <w:tcW w:w="0" w:type="dxa"/>
            <w:vAlign w:val="bottom"/>
          </w:tcPr>
          <w:p>
            <w:pPr>
              <w:spacing w:after="0"/>
              <w:rPr>
                <w:sz w:val="1"/>
                <w:szCs w:val="1"/>
                <w:color w:val="auto"/>
              </w:rPr>
            </w:pPr>
          </w:p>
        </w:tc>
      </w:tr>
      <w:tr>
        <w:trPr>
          <w:trHeight w:val="95"/>
        </w:trPr>
        <w:tc>
          <w:tcPr>
            <w:tcW w:w="2760" w:type="dxa"/>
            <w:vAlign w:val="bottom"/>
            <w:gridSpan w:val="3"/>
          </w:tcPr>
          <w:p>
            <w:pPr>
              <w:ind w:left="140"/>
              <w:spacing w:after="0" w:line="96" w:lineRule="exact"/>
              <w:rPr>
                <w:sz w:val="20"/>
                <w:szCs w:val="20"/>
                <w:color w:val="auto"/>
              </w:rPr>
            </w:pPr>
            <w:r>
              <w:rPr>
                <w:rFonts w:ascii="Verdana" w:cs="Verdana" w:eastAsia="Verdana" w:hAnsi="Verdana"/>
                <w:sz w:val="10"/>
                <w:szCs w:val="10"/>
                <w:color w:val="auto"/>
              </w:rPr>
              <w:t>Junior subordinated debt issued to unconsolidated</w:t>
            </w:r>
          </w:p>
        </w:tc>
        <w:tc>
          <w:tcPr>
            <w:tcW w:w="180" w:type="dxa"/>
            <w:vAlign w:val="bottom"/>
          </w:tcPr>
          <w:p>
            <w:pPr>
              <w:spacing w:after="0"/>
              <w:rPr>
                <w:sz w:val="8"/>
                <w:szCs w:val="8"/>
                <w:color w:val="auto"/>
              </w:rPr>
            </w:pPr>
          </w:p>
        </w:tc>
        <w:tc>
          <w:tcPr>
            <w:tcW w:w="860" w:type="dxa"/>
            <w:vAlign w:val="bottom"/>
            <w:gridSpan w:val="2"/>
            <w:vMerge w:val="restart"/>
          </w:tcPr>
          <w:p>
            <w:pPr>
              <w:jc w:val="right"/>
              <w:ind w:right="60"/>
              <w:spacing w:after="0"/>
              <w:rPr>
                <w:sz w:val="20"/>
                <w:szCs w:val="20"/>
                <w:color w:val="auto"/>
              </w:rPr>
            </w:pPr>
            <w:r>
              <w:rPr>
                <w:rFonts w:ascii="Verdana" w:cs="Verdana" w:eastAsia="Verdana" w:hAnsi="Verdana"/>
                <w:sz w:val="10"/>
                <w:szCs w:val="10"/>
                <w:color w:val="auto"/>
              </w:rPr>
              <w:t>74,037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4,648</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6.28 %</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71,894</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3,853</w:t>
            </w:r>
          </w:p>
        </w:tc>
        <w:tc>
          <w:tcPr>
            <w:tcW w:w="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Verdana" w:cs="Verdana" w:eastAsia="Verdana" w:hAnsi="Verdana"/>
                <w:sz w:val="10"/>
                <w:szCs w:val="10"/>
                <w:color w:val="auto"/>
              </w:rPr>
              <w:t>5.36 %</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71,716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right"/>
              <w:ind w:right="11"/>
              <w:spacing w:after="0"/>
              <w:rPr>
                <w:sz w:val="20"/>
                <w:szCs w:val="20"/>
                <w:color w:val="auto"/>
              </w:rPr>
            </w:pPr>
            <w:r>
              <w:rPr>
                <w:rFonts w:ascii="Verdana" w:cs="Verdana" w:eastAsia="Verdana" w:hAnsi="Verdana"/>
                <w:sz w:val="10"/>
                <w:szCs w:val="10"/>
                <w:color w:val="auto"/>
              </w:rPr>
              <w:t>3,029</w:t>
            </w:r>
          </w:p>
        </w:tc>
        <w:tc>
          <w:tcPr>
            <w:tcW w:w="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Verdana" w:cs="Verdana" w:eastAsia="Verdana" w:hAnsi="Verdana"/>
                <w:sz w:val="10"/>
                <w:szCs w:val="10"/>
                <w:color w:val="auto"/>
              </w:rPr>
              <w:t>4.22 %</w:t>
            </w:r>
          </w:p>
        </w:tc>
        <w:tc>
          <w:tcPr>
            <w:tcW w:w="0" w:type="dxa"/>
            <w:vAlign w:val="bottom"/>
          </w:tcPr>
          <w:p>
            <w:pPr>
              <w:spacing w:after="0"/>
              <w:rPr>
                <w:sz w:val="1"/>
                <w:szCs w:val="1"/>
                <w:color w:val="auto"/>
              </w:rPr>
            </w:pPr>
          </w:p>
        </w:tc>
      </w:tr>
      <w:tr>
        <w:trPr>
          <w:trHeight w:val="133"/>
        </w:trPr>
        <w:tc>
          <w:tcPr>
            <w:tcW w:w="1440" w:type="dxa"/>
            <w:vAlign w:val="bottom"/>
            <w:tcBorders>
              <w:bottom w:val="single" w:sz="8" w:color="E0E7ED"/>
            </w:tcBorders>
            <w:gridSpan w:val="2"/>
          </w:tcPr>
          <w:p>
            <w:pPr>
              <w:ind w:left="140"/>
              <w:spacing w:after="0"/>
              <w:rPr>
                <w:sz w:val="20"/>
                <w:szCs w:val="20"/>
                <w:color w:val="auto"/>
              </w:rPr>
            </w:pPr>
            <w:r>
              <w:rPr>
                <w:rFonts w:ascii="Verdana" w:cs="Verdana" w:eastAsia="Verdana" w:hAnsi="Verdana"/>
                <w:sz w:val="10"/>
                <w:szCs w:val="10"/>
                <w:color w:val="auto"/>
              </w:rPr>
              <w:t>trusts</w:t>
            </w:r>
          </w:p>
        </w:tc>
        <w:tc>
          <w:tcPr>
            <w:tcW w:w="132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E0E7ED"/>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60" w:type="dxa"/>
            <w:vAlign w:val="bottom"/>
            <w:tcBorders>
              <w:bottom w:val="single" w:sz="8" w:color="E0E7ED"/>
            </w:tcBorders>
            <w:gridSpan w:val="3"/>
            <w:shd w:val="clear" w:color="auto" w:fill="E0E7ED"/>
          </w:tcPr>
          <w:p>
            <w:pPr>
              <w:ind w:left="140"/>
              <w:spacing w:after="0"/>
              <w:rPr>
                <w:sz w:val="20"/>
                <w:szCs w:val="20"/>
                <w:color w:val="auto"/>
              </w:rPr>
            </w:pPr>
            <w:r>
              <w:rPr>
                <w:rFonts w:ascii="Verdana" w:cs="Verdana" w:eastAsia="Verdana" w:hAnsi="Verdana"/>
                <w:sz w:val="10"/>
                <w:szCs w:val="10"/>
                <w:color w:val="auto"/>
              </w:rPr>
              <w:t>Total interest-bearing liabilities</w:t>
            </w:r>
          </w:p>
        </w:tc>
        <w:tc>
          <w:tcPr>
            <w:tcW w:w="180" w:type="dxa"/>
            <w:vAlign w:val="bottom"/>
            <w:tcBorders>
              <w:bottom w:val="single" w:sz="8" w:color="E0E7ED"/>
            </w:tcBorders>
            <w:shd w:val="clear" w:color="auto" w:fill="E0E7ED"/>
          </w:tcPr>
          <w:p>
            <w:pPr>
              <w:spacing w:after="0"/>
              <w:rPr>
                <w:sz w:val="13"/>
                <w:szCs w:val="13"/>
                <w:color w:val="auto"/>
              </w:rPr>
            </w:pPr>
          </w:p>
        </w:tc>
        <w:tc>
          <w:tcPr>
            <w:tcW w:w="860" w:type="dxa"/>
            <w:vAlign w:val="bottom"/>
            <w:tcBorders>
              <w:bottom w:val="single" w:sz="8" w:color="E0E7ED"/>
            </w:tcBorders>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7,763,084</w:t>
            </w: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201,070</w:t>
            </w:r>
          </w:p>
        </w:tc>
        <w:tc>
          <w:tcPr>
            <w:tcW w:w="60" w:type="dxa"/>
            <w:vAlign w:val="bottom"/>
            <w:tcBorders>
              <w:bottom w:val="single" w:sz="8" w:color="E0E7ED"/>
            </w:tcBorders>
            <w:shd w:val="clear" w:color="auto" w:fill="E0E7ED"/>
          </w:tcPr>
          <w:p>
            <w:pPr>
              <w:spacing w:after="0"/>
              <w:rPr>
                <w:sz w:val="13"/>
                <w:szCs w:val="13"/>
                <w:color w:val="auto"/>
              </w:rPr>
            </w:pPr>
          </w:p>
        </w:tc>
        <w:tc>
          <w:tcPr>
            <w:tcW w:w="58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0"/>
                <w:szCs w:val="10"/>
                <w:color w:val="auto"/>
              </w:rPr>
              <w:t>2.59 %</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E0E7ED"/>
            </w:tcBorders>
            <w:shd w:val="clear" w:color="auto" w:fill="E0E7ED"/>
          </w:tcPr>
          <w:p>
            <w:pPr>
              <w:spacing w:after="0"/>
              <w:rPr>
                <w:sz w:val="13"/>
                <w:szCs w:val="13"/>
                <w:color w:val="auto"/>
              </w:rPr>
            </w:pPr>
          </w:p>
        </w:tc>
        <w:tc>
          <w:tcPr>
            <w:tcW w:w="860" w:type="dxa"/>
            <w:vAlign w:val="bottom"/>
            <w:tcBorders>
              <w:bottom w:val="single" w:sz="8" w:color="E0E7ED"/>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7,825,459</w:t>
            </w: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159,922</w:t>
            </w:r>
          </w:p>
        </w:tc>
        <w:tc>
          <w:tcPr>
            <w:tcW w:w="60" w:type="dxa"/>
            <w:vAlign w:val="bottom"/>
            <w:tcBorders>
              <w:bottom w:val="single" w:sz="8" w:color="E0E7ED"/>
            </w:tcBorders>
            <w:shd w:val="clear" w:color="auto" w:fill="E0E7ED"/>
          </w:tcPr>
          <w:p>
            <w:pPr>
              <w:spacing w:after="0"/>
              <w:rPr>
                <w:sz w:val="13"/>
                <w:szCs w:val="13"/>
                <w:color w:val="auto"/>
              </w:rPr>
            </w:pPr>
          </w:p>
        </w:tc>
        <w:tc>
          <w:tcPr>
            <w:tcW w:w="58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0"/>
                <w:szCs w:val="10"/>
                <w:color w:val="auto"/>
              </w:rPr>
              <w:t>2.04 %</w:t>
            </w:r>
          </w:p>
        </w:tc>
        <w:tc>
          <w:tcPr>
            <w:tcW w:w="80" w:type="dxa"/>
            <w:vAlign w:val="bottom"/>
            <w:tcBorders>
              <w:bottom w:val="single" w:sz="8" w:color="E0E7ED"/>
            </w:tcBorders>
            <w:shd w:val="clear" w:color="auto" w:fill="E0E7ED"/>
          </w:tcPr>
          <w:p>
            <w:pPr>
              <w:spacing w:after="0"/>
              <w:rPr>
                <w:sz w:val="13"/>
                <w:szCs w:val="13"/>
                <w:color w:val="auto"/>
              </w:rPr>
            </w:pPr>
          </w:p>
        </w:tc>
        <w:tc>
          <w:tcPr>
            <w:tcW w:w="180" w:type="dxa"/>
            <w:vAlign w:val="bottom"/>
            <w:tcBorders>
              <w:bottom w:val="single" w:sz="8" w:color="E0E7ED"/>
            </w:tcBorders>
            <w:shd w:val="clear" w:color="auto" w:fill="E0E7ED"/>
          </w:tcPr>
          <w:p>
            <w:pPr>
              <w:spacing w:after="0"/>
              <w:rPr>
                <w:sz w:val="13"/>
                <w:szCs w:val="13"/>
                <w:color w:val="auto"/>
              </w:rPr>
            </w:pPr>
          </w:p>
        </w:tc>
        <w:tc>
          <w:tcPr>
            <w:tcW w:w="860" w:type="dxa"/>
            <w:vAlign w:val="bottom"/>
            <w:tcBorders>
              <w:bottom w:val="single" w:sz="8" w:color="E0E7ED"/>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7,583,331</w:t>
            </w: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36,548</w:t>
            </w:r>
          </w:p>
        </w:tc>
        <w:tc>
          <w:tcPr>
            <w:tcW w:w="60" w:type="dxa"/>
            <w:vAlign w:val="bottom"/>
            <w:tcBorders>
              <w:bottom w:val="single" w:sz="8" w:color="E0E7ED"/>
            </w:tcBorders>
            <w:shd w:val="clear" w:color="auto" w:fill="E0E7ED"/>
          </w:tcPr>
          <w:p>
            <w:pPr>
              <w:spacing w:after="0"/>
              <w:rPr>
                <w:sz w:val="13"/>
                <w:szCs w:val="13"/>
                <w:color w:val="auto"/>
              </w:rPr>
            </w:pPr>
          </w:p>
        </w:tc>
        <w:tc>
          <w:tcPr>
            <w:tcW w:w="60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0"/>
                <w:szCs w:val="10"/>
                <w:color w:val="auto"/>
              </w:rPr>
              <w:t>0.48 %</w:t>
            </w:r>
          </w:p>
        </w:tc>
        <w:tc>
          <w:tcPr>
            <w:tcW w:w="0" w:type="dxa"/>
            <w:vAlign w:val="bottom"/>
          </w:tcPr>
          <w:p>
            <w:pPr>
              <w:spacing w:after="0"/>
              <w:rPr>
                <w:sz w:val="1"/>
                <w:szCs w:val="1"/>
                <w:color w:val="auto"/>
              </w:rPr>
            </w:pPr>
          </w:p>
        </w:tc>
      </w:tr>
      <w:tr>
        <w:trPr>
          <w:trHeight w:val="20"/>
        </w:trPr>
        <w:tc>
          <w:tcPr>
            <w:tcW w:w="1440" w:type="dxa"/>
            <w:vAlign w:val="bottom"/>
            <w:tcBorders>
              <w:top w:val="single" w:sz="8" w:color="E0E7ED"/>
            </w:tcBorders>
            <w:gridSpan w:val="2"/>
          </w:tcPr>
          <w:p>
            <w:pPr>
              <w:spacing w:after="0" w:line="20" w:lineRule="exact"/>
              <w:rPr>
                <w:sz w:val="1"/>
                <w:szCs w:val="1"/>
                <w:color w:val="auto"/>
              </w:rPr>
            </w:pPr>
          </w:p>
        </w:tc>
        <w:tc>
          <w:tcPr>
            <w:tcW w:w="13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6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440" w:type="dxa"/>
            <w:vAlign w:val="bottom"/>
            <w:tcBorders>
              <w:bottom w:val="single" w:sz="8" w:color="E0E7ED"/>
            </w:tcBorders>
            <w:gridSpan w:val="2"/>
            <w:shd w:val="clear" w:color="auto" w:fill="E0E7ED"/>
          </w:tcPr>
          <w:p>
            <w:pPr>
              <w:ind w:left="140"/>
              <w:spacing w:after="0" w:line="138" w:lineRule="exact"/>
              <w:rPr>
                <w:sz w:val="20"/>
                <w:szCs w:val="20"/>
                <w:color w:val="auto"/>
              </w:rPr>
            </w:pPr>
            <w:r>
              <w:rPr>
                <w:rFonts w:ascii="Verdana" w:cs="Verdana" w:eastAsia="Verdana" w:hAnsi="Verdana"/>
                <w:sz w:val="10"/>
                <w:szCs w:val="10"/>
                <w:color w:val="auto"/>
              </w:rPr>
              <w:t>Net interest spread</w:t>
            </w:r>
            <w:r>
              <w:rPr>
                <w:rFonts w:ascii="Verdana" w:cs="Verdana" w:eastAsia="Verdana" w:hAnsi="Verdana"/>
                <w:sz w:val="12"/>
                <w:szCs w:val="12"/>
                <w:color w:val="auto"/>
                <w:vertAlign w:val="superscript"/>
              </w:rPr>
              <w:t>1</w:t>
            </w:r>
          </w:p>
        </w:tc>
        <w:tc>
          <w:tcPr>
            <w:tcW w:w="1320" w:type="dxa"/>
            <w:vAlign w:val="bottom"/>
            <w:tcBorders>
              <w:bottom w:val="single" w:sz="8" w:color="E0E7ED"/>
            </w:tcBorders>
            <w:shd w:val="clear" w:color="auto" w:fill="E0E7ED"/>
          </w:tcPr>
          <w:p>
            <w:pPr>
              <w:spacing w:after="0"/>
              <w:rPr>
                <w:sz w:val="13"/>
                <w:szCs w:val="13"/>
                <w:color w:val="auto"/>
              </w:rPr>
            </w:pPr>
          </w:p>
        </w:tc>
        <w:tc>
          <w:tcPr>
            <w:tcW w:w="180" w:type="dxa"/>
            <w:vAlign w:val="bottom"/>
            <w:tcBorders>
              <w:bottom w:val="single" w:sz="8" w:color="E0E7ED"/>
            </w:tcBorders>
            <w:shd w:val="clear" w:color="auto" w:fill="E0E7ED"/>
          </w:tcPr>
          <w:p>
            <w:pPr>
              <w:spacing w:after="0"/>
              <w:rPr>
                <w:sz w:val="13"/>
                <w:szCs w:val="13"/>
                <w:color w:val="auto"/>
              </w:rPr>
            </w:pPr>
          </w:p>
        </w:tc>
        <w:tc>
          <w:tcPr>
            <w:tcW w:w="380" w:type="dxa"/>
            <w:vAlign w:val="bottom"/>
            <w:tcBorders>
              <w:bottom w:val="single" w:sz="8" w:color="E0E7ED"/>
            </w:tcBorders>
            <w:shd w:val="clear" w:color="auto" w:fill="E0E7ED"/>
          </w:tcPr>
          <w:p>
            <w:pPr>
              <w:spacing w:after="0"/>
              <w:rPr>
                <w:sz w:val="13"/>
                <w:szCs w:val="13"/>
                <w:color w:val="auto"/>
              </w:rPr>
            </w:pPr>
          </w:p>
        </w:tc>
        <w:tc>
          <w:tcPr>
            <w:tcW w:w="48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E0E7ED"/>
            </w:tcBorders>
            <w:shd w:val="clear" w:color="auto" w:fill="E0E7ED"/>
          </w:tcPr>
          <w:p>
            <w:pPr>
              <w:spacing w:after="0"/>
              <w:rPr>
                <w:sz w:val="13"/>
                <w:szCs w:val="13"/>
                <w:color w:val="auto"/>
              </w:rPr>
            </w:pPr>
          </w:p>
        </w:tc>
        <w:tc>
          <w:tcPr>
            <w:tcW w:w="92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2.19 %</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E0E7ED"/>
            </w:tcBorders>
            <w:shd w:val="clear" w:color="auto" w:fill="E0E7ED"/>
          </w:tcPr>
          <w:p>
            <w:pPr>
              <w:spacing w:after="0"/>
              <w:rPr>
                <w:sz w:val="13"/>
                <w:szCs w:val="13"/>
                <w:color w:val="auto"/>
              </w:rPr>
            </w:pPr>
          </w:p>
        </w:tc>
        <w:tc>
          <w:tcPr>
            <w:tcW w:w="86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E0E7ED"/>
            </w:tcBorders>
            <w:shd w:val="clear" w:color="auto" w:fill="E0E7ED"/>
          </w:tcPr>
          <w:p>
            <w:pPr>
              <w:spacing w:after="0"/>
              <w:rPr>
                <w:sz w:val="13"/>
                <w:szCs w:val="13"/>
                <w:color w:val="auto"/>
              </w:rPr>
            </w:pPr>
          </w:p>
        </w:tc>
        <w:tc>
          <w:tcPr>
            <w:tcW w:w="92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2.28 %</w:t>
            </w:r>
          </w:p>
        </w:tc>
        <w:tc>
          <w:tcPr>
            <w:tcW w:w="80" w:type="dxa"/>
            <w:vAlign w:val="bottom"/>
            <w:tcBorders>
              <w:bottom w:val="single" w:sz="8" w:color="E0E7ED"/>
            </w:tcBorders>
            <w:shd w:val="clear" w:color="auto" w:fill="E0E7ED"/>
          </w:tcPr>
          <w:p>
            <w:pPr>
              <w:spacing w:after="0"/>
              <w:rPr>
                <w:sz w:val="13"/>
                <w:szCs w:val="13"/>
                <w:color w:val="auto"/>
              </w:rPr>
            </w:pPr>
          </w:p>
        </w:tc>
        <w:tc>
          <w:tcPr>
            <w:tcW w:w="180" w:type="dxa"/>
            <w:vAlign w:val="bottom"/>
            <w:tcBorders>
              <w:bottom w:val="single" w:sz="8" w:color="E0E7ED"/>
            </w:tcBorders>
            <w:shd w:val="clear" w:color="auto" w:fill="E0E7ED"/>
          </w:tcPr>
          <w:p>
            <w:pPr>
              <w:spacing w:after="0"/>
              <w:rPr>
                <w:sz w:val="13"/>
                <w:szCs w:val="13"/>
                <w:color w:val="auto"/>
              </w:rPr>
            </w:pPr>
          </w:p>
        </w:tc>
        <w:tc>
          <w:tcPr>
            <w:tcW w:w="86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E0E7ED"/>
            </w:tcBorders>
            <w:shd w:val="clear" w:color="auto" w:fill="E0E7ED"/>
          </w:tcPr>
          <w:p>
            <w:pPr>
              <w:spacing w:after="0"/>
              <w:rPr>
                <w:sz w:val="13"/>
                <w:szCs w:val="13"/>
                <w:color w:val="auto"/>
              </w:rPr>
            </w:pPr>
          </w:p>
        </w:tc>
        <w:tc>
          <w:tcPr>
            <w:tcW w:w="920" w:type="dxa"/>
            <w:vAlign w:val="bottom"/>
            <w:tcBorders>
              <w:bottom w:val="single" w:sz="8" w:color="E0E7ED"/>
            </w:tcBorders>
            <w:shd w:val="clear" w:color="auto" w:fill="E0E7ED"/>
          </w:tcPr>
          <w:p>
            <w:pPr>
              <w:spacing w:after="0"/>
              <w:rPr>
                <w:sz w:val="13"/>
                <w:szCs w:val="13"/>
                <w:color w:val="auto"/>
              </w:rPr>
            </w:pPr>
          </w:p>
        </w:tc>
        <w:tc>
          <w:tcPr>
            <w:tcW w:w="60" w:type="dxa"/>
            <w:vAlign w:val="bottom"/>
            <w:tcBorders>
              <w:bottom w:val="single" w:sz="8" w:color="E0E7ED"/>
            </w:tcBorders>
            <w:shd w:val="clear" w:color="auto" w:fill="E0E7ED"/>
          </w:tcPr>
          <w:p>
            <w:pPr>
              <w:spacing w:after="0"/>
              <w:rPr>
                <w:sz w:val="13"/>
                <w:szCs w:val="13"/>
                <w:color w:val="auto"/>
              </w:rPr>
            </w:pPr>
          </w:p>
        </w:tc>
        <w:tc>
          <w:tcPr>
            <w:tcW w:w="6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2.68 %</w:t>
            </w:r>
          </w:p>
        </w:tc>
        <w:tc>
          <w:tcPr>
            <w:tcW w:w="0" w:type="dxa"/>
            <w:vAlign w:val="bottom"/>
          </w:tcPr>
          <w:p>
            <w:pPr>
              <w:spacing w:after="0"/>
              <w:rPr>
                <w:sz w:val="1"/>
                <w:szCs w:val="1"/>
                <w:color w:val="auto"/>
              </w:rPr>
            </w:pPr>
          </w:p>
        </w:tc>
      </w:tr>
      <w:tr>
        <w:trPr>
          <w:trHeight w:val="20"/>
        </w:trPr>
        <w:tc>
          <w:tcPr>
            <w:tcW w:w="2760" w:type="dxa"/>
            <w:vAlign w:val="bottom"/>
            <w:tcBorders>
              <w:top w:val="single" w:sz="8" w:color="E0E7ED"/>
            </w:tcBorders>
            <w:gridSpan w:val="3"/>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gridSpan w:val="2"/>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6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760" w:type="dxa"/>
            <w:vAlign w:val="bottom"/>
            <w:gridSpan w:val="3"/>
            <w:shd w:val="clear" w:color="auto" w:fill="E0E7ED"/>
          </w:tcPr>
          <w:p>
            <w:pPr>
              <w:ind w:left="140"/>
              <w:spacing w:after="0"/>
              <w:rPr>
                <w:sz w:val="20"/>
                <w:szCs w:val="20"/>
                <w:color w:val="auto"/>
              </w:rPr>
            </w:pPr>
            <w:r>
              <w:rPr>
                <w:rFonts w:ascii="Verdana" w:cs="Verdana" w:eastAsia="Verdana" w:hAnsi="Verdana"/>
                <w:sz w:val="10"/>
                <w:szCs w:val="10"/>
                <w:color w:val="auto"/>
              </w:rPr>
              <w:t>Noninterest-bearing deposits</w:t>
            </w:r>
          </w:p>
        </w:tc>
        <w:tc>
          <w:tcPr>
            <w:tcW w:w="180" w:type="dxa"/>
            <w:vAlign w:val="bottom"/>
            <w:shd w:val="clear" w:color="auto" w:fill="E0E7ED"/>
          </w:tcPr>
          <w:p>
            <w:pPr>
              <w:spacing w:after="0"/>
              <w:rPr>
                <w:sz w:val="11"/>
                <w:szCs w:val="11"/>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2,738,892</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58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3,018,563</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5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3,550,517</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9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60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40" w:type="dxa"/>
            <w:vAlign w:val="bottom"/>
            <w:gridSpan w:val="2"/>
          </w:tcPr>
          <w:p>
            <w:pPr>
              <w:ind w:left="140"/>
              <w:spacing w:after="0"/>
              <w:rPr>
                <w:sz w:val="20"/>
                <w:szCs w:val="20"/>
                <w:color w:val="auto"/>
              </w:rPr>
            </w:pPr>
            <w:r>
              <w:rPr>
                <w:rFonts w:ascii="Verdana" w:cs="Verdana" w:eastAsia="Verdana" w:hAnsi="Verdana"/>
                <w:sz w:val="10"/>
                <w:szCs w:val="10"/>
                <w:color w:val="auto"/>
              </w:rPr>
              <w:t>Other liabilities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207,471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204,685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163,929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Stockholders’ equity</w:t>
            </w:r>
          </w:p>
        </w:tc>
        <w:tc>
          <w:tcPr>
            <w:tcW w:w="132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1,342,424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1,197,511</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5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spacing w:after="0"/>
              <w:rPr>
                <w:sz w:val="12"/>
                <w:szCs w:val="12"/>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1,195,171</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60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60" w:type="dxa"/>
            <w:vAlign w:val="bottom"/>
            <w:gridSpan w:val="3"/>
          </w:tcPr>
          <w:p>
            <w:pPr>
              <w:ind w:left="20"/>
              <w:spacing w:after="0"/>
              <w:rPr>
                <w:sz w:val="20"/>
                <w:szCs w:val="20"/>
                <w:color w:val="auto"/>
              </w:rPr>
            </w:pPr>
            <w:r>
              <w:rPr>
                <w:rFonts w:ascii="Verdana" w:cs="Verdana" w:eastAsia="Verdana" w:hAnsi="Verdana"/>
                <w:sz w:val="10"/>
                <w:szCs w:val="10"/>
                <w:color w:val="auto"/>
              </w:rPr>
              <w:t>Total liabilities and stockholders’ equity</w:t>
            </w: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tcBorders>
              <w:bottom w:val="single" w:sz="8" w:color="auto"/>
            </w:tcBorders>
            <w:gridSpan w:val="2"/>
          </w:tcPr>
          <w:p>
            <w:pPr>
              <w:jc w:val="right"/>
              <w:ind w:right="60"/>
              <w:spacing w:after="0"/>
              <w:rPr>
                <w:sz w:val="20"/>
                <w:szCs w:val="20"/>
                <w:color w:val="auto"/>
              </w:rPr>
            </w:pPr>
            <w:r>
              <w:rPr>
                <w:rFonts w:ascii="Verdana" w:cs="Verdana" w:eastAsia="Verdana" w:hAnsi="Verdana"/>
                <w:sz w:val="10"/>
                <w:szCs w:val="10"/>
                <w:color w:val="auto"/>
              </w:rPr>
              <w:t>12,051,871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12,246,218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12,492,948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132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5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6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24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132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380" w:type="dxa"/>
            <w:vAlign w:val="bottom"/>
            <w:shd w:val="clear" w:color="auto" w:fill="E0E7ED"/>
          </w:tcPr>
          <w:p>
            <w:pPr>
              <w:spacing w:after="0"/>
              <w:rPr>
                <w:sz w:val="8"/>
                <w:szCs w:val="8"/>
                <w:color w:val="auto"/>
              </w:rPr>
            </w:pPr>
          </w:p>
        </w:tc>
        <w:tc>
          <w:tcPr>
            <w:tcW w:w="4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20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580" w:type="dxa"/>
            <w:vAlign w:val="bottom"/>
            <w:shd w:val="clear" w:color="auto" w:fill="E0E7ED"/>
          </w:tcPr>
          <w:p>
            <w:pPr>
              <w:spacing w:after="0"/>
              <w:rPr>
                <w:sz w:val="8"/>
                <w:szCs w:val="8"/>
                <w:color w:val="auto"/>
              </w:rPr>
            </w:pPr>
          </w:p>
        </w:tc>
        <w:tc>
          <w:tcPr>
            <w:tcW w:w="80" w:type="dxa"/>
            <w:vAlign w:val="bottom"/>
            <w:shd w:val="clear" w:color="auto" w:fill="E0E7ED"/>
          </w:tcPr>
          <w:p>
            <w:pPr>
              <w:spacing w:after="0"/>
              <w:rPr>
                <w:sz w:val="8"/>
                <w:szCs w:val="8"/>
                <w:color w:val="auto"/>
              </w:rPr>
            </w:pPr>
          </w:p>
        </w:tc>
        <w:tc>
          <w:tcPr>
            <w:tcW w:w="180" w:type="dxa"/>
            <w:vAlign w:val="bottom"/>
            <w:shd w:val="clear" w:color="auto" w:fill="E0E7ED"/>
          </w:tcPr>
          <w:p>
            <w:pPr>
              <w:spacing w:after="0"/>
              <w:rPr>
                <w:sz w:val="8"/>
                <w:szCs w:val="8"/>
                <w:color w:val="auto"/>
              </w:rPr>
            </w:pPr>
          </w:p>
        </w:tc>
        <w:tc>
          <w:tcPr>
            <w:tcW w:w="86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120" w:type="dxa"/>
            <w:vAlign w:val="bottom"/>
            <w:shd w:val="clear" w:color="auto" w:fill="E0E7ED"/>
          </w:tcPr>
          <w:p>
            <w:pPr>
              <w:spacing w:after="0"/>
              <w:rPr>
                <w:sz w:val="8"/>
                <w:szCs w:val="8"/>
                <w:color w:val="auto"/>
              </w:rPr>
            </w:pPr>
          </w:p>
        </w:tc>
        <w:tc>
          <w:tcPr>
            <w:tcW w:w="920" w:type="dxa"/>
            <w:vAlign w:val="bottom"/>
            <w:shd w:val="clear" w:color="auto" w:fill="E0E7ED"/>
          </w:tcPr>
          <w:p>
            <w:pPr>
              <w:spacing w:after="0"/>
              <w:rPr>
                <w:sz w:val="8"/>
                <w:szCs w:val="8"/>
                <w:color w:val="auto"/>
              </w:rPr>
            </w:pPr>
          </w:p>
        </w:tc>
        <w:tc>
          <w:tcPr>
            <w:tcW w:w="60" w:type="dxa"/>
            <w:vAlign w:val="bottom"/>
            <w:shd w:val="clear" w:color="auto" w:fill="E0E7ED"/>
          </w:tcPr>
          <w:p>
            <w:pPr>
              <w:spacing w:after="0"/>
              <w:rPr>
                <w:sz w:val="8"/>
                <w:szCs w:val="8"/>
                <w:color w:val="auto"/>
              </w:rPr>
            </w:pPr>
          </w:p>
        </w:tc>
        <w:tc>
          <w:tcPr>
            <w:tcW w:w="600" w:type="dxa"/>
            <w:vAlign w:val="bottom"/>
            <w:shd w:val="clear" w:color="auto" w:fill="E0E7ED"/>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760" w:type="dxa"/>
            <w:vAlign w:val="bottom"/>
            <w:gridSpan w:val="3"/>
          </w:tcPr>
          <w:p>
            <w:pPr>
              <w:ind w:left="20"/>
              <w:spacing w:after="0" w:line="138" w:lineRule="exact"/>
              <w:rPr>
                <w:sz w:val="20"/>
                <w:szCs w:val="20"/>
                <w:color w:val="auto"/>
              </w:rPr>
            </w:pPr>
            <w:r>
              <w:rPr>
                <w:rFonts w:ascii="Verdana" w:cs="Verdana" w:eastAsia="Verdana" w:hAnsi="Verdana"/>
                <w:sz w:val="10"/>
                <w:szCs w:val="10"/>
                <w:color w:val="auto"/>
              </w:rPr>
              <w:t>Interest income / earning assets</w:t>
            </w:r>
            <w:r>
              <w:rPr>
                <w:rFonts w:ascii="Verdana" w:cs="Verdana" w:eastAsia="Verdana" w:hAnsi="Verdana"/>
                <w:sz w:val="12"/>
                <w:szCs w:val="12"/>
                <w:color w:val="auto"/>
                <w:vertAlign w:val="superscript"/>
              </w:rPr>
              <w:t>1, 3</w:t>
            </w: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860" w:type="dxa"/>
            <w:vAlign w:val="bottom"/>
            <w:gridSpan w:val="2"/>
          </w:tcPr>
          <w:p>
            <w:pPr>
              <w:jc w:val="right"/>
              <w:ind w:right="60"/>
              <w:spacing w:after="0"/>
              <w:rPr>
                <w:sz w:val="20"/>
                <w:szCs w:val="20"/>
                <w:color w:val="auto"/>
              </w:rPr>
            </w:pPr>
            <w:r>
              <w:rPr>
                <w:rFonts w:ascii="Verdana" w:cs="Verdana" w:eastAsia="Verdana" w:hAnsi="Verdana"/>
                <w:sz w:val="10"/>
                <w:szCs w:val="10"/>
                <w:color w:val="auto"/>
              </w:rPr>
              <w:t>10,999,424</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525,374</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4.78 %</w:t>
            </w:r>
          </w:p>
        </w:tc>
        <w:tc>
          <w:tcPr>
            <w:tcW w:w="260" w:type="dxa"/>
            <w:vAlign w:val="bottom"/>
            <w:gridSpan w:val="2"/>
          </w:tcPr>
          <w:p>
            <w:pPr>
              <w:jc w:val="right"/>
              <w:ind w:right="71"/>
              <w:spacing w:after="0"/>
              <w:rPr>
                <w:sz w:val="20"/>
                <w:szCs w:val="20"/>
                <w:color w:val="auto"/>
              </w:rPr>
            </w:pPr>
            <w:r>
              <w:rPr>
                <w:rFonts w:ascii="Verdana" w:cs="Verdana" w:eastAsia="Verdana" w:hAnsi="Verdana"/>
                <w:sz w:val="10"/>
                <w:szCs w:val="10"/>
                <w:color w:val="auto"/>
              </w:rPr>
              <w:t>$</w:t>
            </w: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11,181,010</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482,716</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Verdana" w:cs="Verdana" w:eastAsia="Verdana" w:hAnsi="Verdana"/>
                <w:sz w:val="10"/>
                <w:szCs w:val="10"/>
                <w:color w:val="auto"/>
              </w:rPr>
              <w:t>4.32 %</w:t>
            </w:r>
          </w:p>
        </w:tc>
        <w:tc>
          <w:tcPr>
            <w:tcW w:w="260" w:type="dxa"/>
            <w:vAlign w:val="bottom"/>
            <w:gridSpan w:val="2"/>
          </w:tcPr>
          <w:p>
            <w:pPr>
              <w:jc w:val="right"/>
              <w:ind w:right="83"/>
              <w:spacing w:after="0"/>
              <w:rPr>
                <w:sz w:val="20"/>
                <w:szCs w:val="20"/>
                <w:color w:val="auto"/>
              </w:rPr>
            </w:pPr>
            <w:r>
              <w:rPr>
                <w:rFonts w:ascii="Verdana" w:cs="Verdana" w:eastAsia="Verdana" w:hAnsi="Verdana"/>
                <w:sz w:val="10"/>
                <w:szCs w:val="10"/>
                <w:color w:val="auto"/>
              </w:rPr>
              <w:t>$</w:t>
            </w: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11,479,730</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362,374</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Verdana" w:cs="Verdana" w:eastAsia="Verdana" w:hAnsi="Verdana"/>
                <w:sz w:val="10"/>
                <w:szCs w:val="10"/>
                <w:color w:val="auto"/>
              </w:rPr>
              <w:t>3.16 %</w:t>
            </w:r>
          </w:p>
        </w:tc>
        <w:tc>
          <w:tcPr>
            <w:tcW w:w="0" w:type="dxa"/>
            <w:vAlign w:val="bottom"/>
          </w:tcPr>
          <w:p>
            <w:pPr>
              <w:spacing w:after="0"/>
              <w:rPr>
                <w:sz w:val="1"/>
                <w:szCs w:val="1"/>
                <w:color w:val="auto"/>
              </w:rPr>
            </w:pPr>
          </w:p>
        </w:tc>
      </w:tr>
      <w:tr>
        <w:trPr>
          <w:trHeight w:val="133"/>
        </w:trPr>
        <w:tc>
          <w:tcPr>
            <w:tcW w:w="2760" w:type="dxa"/>
            <w:vAlign w:val="bottom"/>
            <w:gridSpan w:val="3"/>
            <w:shd w:val="clear" w:color="auto" w:fill="E0E7ED"/>
          </w:tcPr>
          <w:p>
            <w:pPr>
              <w:ind w:left="20"/>
              <w:spacing w:after="0"/>
              <w:rPr>
                <w:sz w:val="20"/>
                <w:szCs w:val="20"/>
                <w:color w:val="auto"/>
              </w:rPr>
            </w:pPr>
            <w:r>
              <w:rPr>
                <w:rFonts w:ascii="Verdana" w:cs="Verdana" w:eastAsia="Verdana" w:hAnsi="Verdana"/>
                <w:sz w:val="10"/>
                <w:szCs w:val="10"/>
                <w:color w:val="auto"/>
              </w:rPr>
              <w:t>Interest expense / earning assets</w:t>
            </w:r>
          </w:p>
        </w:tc>
        <w:tc>
          <w:tcPr>
            <w:tcW w:w="180" w:type="dxa"/>
            <w:vAlign w:val="bottom"/>
            <w:shd w:val="clear" w:color="auto" w:fill="E0E7ED"/>
          </w:tcPr>
          <w:p>
            <w:pPr>
              <w:spacing w:after="0"/>
              <w:rPr>
                <w:sz w:val="11"/>
                <w:szCs w:val="11"/>
                <w:color w:val="auto"/>
              </w:rPr>
            </w:pPr>
          </w:p>
        </w:tc>
        <w:tc>
          <w:tcPr>
            <w:tcW w:w="860" w:type="dxa"/>
            <w:vAlign w:val="bottom"/>
            <w:gridSpan w:val="2"/>
            <w:shd w:val="clear" w:color="auto" w:fill="E0E7ED"/>
          </w:tcPr>
          <w:p>
            <w:pPr>
              <w:jc w:val="right"/>
              <w:ind w:right="60"/>
              <w:spacing w:after="0"/>
              <w:rPr>
                <w:sz w:val="20"/>
                <w:szCs w:val="20"/>
                <w:color w:val="auto"/>
              </w:rPr>
            </w:pPr>
            <w:r>
              <w:rPr>
                <w:rFonts w:ascii="Verdana" w:cs="Verdana" w:eastAsia="Verdana" w:hAnsi="Verdana"/>
                <w:sz w:val="10"/>
                <w:szCs w:val="10"/>
                <w:color w:val="auto"/>
              </w:rPr>
              <w:t>10,999,424</w:t>
            </w:r>
          </w:p>
        </w:tc>
        <w:tc>
          <w:tcPr>
            <w:tcW w:w="60" w:type="dxa"/>
            <w:vAlign w:val="bottom"/>
            <w:shd w:val="clear" w:color="auto" w:fill="E0E7ED"/>
          </w:tcPr>
          <w:p>
            <w:pPr>
              <w:spacing w:after="0"/>
              <w:rPr>
                <w:sz w:val="11"/>
                <w:szCs w:val="11"/>
                <w:color w:val="auto"/>
              </w:rPr>
            </w:pPr>
          </w:p>
        </w:tc>
        <w:tc>
          <w:tcPr>
            <w:tcW w:w="120" w:type="dxa"/>
            <w:vAlign w:val="bottom"/>
            <w:tcBorders>
              <w:bottom w:val="single" w:sz="8" w:color="auto"/>
            </w:tcBorders>
            <w:shd w:val="clear" w:color="auto" w:fill="E0E7ED"/>
          </w:tcPr>
          <w:p>
            <w:pPr>
              <w:spacing w:after="0"/>
              <w:rPr>
                <w:sz w:val="11"/>
                <w:szCs w:val="11"/>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201,070</w:t>
            </w:r>
          </w:p>
        </w:tc>
        <w:tc>
          <w:tcPr>
            <w:tcW w:w="60" w:type="dxa"/>
            <w:vAlign w:val="bottom"/>
            <w:shd w:val="clear" w:color="auto" w:fill="E0E7ED"/>
          </w:tcPr>
          <w:p>
            <w:pPr>
              <w:spacing w:after="0"/>
              <w:rPr>
                <w:sz w:val="11"/>
                <w:szCs w:val="11"/>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1.83 %</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11,181,010</w:t>
            </w:r>
          </w:p>
        </w:tc>
        <w:tc>
          <w:tcPr>
            <w:tcW w:w="60" w:type="dxa"/>
            <w:vAlign w:val="bottom"/>
            <w:shd w:val="clear" w:color="auto" w:fill="E0E7ED"/>
          </w:tcPr>
          <w:p>
            <w:pPr>
              <w:spacing w:after="0"/>
              <w:rPr>
                <w:sz w:val="11"/>
                <w:szCs w:val="11"/>
                <w:color w:val="auto"/>
              </w:rPr>
            </w:pPr>
          </w:p>
        </w:tc>
        <w:tc>
          <w:tcPr>
            <w:tcW w:w="120" w:type="dxa"/>
            <w:vAlign w:val="bottom"/>
            <w:tcBorders>
              <w:bottom w:val="single" w:sz="8" w:color="auto"/>
            </w:tcBorders>
            <w:shd w:val="clear" w:color="auto" w:fill="E0E7ED"/>
          </w:tcPr>
          <w:p>
            <w:pPr>
              <w:spacing w:after="0"/>
              <w:rPr>
                <w:sz w:val="11"/>
                <w:szCs w:val="11"/>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159,922</w:t>
            </w:r>
          </w:p>
        </w:tc>
        <w:tc>
          <w:tcPr>
            <w:tcW w:w="60" w:type="dxa"/>
            <w:vAlign w:val="bottom"/>
            <w:shd w:val="clear" w:color="auto" w:fill="E0E7ED"/>
          </w:tcPr>
          <w:p>
            <w:pPr>
              <w:spacing w:after="0"/>
              <w:rPr>
                <w:sz w:val="11"/>
                <w:szCs w:val="11"/>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1.43 %</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11,479,730</w:t>
            </w:r>
          </w:p>
        </w:tc>
        <w:tc>
          <w:tcPr>
            <w:tcW w:w="60" w:type="dxa"/>
            <w:vAlign w:val="bottom"/>
            <w:shd w:val="clear" w:color="auto" w:fill="E0E7ED"/>
          </w:tcPr>
          <w:p>
            <w:pPr>
              <w:spacing w:after="0"/>
              <w:rPr>
                <w:sz w:val="11"/>
                <w:szCs w:val="11"/>
                <w:color w:val="auto"/>
              </w:rPr>
            </w:pPr>
          </w:p>
        </w:tc>
        <w:tc>
          <w:tcPr>
            <w:tcW w:w="120" w:type="dxa"/>
            <w:vAlign w:val="bottom"/>
            <w:tcBorders>
              <w:bottom w:val="single" w:sz="8" w:color="auto"/>
            </w:tcBorders>
            <w:shd w:val="clear" w:color="auto" w:fill="E0E7ED"/>
          </w:tcPr>
          <w:p>
            <w:pPr>
              <w:spacing w:after="0"/>
              <w:rPr>
                <w:sz w:val="11"/>
                <w:szCs w:val="11"/>
                <w:color w:val="auto"/>
              </w:rPr>
            </w:pPr>
          </w:p>
        </w:tc>
        <w:tc>
          <w:tcPr>
            <w:tcW w:w="9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36,548</w:t>
            </w:r>
          </w:p>
        </w:tc>
        <w:tc>
          <w:tcPr>
            <w:tcW w:w="60" w:type="dxa"/>
            <w:vAlign w:val="bottom"/>
            <w:shd w:val="clear" w:color="auto" w:fill="E0E7ED"/>
          </w:tcPr>
          <w:p>
            <w:pPr>
              <w:spacing w:after="0"/>
              <w:rPr>
                <w:sz w:val="11"/>
                <w:szCs w:val="11"/>
                <w:color w:val="auto"/>
              </w:rPr>
            </w:pPr>
          </w:p>
        </w:tc>
        <w:tc>
          <w:tcPr>
            <w:tcW w:w="6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0.32 %</w:t>
            </w:r>
          </w:p>
        </w:tc>
        <w:tc>
          <w:tcPr>
            <w:tcW w:w="0" w:type="dxa"/>
            <w:vAlign w:val="bottom"/>
          </w:tcPr>
          <w:p>
            <w:pPr>
              <w:spacing w:after="0"/>
              <w:rPr>
                <w:sz w:val="1"/>
                <w:szCs w:val="1"/>
                <w:color w:val="auto"/>
              </w:rPr>
            </w:pPr>
          </w:p>
        </w:tc>
      </w:tr>
      <w:tr>
        <w:trPr>
          <w:trHeight w:val="134"/>
        </w:trPr>
        <w:tc>
          <w:tcPr>
            <w:tcW w:w="1440" w:type="dxa"/>
            <w:vAlign w:val="bottom"/>
            <w:gridSpan w:val="2"/>
          </w:tcPr>
          <w:p>
            <w:pPr>
              <w:ind w:left="20"/>
              <w:spacing w:after="0" w:line="134" w:lineRule="exact"/>
              <w:rPr>
                <w:sz w:val="20"/>
                <w:szCs w:val="20"/>
                <w:color w:val="auto"/>
              </w:rPr>
            </w:pPr>
            <w:r>
              <w:rPr>
                <w:rFonts w:ascii="Verdana" w:cs="Verdana" w:eastAsia="Verdana" w:hAnsi="Verdana"/>
                <w:sz w:val="10"/>
                <w:szCs w:val="10"/>
                <w:color w:val="auto"/>
              </w:rPr>
              <w:t>Net interest margin</w:t>
            </w:r>
            <w:r>
              <w:rPr>
                <w:rFonts w:ascii="Verdana" w:cs="Verdana" w:eastAsia="Verdana" w:hAnsi="Verdana"/>
                <w:sz w:val="12"/>
                <w:szCs w:val="12"/>
                <w:color w:val="auto"/>
                <w:vertAlign w:val="superscript"/>
              </w:rPr>
              <w:t>1</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324,304</w:t>
            </w:r>
          </w:p>
        </w:tc>
        <w:tc>
          <w:tcPr>
            <w:tcW w:w="6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2.95 %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322,794</w:t>
            </w:r>
          </w:p>
        </w:tc>
        <w:tc>
          <w:tcPr>
            <w:tcW w:w="6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2.89 %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325,826</w:t>
            </w:r>
          </w:p>
        </w:tc>
        <w:tc>
          <w:tcPr>
            <w:tcW w:w="60" w:type="dxa"/>
            <w:vAlign w:val="bottom"/>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2.84 %</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spacing w:after="0" w:line="1" w:lineRule="exact"/>
        <w:rPr>
          <w:sz w:val="20"/>
          <w:szCs w:val="20"/>
          <w:color w:val="auto"/>
        </w:rPr>
      </w:pPr>
    </w:p>
    <w:p>
      <w:pPr>
        <w:ind w:left="380" w:hanging="248"/>
        <w:spacing w:after="0"/>
        <w:tabs>
          <w:tab w:leader="none" w:pos="380" w:val="left"/>
        </w:tabs>
        <w:numPr>
          <w:ilvl w:val="0"/>
          <w:numId w:val="20"/>
        </w:numPr>
        <w:rPr>
          <w:rFonts w:ascii="Verdana" w:cs="Verdana" w:eastAsia="Verdana" w:hAnsi="Verdana"/>
          <w:sz w:val="10"/>
          <w:szCs w:val="10"/>
          <w:color w:val="auto"/>
        </w:rPr>
      </w:pPr>
      <w:r>
        <w:rPr>
          <w:rFonts w:ascii="Verdana" w:cs="Verdana" w:eastAsia="Verdana" w:hAnsi="Verdana"/>
          <w:sz w:val="10"/>
          <w:szCs w:val="10"/>
          <w:color w:val="auto"/>
        </w:rPr>
        <w:t>On a tax-equivalent basis, assuming a federal income tax rate of 21.0%.</w:t>
      </w:r>
    </w:p>
    <w:p>
      <w:pPr>
        <w:ind w:left="380" w:hanging="248"/>
        <w:spacing w:after="0" w:line="230" w:lineRule="auto"/>
        <w:tabs>
          <w:tab w:leader="none" w:pos="380" w:val="left"/>
        </w:tabs>
        <w:numPr>
          <w:ilvl w:val="0"/>
          <w:numId w:val="20"/>
        </w:numPr>
        <w:rPr>
          <w:rFonts w:ascii="Verdana" w:cs="Verdana" w:eastAsia="Verdana" w:hAnsi="Verdana"/>
          <w:sz w:val="10"/>
          <w:szCs w:val="10"/>
          <w:color w:val="auto"/>
        </w:rPr>
      </w:pPr>
      <w:r>
        <w:rPr>
          <w:rFonts w:ascii="Verdana" w:cs="Verdana" w:eastAsia="Verdana" w:hAnsi="Verdana"/>
          <w:sz w:val="10"/>
          <w:szCs w:val="10"/>
          <w:color w:val="auto"/>
        </w:rPr>
        <w:t>Non-accrual loans have been included in average portfolio loans.</w:t>
      </w:r>
    </w:p>
    <w:p>
      <w:pPr>
        <w:ind w:left="380" w:hanging="248"/>
        <w:spacing w:after="0" w:line="230" w:lineRule="auto"/>
        <w:tabs>
          <w:tab w:leader="none" w:pos="373" w:val="left"/>
        </w:tabs>
        <w:numPr>
          <w:ilvl w:val="0"/>
          <w:numId w:val="20"/>
        </w:numPr>
        <w:rPr>
          <w:rFonts w:ascii="Verdana" w:cs="Verdana" w:eastAsia="Verdana" w:hAnsi="Verdana"/>
          <w:sz w:val="10"/>
          <w:szCs w:val="10"/>
          <w:color w:val="auto"/>
        </w:rPr>
      </w:pPr>
      <w:r>
        <w:rPr>
          <w:rFonts w:ascii="Verdana" w:cs="Verdana" w:eastAsia="Verdana" w:hAnsi="Verdana"/>
          <w:sz w:val="10"/>
          <w:szCs w:val="10"/>
          <w:color w:val="auto"/>
        </w:rPr>
        <w:t>Interest income includes tax-equivalent adjustments of $1.7 million for 2024, $2.2 million for each of 2023 and 2022. Interest income includes an immaterial amount of fees, net of deferred costs, related to Paycheck Protection Program loans for 2024 and 2023, and $1.9 million for 2022.</w:t>
      </w:r>
    </w:p>
    <w:p>
      <w:pPr>
        <w:ind w:left="380" w:hanging="248"/>
        <w:spacing w:after="0"/>
        <w:tabs>
          <w:tab w:leader="none" w:pos="380" w:val="left"/>
        </w:tabs>
        <w:numPr>
          <w:ilvl w:val="0"/>
          <w:numId w:val="20"/>
        </w:numPr>
        <w:rPr>
          <w:rFonts w:ascii="Verdana" w:cs="Verdana" w:eastAsia="Verdana" w:hAnsi="Verdana"/>
          <w:sz w:val="10"/>
          <w:szCs w:val="10"/>
          <w:color w:val="auto"/>
        </w:rPr>
      </w:pPr>
      <w:r>
        <w:rPr>
          <w:rFonts w:ascii="Verdana" w:cs="Verdana" w:eastAsia="Verdana" w:hAnsi="Verdana"/>
          <w:sz w:val="10"/>
          <w:szCs w:val="10"/>
          <w:color w:val="auto"/>
        </w:rPr>
        <w:t>Borrowings include short-term borrowings, long-term debt, senior notes, and subordinated notes. Interest expense includes a non-usage fee on the revolving credit facility.</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57" w:name="page58"/>
    <w:bookmarkEnd w:id="5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The following table presents, for the major components of interest-earning assets and interest-bearing liabilities, a breakout of changes in interest income and interest expense attributable to (1) changes in average volume and (2) changes in average yield. For purposes of this table, changes attributable to both rate and volume, which cannot be segregated, have been allocated proportionately, based on changes due to rate and changes due to volume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ind w:left="220"/>
              <w:spacing w:after="0"/>
              <w:rPr>
                <w:sz w:val="20"/>
                <w:szCs w:val="20"/>
                <w:color w:val="auto"/>
              </w:rPr>
            </w:pPr>
            <w:r>
              <w:rPr>
                <w:rFonts w:ascii="Verdana" w:cs="Verdana" w:eastAsia="Verdana" w:hAnsi="Verdana"/>
                <w:sz w:val="10"/>
                <w:szCs w:val="10"/>
                <w:b w:val="1"/>
                <w:bCs w:val="1"/>
                <w:color w:val="auto"/>
              </w:rPr>
              <w:t>Years Ended December 31,</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jc w:val="right"/>
              <w:ind w:right="29"/>
              <w:spacing w:after="0"/>
              <w:rPr>
                <w:sz w:val="20"/>
                <w:szCs w:val="20"/>
                <w:color w:val="auto"/>
              </w:rPr>
            </w:pPr>
            <w:r>
              <w:rPr>
                <w:rFonts w:ascii="Verdana" w:cs="Verdana" w:eastAsia="Verdana" w:hAnsi="Verdana"/>
                <w:sz w:val="10"/>
                <w:szCs w:val="10"/>
                <w:b w:val="1"/>
                <w:bCs w:val="1"/>
                <w:color w:val="auto"/>
              </w:rPr>
              <w:t>2024 vs. 2023 Change Due To</w:t>
            </w: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jc w:val="right"/>
              <w:ind w:right="9"/>
              <w:spacing w:after="0"/>
              <w:rPr>
                <w:sz w:val="20"/>
                <w:szCs w:val="20"/>
                <w:color w:val="auto"/>
              </w:rPr>
            </w:pPr>
            <w:r>
              <w:rPr>
                <w:rFonts w:ascii="Verdana" w:cs="Verdana" w:eastAsia="Verdana" w:hAnsi="Verdana"/>
                <w:sz w:val="10"/>
                <w:szCs w:val="10"/>
                <w:b w:val="1"/>
                <w:bCs w:val="1"/>
                <w:color w:val="auto"/>
              </w:rPr>
              <w:t>2023 vs. 2022 Change Due To</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tcPr>
          <w:p>
            <w:pPr>
              <w:ind w:left="120"/>
              <w:spacing w:after="0" w:line="92" w:lineRule="exact"/>
              <w:rPr>
                <w:sz w:val="20"/>
                <w:szCs w:val="20"/>
                <w:color w:val="auto"/>
              </w:rPr>
            </w:pPr>
            <w:r>
              <w:rPr>
                <w:rFonts w:ascii="Verdana" w:cs="Verdana" w:eastAsia="Verdana" w:hAnsi="Verdana"/>
                <w:sz w:val="10"/>
                <w:szCs w:val="10"/>
                <w:b w:val="1"/>
                <w:bCs w:val="1"/>
                <w:color w:val="auto"/>
              </w:rPr>
              <w:t>Average</w:t>
            </w:r>
          </w:p>
        </w:tc>
        <w:tc>
          <w:tcPr>
            <w:tcW w:w="180" w:type="dxa"/>
            <w:vAlign w:val="bottom"/>
          </w:tcPr>
          <w:p>
            <w:pPr>
              <w:spacing w:after="0"/>
              <w:rPr>
                <w:sz w:val="7"/>
                <w:szCs w:val="7"/>
                <w:color w:val="auto"/>
              </w:rPr>
            </w:pPr>
          </w:p>
        </w:tc>
        <w:tc>
          <w:tcPr>
            <w:tcW w:w="1020" w:type="dxa"/>
            <w:vAlign w:val="bottom"/>
            <w:gridSpan w:val="2"/>
          </w:tcPr>
          <w:p>
            <w:pPr>
              <w:jc w:val="center"/>
              <w:ind w:right="240"/>
              <w:spacing w:after="0" w:line="92" w:lineRule="exact"/>
              <w:rPr>
                <w:sz w:val="20"/>
                <w:szCs w:val="20"/>
                <w:color w:val="auto"/>
              </w:rPr>
            </w:pPr>
            <w:r>
              <w:rPr>
                <w:rFonts w:ascii="Verdana" w:cs="Verdana" w:eastAsia="Verdana" w:hAnsi="Verdana"/>
                <w:sz w:val="10"/>
                <w:szCs w:val="10"/>
                <w:b w:val="1"/>
                <w:bCs w:val="1"/>
                <w:color w:val="auto"/>
                <w:w w:val="99"/>
              </w:rPr>
              <w:t>Average</w:t>
            </w:r>
          </w:p>
        </w:tc>
        <w:tc>
          <w:tcPr>
            <w:tcW w:w="360" w:type="dxa"/>
            <w:vAlign w:val="bottom"/>
          </w:tcPr>
          <w:p>
            <w:pPr>
              <w:spacing w:after="0"/>
              <w:rPr>
                <w:sz w:val="7"/>
                <w:szCs w:val="7"/>
                <w:color w:val="auto"/>
              </w:rPr>
            </w:pPr>
          </w:p>
        </w:tc>
        <w:tc>
          <w:tcPr>
            <w:tcW w:w="920" w:type="dxa"/>
            <w:vAlign w:val="bottom"/>
          </w:tcPr>
          <w:p>
            <w:pPr>
              <w:jc w:val="right"/>
              <w:ind w:right="432"/>
              <w:spacing w:after="0" w:line="92" w:lineRule="exact"/>
              <w:rPr>
                <w:sz w:val="20"/>
                <w:szCs w:val="20"/>
                <w:color w:val="auto"/>
              </w:rPr>
            </w:pPr>
            <w:r>
              <w:rPr>
                <w:rFonts w:ascii="Verdana" w:cs="Verdana" w:eastAsia="Verdana" w:hAnsi="Verdana"/>
                <w:sz w:val="10"/>
                <w:szCs w:val="10"/>
                <w:b w:val="1"/>
                <w:bCs w:val="1"/>
                <w:color w:val="auto"/>
              </w:rPr>
              <w:t>Total</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gridSpan w:val="2"/>
          </w:tcPr>
          <w:p>
            <w:pPr>
              <w:ind w:left="120"/>
              <w:spacing w:after="0" w:line="92" w:lineRule="exact"/>
              <w:rPr>
                <w:sz w:val="20"/>
                <w:szCs w:val="20"/>
                <w:color w:val="auto"/>
              </w:rPr>
            </w:pPr>
            <w:r>
              <w:rPr>
                <w:rFonts w:ascii="Verdana" w:cs="Verdana" w:eastAsia="Verdana" w:hAnsi="Verdana"/>
                <w:sz w:val="10"/>
                <w:szCs w:val="10"/>
                <w:b w:val="1"/>
                <w:bCs w:val="1"/>
                <w:color w:val="auto"/>
              </w:rPr>
              <w:t>Average</w:t>
            </w:r>
          </w:p>
        </w:tc>
        <w:tc>
          <w:tcPr>
            <w:tcW w:w="180" w:type="dxa"/>
            <w:vAlign w:val="bottom"/>
          </w:tcPr>
          <w:p>
            <w:pPr>
              <w:spacing w:after="0"/>
              <w:rPr>
                <w:sz w:val="7"/>
                <w:szCs w:val="7"/>
                <w:color w:val="auto"/>
              </w:rPr>
            </w:pPr>
          </w:p>
        </w:tc>
        <w:tc>
          <w:tcPr>
            <w:tcW w:w="1020" w:type="dxa"/>
            <w:vAlign w:val="bottom"/>
            <w:gridSpan w:val="2"/>
          </w:tcPr>
          <w:p>
            <w:pPr>
              <w:jc w:val="center"/>
              <w:ind w:right="240"/>
              <w:spacing w:after="0" w:line="92" w:lineRule="exact"/>
              <w:rPr>
                <w:sz w:val="20"/>
                <w:szCs w:val="20"/>
                <w:color w:val="auto"/>
              </w:rPr>
            </w:pPr>
            <w:r>
              <w:rPr>
                <w:rFonts w:ascii="Verdana" w:cs="Verdana" w:eastAsia="Verdana" w:hAnsi="Verdana"/>
                <w:sz w:val="10"/>
                <w:szCs w:val="10"/>
                <w:b w:val="1"/>
                <w:bCs w:val="1"/>
                <w:color w:val="auto"/>
                <w:w w:val="99"/>
              </w:rPr>
              <w:t>Average</w:t>
            </w:r>
          </w:p>
        </w:tc>
        <w:tc>
          <w:tcPr>
            <w:tcW w:w="360" w:type="dxa"/>
            <w:vAlign w:val="bottom"/>
          </w:tcPr>
          <w:p>
            <w:pPr>
              <w:spacing w:after="0"/>
              <w:rPr>
                <w:sz w:val="7"/>
                <w:szCs w:val="7"/>
                <w:color w:val="auto"/>
              </w:rPr>
            </w:pPr>
          </w:p>
        </w:tc>
        <w:tc>
          <w:tcPr>
            <w:tcW w:w="940" w:type="dxa"/>
            <w:vAlign w:val="bottom"/>
          </w:tcPr>
          <w:p>
            <w:pPr>
              <w:jc w:val="right"/>
              <w:ind w:right="432"/>
              <w:spacing w:after="0" w:line="92" w:lineRule="exact"/>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Verdana" w:cs="Verdana" w:eastAsia="Verdana" w:hAnsi="Verdana"/>
                <w:sz w:val="10"/>
                <w:szCs w:val="10"/>
                <w:b w:val="1"/>
                <w:bCs w:val="1"/>
                <w:color w:val="auto"/>
              </w:rPr>
              <w:t>Volume</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Verdana" w:cs="Verdana" w:eastAsia="Verdana" w:hAnsi="Verdana"/>
                <w:sz w:val="10"/>
                <w:szCs w:val="10"/>
                <w:b w:val="1"/>
                <w:bCs w:val="1"/>
                <w:color w:val="auto"/>
                <w:w w:val="99"/>
              </w:rPr>
              <w:t>Yield/Rate</w:t>
            </w:r>
          </w:p>
        </w:tc>
        <w:tc>
          <w:tcPr>
            <w:tcW w:w="360" w:type="dxa"/>
            <w:vAlign w:val="bottom"/>
          </w:tcPr>
          <w:p>
            <w:pPr>
              <w:spacing w:after="0"/>
              <w:rPr>
                <w:sz w:val="11"/>
                <w:szCs w:val="11"/>
                <w:color w:val="auto"/>
              </w:rPr>
            </w:pPr>
          </w:p>
        </w:tc>
        <w:tc>
          <w:tcPr>
            <w:tcW w:w="920" w:type="dxa"/>
            <w:vAlign w:val="bottom"/>
          </w:tcPr>
          <w:p>
            <w:pPr>
              <w:jc w:val="right"/>
              <w:ind w:right="352"/>
              <w:spacing w:after="0"/>
              <w:rPr>
                <w:sz w:val="20"/>
                <w:szCs w:val="20"/>
                <w:color w:val="auto"/>
              </w:rPr>
            </w:pPr>
            <w:r>
              <w:rPr>
                <w:rFonts w:ascii="Verdana" w:cs="Verdana" w:eastAsia="Verdana" w:hAnsi="Verdana"/>
                <w:sz w:val="10"/>
                <w:szCs w:val="10"/>
                <w:b w:val="1"/>
                <w:bCs w:val="1"/>
                <w:color w:val="auto"/>
              </w:rPr>
              <w:t>Change</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140"/>
              <w:spacing w:after="0"/>
              <w:rPr>
                <w:sz w:val="20"/>
                <w:szCs w:val="20"/>
                <w:color w:val="auto"/>
              </w:rPr>
            </w:pPr>
            <w:r>
              <w:rPr>
                <w:rFonts w:ascii="Verdana" w:cs="Verdana" w:eastAsia="Verdana" w:hAnsi="Verdana"/>
                <w:sz w:val="10"/>
                <w:szCs w:val="10"/>
                <w:b w:val="1"/>
                <w:bCs w:val="1"/>
                <w:color w:val="auto"/>
              </w:rPr>
              <w:t>Volume</w:t>
            </w:r>
          </w:p>
        </w:tc>
        <w:tc>
          <w:tcPr>
            <w:tcW w:w="18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9"/>
              </w:rPr>
              <w:t>Yield/Rate</w:t>
            </w:r>
          </w:p>
        </w:tc>
        <w:tc>
          <w:tcPr>
            <w:tcW w:w="360" w:type="dxa"/>
            <w:vAlign w:val="bottom"/>
          </w:tcPr>
          <w:p>
            <w:pPr>
              <w:spacing w:after="0"/>
              <w:rPr>
                <w:sz w:val="11"/>
                <w:szCs w:val="11"/>
                <w:color w:val="auto"/>
              </w:rPr>
            </w:pPr>
          </w:p>
        </w:tc>
        <w:tc>
          <w:tcPr>
            <w:tcW w:w="940" w:type="dxa"/>
            <w:vAlign w:val="bottom"/>
          </w:tcPr>
          <w:p>
            <w:pPr>
              <w:jc w:val="right"/>
              <w:ind w:right="372"/>
              <w:spacing w:after="0"/>
              <w:rPr>
                <w:sz w:val="20"/>
                <w:szCs w:val="20"/>
                <w:color w:val="auto"/>
              </w:rPr>
            </w:pPr>
            <w:r>
              <w:rPr>
                <w:rFonts w:ascii="Verdana" w:cs="Verdana" w:eastAsia="Verdana" w:hAnsi="Verdana"/>
                <w:sz w:val="10"/>
                <w:szCs w:val="10"/>
                <w:b w:val="1"/>
                <w:bCs w:val="1"/>
                <w:color w:val="auto"/>
              </w:rPr>
              <w:t>Change</w:t>
            </w:r>
          </w:p>
        </w:tc>
        <w:tc>
          <w:tcPr>
            <w:tcW w:w="0" w:type="dxa"/>
            <w:vAlign w:val="bottom"/>
          </w:tcPr>
          <w:p>
            <w:pPr>
              <w:spacing w:after="0"/>
              <w:rPr>
                <w:sz w:val="1"/>
                <w:szCs w:val="1"/>
                <w:color w:val="auto"/>
              </w:rPr>
            </w:pPr>
          </w:p>
        </w:tc>
      </w:tr>
      <w:tr>
        <w:trPr>
          <w:trHeight w:val="197"/>
        </w:trPr>
        <w:tc>
          <w:tcPr>
            <w:tcW w:w="38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Increase (decrease) in interest income</w:t>
            </w:r>
          </w:p>
        </w:tc>
        <w:tc>
          <w:tcPr>
            <w:tcW w:w="22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140"/>
              <w:spacing w:after="0"/>
              <w:rPr>
                <w:sz w:val="20"/>
                <w:szCs w:val="20"/>
                <w:color w:val="auto"/>
              </w:rPr>
            </w:pPr>
            <w:r>
              <w:rPr>
                <w:rFonts w:ascii="Verdana" w:cs="Verdana" w:eastAsia="Verdana" w:hAnsi="Verdana"/>
                <w:sz w:val="14"/>
                <w:szCs w:val="14"/>
                <w:color w:val="auto"/>
              </w:rPr>
              <w:t>Interest-bearing bank deposits and federal funds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tcPr>
          <w:p>
            <w:pPr>
              <w:ind w:left="140"/>
              <w:spacing w:after="0"/>
              <w:rPr>
                <w:sz w:val="20"/>
                <w:szCs w:val="20"/>
                <w:color w:val="auto"/>
              </w:rPr>
            </w:pPr>
            <w:r>
              <w:rPr>
                <w:rFonts w:ascii="Verdana" w:cs="Verdana" w:eastAsia="Verdana" w:hAnsi="Verdana"/>
                <w:sz w:val="14"/>
                <w:szCs w:val="14"/>
                <w:color w:val="auto"/>
              </w:rPr>
              <w:t>sold</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900" w:type="dxa"/>
            <w:vAlign w:val="bottom"/>
          </w:tcPr>
          <w:p>
            <w:pPr>
              <w:jc w:val="right"/>
              <w:spacing w:after="0"/>
              <w:rPr>
                <w:sz w:val="20"/>
                <w:szCs w:val="20"/>
                <w:color w:val="auto"/>
              </w:rPr>
            </w:pPr>
            <w:r>
              <w:rPr>
                <w:rFonts w:ascii="Verdana" w:cs="Verdana" w:eastAsia="Verdana" w:hAnsi="Verdana"/>
                <w:sz w:val="14"/>
                <w:szCs w:val="14"/>
                <w:color w:val="auto"/>
              </w:rPr>
              <w:t>11,643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267</w:t>
            </w:r>
          </w:p>
        </w:tc>
        <w:tc>
          <w:tcPr>
            <w:tcW w:w="6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ind w:right="152"/>
              <w:spacing w:after="0"/>
              <w:rPr>
                <w:sz w:val="20"/>
                <w:szCs w:val="20"/>
                <w:color w:val="auto"/>
              </w:rPr>
            </w:pPr>
            <w:r>
              <w:rPr>
                <w:rFonts w:ascii="Verdana" w:cs="Verdana" w:eastAsia="Verdana" w:hAnsi="Verdana"/>
                <w:sz w:val="14"/>
                <w:szCs w:val="14"/>
                <w:color w:val="auto"/>
              </w:rPr>
              <w:t>11,910</w:t>
            </w:r>
          </w:p>
        </w:tc>
        <w:tc>
          <w:tcPr>
            <w:tcW w:w="30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(1,013)</w:t>
            </w:r>
          </w:p>
        </w:tc>
        <w:tc>
          <w:tcPr>
            <w:tcW w:w="6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spacing w:after="0"/>
              <w:rPr>
                <w:sz w:val="20"/>
                <w:szCs w:val="20"/>
                <w:color w:val="auto"/>
              </w:rPr>
            </w:pPr>
            <w:r>
              <w:rPr>
                <w:rFonts w:ascii="Verdana" w:cs="Verdana" w:eastAsia="Verdana" w:hAnsi="Verdana"/>
                <w:sz w:val="14"/>
                <w:szCs w:val="14"/>
                <w:color w:val="auto"/>
              </w:rPr>
              <w:t>8,447</w:t>
            </w:r>
          </w:p>
        </w:tc>
        <w:tc>
          <w:tcPr>
            <w:tcW w:w="60" w:type="dxa"/>
            <w:vAlign w:val="bottom"/>
          </w:tcPr>
          <w:p>
            <w:pPr>
              <w:spacing w:after="0"/>
              <w:rPr>
                <w:sz w:val="16"/>
                <w:szCs w:val="16"/>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940" w:type="dxa"/>
            <w:vAlign w:val="bottom"/>
          </w:tcPr>
          <w:p>
            <w:pPr>
              <w:jc w:val="right"/>
              <w:ind w:right="152"/>
              <w:spacing w:after="0"/>
              <w:rPr>
                <w:sz w:val="20"/>
                <w:szCs w:val="20"/>
                <w:color w:val="auto"/>
              </w:rPr>
            </w:pPr>
            <w:r>
              <w:rPr>
                <w:rFonts w:ascii="Verdana" w:cs="Verdana" w:eastAsia="Verdana" w:hAnsi="Verdana"/>
                <w:sz w:val="14"/>
                <w:szCs w:val="14"/>
                <w:color w:val="auto"/>
              </w:rPr>
              <w:t>7,434</w:t>
            </w: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Investment securities:</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ind w:left="280"/>
              <w:spacing w:after="0"/>
              <w:rPr>
                <w:sz w:val="20"/>
                <w:szCs w:val="20"/>
                <w:color w:val="auto"/>
              </w:rPr>
            </w:pPr>
            <w:r>
              <w:rPr>
                <w:rFonts w:ascii="Verdana" w:cs="Verdana" w:eastAsia="Verdana" w:hAnsi="Verdana"/>
                <w:sz w:val="14"/>
                <w:szCs w:val="14"/>
                <w:color w:val="auto"/>
              </w:rPr>
              <w:t>U.S. Government obligations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(919)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499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92"/>
              <w:spacing w:after="0"/>
              <w:rPr>
                <w:sz w:val="20"/>
                <w:szCs w:val="20"/>
                <w:color w:val="auto"/>
              </w:rPr>
            </w:pPr>
            <w:r>
              <w:rPr>
                <w:rFonts w:ascii="Verdana" w:cs="Verdana" w:eastAsia="Verdana" w:hAnsi="Verdana"/>
                <w:sz w:val="14"/>
                <w:szCs w:val="14"/>
                <w:color w:val="auto"/>
              </w:rPr>
              <w:t>(420)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(691)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Verdana" w:cs="Verdana" w:eastAsia="Verdana" w:hAnsi="Verdana"/>
                <w:sz w:val="14"/>
                <w:szCs w:val="14"/>
                <w:color w:val="auto"/>
              </w:rPr>
              <w:t>190</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2"/>
              <w:spacing w:after="0"/>
              <w:rPr>
                <w:sz w:val="20"/>
                <w:szCs w:val="20"/>
                <w:color w:val="auto"/>
              </w:rPr>
            </w:pPr>
            <w:r>
              <w:rPr>
                <w:rFonts w:ascii="Verdana" w:cs="Verdana" w:eastAsia="Verdana" w:hAnsi="Verdana"/>
                <w:sz w:val="14"/>
                <w:szCs w:val="14"/>
                <w:color w:val="auto"/>
              </w:rPr>
              <w:t>(501)</w:t>
            </w: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Obligations of state and political subdivisions</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(2,259)</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37</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(2,222)</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(1,466)</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415</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(1,051)</w:t>
            </w:r>
          </w:p>
        </w:tc>
        <w:tc>
          <w:tcPr>
            <w:tcW w:w="0" w:type="dxa"/>
            <w:vAlign w:val="bottom"/>
          </w:tcPr>
          <w:p>
            <w:pPr>
              <w:spacing w:after="0"/>
              <w:rPr>
                <w:sz w:val="1"/>
                <w:szCs w:val="1"/>
                <w:color w:val="auto"/>
              </w:rPr>
            </w:pPr>
          </w:p>
        </w:tc>
      </w:tr>
      <w:tr>
        <w:trPr>
          <w:trHeight w:val="207"/>
        </w:trPr>
        <w:tc>
          <w:tcPr>
            <w:tcW w:w="3820" w:type="dxa"/>
            <w:vAlign w:val="bottom"/>
          </w:tcPr>
          <w:p>
            <w:pPr>
              <w:ind w:left="280"/>
              <w:spacing w:after="0"/>
              <w:rPr>
                <w:sz w:val="20"/>
                <w:szCs w:val="20"/>
                <w:color w:val="auto"/>
              </w:rPr>
            </w:pPr>
            <w:r>
              <w:rPr>
                <w:rFonts w:ascii="Verdana" w:cs="Verdana" w:eastAsia="Verdana" w:hAnsi="Verdana"/>
                <w:sz w:val="14"/>
                <w:szCs w:val="14"/>
                <w:color w:val="auto"/>
              </w:rPr>
              <w:t>Other securities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(8,350)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1,568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92"/>
              <w:spacing w:after="0"/>
              <w:rPr>
                <w:sz w:val="20"/>
                <w:szCs w:val="20"/>
                <w:color w:val="auto"/>
              </w:rPr>
            </w:pPr>
            <w:r>
              <w:rPr>
                <w:rFonts w:ascii="Verdana" w:cs="Verdana" w:eastAsia="Verdana" w:hAnsi="Verdana"/>
                <w:sz w:val="14"/>
                <w:szCs w:val="14"/>
                <w:color w:val="auto"/>
              </w:rPr>
              <w:t>(6,782)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(8,026)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Verdana" w:cs="Verdana" w:eastAsia="Verdana" w:hAnsi="Verdana"/>
                <w:sz w:val="14"/>
                <w:szCs w:val="14"/>
                <w:color w:val="auto"/>
              </w:rPr>
              <w:t>23,003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52"/>
              <w:spacing w:after="0"/>
              <w:rPr>
                <w:sz w:val="20"/>
                <w:szCs w:val="20"/>
                <w:color w:val="auto"/>
              </w:rPr>
            </w:pPr>
            <w:r>
              <w:rPr>
                <w:rFonts w:ascii="Verdana" w:cs="Verdana" w:eastAsia="Verdana" w:hAnsi="Verdana"/>
                <w:sz w:val="14"/>
                <w:szCs w:val="14"/>
                <w:color w:val="auto"/>
              </w:rPr>
              <w:t>14,977</w:t>
            </w: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Restricted bank stock</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(132)</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(190)</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(322)</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482</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499</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981</w:t>
            </w:r>
          </w:p>
        </w:tc>
        <w:tc>
          <w:tcPr>
            <w:tcW w:w="0" w:type="dxa"/>
            <w:vAlign w:val="bottom"/>
          </w:tcPr>
          <w:p>
            <w:pPr>
              <w:spacing w:after="0"/>
              <w:rPr>
                <w:sz w:val="1"/>
                <w:szCs w:val="1"/>
                <w:color w:val="auto"/>
              </w:rPr>
            </w:pPr>
          </w:p>
        </w:tc>
      </w:tr>
      <w:tr>
        <w:trPr>
          <w:trHeight w:val="207"/>
        </w:trPr>
        <w:tc>
          <w:tcPr>
            <w:tcW w:w="3820" w:type="dxa"/>
            <w:vAlign w:val="bottom"/>
          </w:tcPr>
          <w:p>
            <w:pPr>
              <w:ind w:left="140"/>
              <w:spacing w:after="0"/>
              <w:rPr>
                <w:sz w:val="20"/>
                <w:szCs w:val="20"/>
                <w:color w:val="auto"/>
              </w:rPr>
            </w:pPr>
            <w:r>
              <w:rPr>
                <w:rFonts w:ascii="Verdana" w:cs="Verdana" w:eastAsia="Verdana" w:hAnsi="Verdana"/>
                <w:sz w:val="14"/>
                <w:szCs w:val="14"/>
                <w:color w:val="auto"/>
              </w:rPr>
              <w:t>Loans held for sale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384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52"/>
              <w:spacing w:after="0"/>
              <w:rPr>
                <w:sz w:val="20"/>
                <w:szCs w:val="20"/>
                <w:color w:val="auto"/>
              </w:rPr>
            </w:pPr>
            <w:r>
              <w:rPr>
                <w:rFonts w:ascii="Verdana" w:cs="Verdana" w:eastAsia="Verdana" w:hAnsi="Verdana"/>
                <w:sz w:val="14"/>
                <w:szCs w:val="14"/>
                <w:color w:val="auto"/>
              </w:rPr>
              <w:t>387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(161)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Verdana" w:cs="Verdana" w:eastAsia="Verdana" w:hAnsi="Verdana"/>
                <w:sz w:val="14"/>
                <w:szCs w:val="14"/>
                <w:color w:val="auto"/>
              </w:rPr>
              <w:t>85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2"/>
              <w:spacing w:after="0"/>
              <w:rPr>
                <w:sz w:val="20"/>
                <w:szCs w:val="20"/>
                <w:color w:val="auto"/>
              </w:rPr>
            </w:pPr>
            <w:r>
              <w:rPr>
                <w:rFonts w:ascii="Verdana" w:cs="Verdana" w:eastAsia="Verdana" w:hAnsi="Verdana"/>
                <w:sz w:val="14"/>
                <w:szCs w:val="14"/>
                <w:color w:val="auto"/>
              </w:rPr>
              <w:t>(76)</w:t>
            </w:r>
          </w:p>
        </w:tc>
        <w:tc>
          <w:tcPr>
            <w:tcW w:w="0" w:type="dxa"/>
            <w:vAlign w:val="bottom"/>
          </w:tcPr>
          <w:p>
            <w:pPr>
              <w:spacing w:after="0"/>
              <w:rPr>
                <w:sz w:val="1"/>
                <w:szCs w:val="1"/>
                <w:color w:val="auto"/>
              </w:rPr>
            </w:pPr>
          </w:p>
        </w:tc>
      </w:tr>
      <w:tr>
        <w:trPr>
          <w:trHeight w:val="212"/>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Portfolio loans</w:t>
            </w:r>
          </w:p>
        </w:tc>
        <w:tc>
          <w:tcPr>
            <w:tcW w:w="220" w:type="dxa"/>
            <w:vAlign w:val="bottom"/>
            <w:tcBorders>
              <w:bottom w:val="single" w:sz="8" w:color="auto"/>
            </w:tcBorders>
            <w:shd w:val="clear" w:color="auto" w:fill="E0E7ED"/>
          </w:tcPr>
          <w:p>
            <w:pPr>
              <w:spacing w:after="0"/>
              <w:rPr>
                <w:sz w:val="18"/>
                <w:szCs w:val="18"/>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2,266</w:t>
            </w:r>
          </w:p>
        </w:tc>
        <w:tc>
          <w:tcPr>
            <w:tcW w:w="8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37,841</w:t>
            </w:r>
          </w:p>
        </w:tc>
        <w:tc>
          <w:tcPr>
            <w:tcW w:w="6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40,107</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4"/>
                <w:szCs w:val="14"/>
                <w:color w:val="auto"/>
              </w:rPr>
              <w:t>12,598</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85,980</w:t>
            </w:r>
          </w:p>
        </w:tc>
        <w:tc>
          <w:tcPr>
            <w:tcW w:w="6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98,578</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Change in interest income</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2,633</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40,025</w:t>
            </w:r>
          </w:p>
        </w:tc>
        <w:tc>
          <w:tcPr>
            <w:tcW w:w="6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42,658</w:t>
            </w:r>
          </w:p>
        </w:tc>
        <w:tc>
          <w:tcPr>
            <w:tcW w:w="6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4"/>
                <w:szCs w:val="14"/>
                <w:color w:val="auto"/>
              </w:rPr>
              <w:t>1,723</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118,619</w:t>
            </w:r>
          </w:p>
        </w:tc>
        <w:tc>
          <w:tcPr>
            <w:tcW w:w="6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120,342</w:t>
            </w:r>
          </w:p>
        </w:tc>
        <w:tc>
          <w:tcPr>
            <w:tcW w:w="0" w:type="dxa"/>
            <w:vAlign w:val="bottom"/>
          </w:tcPr>
          <w:p>
            <w:pPr>
              <w:spacing w:after="0"/>
              <w:rPr>
                <w:sz w:val="1"/>
                <w:szCs w:val="1"/>
                <w:color w:val="auto"/>
              </w:rPr>
            </w:pPr>
          </w:p>
        </w:tc>
      </w:tr>
      <w:tr>
        <w:trPr>
          <w:trHeight w:val="198"/>
        </w:trPr>
        <w:tc>
          <w:tcPr>
            <w:tcW w:w="3820" w:type="dxa"/>
            <w:vAlign w:val="bottom"/>
            <w:shd w:val="clear" w:color="auto" w:fill="E0E7ED"/>
          </w:tcPr>
          <w:p>
            <w:pPr>
              <w:spacing w:after="0"/>
              <w:rPr>
                <w:sz w:val="17"/>
                <w:szCs w:val="17"/>
                <w:color w:val="auto"/>
              </w:rPr>
            </w:pPr>
          </w:p>
        </w:tc>
        <w:tc>
          <w:tcPr>
            <w:tcW w:w="220" w:type="dxa"/>
            <w:vAlign w:val="bottom"/>
            <w:shd w:val="clear" w:color="auto" w:fill="E0E7ED"/>
          </w:tcPr>
          <w:p>
            <w:pPr>
              <w:spacing w:after="0"/>
              <w:rPr>
                <w:sz w:val="17"/>
                <w:szCs w:val="17"/>
                <w:color w:val="auto"/>
              </w:rPr>
            </w:pPr>
          </w:p>
        </w:tc>
        <w:tc>
          <w:tcPr>
            <w:tcW w:w="9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9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tcPr>
          <w:p>
            <w:pPr>
              <w:ind w:left="20"/>
              <w:spacing w:after="0"/>
              <w:rPr>
                <w:sz w:val="20"/>
                <w:szCs w:val="20"/>
                <w:color w:val="auto"/>
              </w:rPr>
            </w:pPr>
            <w:r>
              <w:rPr>
                <w:rFonts w:ascii="Verdana" w:cs="Verdana" w:eastAsia="Verdana" w:hAnsi="Verdana"/>
                <w:sz w:val="14"/>
                <w:szCs w:val="14"/>
                <w:b w:val="1"/>
                <w:bCs w:val="1"/>
                <w:color w:val="auto"/>
              </w:rPr>
              <w:t>Increase (decrease) in interest expense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Interest-bearing transaction deposits</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(5,029)</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4,686</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(343)</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36,145</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36,118</w:t>
            </w:r>
          </w:p>
        </w:tc>
        <w:tc>
          <w:tcPr>
            <w:tcW w:w="0" w:type="dxa"/>
            <w:vAlign w:val="bottom"/>
          </w:tcPr>
          <w:p>
            <w:pPr>
              <w:spacing w:after="0"/>
              <w:rPr>
                <w:sz w:val="1"/>
                <w:szCs w:val="1"/>
                <w:color w:val="auto"/>
              </w:rPr>
            </w:pPr>
          </w:p>
        </w:tc>
      </w:tr>
      <w:tr>
        <w:trPr>
          <w:trHeight w:val="207"/>
        </w:trPr>
        <w:tc>
          <w:tcPr>
            <w:tcW w:w="3820" w:type="dxa"/>
            <w:vAlign w:val="bottom"/>
          </w:tcPr>
          <w:p>
            <w:pPr>
              <w:ind w:left="140"/>
              <w:spacing w:after="0"/>
              <w:rPr>
                <w:sz w:val="20"/>
                <w:szCs w:val="20"/>
                <w:color w:val="auto"/>
              </w:rPr>
            </w:pPr>
            <w:r>
              <w:rPr>
                <w:rFonts w:ascii="Verdana" w:cs="Verdana" w:eastAsia="Verdana" w:hAnsi="Verdana"/>
                <w:sz w:val="14"/>
                <w:szCs w:val="14"/>
                <w:color w:val="auto"/>
              </w:rPr>
              <w:t>Savings and money market deposits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3,489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34,009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152"/>
              <w:spacing w:after="0"/>
              <w:rPr>
                <w:sz w:val="20"/>
                <w:szCs w:val="20"/>
                <w:color w:val="auto"/>
              </w:rPr>
            </w:pPr>
            <w:r>
              <w:rPr>
                <w:rFonts w:ascii="Verdana" w:cs="Verdana" w:eastAsia="Verdana" w:hAnsi="Verdana"/>
                <w:sz w:val="14"/>
                <w:szCs w:val="14"/>
                <w:color w:val="auto"/>
              </w:rPr>
              <w:t>37,498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(752)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Verdana" w:cs="Verdana" w:eastAsia="Verdana" w:hAnsi="Verdana"/>
                <w:sz w:val="14"/>
                <w:szCs w:val="14"/>
                <w:color w:val="auto"/>
              </w:rPr>
              <w:t>33,553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52"/>
              <w:spacing w:after="0"/>
              <w:rPr>
                <w:sz w:val="20"/>
                <w:szCs w:val="20"/>
                <w:color w:val="auto"/>
              </w:rPr>
            </w:pPr>
            <w:r>
              <w:rPr>
                <w:rFonts w:ascii="Verdana" w:cs="Verdana" w:eastAsia="Verdana" w:hAnsi="Verdana"/>
                <w:sz w:val="14"/>
                <w:szCs w:val="14"/>
                <w:color w:val="auto"/>
              </w:rPr>
              <w:t>32,801</w:t>
            </w: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Time deposits</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5,985</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11,338</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17,323</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4,932</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34,022</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38,954</w:t>
            </w:r>
          </w:p>
        </w:tc>
        <w:tc>
          <w:tcPr>
            <w:tcW w:w="0" w:type="dxa"/>
            <w:vAlign w:val="bottom"/>
          </w:tcPr>
          <w:p>
            <w:pPr>
              <w:spacing w:after="0"/>
              <w:rPr>
                <w:sz w:val="1"/>
                <w:szCs w:val="1"/>
                <w:color w:val="auto"/>
              </w:rPr>
            </w:pPr>
          </w:p>
        </w:tc>
      </w:tr>
      <w:tr>
        <w:trPr>
          <w:trHeight w:val="187"/>
        </w:trPr>
        <w:tc>
          <w:tcPr>
            <w:tcW w:w="3820" w:type="dxa"/>
            <w:vAlign w:val="bottom"/>
          </w:tcPr>
          <w:p>
            <w:pPr>
              <w:ind w:left="140"/>
              <w:spacing w:after="0"/>
              <w:rPr>
                <w:sz w:val="20"/>
                <w:szCs w:val="20"/>
                <w:color w:val="auto"/>
              </w:rPr>
            </w:pPr>
            <w:r>
              <w:rPr>
                <w:rFonts w:ascii="Verdana" w:cs="Verdana" w:eastAsia="Verdana" w:hAnsi="Verdana"/>
                <w:sz w:val="14"/>
                <w:szCs w:val="14"/>
                <w:color w:val="auto"/>
              </w:rPr>
              <w:t>Federal funds purchased and repurchase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tcPr>
          <w:p>
            <w:pPr>
              <w:ind w:left="140"/>
              <w:spacing w:after="0"/>
              <w:rPr>
                <w:sz w:val="20"/>
                <w:szCs w:val="20"/>
                <w:color w:val="auto"/>
              </w:rPr>
            </w:pPr>
            <w:r>
              <w:rPr>
                <w:rFonts w:ascii="Verdana" w:cs="Verdana" w:eastAsia="Verdana" w:hAnsi="Verdana"/>
                <w:sz w:val="14"/>
                <w:szCs w:val="14"/>
                <w:color w:val="auto"/>
              </w:rPr>
              <w:t>agreements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(1,489)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594</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92"/>
              <w:spacing w:after="0"/>
              <w:rPr>
                <w:sz w:val="20"/>
                <w:szCs w:val="20"/>
                <w:color w:val="auto"/>
              </w:rPr>
            </w:pPr>
            <w:r>
              <w:rPr>
                <w:rFonts w:ascii="Verdana" w:cs="Verdana" w:eastAsia="Verdana" w:hAnsi="Verdana"/>
                <w:sz w:val="14"/>
                <w:szCs w:val="14"/>
                <w:color w:val="auto"/>
              </w:rPr>
              <w:t>(895)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(304)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Verdana" w:cs="Verdana" w:eastAsia="Verdana" w:hAnsi="Verdana"/>
                <w:sz w:val="14"/>
                <w:szCs w:val="14"/>
                <w:color w:val="auto"/>
              </w:rPr>
              <w:t>4,032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Verdana" w:cs="Verdana" w:eastAsia="Verdana" w:hAnsi="Verdana"/>
                <w:sz w:val="14"/>
                <w:szCs w:val="14"/>
                <w:color w:val="auto"/>
              </w:rPr>
              <w:t>3,728</w:t>
            </w:r>
          </w:p>
        </w:tc>
        <w:tc>
          <w:tcPr>
            <w:tcW w:w="0" w:type="dxa"/>
            <w:vAlign w:val="bottom"/>
          </w:tcPr>
          <w:p>
            <w:pPr>
              <w:spacing w:after="0"/>
              <w:rPr>
                <w:sz w:val="1"/>
                <w:szCs w:val="1"/>
                <w:color w:val="auto"/>
              </w:rPr>
            </w:pPr>
          </w:p>
        </w:tc>
      </w:tr>
      <w:tr>
        <w:trPr>
          <w:trHeight w:val="218"/>
        </w:trPr>
        <w:tc>
          <w:tcPr>
            <w:tcW w:w="38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Borrowings</w:t>
            </w: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(16,737)</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3,507</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92"/>
              <w:spacing w:after="0"/>
              <w:rPr>
                <w:sz w:val="20"/>
                <w:szCs w:val="20"/>
                <w:color w:val="auto"/>
              </w:rPr>
            </w:pPr>
            <w:r>
              <w:rPr>
                <w:rFonts w:ascii="Verdana" w:cs="Verdana" w:eastAsia="Verdana" w:hAnsi="Verdana"/>
                <w:sz w:val="14"/>
                <w:szCs w:val="14"/>
                <w:color w:val="auto"/>
              </w:rPr>
              <w:t>(13,230)</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9,485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1,464</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10,949</w:t>
            </w:r>
          </w:p>
        </w:tc>
        <w:tc>
          <w:tcPr>
            <w:tcW w:w="0" w:type="dxa"/>
            <w:vAlign w:val="bottom"/>
          </w:tcPr>
          <w:p>
            <w:pPr>
              <w:spacing w:after="0"/>
              <w:rPr>
                <w:sz w:val="1"/>
                <w:szCs w:val="1"/>
                <w:color w:val="auto"/>
              </w:rPr>
            </w:pPr>
          </w:p>
        </w:tc>
      </w:tr>
      <w:tr>
        <w:trPr>
          <w:trHeight w:val="187"/>
        </w:trPr>
        <w:tc>
          <w:tcPr>
            <w:tcW w:w="3820" w:type="dxa"/>
            <w:vAlign w:val="bottom"/>
          </w:tcPr>
          <w:p>
            <w:pPr>
              <w:ind w:left="140"/>
              <w:spacing w:after="0"/>
              <w:rPr>
                <w:sz w:val="20"/>
                <w:szCs w:val="20"/>
                <w:color w:val="auto"/>
              </w:rPr>
            </w:pPr>
            <w:r>
              <w:rPr>
                <w:rFonts w:ascii="Verdana" w:cs="Verdana" w:eastAsia="Verdana" w:hAnsi="Verdana"/>
                <w:sz w:val="14"/>
                <w:szCs w:val="14"/>
                <w:color w:val="auto"/>
              </w:rPr>
              <w:t>Junior subordinated debt owed to unconsolidated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trusts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118</w:t>
            </w:r>
          </w:p>
        </w:tc>
        <w:tc>
          <w:tcPr>
            <w:tcW w:w="8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677</w:t>
            </w:r>
          </w:p>
        </w:tc>
        <w:tc>
          <w:tcPr>
            <w:tcW w:w="6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795</w:t>
            </w:r>
          </w:p>
        </w:tc>
        <w:tc>
          <w:tcPr>
            <w:tcW w:w="6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4"/>
                <w:szCs w:val="14"/>
                <w:color w:val="auto"/>
              </w:rPr>
              <w:t>8</w:t>
            </w:r>
          </w:p>
        </w:tc>
        <w:tc>
          <w:tcPr>
            <w:tcW w:w="6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816</w:t>
            </w:r>
          </w:p>
        </w:tc>
        <w:tc>
          <w:tcPr>
            <w:tcW w:w="6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824</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Change in interest expense</w:t>
            </w:r>
          </w:p>
        </w:tc>
        <w:tc>
          <w:tcPr>
            <w:tcW w:w="220" w:type="dxa"/>
            <w:vAlign w:val="bottom"/>
            <w:tcBorders>
              <w:bottom w:val="single" w:sz="8" w:color="auto"/>
            </w:tcBorders>
            <w:shd w:val="clear" w:color="auto" w:fill="E0E7ED"/>
          </w:tcPr>
          <w:p>
            <w:pPr>
              <w:spacing w:after="0"/>
              <w:rPr>
                <w:sz w:val="17"/>
                <w:szCs w:val="17"/>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(13,663)</w:t>
            </w:r>
          </w:p>
        </w:tc>
        <w:tc>
          <w:tcPr>
            <w:tcW w:w="8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54,811</w:t>
            </w:r>
          </w:p>
        </w:tc>
        <w:tc>
          <w:tcPr>
            <w:tcW w:w="6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92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41,148</w:t>
            </w:r>
          </w:p>
        </w:tc>
        <w:tc>
          <w:tcPr>
            <w:tcW w:w="60" w:type="dxa"/>
            <w:vAlign w:val="bottom"/>
            <w:shd w:val="clear" w:color="auto" w:fill="E0E7ED"/>
          </w:tcPr>
          <w:p>
            <w:pPr>
              <w:spacing w:after="0"/>
              <w:rPr>
                <w:sz w:val="17"/>
                <w:szCs w:val="17"/>
                <w:color w:val="auto"/>
              </w:rPr>
            </w:pPr>
          </w:p>
        </w:tc>
        <w:tc>
          <w:tcPr>
            <w:tcW w:w="240" w:type="dxa"/>
            <w:vAlign w:val="bottom"/>
            <w:tcBorders>
              <w:bottom w:val="single" w:sz="8" w:color="auto"/>
            </w:tcBorders>
            <w:shd w:val="clear" w:color="auto" w:fill="E0E7ED"/>
          </w:tcPr>
          <w:p>
            <w:pPr>
              <w:spacing w:after="0"/>
              <w:rPr>
                <w:sz w:val="17"/>
                <w:szCs w:val="17"/>
                <w:color w:val="auto"/>
              </w:rPr>
            </w:pPr>
          </w:p>
        </w:tc>
        <w:tc>
          <w:tcPr>
            <w:tcW w:w="9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4"/>
                <w:szCs w:val="14"/>
                <w:color w:val="auto"/>
              </w:rPr>
              <w:t>13,342</w:t>
            </w:r>
          </w:p>
        </w:tc>
        <w:tc>
          <w:tcPr>
            <w:tcW w:w="6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110,032</w:t>
            </w:r>
          </w:p>
        </w:tc>
        <w:tc>
          <w:tcPr>
            <w:tcW w:w="6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123,374</w:t>
            </w:r>
          </w:p>
        </w:tc>
        <w:tc>
          <w:tcPr>
            <w:tcW w:w="0" w:type="dxa"/>
            <w:vAlign w:val="bottom"/>
          </w:tcPr>
          <w:p>
            <w:pPr>
              <w:spacing w:after="0"/>
              <w:rPr>
                <w:sz w:val="1"/>
                <w:szCs w:val="1"/>
                <w:color w:val="auto"/>
              </w:rPr>
            </w:pPr>
          </w:p>
        </w:tc>
      </w:tr>
      <w:tr>
        <w:trPr>
          <w:trHeight w:val="208"/>
        </w:trPr>
        <w:tc>
          <w:tcPr>
            <w:tcW w:w="3820" w:type="dxa"/>
            <w:vAlign w:val="bottom"/>
          </w:tcPr>
          <w:p>
            <w:pPr>
              <w:ind w:left="20"/>
              <w:spacing w:after="0"/>
              <w:rPr>
                <w:sz w:val="20"/>
                <w:szCs w:val="20"/>
                <w:color w:val="auto"/>
              </w:rPr>
            </w:pPr>
            <w:r>
              <w:rPr>
                <w:rFonts w:ascii="Verdana" w:cs="Verdana" w:eastAsia="Verdana" w:hAnsi="Verdana"/>
                <w:sz w:val="14"/>
                <w:szCs w:val="14"/>
                <w:color w:val="auto"/>
              </w:rPr>
              <w:t>Increase (decrease) in net interest income</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900" w:type="dxa"/>
            <w:vAlign w:val="bottom"/>
          </w:tcPr>
          <w:p>
            <w:pPr>
              <w:jc w:val="right"/>
              <w:spacing w:after="0"/>
              <w:rPr>
                <w:sz w:val="20"/>
                <w:szCs w:val="20"/>
                <w:color w:val="auto"/>
              </w:rPr>
            </w:pPr>
            <w:r>
              <w:rPr>
                <w:rFonts w:ascii="Verdana" w:cs="Verdana" w:eastAsia="Verdana" w:hAnsi="Verdana"/>
                <w:sz w:val="14"/>
                <w:szCs w:val="14"/>
                <w:color w:val="auto"/>
              </w:rPr>
              <w:t>16,296</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spacing w:after="0"/>
              <w:rPr>
                <w:sz w:val="20"/>
                <w:szCs w:val="20"/>
                <w:color w:val="auto"/>
              </w:rPr>
            </w:pPr>
            <w:r>
              <w:rPr>
                <w:rFonts w:ascii="Verdana" w:cs="Verdana" w:eastAsia="Verdana" w:hAnsi="Verdana"/>
                <w:sz w:val="14"/>
                <w:szCs w:val="14"/>
                <w:color w:val="auto"/>
              </w:rPr>
              <w:t>(14,786)</w:t>
            </w:r>
          </w:p>
        </w:tc>
        <w:tc>
          <w:tcPr>
            <w:tcW w:w="6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ind w:right="152"/>
              <w:spacing w:after="0"/>
              <w:rPr>
                <w:sz w:val="20"/>
                <w:szCs w:val="20"/>
                <w:color w:val="auto"/>
              </w:rPr>
            </w:pPr>
            <w:r>
              <w:rPr>
                <w:rFonts w:ascii="Verdana" w:cs="Verdana" w:eastAsia="Verdana" w:hAnsi="Verdana"/>
                <w:sz w:val="14"/>
                <w:szCs w:val="14"/>
                <w:color w:val="auto"/>
              </w:rPr>
              <w:t>1,510</w:t>
            </w:r>
          </w:p>
        </w:tc>
        <w:tc>
          <w:tcPr>
            <w:tcW w:w="30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(11,619)</w:t>
            </w:r>
          </w:p>
        </w:tc>
        <w:tc>
          <w:tcPr>
            <w:tcW w:w="6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spacing w:after="0"/>
              <w:rPr>
                <w:sz w:val="20"/>
                <w:szCs w:val="20"/>
                <w:color w:val="auto"/>
              </w:rPr>
            </w:pPr>
            <w:r>
              <w:rPr>
                <w:rFonts w:ascii="Verdana" w:cs="Verdana" w:eastAsia="Verdana" w:hAnsi="Verdana"/>
                <w:sz w:val="14"/>
                <w:szCs w:val="14"/>
                <w:color w:val="auto"/>
              </w:rPr>
              <w:t>8,587</w:t>
            </w:r>
          </w:p>
        </w:tc>
        <w:tc>
          <w:tcPr>
            <w:tcW w:w="60" w:type="dxa"/>
            <w:vAlign w:val="bottom"/>
          </w:tcPr>
          <w:p>
            <w:pPr>
              <w:spacing w:after="0"/>
              <w:rPr>
                <w:sz w:val="18"/>
                <w:szCs w:val="18"/>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940" w:type="dxa"/>
            <w:vAlign w:val="bottom"/>
          </w:tcPr>
          <w:p>
            <w:pPr>
              <w:jc w:val="right"/>
              <w:ind w:right="92"/>
              <w:spacing w:after="0"/>
              <w:rPr>
                <w:sz w:val="20"/>
                <w:szCs w:val="20"/>
                <w:color w:val="auto"/>
              </w:rPr>
            </w:pPr>
            <w:r>
              <w:rPr>
                <w:rFonts w:ascii="Verdana" w:cs="Verdana" w:eastAsia="Verdana" w:hAnsi="Verdana"/>
                <w:sz w:val="14"/>
                <w:szCs w:val="14"/>
                <w:color w:val="auto"/>
              </w:rPr>
              <w:t>(3,032)</w:t>
            </w: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Verdana" w:cs="Verdana" w:eastAsia="Verdana" w:hAnsi="Verdana"/>
                <w:sz w:val="14"/>
                <w:szCs w:val="14"/>
                <w:color w:val="auto"/>
              </w:rPr>
              <w:t>Percentage increase (decrease) in net interest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4"/>
                <w:szCs w:val="14"/>
                <w:color w:val="auto"/>
              </w:rPr>
              <w:t>0.5 %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4"/>
                <w:szCs w:val="14"/>
                <w:color w:val="auto"/>
              </w:rPr>
              <w:t>(0.9)%</w:t>
            </w:r>
          </w:p>
        </w:tc>
        <w:tc>
          <w:tcPr>
            <w:tcW w:w="0" w:type="dxa"/>
            <w:vAlign w:val="bottom"/>
          </w:tcPr>
          <w:p>
            <w:pPr>
              <w:spacing w:after="0"/>
              <w:rPr>
                <w:sz w:val="1"/>
                <w:szCs w:val="1"/>
                <w:color w:val="auto"/>
              </w:rPr>
            </w:pPr>
          </w:p>
        </w:tc>
      </w:tr>
      <w:tr>
        <w:trPr>
          <w:trHeight w:val="174"/>
        </w:trPr>
        <w:tc>
          <w:tcPr>
            <w:tcW w:w="3820" w:type="dxa"/>
            <w:vAlign w:val="bottom"/>
          </w:tcPr>
          <w:p>
            <w:pPr>
              <w:ind w:left="20"/>
              <w:spacing w:after="0"/>
              <w:rPr>
                <w:sz w:val="20"/>
                <w:szCs w:val="20"/>
                <w:color w:val="auto"/>
              </w:rPr>
            </w:pPr>
            <w:r>
              <w:rPr>
                <w:rFonts w:ascii="Verdana" w:cs="Verdana" w:eastAsia="Verdana" w:hAnsi="Verdana"/>
                <w:sz w:val="14"/>
                <w:szCs w:val="14"/>
                <w:color w:val="auto"/>
              </w:rPr>
              <w:t>income over prior period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8" w:name="page59"/>
    <w:bookmarkEnd w:id="5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Notable changes in average assets and average liabilities are summarized as follows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0" w:type="dxa"/>
            <w:vAlign w:val="bottom"/>
            <w:gridSpan w:val="5"/>
          </w:tcPr>
          <w:p>
            <w:pPr>
              <w:ind w:left="620"/>
              <w:spacing w:after="0"/>
              <w:rPr>
                <w:sz w:val="20"/>
                <w:szCs w:val="20"/>
                <w:color w:val="auto"/>
              </w:rPr>
            </w:pPr>
            <w:r>
              <w:rPr>
                <w:rFonts w:ascii="Verdana" w:cs="Verdana" w:eastAsia="Verdana" w:hAnsi="Verdana"/>
                <w:sz w:val="10"/>
                <w:szCs w:val="10"/>
                <w:b w:val="1"/>
                <w:bCs w:val="1"/>
                <w:color w:val="auto"/>
              </w:rPr>
              <w:t>Years Ended December 31,</w:t>
            </w: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3"/>
        </w:trPr>
        <w:tc>
          <w:tcPr>
            <w:tcW w:w="44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635"/>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633"/>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Change</w:t>
            </w:r>
          </w:p>
        </w:tc>
        <w:tc>
          <w:tcPr>
            <w:tcW w:w="1660" w:type="dxa"/>
            <w:vAlign w:val="bottom"/>
          </w:tcPr>
          <w:p>
            <w:pPr>
              <w:jc w:val="right"/>
              <w:ind w:right="473"/>
              <w:spacing w:after="0"/>
              <w:rPr>
                <w:sz w:val="20"/>
                <w:szCs w:val="20"/>
                <w:color w:val="auto"/>
              </w:rPr>
            </w:pPr>
            <w:r>
              <w:rPr>
                <w:rFonts w:ascii="Verdana" w:cs="Verdana" w:eastAsia="Verdana" w:hAnsi="Verdana"/>
                <w:sz w:val="10"/>
                <w:szCs w:val="10"/>
                <w:b w:val="1"/>
                <w:bCs w:val="1"/>
                <w:color w:val="auto"/>
              </w:rPr>
              <w:t>% Change</w:t>
            </w:r>
          </w:p>
        </w:tc>
      </w:tr>
      <w:tr>
        <w:trPr>
          <w:trHeight w:val="208"/>
        </w:trPr>
        <w:tc>
          <w:tcPr>
            <w:tcW w:w="44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Average interest-earning assets</w:t>
            </w:r>
          </w:p>
        </w:tc>
        <w:tc>
          <w:tcPr>
            <w:tcW w:w="380" w:type="dxa"/>
            <w:vAlign w:val="bottom"/>
            <w:tcBorders>
              <w:top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rPr>
              <w:t>$</w:t>
            </w:r>
          </w:p>
        </w:tc>
        <w:tc>
          <w:tcPr>
            <w:tcW w:w="1320" w:type="dxa"/>
            <w:vAlign w:val="bottom"/>
            <w:tcBorders>
              <w:top w:val="single" w:sz="8" w:color="auto"/>
            </w:tcBorders>
            <w:shd w:val="clear" w:color="auto" w:fill="E0E7ED"/>
          </w:tcPr>
          <w:p>
            <w:pPr>
              <w:jc w:val="right"/>
              <w:ind w:right="155"/>
              <w:spacing w:after="0"/>
              <w:rPr>
                <w:sz w:val="20"/>
                <w:szCs w:val="20"/>
                <w:color w:val="auto"/>
              </w:rPr>
            </w:pPr>
            <w:r>
              <w:rPr>
                <w:rFonts w:ascii="Verdana" w:cs="Verdana" w:eastAsia="Verdana" w:hAnsi="Verdana"/>
                <w:sz w:val="14"/>
                <w:szCs w:val="14"/>
                <w:color w:val="auto"/>
              </w:rPr>
              <w:t>10,999,424</w:t>
            </w:r>
          </w:p>
        </w:tc>
        <w:tc>
          <w:tcPr>
            <w:tcW w:w="100" w:type="dxa"/>
            <w:vAlign w:val="bottom"/>
            <w:tcBorders>
              <w:top w:val="single" w:sz="8" w:color="E0E7ED"/>
            </w:tcBorders>
            <w:shd w:val="clear" w:color="auto" w:fill="E0E7ED"/>
          </w:tcPr>
          <w:p>
            <w:pPr>
              <w:spacing w:after="0"/>
              <w:rPr>
                <w:sz w:val="18"/>
                <w:szCs w:val="18"/>
                <w:color w:val="auto"/>
              </w:rPr>
            </w:pPr>
          </w:p>
        </w:tc>
        <w:tc>
          <w:tcPr>
            <w:tcW w:w="380" w:type="dxa"/>
            <w:vAlign w:val="bottom"/>
            <w:tcBorders>
              <w:top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00" w:type="dxa"/>
            <w:vAlign w:val="bottom"/>
            <w:tcBorders>
              <w:top w:val="single" w:sz="8" w:color="auto"/>
            </w:tcBorders>
            <w:shd w:val="clear" w:color="auto" w:fill="E0E7ED"/>
          </w:tcPr>
          <w:p>
            <w:pPr>
              <w:jc w:val="right"/>
              <w:ind w:right="133"/>
              <w:spacing w:after="0"/>
              <w:rPr>
                <w:sz w:val="20"/>
                <w:szCs w:val="20"/>
                <w:color w:val="auto"/>
              </w:rPr>
            </w:pPr>
            <w:r>
              <w:rPr>
                <w:rFonts w:ascii="Verdana" w:cs="Verdana" w:eastAsia="Verdana" w:hAnsi="Verdana"/>
                <w:sz w:val="14"/>
                <w:szCs w:val="14"/>
                <w:color w:val="auto"/>
              </w:rPr>
              <w:t>11,181,010</w:t>
            </w:r>
          </w:p>
        </w:tc>
        <w:tc>
          <w:tcPr>
            <w:tcW w:w="100" w:type="dxa"/>
            <w:vAlign w:val="bottom"/>
            <w:tcBorders>
              <w:top w:val="single" w:sz="8" w:color="E0E7ED"/>
            </w:tcBorders>
            <w:shd w:val="clear" w:color="auto" w:fill="E0E7ED"/>
          </w:tcPr>
          <w:p>
            <w:pPr>
              <w:spacing w:after="0"/>
              <w:rPr>
                <w:sz w:val="18"/>
                <w:szCs w:val="18"/>
                <w:color w:val="auto"/>
              </w:rPr>
            </w:pPr>
          </w:p>
        </w:tc>
        <w:tc>
          <w:tcPr>
            <w:tcW w:w="320" w:type="dxa"/>
            <w:vAlign w:val="bottom"/>
            <w:tcBorders>
              <w:top w:val="single" w:sz="8" w:color="auto"/>
            </w:tcBorders>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(181,586)</w:t>
            </w:r>
          </w:p>
        </w:tc>
        <w:tc>
          <w:tcPr>
            <w:tcW w:w="80" w:type="dxa"/>
            <w:vAlign w:val="bottom"/>
            <w:tcBorders>
              <w:top w:val="single" w:sz="8" w:color="E0E7ED"/>
            </w:tcBorders>
            <w:shd w:val="clear" w:color="auto" w:fill="E0E7ED"/>
          </w:tcPr>
          <w:p>
            <w:pPr>
              <w:spacing w:after="0"/>
              <w:rPr>
                <w:sz w:val="18"/>
                <w:szCs w:val="18"/>
                <w:color w:val="auto"/>
              </w:rPr>
            </w:pP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w:t>
            </w: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Average interest-bearing liabilities</w:t>
            </w:r>
          </w:p>
        </w:tc>
        <w:tc>
          <w:tcPr>
            <w:tcW w:w="38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Verdana" w:cs="Verdana" w:eastAsia="Verdana" w:hAnsi="Verdana"/>
                <w:sz w:val="14"/>
                <w:szCs w:val="14"/>
                <w:color w:val="auto"/>
              </w:rPr>
              <w:t>7,763,084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Verdana" w:cs="Verdana" w:eastAsia="Verdana" w:hAnsi="Verdana"/>
                <w:sz w:val="14"/>
                <w:szCs w:val="14"/>
                <w:color w:val="auto"/>
              </w:rPr>
              <w:t>7,825,459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(62,375)</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(0.8)%</w:t>
            </w: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Average noninterest-bearing deposits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5"/>
              <w:spacing w:after="0"/>
              <w:rPr>
                <w:sz w:val="20"/>
                <w:szCs w:val="20"/>
                <w:color w:val="auto"/>
              </w:rPr>
            </w:pPr>
            <w:r>
              <w:rPr>
                <w:rFonts w:ascii="Verdana" w:cs="Verdana" w:eastAsia="Verdana" w:hAnsi="Verdana"/>
                <w:sz w:val="14"/>
                <w:szCs w:val="14"/>
                <w:color w:val="auto"/>
              </w:rPr>
              <w:t>2,738,892</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3,018,563</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(279,671)</w:t>
            </w: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(9.3)%</w:t>
            </w:r>
          </w:p>
        </w:tc>
      </w:tr>
      <w:tr>
        <w:trPr>
          <w:trHeight w:val="212"/>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2"/>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average deposits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5"/>
              <w:spacing w:after="0"/>
              <w:rPr>
                <w:sz w:val="20"/>
                <w:szCs w:val="20"/>
                <w:color w:val="auto"/>
              </w:rPr>
            </w:pPr>
            <w:r>
              <w:rPr>
                <w:rFonts w:ascii="Verdana" w:cs="Verdana" w:eastAsia="Verdana" w:hAnsi="Verdana"/>
                <w:sz w:val="14"/>
                <w:szCs w:val="14"/>
                <w:color w:val="auto"/>
              </w:rPr>
              <w:t>10,040,016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33"/>
              <w:spacing w:after="0"/>
              <w:rPr>
                <w:sz w:val="20"/>
                <w:szCs w:val="20"/>
                <w:color w:val="auto"/>
              </w:rPr>
            </w:pPr>
            <w:r>
              <w:rPr>
                <w:rFonts w:ascii="Verdana" w:cs="Verdana" w:eastAsia="Verdana" w:hAnsi="Verdana"/>
                <w:sz w:val="14"/>
                <w:szCs w:val="14"/>
                <w:color w:val="auto"/>
              </w:rPr>
              <w:t>10,070,933</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(30,917)</w:t>
            </w: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(0.3)%</w:t>
            </w: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Total average liabilities</w:t>
            </w:r>
          </w:p>
        </w:tc>
        <w:tc>
          <w:tcPr>
            <w:tcW w:w="380" w:type="dxa"/>
            <w:vAlign w:val="bottom"/>
          </w:tcPr>
          <w:p>
            <w:pPr>
              <w:spacing w:after="0"/>
              <w:rPr>
                <w:sz w:val="17"/>
                <w:szCs w:val="17"/>
                <w:color w:val="auto"/>
              </w:rPr>
            </w:pPr>
          </w:p>
        </w:tc>
        <w:tc>
          <w:tcPr>
            <w:tcW w:w="1320" w:type="dxa"/>
            <w:vAlign w:val="bottom"/>
          </w:tcPr>
          <w:p>
            <w:pPr>
              <w:jc w:val="right"/>
              <w:ind w:right="155"/>
              <w:spacing w:after="0"/>
              <w:rPr>
                <w:sz w:val="20"/>
                <w:szCs w:val="20"/>
                <w:color w:val="auto"/>
              </w:rPr>
            </w:pPr>
            <w:r>
              <w:rPr>
                <w:rFonts w:ascii="Verdana" w:cs="Verdana" w:eastAsia="Verdana" w:hAnsi="Verdana"/>
                <w:sz w:val="14"/>
                <w:szCs w:val="14"/>
                <w:color w:val="auto"/>
              </w:rPr>
              <w:t>10,709,447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33"/>
              <w:spacing w:after="0"/>
              <w:rPr>
                <w:sz w:val="20"/>
                <w:szCs w:val="20"/>
                <w:color w:val="auto"/>
              </w:rPr>
            </w:pPr>
            <w:r>
              <w:rPr>
                <w:rFonts w:ascii="Verdana" w:cs="Verdana" w:eastAsia="Verdana" w:hAnsi="Verdana"/>
                <w:sz w:val="14"/>
                <w:szCs w:val="14"/>
                <w:color w:val="auto"/>
              </w:rPr>
              <w:t>11,048,707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(339,260)</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(3.1)%</w:t>
            </w:r>
          </w:p>
        </w:tc>
      </w:tr>
      <w:tr>
        <w:trPr>
          <w:trHeight w:val="218"/>
        </w:trPr>
        <w:tc>
          <w:tcPr>
            <w:tcW w:w="442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spacing w:after="0"/>
              <w:rPr>
                <w:sz w:val="18"/>
                <w:szCs w:val="18"/>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ind w:left="20"/>
              <w:spacing w:after="0"/>
              <w:rPr>
                <w:sz w:val="20"/>
                <w:szCs w:val="20"/>
                <w:color w:val="auto"/>
              </w:rPr>
            </w:pPr>
            <w:r>
              <w:rPr>
                <w:rFonts w:ascii="Verdana" w:cs="Verdana" w:eastAsia="Verdana" w:hAnsi="Verdana"/>
                <w:sz w:val="14"/>
                <w:szCs w:val="14"/>
                <w:color w:val="auto"/>
              </w:rPr>
              <w:t>Average noninterest-bearing deposits as a percent of total</w:t>
            </w: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190"/>
        </w:trPr>
        <w:tc>
          <w:tcPr>
            <w:tcW w:w="4980" w:type="dxa"/>
            <w:vAlign w:val="bottom"/>
          </w:tcPr>
          <w:p>
            <w:pPr>
              <w:ind w:left="20"/>
              <w:spacing w:after="0"/>
              <w:rPr>
                <w:sz w:val="20"/>
                <w:szCs w:val="20"/>
                <w:color w:val="auto"/>
              </w:rPr>
            </w:pPr>
            <w:r>
              <w:rPr>
                <w:rFonts w:ascii="Verdana" w:cs="Verdana" w:eastAsia="Verdana" w:hAnsi="Verdana"/>
                <w:sz w:val="14"/>
                <w:szCs w:val="14"/>
                <w:color w:val="auto"/>
              </w:rPr>
              <w:t>average deposits</w:t>
            </w:r>
          </w:p>
        </w:tc>
        <w:tc>
          <w:tcPr>
            <w:tcW w:w="1760" w:type="dxa"/>
            <w:vAlign w:val="bottom"/>
          </w:tcPr>
          <w:p>
            <w:pPr>
              <w:jc w:val="right"/>
              <w:ind w:right="549"/>
              <w:spacing w:after="0"/>
              <w:rPr>
                <w:sz w:val="20"/>
                <w:szCs w:val="20"/>
                <w:color w:val="auto"/>
              </w:rPr>
            </w:pPr>
            <w:r>
              <w:rPr>
                <w:rFonts w:ascii="Verdana" w:cs="Verdana" w:eastAsia="Verdana" w:hAnsi="Verdana"/>
                <w:sz w:val="14"/>
                <w:szCs w:val="14"/>
                <w:color w:val="auto"/>
              </w:rPr>
              <w:t>27.3 %</w:t>
            </w:r>
          </w:p>
        </w:tc>
        <w:tc>
          <w:tcPr>
            <w:tcW w:w="1620" w:type="dxa"/>
            <w:vAlign w:val="bottom"/>
          </w:tcPr>
          <w:p>
            <w:pPr>
              <w:jc w:val="right"/>
              <w:ind w:right="389"/>
              <w:spacing w:after="0"/>
              <w:rPr>
                <w:sz w:val="20"/>
                <w:szCs w:val="20"/>
                <w:color w:val="auto"/>
              </w:rPr>
            </w:pPr>
            <w:r>
              <w:rPr>
                <w:rFonts w:ascii="Verdana" w:cs="Verdana" w:eastAsia="Verdana" w:hAnsi="Verdana"/>
                <w:sz w:val="14"/>
                <w:szCs w:val="14"/>
                <w:color w:val="auto"/>
              </w:rPr>
              <w:t>30.0 %</w:t>
            </w:r>
          </w:p>
        </w:tc>
        <w:tc>
          <w:tcPr>
            <w:tcW w:w="2920" w:type="dxa"/>
            <w:vAlign w:val="bottom"/>
          </w:tcPr>
          <w:p>
            <w:pPr>
              <w:jc w:val="right"/>
              <w:ind w:right="1689"/>
              <w:spacing w:after="0"/>
              <w:rPr>
                <w:sz w:val="20"/>
                <w:szCs w:val="20"/>
                <w:color w:val="auto"/>
              </w:rPr>
            </w:pPr>
            <w:r>
              <w:rPr>
                <w:rFonts w:ascii="Verdana" w:cs="Verdana" w:eastAsia="Verdana" w:hAnsi="Verdana"/>
                <w:sz w:val="14"/>
                <w:szCs w:val="14"/>
                <w:color w:val="auto"/>
              </w:rPr>
              <w:t>(270) bps</w:t>
            </w:r>
          </w:p>
        </w:tc>
      </w:tr>
      <w:tr>
        <w:trPr>
          <w:trHeight w:val="218"/>
        </w:trPr>
        <w:tc>
          <w:tcPr>
            <w:tcW w:w="49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average deposits as a percent of total average liabilities</w:t>
            </w:r>
          </w:p>
        </w:tc>
        <w:tc>
          <w:tcPr>
            <w:tcW w:w="1760" w:type="dxa"/>
            <w:vAlign w:val="bottom"/>
            <w:shd w:val="clear" w:color="auto" w:fill="E0E7ED"/>
          </w:tcPr>
          <w:p>
            <w:pPr>
              <w:jc w:val="right"/>
              <w:ind w:right="549"/>
              <w:spacing w:after="0"/>
              <w:rPr>
                <w:sz w:val="20"/>
                <w:szCs w:val="20"/>
                <w:color w:val="auto"/>
              </w:rPr>
            </w:pPr>
            <w:r>
              <w:rPr>
                <w:rFonts w:ascii="Verdana" w:cs="Verdana" w:eastAsia="Verdana" w:hAnsi="Verdana"/>
                <w:sz w:val="14"/>
                <w:szCs w:val="14"/>
                <w:color w:val="auto"/>
              </w:rPr>
              <w:t>93.7 %</w:t>
            </w:r>
          </w:p>
        </w:tc>
        <w:tc>
          <w:tcPr>
            <w:tcW w:w="1620" w:type="dxa"/>
            <w:vAlign w:val="bottom"/>
            <w:shd w:val="clear" w:color="auto" w:fill="E0E7ED"/>
          </w:tcPr>
          <w:p>
            <w:pPr>
              <w:jc w:val="right"/>
              <w:ind w:right="389"/>
              <w:spacing w:after="0"/>
              <w:rPr>
                <w:sz w:val="20"/>
                <w:szCs w:val="20"/>
                <w:color w:val="auto"/>
              </w:rPr>
            </w:pPr>
            <w:r>
              <w:rPr>
                <w:rFonts w:ascii="Verdana" w:cs="Verdana" w:eastAsia="Verdana" w:hAnsi="Verdana"/>
                <w:sz w:val="14"/>
                <w:szCs w:val="14"/>
                <w:color w:val="auto"/>
              </w:rPr>
              <w:t>91.2 %</w:t>
            </w:r>
          </w:p>
        </w:tc>
        <w:tc>
          <w:tcPr>
            <w:tcW w:w="2920" w:type="dxa"/>
            <w:vAlign w:val="bottom"/>
            <w:shd w:val="clear" w:color="auto" w:fill="E0E7ED"/>
          </w:tcPr>
          <w:p>
            <w:pPr>
              <w:jc w:val="right"/>
              <w:ind w:right="1689"/>
              <w:spacing w:after="0"/>
              <w:rPr>
                <w:sz w:val="20"/>
                <w:szCs w:val="20"/>
                <w:color w:val="auto"/>
              </w:rPr>
            </w:pPr>
            <w:r>
              <w:rPr>
                <w:rFonts w:ascii="Verdana" w:cs="Verdana" w:eastAsia="Verdana" w:hAnsi="Verdana"/>
                <w:sz w:val="14"/>
                <w:szCs w:val="14"/>
                <w:color w:val="auto"/>
              </w:rPr>
              <w:t>250 bps</w:t>
            </w: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Changes in net interest income and net interest margin are summarized as follows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Years Ended December 31,</w:t>
            </w: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3"/>
        </w:trPr>
        <w:tc>
          <w:tcPr>
            <w:tcW w:w="444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6"/>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w w:val="91"/>
              </w:rPr>
              <w:t>2023</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4"/>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680" w:type="dxa"/>
            <w:vAlign w:val="bottom"/>
            <w:tcBorders>
              <w:bottom w:val="single" w:sz="8" w:color="auto"/>
            </w:tcBorders>
          </w:tcPr>
          <w:p>
            <w:pPr>
              <w:jc w:val="right"/>
              <w:ind w:right="491"/>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44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w:t>
            </w:r>
          </w:p>
        </w:tc>
        <w:tc>
          <w:tcPr>
            <w:tcW w:w="4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70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4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680" w:type="dxa"/>
            <w:vAlign w:val="bottom"/>
            <w:shd w:val="clear" w:color="auto" w:fill="E0E7ED"/>
          </w:tcPr>
          <w:p>
            <w:pPr>
              <w:spacing w:after="0"/>
              <w:rPr>
                <w:sz w:val="17"/>
                <w:szCs w:val="17"/>
                <w:color w:val="auto"/>
              </w:rPr>
            </w:pPr>
          </w:p>
        </w:tc>
      </w:tr>
      <w:tr>
        <w:trPr>
          <w:trHeight w:val="207"/>
        </w:trPr>
        <w:tc>
          <w:tcPr>
            <w:tcW w:w="4440" w:type="dxa"/>
            <w:vAlign w:val="bottom"/>
          </w:tcPr>
          <w:p>
            <w:pPr>
              <w:ind w:left="140"/>
              <w:spacing w:after="0"/>
              <w:rPr>
                <w:sz w:val="20"/>
                <w:szCs w:val="20"/>
                <w:color w:val="auto"/>
              </w:rPr>
            </w:pPr>
            <w:r>
              <w:rPr>
                <w:rFonts w:ascii="Verdana" w:cs="Verdana" w:eastAsia="Verdana" w:hAnsi="Verdana"/>
                <w:sz w:val="14"/>
                <w:szCs w:val="14"/>
                <w:color w:val="auto"/>
              </w:rPr>
              <w:t>Interest income, on a tax-equivalent basis</w:t>
            </w:r>
            <w:r>
              <w:rPr>
                <w:rFonts w:ascii="Verdana" w:cs="Verdana" w:eastAsia="Verdana" w:hAnsi="Verdana"/>
                <w:sz w:val="9"/>
                <w:szCs w:val="9"/>
                <w:color w:val="auto"/>
              </w:rPr>
              <w:t>1</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6"/>
              <w:spacing w:after="0"/>
              <w:rPr>
                <w:sz w:val="20"/>
                <w:szCs w:val="20"/>
                <w:color w:val="auto"/>
              </w:rPr>
            </w:pPr>
            <w:r>
              <w:rPr>
                <w:rFonts w:ascii="Verdana" w:cs="Verdana" w:eastAsia="Verdana" w:hAnsi="Verdana"/>
                <w:sz w:val="14"/>
                <w:szCs w:val="14"/>
                <w:color w:val="auto"/>
              </w:rPr>
              <w:t>525,374</w:t>
            </w:r>
          </w:p>
        </w:tc>
        <w:tc>
          <w:tcPr>
            <w:tcW w:w="100" w:type="dxa"/>
            <w:vAlign w:val="bottom"/>
          </w:tcPr>
          <w:p>
            <w:pPr>
              <w:spacing w:after="0"/>
              <w:rPr>
                <w:sz w:val="17"/>
                <w:szCs w:val="17"/>
                <w:color w:val="auto"/>
              </w:rPr>
            </w:pPr>
          </w:p>
        </w:tc>
        <w:tc>
          <w:tcPr>
            <w:tcW w:w="700" w:type="dxa"/>
            <w:vAlign w:val="bottom"/>
          </w:tcPr>
          <w:p>
            <w:pPr>
              <w:jc w:val="right"/>
              <w:ind w:right="529"/>
              <w:spacing w:after="0"/>
              <w:rPr>
                <w:sz w:val="20"/>
                <w:szCs w:val="20"/>
                <w:color w:val="auto"/>
              </w:rPr>
            </w:pPr>
            <w:r>
              <w:rPr>
                <w:rFonts w:ascii="Verdana" w:cs="Verdana" w:eastAsia="Verdana" w:hAnsi="Verdana"/>
                <w:sz w:val="14"/>
                <w:szCs w:val="14"/>
                <w:color w:val="auto"/>
                <w:w w:val="88"/>
              </w:rPr>
              <w:t>$</w:t>
            </w:r>
          </w:p>
        </w:tc>
        <w:tc>
          <w:tcPr>
            <w:tcW w:w="980" w:type="dxa"/>
            <w:vAlign w:val="bottom"/>
          </w:tcPr>
          <w:p>
            <w:pPr>
              <w:jc w:val="right"/>
              <w:ind w:right="154"/>
              <w:spacing w:after="0"/>
              <w:rPr>
                <w:sz w:val="20"/>
                <w:szCs w:val="20"/>
                <w:color w:val="auto"/>
              </w:rPr>
            </w:pPr>
            <w:r>
              <w:rPr>
                <w:rFonts w:ascii="Verdana" w:cs="Verdana" w:eastAsia="Verdana" w:hAnsi="Verdana"/>
                <w:sz w:val="14"/>
                <w:szCs w:val="14"/>
                <w:color w:val="auto"/>
              </w:rPr>
              <w:t>482,716</w:t>
            </w:r>
          </w:p>
        </w:tc>
        <w:tc>
          <w:tcPr>
            <w:tcW w:w="8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42,658</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8.8 %</w:t>
            </w:r>
          </w:p>
        </w:tc>
      </w:tr>
      <w:tr>
        <w:trPr>
          <w:trHeight w:val="212"/>
        </w:trPr>
        <w:tc>
          <w:tcPr>
            <w:tcW w:w="44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 expense</w:t>
            </w:r>
          </w:p>
        </w:tc>
        <w:tc>
          <w:tcPr>
            <w:tcW w:w="4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ind w:right="96"/>
              <w:spacing w:after="0"/>
              <w:rPr>
                <w:sz w:val="20"/>
                <w:szCs w:val="20"/>
                <w:color w:val="auto"/>
              </w:rPr>
            </w:pPr>
            <w:r>
              <w:rPr>
                <w:rFonts w:ascii="Verdana" w:cs="Verdana" w:eastAsia="Verdana" w:hAnsi="Verdana"/>
                <w:sz w:val="14"/>
                <w:szCs w:val="14"/>
                <w:color w:val="auto"/>
              </w:rPr>
              <w:t>(201,070)</w:t>
            </w:r>
          </w:p>
        </w:tc>
        <w:tc>
          <w:tcPr>
            <w:tcW w:w="100" w:type="dxa"/>
            <w:vAlign w:val="bottom"/>
            <w:shd w:val="clear" w:color="auto" w:fill="E0E7ED"/>
          </w:tcPr>
          <w:p>
            <w:pPr>
              <w:spacing w:after="0"/>
              <w:rPr>
                <w:sz w:val="18"/>
                <w:szCs w:val="18"/>
                <w:color w:val="auto"/>
              </w:rPr>
            </w:pPr>
          </w:p>
        </w:tc>
        <w:tc>
          <w:tcPr>
            <w:tcW w:w="70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ind w:right="114"/>
              <w:spacing w:after="0"/>
              <w:rPr>
                <w:sz w:val="20"/>
                <w:szCs w:val="20"/>
                <w:color w:val="auto"/>
              </w:rPr>
            </w:pPr>
            <w:r>
              <w:rPr>
                <w:rFonts w:ascii="Verdana" w:cs="Verdana" w:eastAsia="Verdana" w:hAnsi="Verdana"/>
                <w:sz w:val="14"/>
                <w:szCs w:val="14"/>
                <w:color w:val="auto"/>
              </w:rPr>
              <w:t>(159,922)</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(41,148)</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(25.7)%</w:t>
            </w:r>
          </w:p>
        </w:tc>
      </w:tr>
      <w:tr>
        <w:trPr>
          <w:trHeight w:val="208"/>
        </w:trPr>
        <w:tc>
          <w:tcPr>
            <w:tcW w:w="4440" w:type="dxa"/>
            <w:vAlign w:val="bottom"/>
          </w:tcPr>
          <w:p>
            <w:pPr>
              <w:ind w:left="20"/>
              <w:spacing w:after="0"/>
              <w:rPr>
                <w:sz w:val="20"/>
                <w:szCs w:val="20"/>
                <w:color w:val="auto"/>
              </w:rPr>
            </w:pPr>
            <w:r>
              <w:rPr>
                <w:rFonts w:ascii="Verdana" w:cs="Verdana" w:eastAsia="Verdana" w:hAnsi="Verdana"/>
                <w:sz w:val="14"/>
                <w:szCs w:val="14"/>
                <w:color w:val="auto"/>
              </w:rPr>
              <w:t>Net interest income, on a tax-equivalent basis</w:t>
            </w:r>
            <w:r>
              <w:rPr>
                <w:rFonts w:ascii="Verdana" w:cs="Verdana" w:eastAsia="Verdana" w:hAnsi="Verdana"/>
                <w:sz w:val="9"/>
                <w:szCs w:val="9"/>
                <w:color w:val="auto"/>
              </w:rPr>
              <w:t>1</w:t>
            </w:r>
          </w:p>
        </w:tc>
        <w:tc>
          <w:tcPr>
            <w:tcW w:w="400" w:type="dxa"/>
            <w:vAlign w:val="bottom"/>
            <w:tcBorders>
              <w:bottom w:val="single" w:sz="8" w:color="auto"/>
            </w:tcBorders>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ind w:right="156"/>
              <w:spacing w:after="0"/>
              <w:rPr>
                <w:sz w:val="20"/>
                <w:szCs w:val="20"/>
                <w:color w:val="auto"/>
              </w:rPr>
            </w:pPr>
            <w:r>
              <w:rPr>
                <w:rFonts w:ascii="Verdana" w:cs="Verdana" w:eastAsia="Verdana" w:hAnsi="Verdana"/>
                <w:sz w:val="14"/>
                <w:szCs w:val="14"/>
                <w:color w:val="auto"/>
              </w:rPr>
              <w:t>324,304</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2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322,794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1,510</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0.5 %</w:t>
            </w:r>
          </w:p>
        </w:tc>
      </w:tr>
      <w:tr>
        <w:trPr>
          <w:trHeight w:val="20"/>
        </w:trPr>
        <w:tc>
          <w:tcPr>
            <w:tcW w:w="444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80" w:type="dxa"/>
            <w:vAlign w:val="bottom"/>
            <w:tcBorders>
              <w:bottom w:val="single" w:sz="8" w:color="E0E7ED"/>
            </w:tcBorders>
          </w:tcPr>
          <w:p>
            <w:pPr>
              <w:spacing w:after="0" w:line="20" w:lineRule="exact"/>
              <w:rPr>
                <w:sz w:val="1"/>
                <w:szCs w:val="1"/>
                <w:color w:val="auto"/>
              </w:rPr>
            </w:pPr>
          </w:p>
        </w:tc>
      </w:tr>
      <w:tr>
        <w:trPr>
          <w:trHeight w:val="173"/>
        </w:trPr>
        <w:tc>
          <w:tcPr>
            <w:tcW w:w="4440" w:type="dxa"/>
            <w:vAlign w:val="bottom"/>
            <w:shd w:val="clear" w:color="auto" w:fill="E0E7ED"/>
          </w:tcPr>
          <w:p>
            <w:pPr>
              <w:spacing w:after="0"/>
              <w:rPr>
                <w:sz w:val="15"/>
                <w:szCs w:val="15"/>
                <w:color w:val="auto"/>
              </w:rPr>
            </w:pPr>
          </w:p>
        </w:tc>
        <w:tc>
          <w:tcPr>
            <w:tcW w:w="4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700" w:type="dxa"/>
            <w:vAlign w:val="bottom"/>
            <w:shd w:val="clear" w:color="auto" w:fill="E0E7ED"/>
          </w:tcPr>
          <w:p>
            <w:pPr>
              <w:spacing w:after="0"/>
              <w:rPr>
                <w:sz w:val="15"/>
                <w:szCs w:val="15"/>
                <w:color w:val="auto"/>
              </w:rPr>
            </w:pPr>
          </w:p>
        </w:tc>
        <w:tc>
          <w:tcPr>
            <w:tcW w:w="9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80" w:type="dxa"/>
            <w:vAlign w:val="bottom"/>
            <w:shd w:val="clear" w:color="auto" w:fill="E0E7ED"/>
          </w:tcPr>
          <w:p>
            <w:pPr>
              <w:spacing w:after="0"/>
              <w:rPr>
                <w:sz w:val="15"/>
                <w:szCs w:val="15"/>
                <w:color w:val="auto"/>
              </w:rPr>
            </w:pPr>
          </w:p>
        </w:tc>
      </w:tr>
      <w:tr>
        <w:trPr>
          <w:trHeight w:val="201"/>
        </w:trPr>
        <w:tc>
          <w:tcPr>
            <w:tcW w:w="4440" w:type="dxa"/>
            <w:vAlign w:val="bottom"/>
          </w:tcPr>
          <w:p>
            <w:pPr>
              <w:ind w:left="20"/>
              <w:spacing w:after="0"/>
              <w:rPr>
                <w:sz w:val="20"/>
                <w:szCs w:val="20"/>
                <w:color w:val="auto"/>
              </w:rPr>
            </w:pPr>
            <w:r>
              <w:rPr>
                <w:rFonts w:ascii="Verdana" w:cs="Verdana" w:eastAsia="Verdana" w:hAnsi="Verdana"/>
                <w:sz w:val="14"/>
                <w:szCs w:val="14"/>
                <w:color w:val="auto"/>
              </w:rPr>
              <w:t>Net interest margin</w:t>
            </w:r>
            <w:r>
              <w:rPr>
                <w:rFonts w:ascii="Verdana" w:cs="Verdana" w:eastAsia="Verdana" w:hAnsi="Verdana"/>
                <w:sz w:val="9"/>
                <w:szCs w:val="9"/>
                <w:color w:val="auto"/>
              </w:rPr>
              <w:t>1, 2</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2.95 %</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2.89 %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 bps</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8"/>
        </w:trPr>
        <w:tc>
          <w:tcPr>
            <w:tcW w:w="4440" w:type="dxa"/>
            <w:vAlign w:val="bottom"/>
          </w:tcPr>
          <w:p>
            <w:pPr>
              <w:spacing w:after="0"/>
              <w:rPr>
                <w:sz w:val="20"/>
                <w:szCs w:val="20"/>
                <w:color w:val="auto"/>
              </w:rPr>
            </w:pPr>
            <w:r>
              <w:rPr>
                <w:rFonts w:ascii="Verdana" w:cs="Verdana" w:eastAsia="Verdana" w:hAnsi="Verdana"/>
                <w:sz w:val="10"/>
                <w:szCs w:val="10"/>
                <w:color w:val="auto"/>
              </w:rPr>
              <w:t>___________________________________________</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ind w:left="380" w:hanging="248"/>
        <w:spacing w:after="0" w:line="230" w:lineRule="auto"/>
        <w:tabs>
          <w:tab w:leader="none" w:pos="380" w:val="left"/>
        </w:tabs>
        <w:numPr>
          <w:ilvl w:val="0"/>
          <w:numId w:val="21"/>
        </w:numPr>
        <w:rPr>
          <w:rFonts w:ascii="Verdana" w:cs="Verdana" w:eastAsia="Verdana" w:hAnsi="Verdana"/>
          <w:sz w:val="10"/>
          <w:szCs w:val="10"/>
          <w:color w:val="auto"/>
        </w:rPr>
      </w:pPr>
      <w:r>
        <w:rPr>
          <w:rFonts w:ascii="Verdana" w:cs="Verdana" w:eastAsia="Verdana" w:hAnsi="Verdana"/>
          <w:sz w:val="10"/>
          <w:szCs w:val="10"/>
          <w:color w:val="auto"/>
        </w:rPr>
        <w:t>Assuming a federal income tax rate of 21.0%.</w:t>
      </w:r>
    </w:p>
    <w:p>
      <w:pPr>
        <w:ind w:left="380" w:hanging="248"/>
        <w:spacing w:after="0"/>
        <w:tabs>
          <w:tab w:leader="none" w:pos="380" w:val="left"/>
        </w:tabs>
        <w:numPr>
          <w:ilvl w:val="0"/>
          <w:numId w:val="21"/>
        </w:numPr>
        <w:rPr>
          <w:rFonts w:ascii="Verdana" w:cs="Verdana" w:eastAsia="Verdana" w:hAnsi="Verdana"/>
          <w:sz w:val="10"/>
          <w:szCs w:val="10"/>
          <w:color w:val="auto"/>
        </w:rPr>
      </w:pPr>
      <w:r>
        <w:rPr>
          <w:rFonts w:ascii="Verdana" w:cs="Verdana" w:eastAsia="Verdana" w:hAnsi="Verdana"/>
          <w:sz w:val="10"/>
          <w:szCs w:val="10"/>
          <w:color w:val="auto"/>
        </w:rPr>
        <w:t>Net interest income expressed as a percentage of average earning assets, stated on a tax-equivalent basis.</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After raising federal funds rates by a total of 525 bps between March 2022 and July 2023, the FOMC lowered rates by 100 bps beginning in September 2024. During 2024, in anticipation of the FOMC pivot to an easing cycle, Busey limited its exposure to term funding structures and intentionally priced savings specials to encourage maturing CD balances to migrate to managed rate non-maturity products. Beginning in September 2024 Busey began lowering rates on special priced deposit accounts and other managed rate products to benefit from the FOMC rate cuts. Busey continues to offer CD specials with shorter term structures as well as offering attractive premium savings rates to encourage rotation of maturing CD deposits into nimble pricing products. Beginning in the second quarter of 2024, Busey also saw the full benefit of the December 2023 and March 2024 targeted balance sheet repositioning in its net interest margin.</w:t>
      </w:r>
    </w:p>
    <w:p>
      <w:pPr>
        <w:spacing w:after="0" w:line="297"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Net interest spread represents the difference between the average rate earned on earning assets and the average rate paid on interest-bearing liabilities, and is presented in the table below for the periods indicated:</w:t>
      </w:r>
    </w:p>
    <w:p>
      <w:pPr>
        <w:spacing w:after="0" w:line="142" w:lineRule="exact"/>
        <w:rPr>
          <w:sz w:val="20"/>
          <w:szCs w:val="20"/>
          <w:color w:val="auto"/>
        </w:rPr>
      </w:pPr>
    </w:p>
    <w:p>
      <w:pPr>
        <w:ind w:left="7920"/>
        <w:spacing w:after="0"/>
        <w:rPr>
          <w:sz w:val="20"/>
          <w:szCs w:val="20"/>
          <w:color w:val="auto"/>
        </w:rPr>
      </w:pPr>
      <w:r>
        <w:rPr>
          <w:rFonts w:ascii="Verdana" w:cs="Verdana" w:eastAsia="Verdana" w:hAnsi="Verdana"/>
          <w:sz w:val="10"/>
          <w:szCs w:val="10"/>
          <w:b w:val="1"/>
          <w:bCs w:val="1"/>
          <w:color w:val="auto"/>
        </w:rPr>
        <w:t>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Borders>
              <w:bottom w:val="single" w:sz="8" w:color="E0E7ED"/>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E0E7ED"/>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60"/>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top w:val="single" w:sz="8" w:color="auto"/>
              <w:bottom w:val="single" w:sz="8" w:color="E0E7ED"/>
            </w:tcBorders>
          </w:tcPr>
          <w:p>
            <w:pPr>
              <w:spacing w:after="0"/>
              <w:rPr>
                <w:sz w:val="11"/>
                <w:szCs w:val="11"/>
                <w:color w:val="auto"/>
              </w:rPr>
            </w:pPr>
          </w:p>
        </w:tc>
        <w:tc>
          <w:tcPr>
            <w:tcW w:w="1680" w:type="dxa"/>
            <w:vAlign w:val="bottom"/>
            <w:tcBorders>
              <w:top w:val="single" w:sz="8" w:color="auto"/>
              <w:bottom w:val="single" w:sz="8" w:color="auto"/>
            </w:tcBorders>
          </w:tcPr>
          <w:p>
            <w:pPr>
              <w:jc w:val="right"/>
              <w:ind w:right="640"/>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7120" w:type="dxa"/>
            <w:vAlign w:val="bottom"/>
            <w:gridSpan w:val="2"/>
            <w:shd w:val="clear" w:color="auto" w:fill="E0E7ED"/>
          </w:tcPr>
          <w:p>
            <w:pPr>
              <w:jc w:val="right"/>
              <w:ind w:right="5631"/>
              <w:spacing w:after="0" w:line="208" w:lineRule="exact"/>
              <w:rPr>
                <w:sz w:val="20"/>
                <w:szCs w:val="20"/>
                <w:color w:val="auto"/>
              </w:rPr>
            </w:pPr>
            <w:r>
              <w:rPr>
                <w:rFonts w:ascii="Verdana" w:cs="Verdana" w:eastAsia="Verdana" w:hAnsi="Verdana"/>
                <w:sz w:val="14"/>
                <w:szCs w:val="14"/>
                <w:color w:val="auto"/>
                <w:w w:val="99"/>
              </w:rPr>
              <w:t>Net interest spread</w:t>
            </w:r>
            <w:r>
              <w:rPr>
                <w:rFonts w:ascii="Verdana" w:cs="Verdana" w:eastAsia="Verdana" w:hAnsi="Verdana"/>
                <w:sz w:val="18"/>
                <w:szCs w:val="18"/>
                <w:color w:val="auto"/>
                <w:w w:val="99"/>
                <w:vertAlign w:val="superscript"/>
              </w:rPr>
              <w:t>1</w:t>
            </w:r>
          </w:p>
        </w:tc>
        <w:tc>
          <w:tcPr>
            <w:tcW w:w="6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2.19 %</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2.28 %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2.68 %</w:t>
            </w: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22"/>
        </w:numPr>
        <w:rPr>
          <w:rFonts w:ascii="Verdana" w:cs="Verdana" w:eastAsia="Verdana" w:hAnsi="Verdana"/>
          <w:sz w:val="10"/>
          <w:szCs w:val="10"/>
          <w:color w:val="auto"/>
        </w:rPr>
      </w:pPr>
      <w:r>
        <w:rPr>
          <w:rFonts w:ascii="Verdana" w:cs="Verdana" w:eastAsia="Verdana" w:hAnsi="Verdana"/>
          <w:sz w:val="10"/>
          <w:szCs w:val="10"/>
          <w:color w:val="auto"/>
        </w:rPr>
        <w:t>Calculated on a tax-equivalent basis.</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59" w:name="page60"/>
    <w:bookmarkEnd w:id="5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The net interest margin discussion above is based upon the results and average balances for the years ended December 31, 2024, 2023, and 2022.</w:t>
      </w:r>
    </w:p>
    <w:p>
      <w:pPr>
        <w:spacing w:after="0"/>
        <w:rPr>
          <w:sz w:val="20"/>
          <w:szCs w:val="20"/>
          <w:color w:val="auto"/>
        </w:rPr>
      </w:pPr>
      <w:r>
        <w:rPr>
          <w:rFonts w:ascii="Verdana" w:cs="Verdana" w:eastAsia="Verdana" w:hAnsi="Verdana"/>
          <w:sz w:val="14"/>
          <w:szCs w:val="14"/>
          <w:color w:val="auto"/>
        </w:rPr>
        <w:t>Annualized net interest margins for the quarterly periods indicated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60" w:type="dxa"/>
            <w:vAlign w:val="bottom"/>
            <w:tcBorders>
              <w:bottom w:val="single" w:sz="8" w:color="E0E7ED"/>
            </w:tcBorders>
          </w:tcPr>
          <w:p>
            <w:pPr>
              <w:spacing w:after="0"/>
              <w:rPr>
                <w:sz w:val="11"/>
                <w:szCs w:val="11"/>
                <w:color w:val="auto"/>
              </w:rPr>
            </w:pPr>
          </w:p>
        </w:tc>
        <w:tc>
          <w:tcPr>
            <w:tcW w:w="1060" w:type="dxa"/>
            <w:vAlign w:val="bottom"/>
            <w:tcBorders>
              <w:bottom w:val="single" w:sz="8" w:color="auto"/>
            </w:tcBorders>
          </w:tcPr>
          <w:p>
            <w:pPr>
              <w:jc w:val="right"/>
              <w:ind w:right="31"/>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700" w:type="dxa"/>
            <w:vAlign w:val="bottom"/>
            <w:tcBorders>
              <w:bottom w:val="single" w:sz="8" w:color="auto"/>
            </w:tcBorders>
          </w:tcPr>
          <w:p>
            <w:pPr>
              <w:jc w:val="right"/>
              <w:ind w:right="654"/>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168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rPr>
              <w:t>2022</w:t>
            </w:r>
          </w:p>
        </w:tc>
      </w:tr>
      <w:tr>
        <w:trPr>
          <w:trHeight w:val="210"/>
        </w:trPr>
        <w:tc>
          <w:tcPr>
            <w:tcW w:w="71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First Quarter</w:t>
            </w:r>
          </w:p>
        </w:tc>
        <w:tc>
          <w:tcPr>
            <w:tcW w:w="6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2.79 %</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3.13 %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2.45 %</w:t>
            </w:r>
          </w:p>
        </w:tc>
      </w:tr>
      <w:tr>
        <w:trPr>
          <w:trHeight w:val="207"/>
        </w:trPr>
        <w:tc>
          <w:tcPr>
            <w:tcW w:w="7120" w:type="dxa"/>
            <w:vAlign w:val="bottom"/>
            <w:gridSpan w:val="2"/>
          </w:tcPr>
          <w:p>
            <w:pPr>
              <w:ind w:left="20"/>
              <w:spacing w:after="0"/>
              <w:rPr>
                <w:sz w:val="20"/>
                <w:szCs w:val="20"/>
                <w:color w:val="auto"/>
              </w:rPr>
            </w:pPr>
            <w:r>
              <w:rPr>
                <w:rFonts w:ascii="Verdana" w:cs="Verdana" w:eastAsia="Verdana" w:hAnsi="Verdana"/>
                <w:sz w:val="14"/>
                <w:szCs w:val="14"/>
                <w:color w:val="auto"/>
              </w:rPr>
              <w:t>Second Quarter</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3.03 %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2.86 %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2.68 %</w:t>
            </w:r>
          </w:p>
        </w:tc>
      </w:tr>
      <w:tr>
        <w:trPr>
          <w:trHeight w:val="218"/>
        </w:trPr>
        <w:tc>
          <w:tcPr>
            <w:tcW w:w="71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Third Quarter</w:t>
            </w:r>
          </w:p>
        </w:tc>
        <w:tc>
          <w:tcPr>
            <w:tcW w:w="6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3.02 %</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2.81 %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3.00 %</w:t>
            </w:r>
          </w:p>
        </w:tc>
      </w:tr>
      <w:tr>
        <w:trPr>
          <w:trHeight w:val="201"/>
        </w:trPr>
        <w:tc>
          <w:tcPr>
            <w:tcW w:w="7120" w:type="dxa"/>
            <w:vAlign w:val="bottom"/>
            <w:gridSpan w:val="2"/>
          </w:tcPr>
          <w:p>
            <w:pPr>
              <w:ind w:left="20"/>
              <w:spacing w:after="0"/>
              <w:rPr>
                <w:sz w:val="20"/>
                <w:szCs w:val="20"/>
                <w:color w:val="auto"/>
              </w:rPr>
            </w:pPr>
            <w:r>
              <w:rPr>
                <w:rFonts w:ascii="Verdana" w:cs="Verdana" w:eastAsia="Verdana" w:hAnsi="Verdana"/>
                <w:sz w:val="14"/>
                <w:szCs w:val="14"/>
                <w:color w:val="auto"/>
              </w:rPr>
              <w:t>Fourth Quarter</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2.95 %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2.75 %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3.24 %</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Management attempts to mitigate the effects of an unpredictable interest-rate environment through effective portfolio management, prudent loan underwriting and pricing discipline, and operational efficiencies.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Noninterest Income</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Changes in noninterest income are summarized in the tables below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40" w:type="dxa"/>
            <w:vAlign w:val="bottom"/>
            <w:gridSpan w:val="5"/>
          </w:tcPr>
          <w:p>
            <w:pPr>
              <w:ind w:left="500"/>
              <w:spacing w:after="0"/>
              <w:rPr>
                <w:sz w:val="20"/>
                <w:szCs w:val="20"/>
                <w:color w:val="auto"/>
              </w:rPr>
            </w:pPr>
            <w:r>
              <w:rPr>
                <w:rFonts w:ascii="Verdana" w:cs="Verdana" w:eastAsia="Verdana" w:hAnsi="Verdana"/>
                <w:sz w:val="10"/>
                <w:szCs w:val="10"/>
                <w:b w:val="1"/>
                <w:bCs w:val="1"/>
                <w:color w:val="auto"/>
              </w:rPr>
              <w:t>Years Ended December 31,</w:t>
            </w: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3"/>
        </w:trPr>
        <w:tc>
          <w:tcPr>
            <w:tcW w:w="4580" w:type="dxa"/>
            <w:vAlign w:val="bottom"/>
            <w:tcBorders>
              <w:bottom w:val="single" w:sz="8" w:color="E0E7ED"/>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top w:val="single" w:sz="8" w:color="auto"/>
              <w:bottom w:val="single" w:sz="8" w:color="E0E7ED"/>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72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45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income</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20" w:type="dxa"/>
            <w:vAlign w:val="bottom"/>
            <w:shd w:val="clear" w:color="auto" w:fill="E0E7ED"/>
          </w:tcPr>
          <w:p>
            <w:pPr>
              <w:spacing w:after="0"/>
              <w:rPr>
                <w:sz w:val="17"/>
                <w:szCs w:val="17"/>
                <w:color w:val="auto"/>
              </w:rPr>
            </w:pPr>
          </w:p>
        </w:tc>
      </w:tr>
      <w:tr>
        <w:trPr>
          <w:trHeight w:val="187"/>
        </w:trPr>
        <w:tc>
          <w:tcPr>
            <w:tcW w:w="4580" w:type="dxa"/>
            <w:vAlign w:val="bottom"/>
          </w:tcPr>
          <w:p>
            <w:pPr>
              <w:ind w:left="140"/>
              <w:spacing w:after="0"/>
              <w:rPr>
                <w:sz w:val="20"/>
                <w:szCs w:val="20"/>
                <w:color w:val="auto"/>
              </w:rPr>
            </w:pPr>
            <w:r>
              <w:rPr>
                <w:rFonts w:ascii="Verdana" w:cs="Verdana" w:eastAsia="Verdana" w:hAnsi="Verdana"/>
                <w:sz w:val="14"/>
                <w:szCs w:val="14"/>
                <w:color w:val="auto"/>
              </w:rPr>
              <w:t>Wealth management and payment technology solutions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4580" w:type="dxa"/>
            <w:vAlign w:val="bottom"/>
          </w:tcPr>
          <w:p>
            <w:pPr>
              <w:ind w:left="140"/>
              <w:spacing w:after="0"/>
              <w:rPr>
                <w:sz w:val="20"/>
                <w:szCs w:val="20"/>
                <w:color w:val="auto"/>
              </w:rPr>
            </w:pPr>
            <w:r>
              <w:rPr>
                <w:rFonts w:ascii="Verdana" w:cs="Verdana" w:eastAsia="Verdana" w:hAnsi="Verdana"/>
                <w:sz w:val="14"/>
                <w:szCs w:val="14"/>
                <w:color w:val="auto"/>
              </w:rPr>
              <w:t>income: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8"/>
        </w:trPr>
        <w:tc>
          <w:tcPr>
            <w:tcW w:w="45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Wealth management fees</w:t>
            </w:r>
          </w:p>
        </w:tc>
        <w:tc>
          <w:tcPr>
            <w:tcW w:w="38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63,630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57,309</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6,321</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11.0 %</w:t>
            </w:r>
          </w:p>
        </w:tc>
      </w:tr>
      <w:tr>
        <w:trPr>
          <w:trHeight w:val="207"/>
        </w:trPr>
        <w:tc>
          <w:tcPr>
            <w:tcW w:w="458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Payment technology solutions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21,983</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21,192</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791</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3.7 %</w:t>
            </w:r>
          </w:p>
        </w:tc>
      </w:tr>
      <w:tr>
        <w:trPr>
          <w:trHeight w:val="172"/>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Combined, wealth management fees and payment technology</w:t>
            </w:r>
          </w:p>
        </w:tc>
        <w:tc>
          <w:tcPr>
            <w:tcW w:w="3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6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720" w:type="dxa"/>
            <w:vAlign w:val="bottom"/>
            <w:shd w:val="clear" w:color="auto" w:fill="E0E7ED"/>
          </w:tcPr>
          <w:p>
            <w:pPr>
              <w:spacing w:after="0"/>
              <w:rPr>
                <w:sz w:val="14"/>
                <w:szCs w:val="14"/>
                <w:color w:val="auto"/>
              </w:rPr>
            </w:pPr>
          </w:p>
        </w:tc>
      </w:tr>
      <w:tr>
        <w:trPr>
          <w:trHeight w:val="195"/>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solutions</w:t>
            </w: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85,613</w:t>
            </w: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78,501</w:t>
            </w: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7,112</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9.1 %</w:t>
            </w:r>
          </w:p>
        </w:tc>
      </w:tr>
      <w:tr>
        <w:trPr>
          <w:trHeight w:val="212"/>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Fees for customer services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30,933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29,044</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1,889</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6.5 %</w:t>
            </w:r>
          </w:p>
        </w:tc>
      </w:tr>
      <w:tr>
        <w:trPr>
          <w:trHeight w:val="207"/>
        </w:trPr>
        <w:tc>
          <w:tcPr>
            <w:tcW w:w="4580" w:type="dxa"/>
            <w:vAlign w:val="bottom"/>
          </w:tcPr>
          <w:p>
            <w:pPr>
              <w:ind w:left="140"/>
              <w:spacing w:after="0"/>
              <w:rPr>
                <w:sz w:val="20"/>
                <w:szCs w:val="20"/>
                <w:color w:val="auto"/>
              </w:rPr>
            </w:pPr>
            <w:r>
              <w:rPr>
                <w:rFonts w:ascii="Verdana" w:cs="Verdana" w:eastAsia="Verdana" w:hAnsi="Verdana"/>
                <w:sz w:val="14"/>
                <w:szCs w:val="14"/>
                <w:color w:val="auto"/>
              </w:rPr>
              <w:t>Mortgage revenue</w:t>
            </w:r>
          </w:p>
        </w:tc>
        <w:tc>
          <w:tcPr>
            <w:tcW w:w="380" w:type="dxa"/>
            <w:vAlign w:val="bottom"/>
          </w:tcPr>
          <w:p>
            <w:pPr>
              <w:spacing w:after="0"/>
              <w:rPr>
                <w:sz w:val="17"/>
                <w:szCs w:val="17"/>
                <w:color w:val="auto"/>
              </w:rPr>
            </w:pPr>
          </w:p>
        </w:tc>
        <w:tc>
          <w:tcPr>
            <w:tcW w:w="1200" w:type="dxa"/>
            <w:vAlign w:val="bottom"/>
          </w:tcPr>
          <w:p>
            <w:pPr>
              <w:jc w:val="right"/>
              <w:ind w:right="12"/>
              <w:spacing w:after="0"/>
              <w:rPr>
                <w:sz w:val="20"/>
                <w:szCs w:val="20"/>
                <w:color w:val="auto"/>
              </w:rPr>
            </w:pPr>
            <w:r>
              <w:rPr>
                <w:rFonts w:ascii="Verdana" w:cs="Verdana" w:eastAsia="Verdana" w:hAnsi="Verdana"/>
                <w:sz w:val="14"/>
                <w:szCs w:val="14"/>
                <w:color w:val="auto"/>
              </w:rPr>
              <w:t>2,075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1,089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986</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90.5 %</w:t>
            </w:r>
          </w:p>
        </w:tc>
      </w:tr>
      <w:tr>
        <w:trPr>
          <w:trHeight w:val="218"/>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Income on bank owned life insurance</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5,130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4,701</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429</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9.1 %</w:t>
            </w:r>
          </w:p>
        </w:tc>
      </w:tr>
      <w:tr>
        <w:trPr>
          <w:trHeight w:val="187"/>
        </w:trPr>
        <w:tc>
          <w:tcPr>
            <w:tcW w:w="4580" w:type="dxa"/>
            <w:vAlign w:val="bottom"/>
          </w:tcPr>
          <w:p>
            <w:pPr>
              <w:ind w:left="140"/>
              <w:spacing w:after="0"/>
              <w:rPr>
                <w:sz w:val="20"/>
                <w:szCs w:val="20"/>
                <w:color w:val="auto"/>
              </w:rPr>
            </w:pPr>
            <w:r>
              <w:rPr>
                <w:rFonts w:ascii="Verdana" w:cs="Verdana" w:eastAsia="Verdana" w:hAnsi="Verdana"/>
                <w:sz w:val="14"/>
                <w:szCs w:val="14"/>
                <w:color w:val="auto"/>
              </w:rPr>
              <w:t>Realized net gains (losses) on the sale of mortgage servicing</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4580" w:type="dxa"/>
            <w:vAlign w:val="bottom"/>
          </w:tcPr>
          <w:p>
            <w:pPr>
              <w:ind w:left="140"/>
              <w:spacing w:after="0"/>
              <w:rPr>
                <w:sz w:val="20"/>
                <w:szCs w:val="20"/>
                <w:color w:val="auto"/>
              </w:rPr>
            </w:pPr>
            <w:r>
              <w:rPr>
                <w:rFonts w:ascii="Verdana" w:cs="Verdana" w:eastAsia="Verdana" w:hAnsi="Verdana"/>
                <w:sz w:val="14"/>
                <w:szCs w:val="14"/>
                <w:color w:val="auto"/>
              </w:rPr>
              <w:t>rights</w:t>
            </w:r>
          </w:p>
        </w:tc>
        <w:tc>
          <w:tcPr>
            <w:tcW w:w="380" w:type="dxa"/>
            <w:vAlign w:val="bottom"/>
          </w:tcPr>
          <w:p>
            <w:pPr>
              <w:spacing w:after="0"/>
              <w:rPr>
                <w:sz w:val="16"/>
                <w:szCs w:val="16"/>
                <w:color w:val="auto"/>
              </w:rPr>
            </w:pPr>
          </w:p>
        </w:tc>
        <w:tc>
          <w:tcPr>
            <w:tcW w:w="1200" w:type="dxa"/>
            <w:vAlign w:val="bottom"/>
          </w:tcPr>
          <w:p>
            <w:pPr>
              <w:jc w:val="right"/>
              <w:ind w:right="12"/>
              <w:spacing w:after="0"/>
              <w:rPr>
                <w:sz w:val="20"/>
                <w:szCs w:val="20"/>
                <w:color w:val="auto"/>
              </w:rPr>
            </w:pPr>
            <w:r>
              <w:rPr>
                <w:rFonts w:ascii="Verdana" w:cs="Verdana" w:eastAsia="Verdana" w:hAnsi="Verdana"/>
                <w:sz w:val="14"/>
                <w:szCs w:val="14"/>
                <w:color w:val="auto"/>
              </w:rPr>
              <w:t>7,724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7,724</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100.0 %</w:t>
            </w:r>
          </w:p>
        </w:tc>
      </w:tr>
      <w:tr>
        <w:trPr>
          <w:trHeight w:val="218"/>
        </w:trPr>
        <w:tc>
          <w:tcPr>
            <w:tcW w:w="45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r>
      <w:tr>
        <w:trPr>
          <w:trHeight w:val="207"/>
        </w:trPr>
        <w:tc>
          <w:tcPr>
            <w:tcW w:w="4580" w:type="dxa"/>
            <w:vAlign w:val="bottom"/>
          </w:tcPr>
          <w:p>
            <w:pPr>
              <w:ind w:left="140"/>
              <w:spacing w:after="0"/>
              <w:rPr>
                <w:sz w:val="20"/>
                <w:szCs w:val="20"/>
                <w:color w:val="auto"/>
              </w:rPr>
            </w:pPr>
            <w:r>
              <w:rPr>
                <w:rFonts w:ascii="Verdana" w:cs="Verdana" w:eastAsia="Verdana" w:hAnsi="Verdana"/>
                <w:sz w:val="14"/>
                <w:szCs w:val="14"/>
                <w:color w:val="auto"/>
              </w:rPr>
              <w:t>Securities income:</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8"/>
        </w:trPr>
        <w:tc>
          <w:tcPr>
            <w:tcW w:w="45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Realized net gains (losses) on securities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(7,033)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(7,005)</w:t>
            </w:r>
          </w:p>
        </w:tc>
        <w:tc>
          <w:tcPr>
            <w:tcW w:w="80" w:type="dxa"/>
            <w:vAlign w:val="bottom"/>
            <w:shd w:val="clear" w:color="auto" w:fill="E0E7ED"/>
          </w:tcPr>
          <w:p>
            <w:pPr>
              <w:spacing w:after="0"/>
              <w:rPr>
                <w:sz w:val="18"/>
                <w:szCs w:val="18"/>
                <w:color w:val="auto"/>
              </w:rPr>
            </w:pPr>
          </w:p>
        </w:tc>
        <w:tc>
          <w:tcPr>
            <w:tcW w:w="17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NM</w:t>
            </w:r>
          </w:p>
        </w:tc>
      </w:tr>
      <w:tr>
        <w:trPr>
          <w:trHeight w:val="187"/>
        </w:trPr>
        <w:tc>
          <w:tcPr>
            <w:tcW w:w="4580" w:type="dxa"/>
            <w:vAlign w:val="bottom"/>
          </w:tcPr>
          <w:p>
            <w:pPr>
              <w:ind w:left="280"/>
              <w:spacing w:after="0"/>
              <w:rPr>
                <w:sz w:val="20"/>
                <w:szCs w:val="20"/>
                <w:color w:val="auto"/>
              </w:rPr>
            </w:pPr>
            <w:r>
              <w:rPr>
                <w:rFonts w:ascii="Verdana" w:cs="Verdana" w:eastAsia="Verdana" w:hAnsi="Verdana"/>
                <w:sz w:val="14"/>
                <w:szCs w:val="14"/>
                <w:color w:val="auto"/>
              </w:rPr>
              <w:t>Unrealized net gains (losses) recognized on equity</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458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securities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931</w:t>
            </w:r>
          </w:p>
        </w:tc>
        <w:tc>
          <w:tcPr>
            <w:tcW w:w="80" w:type="dxa"/>
            <w:vAlign w:val="bottom"/>
            <w:tcBorders>
              <w:bottom w:val="single" w:sz="8" w:color="E0E7E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(2,171)</w:t>
            </w:r>
          </w:p>
        </w:tc>
        <w:tc>
          <w:tcPr>
            <w:tcW w:w="8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3,102</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142.9 %</w:t>
            </w:r>
          </w:p>
        </w:tc>
      </w:tr>
      <w:tr>
        <w:trPr>
          <w:trHeight w:val="208"/>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Net securities gains (losses)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(6,102)</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(2,199)</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(3,903)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(177.5)%</w:t>
            </w:r>
          </w:p>
        </w:tc>
      </w:tr>
      <w:tr>
        <w:trPr>
          <w:trHeight w:val="212"/>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7"/>
        </w:trPr>
        <w:tc>
          <w:tcPr>
            <w:tcW w:w="4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Other noninterest income</w:t>
            </w:r>
          </w:p>
        </w:tc>
        <w:tc>
          <w:tcPr>
            <w:tcW w:w="38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14,309</w:t>
            </w:r>
          </w:p>
        </w:tc>
        <w:tc>
          <w:tcPr>
            <w:tcW w:w="8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10,078</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4,231</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42.0 %</w:t>
            </w:r>
          </w:p>
        </w:tc>
      </w:tr>
      <w:tr>
        <w:trPr>
          <w:trHeight w:val="208"/>
        </w:trPr>
        <w:tc>
          <w:tcPr>
            <w:tcW w:w="4580" w:type="dxa"/>
            <w:vAlign w:val="bottom"/>
          </w:tcPr>
          <w:p>
            <w:pPr>
              <w:ind w:left="20"/>
              <w:spacing w:after="0"/>
              <w:rPr>
                <w:sz w:val="20"/>
                <w:szCs w:val="20"/>
                <w:color w:val="auto"/>
              </w:rPr>
            </w:pPr>
            <w:r>
              <w:rPr>
                <w:rFonts w:ascii="Verdana" w:cs="Verdana" w:eastAsia="Verdana" w:hAnsi="Verdana"/>
                <w:sz w:val="14"/>
                <w:szCs w:val="14"/>
                <w:color w:val="auto"/>
              </w:rPr>
              <w:t>Total noninterest income</w:t>
            </w:r>
          </w:p>
        </w:tc>
        <w:tc>
          <w:tcPr>
            <w:tcW w:w="380" w:type="dxa"/>
            <w:vAlign w:val="bottom"/>
            <w:tcBorders>
              <w:bottom w:val="single" w:sz="8" w:color="auto"/>
            </w:tcBorders>
          </w:tcPr>
          <w:p>
            <w:pPr>
              <w:jc w:val="right"/>
              <w:ind w:right="189"/>
              <w:spacing w:after="0"/>
              <w:rPr>
                <w:sz w:val="20"/>
                <w:szCs w:val="20"/>
                <w:color w:val="auto"/>
              </w:rPr>
            </w:pPr>
            <w:r>
              <w:rPr>
                <w:rFonts w:ascii="Verdana" w:cs="Verdana" w:eastAsia="Verdana" w:hAnsi="Verdana"/>
                <w:sz w:val="14"/>
                <w:szCs w:val="14"/>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139,682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121,214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18,468</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15.2 %</w:t>
            </w:r>
          </w:p>
        </w:tc>
      </w:tr>
      <w:tr>
        <w:trPr>
          <w:trHeight w:val="20"/>
        </w:trPr>
        <w:tc>
          <w:tcPr>
            <w:tcW w:w="45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720" w:type="dxa"/>
            <w:vAlign w:val="bottom"/>
            <w:tcBorders>
              <w:bottom w:val="single" w:sz="8" w:color="E0E7ED"/>
            </w:tcBorders>
          </w:tcPr>
          <w:p>
            <w:pPr>
              <w:spacing w:after="0" w:line="20" w:lineRule="exact"/>
              <w:rPr>
                <w:sz w:val="1"/>
                <w:szCs w:val="1"/>
                <w:color w:val="auto"/>
              </w:rPr>
            </w:pPr>
          </w:p>
        </w:tc>
      </w:tr>
      <w:tr>
        <w:trPr>
          <w:trHeight w:val="173"/>
        </w:trPr>
        <w:tc>
          <w:tcPr>
            <w:tcW w:w="45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720" w:type="dxa"/>
            <w:vAlign w:val="bottom"/>
            <w:shd w:val="clear" w:color="auto" w:fill="E0E7ED"/>
          </w:tcPr>
          <w:p>
            <w:pPr>
              <w:spacing w:after="0"/>
              <w:rPr>
                <w:sz w:val="15"/>
                <w:szCs w:val="15"/>
                <w:color w:val="auto"/>
              </w:rPr>
            </w:pPr>
          </w:p>
        </w:tc>
      </w:tr>
      <w:tr>
        <w:trPr>
          <w:trHeight w:val="201"/>
        </w:trPr>
        <w:tc>
          <w:tcPr>
            <w:tcW w:w="4580" w:type="dxa"/>
            <w:vAlign w:val="bottom"/>
          </w:tcPr>
          <w:p>
            <w:pPr>
              <w:ind w:left="20"/>
              <w:spacing w:after="0"/>
              <w:rPr>
                <w:sz w:val="20"/>
                <w:szCs w:val="20"/>
                <w:color w:val="auto"/>
              </w:rPr>
            </w:pPr>
            <w:r>
              <w:rPr>
                <w:rFonts w:ascii="Verdana" w:cs="Verdana" w:eastAsia="Verdana" w:hAnsi="Verdana"/>
                <w:sz w:val="14"/>
                <w:szCs w:val="14"/>
                <w:color w:val="auto"/>
              </w:rPr>
              <w:t>Assets under care as of period end</w:t>
            </w:r>
          </w:p>
        </w:tc>
        <w:tc>
          <w:tcPr>
            <w:tcW w:w="380" w:type="dxa"/>
            <w:vAlign w:val="bottom"/>
          </w:tcPr>
          <w:p>
            <w:pPr>
              <w:jc w:val="right"/>
              <w:ind w:right="189"/>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12"/>
              <w:spacing w:after="0"/>
              <w:rPr>
                <w:sz w:val="20"/>
                <w:szCs w:val="20"/>
                <w:color w:val="auto"/>
              </w:rPr>
            </w:pPr>
            <w:r>
              <w:rPr>
                <w:rFonts w:ascii="Verdana" w:cs="Verdana" w:eastAsia="Verdana" w:hAnsi="Verdana"/>
                <w:sz w:val="14"/>
                <w:szCs w:val="14"/>
                <w:color w:val="auto"/>
              </w:rPr>
              <w:t>13,833,654</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12,136,869</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1,696,785</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14.0 %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0" w:name="page61"/>
    <w:bookmarkEnd w:id="6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7" w:lineRule="auto"/>
        <w:rPr>
          <w:sz w:val="20"/>
          <w:szCs w:val="20"/>
          <w:color w:val="auto"/>
        </w:rPr>
      </w:pPr>
      <w:r>
        <w:rPr>
          <w:rFonts w:ascii="Verdana" w:cs="Verdana" w:eastAsia="Verdana" w:hAnsi="Verdana"/>
          <w:sz w:val="14"/>
          <w:szCs w:val="14"/>
          <w:color w:val="auto"/>
        </w:rPr>
        <w:t>Total noninterest income was $139.7 million for the year ended December 31, 2024, an increase of 15.2% when compared with $121.2 million for the year ended December 31, 2023. Total noninterest income represented 30.2% of total revenue</w:t>
      </w:r>
      <w:r>
        <w:rPr>
          <w:rFonts w:ascii="Verdana" w:cs="Verdana" w:eastAsia="Verdana" w:hAnsi="Verdana"/>
          <w:sz w:val="18"/>
          <w:szCs w:val="18"/>
          <w:color w:val="auto"/>
          <w:vertAlign w:val="superscript"/>
        </w:rPr>
        <w:t>2</w:t>
      </w:r>
      <w:r>
        <w:rPr>
          <w:rFonts w:ascii="Verdana" w:cs="Verdana" w:eastAsia="Verdana" w:hAnsi="Verdana"/>
          <w:sz w:val="14"/>
          <w:szCs w:val="14"/>
          <w:color w:val="auto"/>
        </w:rPr>
        <w:t xml:space="preserve"> in 2024, compared to 27.4% in 2023.</w:t>
      </w:r>
    </w:p>
    <w:p>
      <w:pPr>
        <w:spacing w:after="0" w:line="2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Wealth management fees increased by 11.0% to $63.6 million in 2024, compared to $57.3 million in 2023. Busey’s Wealth Management division had $13.83 billion in assets under care as of December 31, 2024, compared to $12.14 billion as of December 31, 2023. Busey’s portfolio management team continues to focus on long-term returns and managing risk in the face of volatile markets.</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Payment technology solutions revenue relates to Busey’s payment processing company, FirsTech. Payment technology solutions revenue increased by 3.7% to $22.0 million in 2024, compared to $21.2 million in 2023. Results for 2024 marked a new record high reported annual revenue for FirsTech.</w:t>
      </w:r>
    </w:p>
    <w:p>
      <w:pPr>
        <w:spacing w:after="0" w:line="121"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Combined, revenues from wealth management fees and payment technology solutions represented 61.3% and 64.8% of Busey’s noninterest income for the years ended December 31, 2024, and December 31, 2023, respectively, providing a complement to spread-based revenue from traditional banking activities. On a combined basis, revenue from these two critical operating areas was $85.6 million for the year ended December 31, 2024, a 9.1% increase from $78.5 million for the year ended December 31, 2023.</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color w:val="auto"/>
        </w:rPr>
        <w:t>Fees for customer services increased by 6.5% to $30.9 million in 2024, compared to $29.0 million in 2023.</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Mortgage revenue was $2.1 million in 2024, compared to $1.1 million in 2023. Increases were primarily related to sold-loan mortgage volume. General economic conditions and interest rate volatility may impact future mortgage revenue.</w:t>
      </w:r>
    </w:p>
    <w:p>
      <w:pPr>
        <w:spacing w:after="0" w:line="12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Income on bank owned life insurance increased by 9.1% to $5.1 million in 2024, compared to $4.7 million in 2023, resulting from a $0.1 million increase in earnings on death proceeds and a $0.3 million increase in the cash surrender value of the insurance policies.</w:t>
      </w:r>
    </w:p>
    <w:p>
      <w:pPr>
        <w:spacing w:after="0" w:line="11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 realized gain on the sale of mortgage servicing rights of $7.7 million was recognized in connection with Busey’s strategic two-part balance sheet repositioning completed during 2024. Busey sold the mortgage servicing rights on approximately $923.5 million of one- to four-family mortgage loans, which enabled Busey to sell available for sale investment securities with a book value of approximately $108.2 million for a pre-tax loss of $6.8 million with no resulting negative impact to tangible capital.</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Other income increased by 42.0% to $14.3 million in 2024, compared to $10.1 million in 2023. Increases in other income were primarily attributable to increases in commercial loan sales gains and venture capital income, as well as the addition of Life Equity Loan</w:t>
      </w:r>
      <w:r>
        <w:rPr>
          <w:rFonts w:ascii="Verdana" w:cs="Verdana" w:eastAsia="Verdana" w:hAnsi="Verdana"/>
          <w:sz w:val="9"/>
          <w:szCs w:val="9"/>
          <w:color w:val="auto"/>
        </w:rPr>
        <w:t>®</w:t>
      </w:r>
      <w:r>
        <w:rPr>
          <w:rFonts w:ascii="Verdana" w:cs="Verdana" w:eastAsia="Verdana" w:hAnsi="Verdana"/>
          <w:sz w:val="14"/>
          <w:szCs w:val="14"/>
          <w:color w:val="auto"/>
        </w:rPr>
        <w:t xml:space="preserve"> servicing income beginning in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34747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8" w:lineRule="exact"/>
        <w:rPr>
          <w:sz w:val="20"/>
          <w:szCs w:val="20"/>
          <w:color w:val="auto"/>
        </w:rPr>
      </w:pPr>
    </w:p>
    <w:p>
      <w:pPr>
        <w:ind w:left="120" w:hanging="115"/>
        <w:spacing w:after="0"/>
        <w:tabs>
          <w:tab w:leader="none" w:pos="120" w:val="left"/>
        </w:tabs>
        <w:numPr>
          <w:ilvl w:val="0"/>
          <w:numId w:val="23"/>
        </w:numPr>
        <w:rPr>
          <w:rFonts w:ascii="Verdana" w:cs="Verdana" w:eastAsia="Verdana" w:hAnsi="Verdana"/>
          <w:sz w:val="18"/>
          <w:szCs w:val="18"/>
          <w:color w:val="auto"/>
          <w:vertAlign w:val="superscript"/>
        </w:rPr>
      </w:pPr>
      <w:r>
        <w:rPr>
          <w:rFonts w:ascii="Verdana" w:cs="Verdana" w:eastAsia="Verdana" w:hAnsi="Verdana"/>
          <w:sz w:val="10"/>
          <w:szCs w:val="10"/>
          <w:color w:val="auto"/>
        </w:rPr>
        <w:t>Total revenue consists of net interest income plus noninterest income.</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1" w:name="page62"/>
    <w:bookmarkEnd w:id="6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Noninterest Expense</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Changes in noninterest expense are summarized in the tables below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Years Ended December 31,</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3"/>
        </w:trPr>
        <w:tc>
          <w:tcPr>
            <w:tcW w:w="446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w w:val="91"/>
              </w:rPr>
              <w:t>2023</w:t>
            </w:r>
          </w:p>
        </w:tc>
        <w:tc>
          <w:tcPr>
            <w:tcW w:w="10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1"/>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680" w:type="dxa"/>
            <w:vAlign w:val="bottom"/>
            <w:tcBorders>
              <w:bottom w:val="single" w:sz="8" w:color="auto"/>
            </w:tcBorders>
          </w:tcPr>
          <w:p>
            <w:pPr>
              <w:jc w:val="right"/>
              <w:ind w:right="491"/>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446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expense</w:t>
            </w:r>
          </w:p>
        </w:tc>
        <w:tc>
          <w:tcPr>
            <w:tcW w:w="4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70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680" w:type="dxa"/>
            <w:vAlign w:val="bottom"/>
            <w:shd w:val="clear" w:color="auto" w:fill="E0E7ED"/>
          </w:tcPr>
          <w:p>
            <w:pPr>
              <w:spacing w:after="0"/>
              <w:rPr>
                <w:sz w:val="17"/>
                <w:szCs w:val="17"/>
                <w:color w:val="auto"/>
              </w:rPr>
            </w:pPr>
          </w:p>
        </w:tc>
      </w:tr>
      <w:tr>
        <w:trPr>
          <w:trHeight w:val="207"/>
        </w:trPr>
        <w:tc>
          <w:tcPr>
            <w:tcW w:w="4460" w:type="dxa"/>
            <w:vAlign w:val="bottom"/>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175,619</w:t>
            </w:r>
          </w:p>
        </w:tc>
        <w:tc>
          <w:tcPr>
            <w:tcW w:w="80" w:type="dxa"/>
            <w:vAlign w:val="bottom"/>
          </w:tcPr>
          <w:p>
            <w:pPr>
              <w:spacing w:after="0"/>
              <w:rPr>
                <w:sz w:val="17"/>
                <w:szCs w:val="17"/>
                <w:color w:val="auto"/>
              </w:rPr>
            </w:pPr>
          </w:p>
        </w:tc>
        <w:tc>
          <w:tcPr>
            <w:tcW w:w="700" w:type="dxa"/>
            <w:vAlign w:val="bottom"/>
          </w:tcPr>
          <w:p>
            <w:pPr>
              <w:jc w:val="right"/>
              <w:ind w:right="529"/>
              <w:spacing w:after="0"/>
              <w:rPr>
                <w:sz w:val="20"/>
                <w:szCs w:val="20"/>
                <w:color w:val="auto"/>
              </w:rPr>
            </w:pPr>
            <w:r>
              <w:rPr>
                <w:rFonts w:ascii="Verdana" w:cs="Verdana" w:eastAsia="Verdana" w:hAnsi="Verdana"/>
                <w:sz w:val="14"/>
                <w:szCs w:val="14"/>
                <w:color w:val="auto"/>
                <w:w w:val="88"/>
              </w:rPr>
              <w:t>$</w:t>
            </w:r>
          </w:p>
        </w:tc>
        <w:tc>
          <w:tcPr>
            <w:tcW w:w="980" w:type="dxa"/>
            <w:vAlign w:val="bottom"/>
          </w:tcPr>
          <w:p>
            <w:pPr>
              <w:jc w:val="right"/>
              <w:ind w:right="131"/>
              <w:spacing w:after="0"/>
              <w:rPr>
                <w:sz w:val="20"/>
                <w:szCs w:val="20"/>
                <w:color w:val="auto"/>
              </w:rPr>
            </w:pPr>
            <w:r>
              <w:rPr>
                <w:rFonts w:ascii="Verdana" w:cs="Verdana" w:eastAsia="Verdana" w:hAnsi="Verdana"/>
                <w:sz w:val="14"/>
                <w:szCs w:val="14"/>
                <w:color w:val="auto"/>
              </w:rPr>
              <w:t>162,597</w:t>
            </w:r>
          </w:p>
        </w:tc>
        <w:tc>
          <w:tcPr>
            <w:tcW w:w="1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13,022</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8.0 %</w:t>
            </w:r>
          </w:p>
        </w:tc>
      </w:tr>
      <w:tr>
        <w:trPr>
          <w:trHeight w:val="218"/>
        </w:trPr>
        <w:tc>
          <w:tcPr>
            <w:tcW w:w="44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Data processing</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27,124</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23,708</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3,416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14.4 %</w:t>
            </w:r>
          </w:p>
        </w:tc>
      </w:tr>
      <w:tr>
        <w:trPr>
          <w:trHeight w:val="212"/>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4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Premises expenses:</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60" w:type="dxa"/>
            <w:vAlign w:val="bottom"/>
          </w:tcPr>
          <w:p>
            <w:pPr>
              <w:ind w:left="280"/>
              <w:spacing w:after="0"/>
              <w:rPr>
                <w:sz w:val="20"/>
                <w:szCs w:val="20"/>
                <w:color w:val="auto"/>
              </w:rPr>
            </w:pPr>
            <w:r>
              <w:rPr>
                <w:rFonts w:ascii="Verdana" w:cs="Verdana" w:eastAsia="Verdana" w:hAnsi="Verdana"/>
                <w:sz w:val="14"/>
                <w:szCs w:val="14"/>
                <w:color w:val="auto"/>
              </w:rPr>
              <w:t>Net occupancy expense of premises</w:t>
            </w:r>
          </w:p>
        </w:tc>
        <w:tc>
          <w:tcPr>
            <w:tcW w:w="400" w:type="dxa"/>
            <w:vAlign w:val="bottom"/>
          </w:tcPr>
          <w:p>
            <w:pPr>
              <w:spacing w:after="0"/>
              <w:rPr>
                <w:sz w:val="17"/>
                <w:szCs w:val="17"/>
                <w:color w:val="auto"/>
              </w:rPr>
            </w:pP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18,737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ind w:right="151"/>
              <w:spacing w:after="0"/>
              <w:rPr>
                <w:sz w:val="20"/>
                <w:szCs w:val="20"/>
                <w:color w:val="auto"/>
              </w:rPr>
            </w:pPr>
            <w:r>
              <w:rPr>
                <w:rFonts w:ascii="Verdana" w:cs="Verdana" w:eastAsia="Verdana" w:hAnsi="Verdana"/>
                <w:sz w:val="14"/>
                <w:szCs w:val="14"/>
                <w:color w:val="auto"/>
              </w:rPr>
              <w:t>18,214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523</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2.9 %</w:t>
            </w:r>
          </w:p>
        </w:tc>
      </w:tr>
      <w:tr>
        <w:trPr>
          <w:trHeight w:val="218"/>
        </w:trPr>
        <w:tc>
          <w:tcPr>
            <w:tcW w:w="44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Furniture and equipment expenses</w:t>
            </w:r>
          </w:p>
        </w:tc>
        <w:tc>
          <w:tcPr>
            <w:tcW w:w="4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6,805</w:t>
            </w:r>
          </w:p>
        </w:tc>
        <w:tc>
          <w:tcPr>
            <w:tcW w:w="80" w:type="dxa"/>
            <w:vAlign w:val="bottom"/>
            <w:shd w:val="clear" w:color="auto" w:fill="E0E7ED"/>
          </w:tcPr>
          <w:p>
            <w:pPr>
              <w:spacing w:after="0"/>
              <w:rPr>
                <w:sz w:val="18"/>
                <w:szCs w:val="18"/>
                <w:color w:val="auto"/>
              </w:rPr>
            </w:pPr>
          </w:p>
        </w:tc>
        <w:tc>
          <w:tcPr>
            <w:tcW w:w="70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ind w:right="151"/>
              <w:spacing w:after="0"/>
              <w:rPr>
                <w:sz w:val="20"/>
                <w:szCs w:val="20"/>
                <w:color w:val="auto"/>
              </w:rPr>
            </w:pPr>
            <w:r>
              <w:rPr>
                <w:rFonts w:ascii="Verdana" w:cs="Verdana" w:eastAsia="Verdana" w:hAnsi="Verdana"/>
                <w:sz w:val="14"/>
                <w:szCs w:val="14"/>
                <w:color w:val="auto"/>
              </w:rPr>
              <w:t>6,759</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0.7 %</w:t>
            </w:r>
          </w:p>
        </w:tc>
      </w:tr>
      <w:tr>
        <w:trPr>
          <w:trHeight w:val="167"/>
        </w:trPr>
        <w:tc>
          <w:tcPr>
            <w:tcW w:w="4460" w:type="dxa"/>
            <w:vAlign w:val="bottom"/>
          </w:tcPr>
          <w:p>
            <w:pPr>
              <w:ind w:left="140"/>
              <w:spacing w:after="0" w:line="167" w:lineRule="exact"/>
              <w:rPr>
                <w:sz w:val="20"/>
                <w:szCs w:val="20"/>
                <w:color w:val="auto"/>
              </w:rPr>
            </w:pPr>
            <w:r>
              <w:rPr>
                <w:rFonts w:ascii="Verdana" w:cs="Verdana" w:eastAsia="Verdana" w:hAnsi="Verdana"/>
                <w:sz w:val="14"/>
                <w:szCs w:val="14"/>
                <w:color w:val="auto"/>
              </w:rPr>
              <w:t>Combined, net occupancy expense of premises and</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0"/>
        </w:trPr>
        <w:tc>
          <w:tcPr>
            <w:tcW w:w="4460" w:type="dxa"/>
            <w:vAlign w:val="bottom"/>
          </w:tcPr>
          <w:p>
            <w:pPr>
              <w:ind w:left="140"/>
              <w:spacing w:after="0"/>
              <w:rPr>
                <w:sz w:val="20"/>
                <w:szCs w:val="20"/>
                <w:color w:val="auto"/>
              </w:rPr>
            </w:pPr>
            <w:r>
              <w:rPr>
                <w:rFonts w:ascii="Verdana" w:cs="Verdana" w:eastAsia="Verdana" w:hAnsi="Verdana"/>
                <w:sz w:val="14"/>
                <w:szCs w:val="14"/>
                <w:color w:val="auto"/>
              </w:rPr>
              <w:t>furniture and equipment expenses</w:t>
            </w:r>
          </w:p>
        </w:tc>
        <w:tc>
          <w:tcPr>
            <w:tcW w:w="400" w:type="dxa"/>
            <w:vAlign w:val="bottom"/>
          </w:tcPr>
          <w:p>
            <w:pPr>
              <w:spacing w:after="0"/>
              <w:rPr>
                <w:sz w:val="16"/>
                <w:szCs w:val="16"/>
                <w:color w:val="auto"/>
              </w:rPr>
            </w:pP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25,542</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jc w:val="right"/>
              <w:ind w:right="151"/>
              <w:spacing w:after="0"/>
              <w:rPr>
                <w:sz w:val="20"/>
                <w:szCs w:val="20"/>
                <w:color w:val="auto"/>
              </w:rPr>
            </w:pPr>
            <w:r>
              <w:rPr>
                <w:rFonts w:ascii="Verdana" w:cs="Verdana" w:eastAsia="Verdana" w:hAnsi="Verdana"/>
                <w:sz w:val="14"/>
                <w:szCs w:val="14"/>
                <w:color w:val="auto"/>
              </w:rPr>
              <w:t>24,973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569</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2.3 %</w:t>
            </w:r>
          </w:p>
        </w:tc>
      </w:tr>
      <w:tr>
        <w:trPr>
          <w:trHeight w:val="218"/>
        </w:trPr>
        <w:tc>
          <w:tcPr>
            <w:tcW w:w="446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60" w:type="dxa"/>
            <w:vAlign w:val="bottom"/>
          </w:tcPr>
          <w:p>
            <w:pPr>
              <w:ind w:left="140"/>
              <w:spacing w:after="0"/>
              <w:rPr>
                <w:sz w:val="20"/>
                <w:szCs w:val="20"/>
                <w:color w:val="auto"/>
              </w:rPr>
            </w:pPr>
            <w:r>
              <w:rPr>
                <w:rFonts w:ascii="Verdana" w:cs="Verdana" w:eastAsia="Verdana" w:hAnsi="Verdana"/>
                <w:sz w:val="14"/>
                <w:szCs w:val="14"/>
                <w:color w:val="auto"/>
              </w:rPr>
              <w:t>Professional fees</w:t>
            </w:r>
          </w:p>
        </w:tc>
        <w:tc>
          <w:tcPr>
            <w:tcW w:w="400" w:type="dxa"/>
            <w:vAlign w:val="bottom"/>
          </w:tcPr>
          <w:p>
            <w:pPr>
              <w:spacing w:after="0"/>
              <w:rPr>
                <w:sz w:val="17"/>
                <w:szCs w:val="17"/>
                <w:color w:val="auto"/>
              </w:rPr>
            </w:pP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12,804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ind w:right="151"/>
              <w:spacing w:after="0"/>
              <w:rPr>
                <w:sz w:val="20"/>
                <w:szCs w:val="20"/>
                <w:color w:val="auto"/>
              </w:rPr>
            </w:pPr>
            <w:r>
              <w:rPr>
                <w:rFonts w:ascii="Verdana" w:cs="Verdana" w:eastAsia="Verdana" w:hAnsi="Verdana"/>
                <w:sz w:val="14"/>
                <w:szCs w:val="14"/>
                <w:color w:val="auto"/>
              </w:rPr>
              <w:t>7,147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5,657</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79.2 %</w:t>
            </w:r>
          </w:p>
        </w:tc>
      </w:tr>
      <w:tr>
        <w:trPr>
          <w:trHeight w:val="218"/>
        </w:trPr>
        <w:tc>
          <w:tcPr>
            <w:tcW w:w="44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Amortization of intangible assets</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10,057</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10,432</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(375)</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(3.6)%</w:t>
            </w:r>
          </w:p>
        </w:tc>
      </w:tr>
      <w:tr>
        <w:trPr>
          <w:trHeight w:val="207"/>
        </w:trPr>
        <w:tc>
          <w:tcPr>
            <w:tcW w:w="4460" w:type="dxa"/>
            <w:vAlign w:val="bottom"/>
          </w:tcPr>
          <w:p>
            <w:pPr>
              <w:ind w:left="140"/>
              <w:spacing w:after="0"/>
              <w:rPr>
                <w:sz w:val="20"/>
                <w:szCs w:val="20"/>
                <w:color w:val="auto"/>
              </w:rPr>
            </w:pPr>
            <w:r>
              <w:rPr>
                <w:rFonts w:ascii="Verdana" w:cs="Verdana" w:eastAsia="Verdana" w:hAnsi="Verdana"/>
                <w:sz w:val="14"/>
                <w:szCs w:val="14"/>
                <w:color w:val="auto"/>
              </w:rPr>
              <w:t>Interchange expense</w:t>
            </w:r>
          </w:p>
        </w:tc>
        <w:tc>
          <w:tcPr>
            <w:tcW w:w="400" w:type="dxa"/>
            <w:vAlign w:val="bottom"/>
          </w:tcPr>
          <w:p>
            <w:pPr>
              <w:spacing w:after="0"/>
              <w:rPr>
                <w:sz w:val="17"/>
                <w:szCs w:val="17"/>
                <w:color w:val="auto"/>
              </w:rPr>
            </w:pPr>
          </w:p>
        </w:tc>
        <w:tc>
          <w:tcPr>
            <w:tcW w:w="1280" w:type="dxa"/>
            <w:vAlign w:val="bottom"/>
          </w:tcPr>
          <w:p>
            <w:pPr>
              <w:jc w:val="right"/>
              <w:ind w:right="152"/>
              <w:spacing w:after="0"/>
              <w:rPr>
                <w:sz w:val="20"/>
                <w:szCs w:val="20"/>
                <w:color w:val="auto"/>
              </w:rPr>
            </w:pPr>
            <w:r>
              <w:rPr>
                <w:rFonts w:ascii="Verdana" w:cs="Verdana" w:eastAsia="Verdana" w:hAnsi="Verdana"/>
                <w:sz w:val="14"/>
                <w:szCs w:val="14"/>
                <w:color w:val="auto"/>
              </w:rPr>
              <w:t>6,001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ind w:right="151"/>
              <w:spacing w:after="0"/>
              <w:rPr>
                <w:sz w:val="20"/>
                <w:szCs w:val="20"/>
                <w:color w:val="auto"/>
              </w:rPr>
            </w:pPr>
            <w:r>
              <w:rPr>
                <w:rFonts w:ascii="Verdana" w:cs="Verdana" w:eastAsia="Verdana" w:hAnsi="Verdana"/>
                <w:sz w:val="14"/>
                <w:szCs w:val="14"/>
                <w:color w:val="auto"/>
              </w:rPr>
              <w:t>6,864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(863)</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(12.6)%</w:t>
            </w:r>
          </w:p>
        </w:tc>
      </w:tr>
      <w:tr>
        <w:trPr>
          <w:trHeight w:val="218"/>
        </w:trPr>
        <w:tc>
          <w:tcPr>
            <w:tcW w:w="44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FDIC insurance</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5,603</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5,650</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(0.8)%</w:t>
            </w:r>
          </w:p>
        </w:tc>
      </w:tr>
      <w:tr>
        <w:trPr>
          <w:trHeight w:val="207"/>
        </w:trPr>
        <w:tc>
          <w:tcPr>
            <w:tcW w:w="44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Other noninterest expense</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2"/>
              <w:spacing w:after="0"/>
              <w:rPr>
                <w:sz w:val="20"/>
                <w:szCs w:val="20"/>
                <w:color w:val="auto"/>
              </w:rPr>
            </w:pPr>
            <w:r>
              <w:rPr>
                <w:rFonts w:ascii="Verdana" w:cs="Verdana" w:eastAsia="Verdana" w:hAnsi="Verdana"/>
                <w:sz w:val="14"/>
                <w:szCs w:val="14"/>
                <w:color w:val="auto"/>
              </w:rPr>
              <w:t>37,649</w:t>
            </w:r>
          </w:p>
        </w:tc>
        <w:tc>
          <w:tcPr>
            <w:tcW w:w="80" w:type="dxa"/>
            <w:vAlign w:val="bottom"/>
            <w:tcBorders>
              <w:bottom w:val="single" w:sz="8" w:color="E0E7ED"/>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44,161</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(6,512)</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(14.7)%</w:t>
            </w:r>
          </w:p>
        </w:tc>
      </w:tr>
      <w:tr>
        <w:trPr>
          <w:trHeight w:val="233"/>
        </w:trPr>
        <w:tc>
          <w:tcPr>
            <w:tcW w:w="44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noninterest expense</w:t>
            </w:r>
          </w:p>
        </w:tc>
        <w:tc>
          <w:tcPr>
            <w:tcW w:w="400" w:type="dxa"/>
            <w:vAlign w:val="bottom"/>
            <w:tcBorders>
              <w:bottom w:val="single" w:sz="8" w:color="auto"/>
            </w:tcBorders>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Verdana" w:cs="Verdana" w:eastAsia="Verdana" w:hAnsi="Verdana"/>
                <w:sz w:val="14"/>
                <w:szCs w:val="14"/>
                <w:color w:val="auto"/>
              </w:rPr>
              <w:t>300,399</w:t>
            </w:r>
          </w:p>
        </w:tc>
        <w:tc>
          <w:tcPr>
            <w:tcW w:w="80" w:type="dxa"/>
            <w:vAlign w:val="bottom"/>
            <w:tcBorders>
              <w:bottom w:val="single" w:sz="8" w:color="E0E7ED"/>
            </w:tcBorders>
            <w:shd w:val="clear" w:color="auto" w:fill="E0E7ED"/>
          </w:tcPr>
          <w:p>
            <w:pPr>
              <w:spacing w:after="0"/>
              <w:rPr>
                <w:sz w:val="19"/>
                <w:szCs w:val="19"/>
                <w:color w:val="auto"/>
              </w:rPr>
            </w:pPr>
          </w:p>
        </w:tc>
        <w:tc>
          <w:tcPr>
            <w:tcW w:w="700" w:type="dxa"/>
            <w:vAlign w:val="bottom"/>
            <w:tcBorders>
              <w:bottom w:val="single" w:sz="8" w:color="auto"/>
            </w:tcBorders>
            <w:shd w:val="clear" w:color="auto" w:fill="E0E7ED"/>
          </w:tcPr>
          <w:p>
            <w:pPr>
              <w:jc w:val="right"/>
              <w:ind w:right="52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4"/>
                <w:szCs w:val="14"/>
                <w:color w:val="auto"/>
              </w:rPr>
              <w:t>285,532</w:t>
            </w:r>
          </w:p>
        </w:tc>
        <w:tc>
          <w:tcPr>
            <w:tcW w:w="100" w:type="dxa"/>
            <w:vAlign w:val="bottom"/>
            <w:tcBorders>
              <w:bottom w:val="single" w:sz="8" w:color="E0E7ED"/>
            </w:tcBorders>
            <w:shd w:val="clear" w:color="auto" w:fill="E0E7ED"/>
          </w:tcPr>
          <w:p>
            <w:pPr>
              <w:spacing w:after="0"/>
              <w:rPr>
                <w:sz w:val="19"/>
                <w:szCs w:val="19"/>
                <w:color w:val="auto"/>
              </w:rPr>
            </w:pPr>
          </w:p>
        </w:tc>
        <w:tc>
          <w:tcPr>
            <w:tcW w:w="320" w:type="dxa"/>
            <w:vAlign w:val="bottom"/>
            <w:tcBorders>
              <w:bottom w:val="single" w:sz="8" w:color="auto"/>
            </w:tcBorders>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14,867</w:t>
            </w:r>
          </w:p>
        </w:tc>
        <w:tc>
          <w:tcPr>
            <w:tcW w:w="176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4"/>
                <w:szCs w:val="14"/>
                <w:color w:val="auto"/>
              </w:rPr>
              <w:t>5.2 %</w:t>
            </w:r>
          </w:p>
        </w:tc>
      </w:tr>
      <w:tr>
        <w:trPr>
          <w:trHeight w:val="20"/>
        </w:trPr>
        <w:tc>
          <w:tcPr>
            <w:tcW w:w="446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700" w:type="dxa"/>
            <w:vAlign w:val="bottom"/>
            <w:tcBorders>
              <w:top w:val="single" w:sz="8" w:color="E0E7ED"/>
              <w:bottom w:val="single" w:sz="8" w:color="auto"/>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r>
      <w:tr>
        <w:trPr>
          <w:trHeight w:val="153"/>
        </w:trPr>
        <w:tc>
          <w:tcPr>
            <w:tcW w:w="4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12"/>
        </w:trPr>
        <w:tc>
          <w:tcPr>
            <w:tcW w:w="44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Income taxes</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39,613</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jc w:val="right"/>
              <w:ind w:right="52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31,339</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8,274</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26.4 %</w:t>
            </w:r>
          </w:p>
        </w:tc>
      </w:tr>
      <w:tr>
        <w:trPr>
          <w:trHeight w:val="207"/>
        </w:trPr>
        <w:tc>
          <w:tcPr>
            <w:tcW w:w="4460" w:type="dxa"/>
            <w:vAlign w:val="bottom"/>
          </w:tcPr>
          <w:p>
            <w:pPr>
              <w:ind w:left="20"/>
              <w:spacing w:after="0"/>
              <w:rPr>
                <w:sz w:val="20"/>
                <w:szCs w:val="20"/>
                <w:color w:val="auto"/>
              </w:rPr>
            </w:pPr>
            <w:r>
              <w:rPr>
                <w:rFonts w:ascii="Verdana" w:cs="Verdana" w:eastAsia="Verdana" w:hAnsi="Verdana"/>
                <w:sz w:val="14"/>
                <w:szCs w:val="14"/>
                <w:color w:val="auto"/>
              </w:rPr>
              <w:t>Effective income tax rate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25.8 %</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20.4 %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540 bps</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6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60" w:type="dxa"/>
            <w:vAlign w:val="bottom"/>
          </w:tcPr>
          <w:p>
            <w:pPr>
              <w:ind w:left="20"/>
              <w:spacing w:after="0"/>
              <w:rPr>
                <w:sz w:val="20"/>
                <w:szCs w:val="20"/>
                <w:color w:val="auto"/>
              </w:rPr>
            </w:pPr>
            <w:r>
              <w:rPr>
                <w:rFonts w:ascii="Verdana" w:cs="Verdana" w:eastAsia="Verdana" w:hAnsi="Verdana"/>
                <w:sz w:val="14"/>
                <w:szCs w:val="14"/>
                <w:color w:val="auto"/>
              </w:rPr>
              <w:t>Efficiency ratio (Non-GAAP)</w:t>
            </w:r>
            <w:r>
              <w:rPr>
                <w:rFonts w:ascii="Verdana" w:cs="Verdana" w:eastAsia="Verdana" w:hAnsi="Verdana"/>
                <w:sz w:val="9"/>
                <w:szCs w:val="9"/>
                <w:color w:val="auto"/>
              </w:rPr>
              <w:t>1</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61.8 %</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61.7 %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 bps</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Adjusted efficiency ratio (Non-GAAP)</w:t>
            </w:r>
            <w:r>
              <w:rPr>
                <w:rFonts w:ascii="Verdana" w:cs="Verdana" w:eastAsia="Verdana" w:hAnsi="Verdana"/>
                <w:sz w:val="9"/>
                <w:szCs w:val="9"/>
                <w:color w:val="auto"/>
              </w:rPr>
              <w:t>1</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61.0 %</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60.7 %</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 bps</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12"/>
        </w:trPr>
        <w:tc>
          <w:tcPr>
            <w:tcW w:w="4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4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Full-time equivalent associates as of period-end</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1,509</w:t>
            </w:r>
          </w:p>
        </w:tc>
        <w:tc>
          <w:tcPr>
            <w:tcW w:w="80" w:type="dxa"/>
            <w:vAlign w:val="bottom"/>
            <w:shd w:val="clear" w:color="auto" w:fill="E0E7ED"/>
          </w:tcPr>
          <w:p>
            <w:pPr>
              <w:spacing w:after="0"/>
              <w:rPr>
                <w:sz w:val="18"/>
                <w:szCs w:val="18"/>
                <w:color w:val="auto"/>
              </w:rPr>
            </w:pPr>
          </w:p>
        </w:tc>
        <w:tc>
          <w:tcPr>
            <w:tcW w:w="700" w:type="dxa"/>
            <w:vAlign w:val="bottom"/>
            <w:shd w:val="clear" w:color="auto" w:fill="E0E7ED"/>
          </w:tcPr>
          <w:p>
            <w:pPr>
              <w:spacing w:after="0"/>
              <w:rPr>
                <w:sz w:val="18"/>
                <w:szCs w:val="18"/>
                <w:color w:val="auto"/>
              </w:rPr>
            </w:pPr>
          </w:p>
        </w:tc>
        <w:tc>
          <w:tcPr>
            <w:tcW w:w="9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1,479</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2.0 %</w:t>
            </w:r>
          </w:p>
        </w:tc>
      </w:tr>
      <w:tr>
        <w:trPr>
          <w:trHeight w:val="187"/>
        </w:trPr>
        <w:tc>
          <w:tcPr>
            <w:tcW w:w="4460" w:type="dxa"/>
            <w:vAlign w:val="bottom"/>
          </w:tcPr>
          <w:p>
            <w:pPr>
              <w:spacing w:after="0"/>
              <w:rPr>
                <w:sz w:val="20"/>
                <w:szCs w:val="20"/>
                <w:color w:val="auto"/>
              </w:rPr>
            </w:pPr>
            <w:r>
              <w:rPr>
                <w:rFonts w:ascii="Verdana" w:cs="Verdana" w:eastAsia="Verdana" w:hAnsi="Verdana"/>
                <w:sz w:val="10"/>
                <w:szCs w:val="10"/>
                <w:color w:val="auto"/>
              </w:rPr>
              <w:t>___________________________________________</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ind w:left="380" w:hanging="248"/>
        <w:spacing w:after="0" w:line="242" w:lineRule="auto"/>
        <w:tabs>
          <w:tab w:leader="none" w:pos="373" w:val="left"/>
        </w:tabs>
        <w:numPr>
          <w:ilvl w:val="0"/>
          <w:numId w:val="24"/>
        </w:numPr>
        <w:rPr>
          <w:rFonts w:ascii="Verdana" w:cs="Verdana" w:eastAsia="Verdana" w:hAnsi="Verdana"/>
          <w:sz w:val="10"/>
          <w:szCs w:val="10"/>
          <w:color w:val="auto"/>
        </w:rPr>
      </w:pPr>
      <w:r>
        <w:rPr>
          <w:rFonts w:ascii="Verdana" w:cs="Verdana" w:eastAsia="Verdana" w:hAnsi="Verdana"/>
          <w:sz w:val="10"/>
          <w:szCs w:val="10"/>
          <w:color w:val="auto"/>
        </w:rPr>
        <w:t xml:space="preserve">The efficiency ratio and adjusted efficiency ratio are both non-GAAP financial measures. For a reconciliation of non-GAAP financial measure to the most directly comparable GAAP financial measures, see </w:t>
      </w:r>
      <w:r>
        <w:rPr>
          <w:rFonts w:ascii="Verdana" w:cs="Verdana" w:eastAsia="Verdana" w:hAnsi="Verdana"/>
          <w:sz w:val="10"/>
          <w:szCs w:val="10"/>
          <w:i w:val="1"/>
          <w:iCs w:val="1"/>
          <w:color w:val="auto"/>
        </w:rPr>
        <w:t>“</w:t>
      </w:r>
      <w:r>
        <w:rPr>
          <w:rFonts w:ascii="Verdana" w:cs="Verdana" w:eastAsia="Verdana" w:hAnsi="Verdana"/>
          <w:sz w:val="10"/>
          <w:szCs w:val="10"/>
          <w:i w:val="1"/>
          <w:iCs w:val="1"/>
          <w:u w:val="single" w:color="auto"/>
          <w:color w:val="0000FF"/>
        </w:rPr>
        <w:t>Item 1.</w:t>
      </w:r>
      <w:r>
        <w:rPr>
          <w:rFonts w:ascii="Verdana" w:cs="Verdana" w:eastAsia="Verdana" w:hAnsi="Verdana"/>
          <w:sz w:val="10"/>
          <w:szCs w:val="10"/>
          <w:color w:val="auto"/>
        </w:rPr>
        <w:t xml:space="preserve"> </w:t>
      </w:r>
      <w:r>
        <w:rPr>
          <w:rFonts w:ascii="Verdana" w:cs="Verdana" w:eastAsia="Verdana" w:hAnsi="Verdana"/>
          <w:sz w:val="10"/>
          <w:szCs w:val="10"/>
          <w:i w:val="1"/>
          <w:iCs w:val="1"/>
          <w:u w:val="single" w:color="auto"/>
          <w:color w:val="0000FF"/>
        </w:rPr>
        <w:t>Business—Non-GAAP Financial Information</w:t>
      </w:r>
      <w:r>
        <w:rPr>
          <w:rFonts w:ascii="Verdana" w:cs="Verdana" w:eastAsia="Verdana" w:hAnsi="Verdana"/>
          <w:sz w:val="10"/>
          <w:szCs w:val="10"/>
          <w:i w:val="1"/>
          <w:iCs w:val="1"/>
          <w:color w:val="000000"/>
        </w:rPr>
        <w:t>.”</w:t>
      </w:r>
    </w:p>
    <w:p>
      <w:pPr>
        <w:spacing w:after="0" w:line="137" w:lineRule="exact"/>
        <w:rPr>
          <w:sz w:val="20"/>
          <w:szCs w:val="20"/>
          <w:color w:val="auto"/>
        </w:rPr>
      </w:pPr>
    </w:p>
    <w:p>
      <w:pPr>
        <w:ind w:right="140"/>
        <w:spacing w:after="0" w:line="244" w:lineRule="auto"/>
        <w:rPr>
          <w:sz w:val="20"/>
          <w:szCs w:val="20"/>
          <w:color w:val="auto"/>
        </w:rPr>
      </w:pPr>
      <w:r>
        <w:rPr>
          <w:rFonts w:ascii="Verdana" w:cs="Verdana" w:eastAsia="Verdana" w:hAnsi="Verdana"/>
          <w:sz w:val="14"/>
          <w:szCs w:val="14"/>
          <w:color w:val="auto"/>
        </w:rPr>
        <w:t>Total noninterest expense increased to $300.4 million for the year ended December 31, 2024, compared to $285.5 million for the year ended December 31, 2023, representing a year-over-year increase of 5.2%. Non-operating acquisition and other restructuring expenses increased to $8.1 million in 2024, compared to $4.3 million in 2023. The remaining increases can be attributed primarily to operating M&amp;M Bank as a stand-alone bank from April 1, 2024, through June 21, 2024, and general inflationary pressures on compensation and benefits and to a lesser extent certain other expense categories. Busey expects to continue to prudently manage its expenses and to realize the full extent of M&amp;M acquisition synergies in 2025.</w:t>
      </w:r>
    </w:p>
    <w:p>
      <w:pPr>
        <w:spacing w:after="0" w:line="313"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2" w:name="page63"/>
    <w:bookmarkEnd w:id="6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Salaries, wages, and employee benefits increased to $175.6 million in 2024, compared to $162.6 million in 2023. Busey’s total associate base consisted of 1,509 full-time equivalents as of December 31, 2024, compared to 1,479 at December 31, 2023, with the increase largely relating to the M&amp;M acquisition. Busey recorded $1.6 million and $3.8 million of non-operating expenses during 2024 and 2023, respectively. Current trends continue to reflect a competitive labor market, maintaining pressure on costs related to attracting and maintaining Busey’s skilled workforce.</w:t>
      </w:r>
    </w:p>
    <w:p>
      <w:pPr>
        <w:spacing w:after="0" w:line="1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Data processing expense increased to $27.1 million in 2024, compared to $23.7 million in 2023. Increases were primarily attributable to Company-wide investments in technology enhancements, as well as inflation-driven price increases.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color w:val="auto"/>
        </w:rPr>
        <w:t>Combined, net occupancy expense of premises and furniture and equipment expenses increased to $25.5 million in 2024, compared to $25.0 million in 2023.</w:t>
      </w:r>
    </w:p>
    <w:p>
      <w:pPr>
        <w:spacing w:after="0"/>
        <w:rPr>
          <w:sz w:val="20"/>
          <w:szCs w:val="20"/>
          <w:color w:val="auto"/>
        </w:rPr>
      </w:pPr>
      <w:r>
        <w:rPr>
          <w:rFonts w:ascii="Verdana" w:cs="Verdana" w:eastAsia="Verdana" w:hAnsi="Verdana"/>
          <w:sz w:val="14"/>
          <w:szCs w:val="14"/>
          <w:color w:val="auto"/>
        </w:rPr>
        <w:t>Primary cost drivers in these expense categories include lease costs, repairs and maintenance, depreciation expense, real estate taxes, and utilities.</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Professional fees increased to $12.8 million in 2024, compared to $7.1 million in 2023. Busey recorded $4.9 million and $0.4 million of non-operating expenses during 2024 and 2023, respectively. The significant increase in non-operating professional fees related primarily to the acquisition of M&amp;M, which was completed in the second quarter of 2024, and the planned merger with CrossFirst, which is expected to be completed in the first quarter of 2025.</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Amortization of intangible assets decreased to $10.1 million in 2024, compared to $10.4 million in 2023. Decreases in 2024 were due to the use of an accelerated amortization methodology and were partially offset by the addition of $6.3 million of intangible assets related to the M&amp;M acquisition.</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Interchange expense decreased to $6.0 million in 2024, compared to $6.9 million in 2023. Fluctuations in interchange expense relate to payment and volume activity at FirsTech.</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color w:val="auto"/>
        </w:rPr>
        <w:t>FDIC insurance expense decreased to $5.6 million in 2024, compared to $5.7 million in 2023.</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Other expense decreased to $37.6 million in 2024, compared to $44.2 million in 2023. In connection with Busey’s adoption of ASU 2023-02 on January 1, 2024, Busey began recording amortization of New Markets Tax Credits as income tax expense instead of other noninterest expense, resulting in decreases in other noninterest expense of $9.0 million for the year ended December 31, 2024. Further changes in other noninterest expense are attributable to multiple items, including the provision for unfunded commitments, sales of other real estate owned, fixed asset impairment, marketing, and business development expenses.</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Efficiency Ratio</w:t>
      </w:r>
    </w:p>
    <w:p>
      <w:pPr>
        <w:spacing w:after="0" w:line="145" w:lineRule="exact"/>
        <w:rPr>
          <w:sz w:val="20"/>
          <w:szCs w:val="20"/>
          <w:color w:val="auto"/>
        </w:rPr>
      </w:pPr>
    </w:p>
    <w:p>
      <w:pPr>
        <w:jc w:val="both"/>
        <w:spacing w:after="0" w:line="229" w:lineRule="auto"/>
        <w:rPr>
          <w:sz w:val="20"/>
          <w:szCs w:val="20"/>
          <w:color w:val="auto"/>
        </w:rPr>
      </w:pPr>
      <w:r>
        <w:rPr>
          <w:rFonts w:ascii="Verdana" w:cs="Verdana" w:eastAsia="Verdana" w:hAnsi="Verdana"/>
          <w:sz w:val="14"/>
          <w:szCs w:val="14"/>
          <w:color w:val="auto"/>
        </w:rPr>
        <w:t>The efficiency ratio</w:t>
      </w:r>
      <w:r>
        <w:rPr>
          <w:rFonts w:ascii="Verdana" w:cs="Verdana" w:eastAsia="Verdana" w:hAnsi="Verdana"/>
          <w:sz w:val="18"/>
          <w:szCs w:val="18"/>
          <w:color w:val="auto"/>
          <w:vertAlign w:val="superscript"/>
        </w:rPr>
        <w:t>3</w:t>
      </w:r>
      <w:r>
        <w:rPr>
          <w:rFonts w:ascii="Verdana" w:cs="Verdana" w:eastAsia="Verdana" w:hAnsi="Verdana"/>
          <w:sz w:val="14"/>
          <w:szCs w:val="14"/>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Busey’s efficiency ratio was 61.8% for the year ended December 31, 2024, compared to 61.7% for the year ended December 31, 2023.</w:t>
      </w:r>
    </w:p>
    <w:p>
      <w:pPr>
        <w:spacing w:after="0" w:line="121" w:lineRule="exact"/>
        <w:rPr>
          <w:sz w:val="20"/>
          <w:szCs w:val="20"/>
          <w:color w:val="auto"/>
        </w:rPr>
      </w:pPr>
    </w:p>
    <w:p>
      <w:pPr>
        <w:jc w:val="both"/>
        <w:spacing w:after="0" w:line="220" w:lineRule="auto"/>
        <w:rPr>
          <w:sz w:val="20"/>
          <w:szCs w:val="20"/>
          <w:color w:val="auto"/>
        </w:rPr>
      </w:pPr>
      <w:r>
        <w:rPr>
          <w:rFonts w:ascii="Verdana" w:cs="Verdana" w:eastAsia="Verdana" w:hAnsi="Verdana"/>
          <w:sz w:val="14"/>
          <w:szCs w:val="14"/>
          <w:color w:val="auto"/>
        </w:rPr>
        <w:t>Operating costs have been influenced by acquisition expenses and other restructuring costs, and the adjusted efficiency ratio</w:t>
      </w:r>
      <w:r>
        <w:rPr>
          <w:rFonts w:ascii="Verdana" w:cs="Verdana" w:eastAsia="Verdana" w:hAnsi="Verdana"/>
          <w:sz w:val="18"/>
          <w:szCs w:val="18"/>
          <w:color w:val="auto"/>
          <w:vertAlign w:val="superscript"/>
        </w:rPr>
        <w:t>3</w:t>
      </w:r>
      <w:r>
        <w:rPr>
          <w:rFonts w:ascii="Verdana" w:cs="Verdana" w:eastAsia="Verdana" w:hAnsi="Verdana"/>
          <w:sz w:val="14"/>
          <w:szCs w:val="14"/>
          <w:color w:val="auto"/>
        </w:rPr>
        <w:t xml:space="preserve"> was 61.0% for the year ended December 31, 2024, compared to 60.7%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134747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06" w:lineRule="exact"/>
        <w:rPr>
          <w:sz w:val="20"/>
          <w:szCs w:val="20"/>
          <w:color w:val="auto"/>
        </w:rPr>
      </w:pPr>
    </w:p>
    <w:p>
      <w:pPr>
        <w:ind w:firstLine="5"/>
        <w:spacing w:after="0" w:line="193" w:lineRule="auto"/>
        <w:tabs>
          <w:tab w:leader="none" w:pos="108" w:val="left"/>
        </w:tabs>
        <w:numPr>
          <w:ilvl w:val="0"/>
          <w:numId w:val="25"/>
        </w:numPr>
        <w:rPr>
          <w:rFonts w:ascii="Verdana" w:cs="Verdana" w:eastAsia="Verdana" w:hAnsi="Verdana"/>
          <w:sz w:val="17"/>
          <w:szCs w:val="17"/>
          <w:color w:val="auto"/>
          <w:vertAlign w:val="superscript"/>
        </w:rPr>
      </w:pPr>
      <w:r>
        <w:rPr>
          <w:rFonts w:ascii="Verdana" w:cs="Verdana" w:eastAsia="Verdana" w:hAnsi="Verdana"/>
          <w:sz w:val="9"/>
          <w:szCs w:val="9"/>
          <w:color w:val="auto"/>
        </w:rPr>
        <w:t xml:space="preserve">The efficiency ratio and adjusted efficiency ratio are both non-GAAP financial measures. For a reconciliation of non-GAAP financial measures to the most directly comparable GAAP financial measures, see </w:t>
      </w:r>
      <w:r>
        <w:rPr>
          <w:rFonts w:ascii="Verdana" w:cs="Verdana" w:eastAsia="Verdana" w:hAnsi="Verdana"/>
          <w:sz w:val="9"/>
          <w:szCs w:val="9"/>
          <w:i w:val="1"/>
          <w:iCs w:val="1"/>
          <w:color w:val="auto"/>
        </w:rPr>
        <w:t>“</w:t>
      </w:r>
      <w:r>
        <w:rPr>
          <w:rFonts w:ascii="Verdana" w:cs="Verdana" w:eastAsia="Verdana" w:hAnsi="Verdana"/>
          <w:sz w:val="9"/>
          <w:szCs w:val="9"/>
          <w:i w:val="1"/>
          <w:iCs w:val="1"/>
          <w:u w:val="single" w:color="auto"/>
          <w:color w:val="0000FF"/>
        </w:rPr>
        <w:t>Item 1. Business—</w:t>
      </w:r>
      <w:r>
        <w:rPr>
          <w:rFonts w:ascii="Verdana" w:cs="Verdana" w:eastAsia="Verdana" w:hAnsi="Verdana"/>
          <w:sz w:val="9"/>
          <w:szCs w:val="9"/>
          <w:color w:val="auto"/>
        </w:rPr>
        <w:t xml:space="preserve"> </w:t>
      </w:r>
      <w:r>
        <w:rPr>
          <w:rFonts w:ascii="Verdana" w:cs="Verdana" w:eastAsia="Verdana" w:hAnsi="Verdana"/>
          <w:sz w:val="9"/>
          <w:szCs w:val="9"/>
          <w:i w:val="1"/>
          <w:iCs w:val="1"/>
          <w:u w:val="single" w:color="auto"/>
          <w:color w:val="0000FF"/>
        </w:rPr>
        <w:t>Non-GAAP Financial Information.</w:t>
      </w:r>
      <w:r>
        <w:rPr>
          <w:rFonts w:ascii="Verdana" w:cs="Verdana" w:eastAsia="Verdana" w:hAnsi="Verdana"/>
          <w:sz w:val="9"/>
          <w:szCs w:val="9"/>
          <w:i w:val="1"/>
          <w:iCs w:val="1"/>
          <w:color w:val="000000"/>
        </w:rPr>
        <w:t>”</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3" w:name="page64"/>
    <w:bookmarkEnd w:id="6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Income Taxes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Effective income tax rates, calculated by dividing income taxes by income before taxes, were 25.8%, 20.4%, and 20.7% for the years ended December 31, 2024, 2023, and 2022, respectively. Busey’s effective tax rates increased in 2024 due to the adoption of ASU 2023-02 in January 2024, yet remained lower than the combined federal and state statutory rate of approximately 28.0% due to tax exempt interest income, such as municipal bond interest and bank owned life insurance income.</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effective income tax rate for the year ended December 31, 2024, includes an estimated one-time deferred tax valuation adjustment of $1.4 million resulting from a change to the Illinois apportionment rate due to recently enacted regulations. These new regulations are expected to lower Busey’s ongoing tax obligation in future periods.</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color w:val="auto"/>
        </w:rPr>
        <w:t>Busey continues to monitor evolving federal and state tax legislation and its potential impact on operations on an ongoing basis. As of December 31, 2024,</w:t>
      </w:r>
    </w:p>
    <w:p>
      <w:pPr>
        <w:spacing w:after="0"/>
        <w:rPr>
          <w:sz w:val="20"/>
          <w:szCs w:val="20"/>
          <w:color w:val="auto"/>
        </w:rPr>
      </w:pPr>
      <w:r>
        <w:rPr>
          <w:rFonts w:ascii="Verdana" w:cs="Verdana" w:eastAsia="Verdana" w:hAnsi="Verdana"/>
          <w:sz w:val="14"/>
          <w:szCs w:val="14"/>
          <w:color w:val="auto"/>
        </w:rPr>
        <w:t>Busey Bank is under examination by the Florida Department of Revenue for its 2020 to 2022 corporate income tax filings. Further, in February of 2025,</w:t>
      </w:r>
    </w:p>
    <w:p>
      <w:pPr>
        <w:spacing w:after="0"/>
        <w:rPr>
          <w:sz w:val="20"/>
          <w:szCs w:val="20"/>
          <w:color w:val="auto"/>
        </w:rPr>
      </w:pPr>
      <w:r>
        <w:rPr>
          <w:rFonts w:ascii="Verdana" w:cs="Verdana" w:eastAsia="Verdana" w:hAnsi="Verdana"/>
          <w:sz w:val="14"/>
          <w:szCs w:val="14"/>
          <w:color w:val="auto"/>
        </w:rPr>
        <w:t>Busey received a notice of audit initiation from the Illinois Department of Revenue for M&amp;M’s tax filings for the tax years 2022 and 2023.</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4" w:name="page65"/>
    <w:bookmarkEnd w:id="6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FINANCIAL CONDITION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Balance Sheet</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Changes in significant items included on Busey’s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are summarized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3"/>
        </w:trPr>
        <w:tc>
          <w:tcPr>
            <w:tcW w:w="46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72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w:t>
            </w:r>
          </w:p>
        </w:tc>
        <w:tc>
          <w:tcPr>
            <w:tcW w:w="3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20" w:type="dxa"/>
            <w:vAlign w:val="bottom"/>
            <w:shd w:val="clear" w:color="auto" w:fill="E0E7ED"/>
          </w:tcPr>
          <w:p>
            <w:pPr>
              <w:spacing w:after="0"/>
              <w:rPr>
                <w:sz w:val="17"/>
                <w:szCs w:val="17"/>
                <w:color w:val="auto"/>
              </w:rPr>
            </w:pPr>
          </w:p>
        </w:tc>
      </w:tr>
      <w:tr>
        <w:trPr>
          <w:trHeight w:val="207"/>
        </w:trPr>
        <w:tc>
          <w:tcPr>
            <w:tcW w:w="4600" w:type="dxa"/>
            <w:vAlign w:val="bottom"/>
          </w:tcPr>
          <w:p>
            <w:pPr>
              <w:ind w:left="20"/>
              <w:spacing w:after="0"/>
              <w:rPr>
                <w:sz w:val="20"/>
                <w:szCs w:val="20"/>
                <w:color w:val="auto"/>
              </w:rPr>
            </w:pPr>
            <w:r>
              <w:rPr>
                <w:rFonts w:ascii="Verdana" w:cs="Verdana" w:eastAsia="Verdana" w:hAnsi="Verdana"/>
                <w:sz w:val="14"/>
                <w:szCs w:val="14"/>
                <w:color w:val="auto"/>
              </w:rPr>
              <w:t>Debt securities available for sale</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1,810,221</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2,087,571</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(277,350)</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(13.3)%</w:t>
            </w:r>
          </w:p>
        </w:tc>
      </w:tr>
      <w:tr>
        <w:trPr>
          <w:trHeight w:val="218"/>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Debt securities held to maturity</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826,630</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872,628</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(45,998)</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(5.3)%</w:t>
            </w:r>
          </w:p>
        </w:tc>
      </w:tr>
      <w:tr>
        <w:trPr>
          <w:trHeight w:val="207"/>
        </w:trPr>
        <w:tc>
          <w:tcPr>
            <w:tcW w:w="4600" w:type="dxa"/>
            <w:vAlign w:val="bottom"/>
          </w:tcPr>
          <w:p>
            <w:pPr>
              <w:ind w:left="20"/>
              <w:spacing w:after="0"/>
              <w:rPr>
                <w:sz w:val="20"/>
                <w:szCs w:val="20"/>
                <w:color w:val="auto"/>
              </w:rPr>
            </w:pPr>
            <w:r>
              <w:rPr>
                <w:rFonts w:ascii="Verdana" w:cs="Verdana" w:eastAsia="Verdana" w:hAnsi="Verdana"/>
                <w:sz w:val="14"/>
                <w:szCs w:val="14"/>
                <w:color w:val="auto"/>
              </w:rPr>
              <w:t>Portfolio loans, net of ACL</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7,613,683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7,559,294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54,389</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0.7 %</w:t>
            </w:r>
          </w:p>
        </w:tc>
      </w:tr>
      <w:tr>
        <w:trPr>
          <w:trHeight w:val="218"/>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assets</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12,046,722</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12,283,415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(236,693)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w:t>
            </w:r>
          </w:p>
        </w:tc>
      </w:tr>
      <w:tr>
        <w:trPr>
          <w:trHeight w:val="212"/>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Liabilities</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r>
      <w:tr>
        <w:trPr>
          <w:trHeight w:val="207"/>
        </w:trPr>
        <w:tc>
          <w:tcPr>
            <w:tcW w:w="4600" w:type="dxa"/>
            <w:vAlign w:val="bottom"/>
          </w:tcPr>
          <w:p>
            <w:pPr>
              <w:ind w:left="20"/>
              <w:spacing w:after="0"/>
              <w:rPr>
                <w:sz w:val="20"/>
                <w:szCs w:val="20"/>
                <w:color w:val="auto"/>
              </w:rPr>
            </w:pPr>
            <w:r>
              <w:rPr>
                <w:rFonts w:ascii="Verdana" w:cs="Verdana" w:eastAsia="Verdana" w:hAnsi="Verdana"/>
                <w:sz w:val="14"/>
                <w:szCs w:val="14"/>
                <w:color w:val="auto"/>
              </w:rPr>
              <w:t>Deposits: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8"/>
        </w:trPr>
        <w:tc>
          <w:tcPr>
            <w:tcW w:w="46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Noninterest-bearing</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2,719,907</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2,834,655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(114,748)</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(4.0)%</w:t>
            </w:r>
          </w:p>
        </w:tc>
      </w:tr>
      <w:tr>
        <w:trPr>
          <w:trHeight w:val="207"/>
        </w:trPr>
        <w:tc>
          <w:tcPr>
            <w:tcW w:w="46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Interest-bearing</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7,262,583</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7,456,501</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(193,918)</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(2.6)%</w:t>
            </w:r>
          </w:p>
        </w:tc>
      </w:tr>
      <w:tr>
        <w:trPr>
          <w:trHeight w:val="208"/>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deposits</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9,982,490</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10,291,156</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(308,666)</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(3.0)%</w:t>
            </w:r>
          </w:p>
        </w:tc>
      </w:tr>
      <w:tr>
        <w:trPr>
          <w:trHeight w:val="207"/>
        </w:trPr>
        <w:tc>
          <w:tcPr>
            <w:tcW w:w="4600" w:type="dxa"/>
            <w:vAlign w:val="bottom"/>
          </w:tcPr>
          <w:p>
            <w:pPr>
              <w:ind w:left="20"/>
              <w:spacing w:after="0"/>
              <w:rPr>
                <w:sz w:val="20"/>
                <w:szCs w:val="20"/>
                <w:color w:val="auto"/>
              </w:rPr>
            </w:pPr>
            <w:r>
              <w:rPr>
                <w:rFonts w:ascii="Verdana" w:cs="Verdana" w:eastAsia="Verdana" w:hAnsi="Verdana"/>
                <w:sz w:val="14"/>
                <w:szCs w:val="14"/>
                <w:color w:val="auto"/>
              </w:rPr>
              <w:t>Securities sold under agreements to repurchase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155,610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187,396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(31,786)</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(17.0)%</w:t>
            </w:r>
          </w:p>
        </w:tc>
      </w:tr>
      <w:tr>
        <w:trPr>
          <w:trHeight w:val="218"/>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Subordinated notes, net of unamortized issuance costs</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227,723</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222,882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4,841</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2.2 %</w:t>
            </w:r>
          </w:p>
        </w:tc>
      </w:tr>
      <w:tr>
        <w:trPr>
          <w:trHeight w:val="207"/>
        </w:trPr>
        <w:tc>
          <w:tcPr>
            <w:tcW w:w="4600" w:type="dxa"/>
            <w:vAlign w:val="bottom"/>
          </w:tcPr>
          <w:p>
            <w:pPr>
              <w:ind w:left="20"/>
              <w:spacing w:after="0"/>
              <w:rPr>
                <w:sz w:val="20"/>
                <w:szCs w:val="20"/>
                <w:color w:val="auto"/>
              </w:rPr>
            </w:pPr>
            <w:r>
              <w:rPr>
                <w:rFonts w:ascii="Verdana" w:cs="Verdana" w:eastAsia="Verdana" w:hAnsi="Verdana"/>
                <w:sz w:val="14"/>
                <w:szCs w:val="14"/>
                <w:color w:val="auto"/>
              </w:rPr>
              <w:t>Total liabilities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10,663,453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11,011,434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(347,981)</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(3.2)%</w:t>
            </w:r>
          </w:p>
        </w:tc>
      </w:tr>
      <w:tr>
        <w:trPr>
          <w:trHeight w:val="218"/>
        </w:trPr>
        <w:tc>
          <w:tcPr>
            <w:tcW w:w="46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r>
      <w:tr>
        <w:trPr>
          <w:trHeight w:val="201"/>
        </w:trPr>
        <w:tc>
          <w:tcPr>
            <w:tcW w:w="4600" w:type="dxa"/>
            <w:vAlign w:val="bottom"/>
          </w:tcPr>
          <w:p>
            <w:pPr>
              <w:ind w:left="20"/>
              <w:spacing w:after="0"/>
              <w:rPr>
                <w:sz w:val="20"/>
                <w:szCs w:val="20"/>
                <w:color w:val="auto"/>
              </w:rPr>
            </w:pPr>
            <w:r>
              <w:rPr>
                <w:rFonts w:ascii="Verdana" w:cs="Verdana" w:eastAsia="Verdana" w:hAnsi="Verdana"/>
                <w:sz w:val="14"/>
                <w:szCs w:val="14"/>
                <w:b w:val="1"/>
                <w:bCs w:val="1"/>
                <w:color w:val="auto"/>
              </w:rPr>
              <w:t>Stockholders’ equity</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1,383,269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1,271,981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111,288</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8.7 %</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Investment Securities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primary purposes of Busey’s investment securities portfolio are to provide a source of earnings by deploying funds that are not needed to fulfill loan demand, deposit redemptions, or other liquidity purposes; to serve as a tool for interest rate risk positioning; and to provide collateral for pledging purposes against public deposits and repurchase agreements, all while providing a source of liquidity.</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considers many factors in determining the composition of its investment portfolio including, but not limited to, credit quality, duration, interest rate risk, liquidity, tax-equivalent yield, regulatory considerations, and overall portfolio allocation. As of December 31, 2024, Busey did not hold general obligation bonds of any single issuer, the aggregate of which exceeded 10% of Busey’s stockholders’ equity.</w:t>
      </w:r>
    </w:p>
    <w:p>
      <w:pPr>
        <w:spacing w:after="0" w:line="12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Pledged securities totaled $871.4 million, or 33.0% of total debt securities, as of December 31, 2024, and $837.4 million, or 28.3% of total debt securities, as of December 31, 2023.</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Debt Securities Available for Sale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Debt securities available for sale are carried at fair value. Net unrealized gains or losses, net of tax, are recorded in stockholders’ equity, through AOCI. As of December 31, 2024, the fair value of debt securities available for sale was $1.81 billion, and the amortized cost was $2.04 billion. There were $0.6 million of gross unrealized gains and $230.3 million of gross unrealized losses, resulting in a net unrealized loss of $229.7 million.</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5" w:name="page66"/>
    <w:bookmarkEnd w:id="6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composition of debt securities available for sale was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7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49"/>
              <w:spacing w:after="0"/>
              <w:rPr>
                <w:sz w:val="20"/>
                <w:szCs w:val="20"/>
                <w:color w:val="auto"/>
              </w:rPr>
            </w:pPr>
            <w:r>
              <w:rPr>
                <w:rFonts w:ascii="Verdana" w:cs="Verdana" w:eastAsia="Verdana" w:hAnsi="Verdana"/>
                <w:sz w:val="10"/>
                <w:szCs w:val="10"/>
                <w:b w:val="1"/>
                <w:bCs w:val="1"/>
                <w:color w:val="auto"/>
              </w:rPr>
              <w:t>As of December 31,</w:t>
            </w:r>
          </w:p>
        </w:tc>
        <w:tc>
          <w:tcPr>
            <w:tcW w:w="1100" w:type="dxa"/>
            <w:vAlign w:val="bottom"/>
            <w:tcBorders>
              <w:bottom w:val="single" w:sz="8" w:color="auto"/>
            </w:tcBorders>
          </w:tcPr>
          <w:p>
            <w:pPr>
              <w:spacing w:after="0"/>
              <w:rPr>
                <w:sz w:val="11"/>
                <w:szCs w:val="11"/>
                <w:color w:val="auto"/>
              </w:rPr>
            </w:pPr>
          </w:p>
        </w:tc>
      </w:tr>
      <w:tr>
        <w:trPr>
          <w:trHeight w:val="131"/>
        </w:trPr>
        <w:tc>
          <w:tcPr>
            <w:tcW w:w="776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53"/>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51"/>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776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42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62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r>
      <w:tr>
        <w:trPr>
          <w:trHeight w:val="207"/>
        </w:trPr>
        <w:tc>
          <w:tcPr>
            <w:tcW w:w="7760" w:type="dxa"/>
            <w:vAlign w:val="bottom"/>
          </w:tcPr>
          <w:p>
            <w:pPr>
              <w:ind w:left="140"/>
              <w:spacing w:after="0"/>
              <w:rPr>
                <w:sz w:val="20"/>
                <w:szCs w:val="20"/>
                <w:color w:val="auto"/>
              </w:rPr>
            </w:pPr>
            <w:r>
              <w:rPr>
                <w:rFonts w:ascii="Verdana" w:cs="Verdana" w:eastAsia="Verdana" w:hAnsi="Verdana"/>
                <w:sz w:val="14"/>
                <w:szCs w:val="14"/>
                <w:color w:val="auto"/>
              </w:rPr>
              <w:t>U.S. Treasury securities</w:t>
            </w: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8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620" w:type="dxa"/>
            <w:vAlign w:val="bottom"/>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15,946</w:t>
            </w:r>
          </w:p>
        </w:tc>
      </w:tr>
      <w:tr>
        <w:trPr>
          <w:trHeight w:val="218"/>
        </w:trPr>
        <w:tc>
          <w:tcPr>
            <w:tcW w:w="77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U.S. government corporations and agencies</w:t>
            </w: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1,400</w:t>
            </w:r>
          </w:p>
        </w:tc>
        <w:tc>
          <w:tcPr>
            <w:tcW w:w="80" w:type="dxa"/>
            <w:vAlign w:val="bottom"/>
            <w:shd w:val="clear" w:color="auto" w:fill="E0E7ED"/>
          </w:tcPr>
          <w:p>
            <w:pPr>
              <w:spacing w:after="0"/>
              <w:rPr>
                <w:sz w:val="18"/>
                <w:szCs w:val="18"/>
                <w:color w:val="auto"/>
              </w:rPr>
            </w:pPr>
          </w:p>
        </w:tc>
        <w:tc>
          <w:tcPr>
            <w:tcW w:w="62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5,832</w:t>
            </w:r>
          </w:p>
        </w:tc>
      </w:tr>
      <w:tr>
        <w:trPr>
          <w:trHeight w:val="207"/>
        </w:trPr>
        <w:tc>
          <w:tcPr>
            <w:tcW w:w="7760" w:type="dxa"/>
            <w:vAlign w:val="bottom"/>
          </w:tcPr>
          <w:p>
            <w:pPr>
              <w:ind w:left="140"/>
              <w:spacing w:after="0"/>
              <w:rPr>
                <w:sz w:val="20"/>
                <w:szCs w:val="20"/>
                <w:color w:val="auto"/>
              </w:rPr>
            </w:pPr>
            <w:r>
              <w:rPr>
                <w:rFonts w:ascii="Verdana" w:cs="Verdana" w:eastAsia="Verdana" w:hAnsi="Verdana"/>
                <w:sz w:val="14"/>
                <w:szCs w:val="14"/>
                <w:color w:val="auto"/>
              </w:rPr>
              <w:t>Obligations of states and political subdivisions</w:t>
            </w:r>
          </w:p>
        </w:tc>
        <w:tc>
          <w:tcPr>
            <w:tcW w:w="42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Verdana" w:cs="Verdana" w:eastAsia="Verdana" w:hAnsi="Verdana"/>
                <w:sz w:val="14"/>
                <w:szCs w:val="14"/>
                <w:color w:val="auto"/>
              </w:rPr>
              <w:t>139,829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172,845</w:t>
            </w:r>
          </w:p>
        </w:tc>
      </w:tr>
      <w:tr>
        <w:trPr>
          <w:trHeight w:val="218"/>
        </w:trPr>
        <w:tc>
          <w:tcPr>
            <w:tcW w:w="77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Asset-backed securities</w:t>
            </w: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336,557</w:t>
            </w:r>
          </w:p>
        </w:tc>
        <w:tc>
          <w:tcPr>
            <w:tcW w:w="80" w:type="dxa"/>
            <w:vAlign w:val="bottom"/>
            <w:shd w:val="clear" w:color="auto" w:fill="E0E7ED"/>
          </w:tcPr>
          <w:p>
            <w:pPr>
              <w:spacing w:after="0"/>
              <w:rPr>
                <w:sz w:val="18"/>
                <w:szCs w:val="18"/>
                <w:color w:val="auto"/>
              </w:rPr>
            </w:pPr>
          </w:p>
        </w:tc>
        <w:tc>
          <w:tcPr>
            <w:tcW w:w="62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468,223</w:t>
            </w:r>
          </w:p>
        </w:tc>
      </w:tr>
      <w:tr>
        <w:trPr>
          <w:trHeight w:val="207"/>
        </w:trPr>
        <w:tc>
          <w:tcPr>
            <w:tcW w:w="776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42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Verdana" w:cs="Verdana" w:eastAsia="Verdana" w:hAnsi="Verdana"/>
                <w:sz w:val="14"/>
                <w:szCs w:val="14"/>
                <w:color w:val="auto"/>
              </w:rPr>
              <w:t>92,174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103,509</w:t>
            </w:r>
          </w:p>
        </w:tc>
      </w:tr>
      <w:tr>
        <w:trPr>
          <w:trHeight w:val="218"/>
        </w:trPr>
        <w:tc>
          <w:tcPr>
            <w:tcW w:w="77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1,087,210</w:t>
            </w:r>
          </w:p>
        </w:tc>
        <w:tc>
          <w:tcPr>
            <w:tcW w:w="80" w:type="dxa"/>
            <w:vAlign w:val="bottom"/>
            <w:shd w:val="clear" w:color="auto" w:fill="E0E7ED"/>
          </w:tcPr>
          <w:p>
            <w:pPr>
              <w:spacing w:after="0"/>
              <w:rPr>
                <w:sz w:val="18"/>
                <w:szCs w:val="18"/>
                <w:color w:val="auto"/>
              </w:rPr>
            </w:pPr>
          </w:p>
        </w:tc>
        <w:tc>
          <w:tcPr>
            <w:tcW w:w="62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1,111,312</w:t>
            </w:r>
          </w:p>
        </w:tc>
      </w:tr>
      <w:tr>
        <w:trPr>
          <w:trHeight w:val="207"/>
        </w:trPr>
        <w:tc>
          <w:tcPr>
            <w:tcW w:w="77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Corporate debt securities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3"/>
              <w:spacing w:after="0"/>
              <w:rPr>
                <w:sz w:val="20"/>
                <w:szCs w:val="20"/>
                <w:color w:val="auto"/>
              </w:rPr>
            </w:pPr>
            <w:r>
              <w:rPr>
                <w:rFonts w:ascii="Verdana" w:cs="Verdana" w:eastAsia="Verdana" w:hAnsi="Verdana"/>
                <w:sz w:val="14"/>
                <w:szCs w:val="14"/>
                <w:color w:val="auto"/>
              </w:rPr>
              <w:t>153,051</w:t>
            </w:r>
          </w:p>
        </w:tc>
        <w:tc>
          <w:tcPr>
            <w:tcW w:w="80" w:type="dxa"/>
            <w:vAlign w:val="bottom"/>
            <w:tcBorders>
              <w:bottom w:val="single" w:sz="8" w:color="E0E7ED"/>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209,904</w:t>
            </w:r>
          </w:p>
        </w:tc>
      </w:tr>
      <w:tr>
        <w:trPr>
          <w:trHeight w:val="233"/>
        </w:trPr>
        <w:tc>
          <w:tcPr>
            <w:tcW w:w="77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 fair value</w:t>
            </w:r>
          </w:p>
        </w:tc>
        <w:tc>
          <w:tcPr>
            <w:tcW w:w="420" w:type="dxa"/>
            <w:vAlign w:val="bottom"/>
            <w:tcBorders>
              <w:bottom w:val="single" w:sz="8" w:color="auto"/>
            </w:tcBorders>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1,810,221</w:t>
            </w:r>
          </w:p>
        </w:tc>
        <w:tc>
          <w:tcPr>
            <w:tcW w:w="80" w:type="dxa"/>
            <w:vAlign w:val="bottom"/>
            <w:tcBorders>
              <w:bottom w:val="single" w:sz="8" w:color="E0E7ED"/>
            </w:tcBorders>
            <w:shd w:val="clear" w:color="auto" w:fill="E0E7ED"/>
          </w:tcPr>
          <w:p>
            <w:pPr>
              <w:spacing w:after="0"/>
              <w:rPr>
                <w:sz w:val="19"/>
                <w:szCs w:val="19"/>
                <w:color w:val="auto"/>
              </w:rPr>
            </w:pPr>
          </w:p>
        </w:tc>
        <w:tc>
          <w:tcPr>
            <w:tcW w:w="620" w:type="dxa"/>
            <w:vAlign w:val="bottom"/>
            <w:tcBorders>
              <w:bottom w:val="single" w:sz="8" w:color="auto"/>
            </w:tcBorders>
            <w:shd w:val="clear" w:color="auto" w:fill="E0E7ED"/>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Borders>
              <w:bottom w:val="single" w:sz="8" w:color="auto"/>
            </w:tcBorders>
            <w:shd w:val="clear" w:color="auto" w:fill="E0E7ED"/>
          </w:tcPr>
          <w:p>
            <w:pPr>
              <w:jc w:val="right"/>
              <w:ind w:right="151"/>
              <w:spacing w:after="0"/>
              <w:rPr>
                <w:sz w:val="20"/>
                <w:szCs w:val="20"/>
                <w:color w:val="auto"/>
              </w:rPr>
            </w:pPr>
            <w:r>
              <w:rPr>
                <w:rFonts w:ascii="Verdana" w:cs="Verdana" w:eastAsia="Verdana" w:hAnsi="Verdana"/>
                <w:sz w:val="14"/>
                <w:szCs w:val="14"/>
                <w:color w:val="auto"/>
              </w:rPr>
              <w:t>2,087,571</w:t>
            </w:r>
          </w:p>
        </w:tc>
      </w:tr>
      <w:tr>
        <w:trPr>
          <w:trHeight w:val="20"/>
        </w:trPr>
        <w:tc>
          <w:tcPr>
            <w:tcW w:w="776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7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7"/>
        </w:trPr>
        <w:tc>
          <w:tcPr>
            <w:tcW w:w="77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 amortized cost</w:t>
            </w:r>
          </w:p>
        </w:tc>
        <w:tc>
          <w:tcPr>
            <w:tcW w:w="420" w:type="dxa"/>
            <w:vAlign w:val="bottom"/>
            <w:tcBorders>
              <w:bottom w:val="single" w:sz="8" w:color="auto"/>
            </w:tcBorders>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2,039,952</w:t>
            </w:r>
          </w:p>
        </w:tc>
        <w:tc>
          <w:tcPr>
            <w:tcW w:w="80" w:type="dxa"/>
            <w:vAlign w:val="bottom"/>
            <w:tcBorders>
              <w:bottom w:val="single" w:sz="8" w:color="E0E7ED"/>
            </w:tcBorders>
            <w:shd w:val="clear" w:color="auto" w:fill="E0E7ED"/>
          </w:tcPr>
          <w:p>
            <w:pPr>
              <w:spacing w:after="0"/>
              <w:rPr>
                <w:sz w:val="20"/>
                <w:szCs w:val="20"/>
                <w:color w:val="auto"/>
              </w:rPr>
            </w:pPr>
          </w:p>
        </w:tc>
        <w:tc>
          <w:tcPr>
            <w:tcW w:w="620" w:type="dxa"/>
            <w:vAlign w:val="bottom"/>
            <w:tcBorders>
              <w:bottom w:val="single" w:sz="8" w:color="auto"/>
            </w:tcBorders>
            <w:shd w:val="clear" w:color="auto" w:fill="E0E7ED"/>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Borders>
              <w:bottom w:val="single" w:sz="8" w:color="auto"/>
            </w:tcBorders>
            <w:shd w:val="clear" w:color="auto" w:fill="E0E7ED"/>
          </w:tcPr>
          <w:p>
            <w:pPr>
              <w:jc w:val="right"/>
              <w:ind w:right="151"/>
              <w:spacing w:after="0"/>
              <w:rPr>
                <w:sz w:val="20"/>
                <w:szCs w:val="20"/>
                <w:color w:val="auto"/>
              </w:rPr>
            </w:pPr>
            <w:r>
              <w:rPr>
                <w:rFonts w:ascii="Verdana" w:cs="Verdana" w:eastAsia="Verdana" w:hAnsi="Verdana"/>
                <w:sz w:val="14"/>
                <w:szCs w:val="14"/>
                <w:color w:val="auto"/>
              </w:rPr>
              <w:t>2,334,630</w:t>
            </w:r>
          </w:p>
        </w:tc>
      </w:tr>
      <w:tr>
        <w:trPr>
          <w:trHeight w:val="20"/>
        </w:trPr>
        <w:tc>
          <w:tcPr>
            <w:tcW w:w="776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2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r>
      <w:tr>
        <w:trPr>
          <w:trHeight w:val="164"/>
        </w:trPr>
        <w:tc>
          <w:tcPr>
            <w:tcW w:w="7760" w:type="dxa"/>
            <w:vAlign w:val="bottom"/>
          </w:tcPr>
          <w:p>
            <w:pPr>
              <w:ind w:left="20"/>
              <w:spacing w:after="0" w:line="164" w:lineRule="exact"/>
              <w:rPr>
                <w:sz w:val="20"/>
                <w:szCs w:val="20"/>
                <w:color w:val="auto"/>
              </w:rPr>
            </w:pPr>
            <w:r>
              <w:rPr>
                <w:rFonts w:ascii="Verdana" w:cs="Verdana" w:eastAsia="Verdana" w:hAnsi="Verdana"/>
                <w:sz w:val="14"/>
                <w:szCs w:val="14"/>
                <w:color w:val="auto"/>
              </w:rPr>
              <w:t>Fair value as a percentage of amortized cost</w:t>
            </w:r>
          </w:p>
        </w:tc>
        <w:tc>
          <w:tcPr>
            <w:tcW w:w="420" w:type="dxa"/>
            <w:vAlign w:val="bottom"/>
          </w:tcPr>
          <w:p>
            <w:pPr>
              <w:spacing w:after="0"/>
              <w:rPr>
                <w:sz w:val="14"/>
                <w:szCs w:val="14"/>
                <w:color w:val="auto"/>
              </w:rPr>
            </w:pPr>
          </w:p>
        </w:tc>
        <w:tc>
          <w:tcPr>
            <w:tcW w:w="1300" w:type="dxa"/>
            <w:vAlign w:val="bottom"/>
          </w:tcPr>
          <w:p>
            <w:pPr>
              <w:jc w:val="right"/>
              <w:spacing w:after="0" w:line="164" w:lineRule="exact"/>
              <w:rPr>
                <w:sz w:val="20"/>
                <w:szCs w:val="20"/>
                <w:color w:val="auto"/>
              </w:rPr>
            </w:pPr>
            <w:r>
              <w:rPr>
                <w:rFonts w:ascii="Verdana" w:cs="Verdana" w:eastAsia="Verdana" w:hAnsi="Verdana"/>
                <w:sz w:val="14"/>
                <w:szCs w:val="14"/>
                <w:color w:val="auto"/>
              </w:rPr>
              <w:t>88.74 %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Verdana" w:cs="Verdana" w:eastAsia="Verdana" w:hAnsi="Verdana"/>
                <w:sz w:val="14"/>
                <w:szCs w:val="14"/>
                <w:color w:val="auto"/>
              </w:rPr>
              <w:t>89.42 %</w:t>
            </w: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6" w:name="page67"/>
    <w:bookmarkEnd w:id="6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By maturity date, fair values and weighted average yields of debt securities available for sale as of December 31, 2024, are presented in the following table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gridSpan w:val="5"/>
            <w:vMerge w:val="restart"/>
          </w:tcPr>
          <w:p>
            <w:pPr>
              <w:ind w:left="180"/>
              <w:spacing w:after="0"/>
              <w:rPr>
                <w:sz w:val="20"/>
                <w:szCs w:val="20"/>
                <w:color w:val="auto"/>
              </w:rPr>
            </w:pPr>
            <w:r>
              <w:rPr>
                <w:rFonts w:ascii="Verdana" w:cs="Verdana" w:eastAsia="Verdana" w:hAnsi="Verdana"/>
                <w:sz w:val="10"/>
                <w:szCs w:val="10"/>
                <w:b w:val="1"/>
                <w:bCs w:val="1"/>
                <w:color w:val="auto"/>
              </w:rPr>
              <w:t>Due in 1 year or less</w:t>
            </w:r>
          </w:p>
        </w:tc>
        <w:tc>
          <w:tcPr>
            <w:tcW w:w="2080" w:type="dxa"/>
            <w:vAlign w:val="bottom"/>
            <w:gridSpan w:val="5"/>
          </w:tcPr>
          <w:p>
            <w:pPr>
              <w:ind w:left="300"/>
              <w:spacing w:after="0"/>
              <w:rPr>
                <w:sz w:val="20"/>
                <w:szCs w:val="20"/>
                <w:color w:val="auto"/>
              </w:rPr>
            </w:pPr>
            <w:r>
              <w:rPr>
                <w:rFonts w:ascii="Verdana" w:cs="Verdana" w:eastAsia="Verdana" w:hAnsi="Verdana"/>
                <w:sz w:val="10"/>
                <w:szCs w:val="10"/>
                <w:b w:val="1"/>
                <w:bCs w:val="1"/>
                <w:color w:val="auto"/>
              </w:rPr>
              <w:t>Due after 1 year</w:t>
            </w:r>
          </w:p>
        </w:tc>
        <w:tc>
          <w:tcPr>
            <w:tcW w:w="1860" w:type="dxa"/>
            <w:vAlign w:val="bottom"/>
            <w:gridSpan w:val="4"/>
          </w:tcPr>
          <w:p>
            <w:pPr>
              <w:ind w:left="300"/>
              <w:spacing w:after="0"/>
              <w:rPr>
                <w:sz w:val="20"/>
                <w:szCs w:val="20"/>
                <w:color w:val="auto"/>
              </w:rPr>
            </w:pPr>
            <w:r>
              <w:rPr>
                <w:rFonts w:ascii="Verdana" w:cs="Verdana" w:eastAsia="Verdana" w:hAnsi="Verdana"/>
                <w:sz w:val="10"/>
                <w:szCs w:val="10"/>
                <w:b w:val="1"/>
                <w:bCs w:val="1"/>
                <w:color w:val="auto"/>
              </w:rPr>
              <w:t>Due after 5 years</w:t>
            </w:r>
          </w:p>
        </w:tc>
        <w:tc>
          <w:tcPr>
            <w:tcW w:w="220" w:type="dxa"/>
            <w:vAlign w:val="bottom"/>
          </w:tcPr>
          <w:p>
            <w:pPr>
              <w:spacing w:after="0"/>
              <w:rPr>
                <w:sz w:val="10"/>
                <w:szCs w:val="10"/>
                <w:color w:val="auto"/>
              </w:rPr>
            </w:pPr>
          </w:p>
        </w:tc>
        <w:tc>
          <w:tcPr>
            <w:tcW w:w="1100" w:type="dxa"/>
            <w:vAlign w:val="bottom"/>
            <w:gridSpan w:val="3"/>
          </w:tcPr>
          <w:p>
            <w:pPr>
              <w:jc w:val="right"/>
              <w:ind w:right="40"/>
              <w:spacing w:after="0"/>
              <w:rPr>
                <w:sz w:val="20"/>
                <w:szCs w:val="20"/>
                <w:color w:val="auto"/>
              </w:rPr>
            </w:pPr>
            <w:r>
              <w:rPr>
                <w:rFonts w:ascii="Verdana" w:cs="Verdana" w:eastAsia="Verdana" w:hAnsi="Verdana"/>
                <w:sz w:val="10"/>
                <w:szCs w:val="10"/>
                <w:b w:val="1"/>
                <w:bCs w:val="1"/>
                <w:color w:val="auto"/>
              </w:rPr>
              <w:t>Due after</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5"/>
            <w:vMerge w:val="continue"/>
          </w:tcPr>
          <w:p>
            <w:pPr>
              <w:spacing w:after="0"/>
              <w:rPr>
                <w:sz w:val="11"/>
                <w:szCs w:val="11"/>
                <w:color w:val="auto"/>
              </w:rPr>
            </w:pPr>
          </w:p>
        </w:tc>
        <w:tc>
          <w:tcPr>
            <w:tcW w:w="2080" w:type="dxa"/>
            <w:vAlign w:val="bottom"/>
            <w:gridSpan w:val="5"/>
          </w:tcPr>
          <w:p>
            <w:pPr>
              <w:ind w:left="320"/>
              <w:spacing w:after="0"/>
              <w:rPr>
                <w:sz w:val="20"/>
                <w:szCs w:val="20"/>
                <w:color w:val="auto"/>
              </w:rPr>
            </w:pPr>
            <w:r>
              <w:rPr>
                <w:rFonts w:ascii="Verdana" w:cs="Verdana" w:eastAsia="Verdana" w:hAnsi="Verdana"/>
                <w:sz w:val="10"/>
                <w:szCs w:val="10"/>
                <w:b w:val="1"/>
                <w:bCs w:val="1"/>
                <w:color w:val="auto"/>
              </w:rPr>
              <w:t>through 5 years</w:t>
            </w:r>
          </w:p>
        </w:tc>
        <w:tc>
          <w:tcPr>
            <w:tcW w:w="1860" w:type="dxa"/>
            <w:vAlign w:val="bottom"/>
            <w:gridSpan w:val="4"/>
          </w:tcPr>
          <w:p>
            <w:pPr>
              <w:ind w:left="300"/>
              <w:spacing w:after="0"/>
              <w:rPr>
                <w:sz w:val="20"/>
                <w:szCs w:val="20"/>
                <w:color w:val="auto"/>
              </w:rPr>
            </w:pPr>
            <w:r>
              <w:rPr>
                <w:rFonts w:ascii="Verdana" w:cs="Verdana" w:eastAsia="Verdana" w:hAnsi="Verdana"/>
                <w:sz w:val="10"/>
                <w:szCs w:val="10"/>
                <w:b w:val="1"/>
                <w:bCs w:val="1"/>
                <w:color w:val="auto"/>
              </w:rPr>
              <w:t>through 10 years</w:t>
            </w:r>
          </w:p>
        </w:tc>
        <w:tc>
          <w:tcPr>
            <w:tcW w:w="220" w:type="dxa"/>
            <w:vAlign w:val="bottom"/>
          </w:tcPr>
          <w:p>
            <w:pPr>
              <w:spacing w:after="0"/>
              <w:rPr>
                <w:sz w:val="11"/>
                <w:szCs w:val="11"/>
                <w:color w:val="auto"/>
              </w:rPr>
            </w:pPr>
          </w:p>
        </w:tc>
        <w:tc>
          <w:tcPr>
            <w:tcW w:w="1100" w:type="dxa"/>
            <w:vAlign w:val="bottom"/>
            <w:gridSpan w:val="3"/>
          </w:tcPr>
          <w:p>
            <w:pPr>
              <w:jc w:val="right"/>
              <w:ind w:right="60"/>
              <w:spacing w:after="0"/>
              <w:rPr>
                <w:sz w:val="20"/>
                <w:szCs w:val="20"/>
                <w:color w:val="auto"/>
              </w:rPr>
            </w:pPr>
            <w:r>
              <w:rPr>
                <w:rFonts w:ascii="Verdana" w:cs="Verdana" w:eastAsia="Verdana" w:hAnsi="Verdana"/>
                <w:sz w:val="10"/>
                <w:szCs w:val="10"/>
                <w:b w:val="1"/>
                <w:bCs w:val="1"/>
                <w:color w:val="auto"/>
              </w:rPr>
              <w:t>10 years</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vMerge w:val="restart"/>
          </w:tcPr>
          <w:p>
            <w:pPr>
              <w:ind w:left="180"/>
              <w:spacing w:after="0"/>
              <w:rPr>
                <w:sz w:val="20"/>
                <w:szCs w:val="20"/>
                <w:color w:val="auto"/>
              </w:rPr>
            </w:pPr>
            <w:r>
              <w:rPr>
                <w:rFonts w:ascii="Verdana" w:cs="Verdana" w:eastAsia="Verdana" w:hAnsi="Verdana"/>
                <w:sz w:val="10"/>
                <w:szCs w:val="10"/>
                <w:b w:val="1"/>
                <w:bCs w:val="1"/>
                <w:color w:val="auto"/>
              </w:rPr>
              <w:t>Fair</w:t>
            </w:r>
          </w:p>
        </w:tc>
        <w:tc>
          <w:tcPr>
            <w:tcW w:w="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rPr>
              <w:t>Weighted</w:t>
            </w:r>
          </w:p>
        </w:tc>
        <w:tc>
          <w:tcPr>
            <w:tcW w:w="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vMerge w:val="restart"/>
          </w:tcPr>
          <w:p>
            <w:pPr>
              <w:jc w:val="right"/>
              <w:ind w:right="377"/>
              <w:spacing w:after="0"/>
              <w:rPr>
                <w:sz w:val="20"/>
                <w:szCs w:val="20"/>
                <w:color w:val="auto"/>
              </w:rPr>
            </w:pPr>
            <w:r>
              <w:rPr>
                <w:rFonts w:ascii="Verdana" w:cs="Verdana" w:eastAsia="Verdana" w:hAnsi="Verdana"/>
                <w:sz w:val="10"/>
                <w:szCs w:val="10"/>
                <w:b w:val="1"/>
                <w:bCs w:val="1"/>
                <w:color w:val="auto"/>
              </w:rPr>
              <w:t>Fair</w:t>
            </w: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w w:val="96"/>
              </w:rPr>
              <w:t>Weighted</w:t>
            </w: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vMerge w:val="restart"/>
          </w:tcPr>
          <w:p>
            <w:pPr>
              <w:jc w:val="right"/>
              <w:ind w:right="377"/>
              <w:spacing w:after="0"/>
              <w:rPr>
                <w:sz w:val="20"/>
                <w:szCs w:val="20"/>
                <w:color w:val="auto"/>
              </w:rPr>
            </w:pPr>
            <w:r>
              <w:rPr>
                <w:rFonts w:ascii="Verdana" w:cs="Verdana" w:eastAsia="Verdana" w:hAnsi="Verdana"/>
                <w:sz w:val="10"/>
                <w:szCs w:val="10"/>
                <w:b w:val="1"/>
                <w:bCs w:val="1"/>
                <w:color w:val="auto"/>
              </w:rPr>
              <w:t>Fair</w:t>
            </w: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w w:val="96"/>
              </w:rPr>
              <w:t>Weighted</w:t>
            </w:r>
          </w:p>
        </w:tc>
        <w:tc>
          <w:tcPr>
            <w:tcW w:w="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3"/>
            <w:vMerge w:val="restart"/>
          </w:tcPr>
          <w:p>
            <w:pPr>
              <w:jc w:val="right"/>
              <w:ind w:right="660"/>
              <w:spacing w:after="0"/>
              <w:rPr>
                <w:sz w:val="20"/>
                <w:szCs w:val="20"/>
                <w:color w:val="auto"/>
              </w:rPr>
            </w:pPr>
            <w:r>
              <w:rPr>
                <w:rFonts w:ascii="Verdana" w:cs="Verdana" w:eastAsia="Verdana" w:hAnsi="Verdana"/>
                <w:sz w:val="10"/>
                <w:szCs w:val="10"/>
                <w:b w:val="1"/>
                <w:bCs w:val="1"/>
                <w:color w:val="auto"/>
              </w:rPr>
              <w:t>Fair</w:t>
            </w:r>
          </w:p>
        </w:tc>
        <w:tc>
          <w:tcPr>
            <w:tcW w:w="740" w:type="dxa"/>
            <w:vAlign w:val="bottom"/>
            <w:tcBorders>
              <w:top w:val="single" w:sz="8" w:color="auto"/>
            </w:tcBorders>
          </w:tcPr>
          <w:p>
            <w:pPr>
              <w:jc w:val="center"/>
              <w:ind w:right="56"/>
              <w:spacing w:after="0" w:line="92" w:lineRule="exact"/>
              <w:rPr>
                <w:sz w:val="20"/>
                <w:szCs w:val="20"/>
                <w:color w:val="auto"/>
              </w:rPr>
            </w:pPr>
            <w:r>
              <w:rPr>
                <w:rFonts w:ascii="Verdana" w:cs="Verdana" w:eastAsia="Verdana" w:hAnsi="Verdana"/>
                <w:sz w:val="10"/>
                <w:szCs w:val="10"/>
                <w:b w:val="1"/>
                <w:bCs w:val="1"/>
                <w:color w:val="auto"/>
              </w:rPr>
              <w:t>Weighted</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3"/>
          </w:tcPr>
          <w:p>
            <w:pPr>
              <w:jc w:val="center"/>
              <w:ind w:right="320"/>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3"/>
          </w:tcPr>
          <w:p>
            <w:pPr>
              <w:jc w:val="center"/>
              <w:ind w:right="320"/>
              <w:spacing w:after="0" w:line="96" w:lineRule="exact"/>
              <w:rPr>
                <w:sz w:val="20"/>
                <w:szCs w:val="20"/>
                <w:color w:val="auto"/>
              </w:rPr>
            </w:pPr>
            <w:r>
              <w:rPr>
                <w:rFonts w:ascii="Verdana" w:cs="Verdana" w:eastAsia="Verdana" w:hAnsi="Verdana"/>
                <w:sz w:val="10"/>
                <w:szCs w:val="10"/>
                <w:b w:val="1"/>
                <w:bCs w:val="1"/>
                <w:color w:val="auto"/>
                <w:w w:val="95"/>
              </w:rPr>
              <w:t>Average</w:t>
            </w: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80"/>
              <w:spacing w:after="0" w:line="96" w:lineRule="exact"/>
              <w:rPr>
                <w:sz w:val="20"/>
                <w:szCs w:val="20"/>
                <w:color w:val="auto"/>
              </w:rPr>
            </w:pPr>
            <w:r>
              <w:rPr>
                <w:rFonts w:ascii="Verdana" w:cs="Verdana" w:eastAsia="Verdana" w:hAnsi="Verdana"/>
                <w:sz w:val="10"/>
                <w:szCs w:val="10"/>
                <w:b w:val="1"/>
                <w:bCs w:val="1"/>
                <w:color w:val="auto"/>
                <w:w w:val="95"/>
              </w:rPr>
              <w:t>Average</w:t>
            </w:r>
          </w:p>
        </w:tc>
        <w:tc>
          <w:tcPr>
            <w:tcW w:w="2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740" w:type="dxa"/>
            <w:vAlign w:val="bottom"/>
          </w:tcPr>
          <w:p>
            <w:pPr>
              <w:jc w:val="center"/>
              <w:ind w:right="56"/>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36"/>
              <w:spacing w:after="0"/>
              <w:rPr>
                <w:sz w:val="20"/>
                <w:szCs w:val="20"/>
                <w:color w:val="auto"/>
              </w:rPr>
            </w:pPr>
            <w:r>
              <w:rPr>
                <w:rFonts w:ascii="Verdana" w:cs="Verdana" w:eastAsia="Verdana" w:hAnsi="Verdana"/>
                <w:sz w:val="10"/>
                <w:szCs w:val="10"/>
                <w:b w:val="1"/>
                <w:bCs w:val="1"/>
                <w:color w:val="auto"/>
              </w:rPr>
              <w:t>Value</w:t>
            </w:r>
          </w:p>
        </w:tc>
        <w:tc>
          <w:tcPr>
            <w:tcW w:w="60" w:type="dxa"/>
            <w:vAlign w:val="bottom"/>
          </w:tcPr>
          <w:p>
            <w:pPr>
              <w:spacing w:after="0"/>
              <w:rPr>
                <w:sz w:val="11"/>
                <w:szCs w:val="11"/>
                <w:color w:val="auto"/>
              </w:rPr>
            </w:pPr>
          </w:p>
        </w:tc>
        <w:tc>
          <w:tcPr>
            <w:tcW w:w="1180" w:type="dxa"/>
            <w:vAlign w:val="bottom"/>
            <w:gridSpan w:val="3"/>
          </w:tcPr>
          <w:p>
            <w:pPr>
              <w:jc w:val="center"/>
              <w:ind w:right="320"/>
              <w:spacing w:after="0"/>
              <w:rPr>
                <w:sz w:val="20"/>
                <w:szCs w:val="20"/>
                <w:color w:val="auto"/>
              </w:rPr>
            </w:pPr>
            <w:r>
              <w:rPr>
                <w:rFonts w:ascii="Verdana" w:cs="Verdana" w:eastAsia="Verdana" w:hAnsi="Verdana"/>
                <w:sz w:val="10"/>
                <w:szCs w:val="10"/>
                <w:b w:val="1"/>
                <w:bCs w:val="1"/>
                <w:color w:val="auto"/>
                <w:w w:val="92"/>
              </w:rPr>
              <w:t>Yield</w:t>
            </w:r>
          </w:p>
        </w:tc>
        <w:tc>
          <w:tcPr>
            <w:tcW w:w="840" w:type="dxa"/>
            <w:vAlign w:val="bottom"/>
          </w:tcPr>
          <w:p>
            <w:pPr>
              <w:jc w:val="right"/>
              <w:ind w:right="317"/>
              <w:spacing w:after="0"/>
              <w:rPr>
                <w:sz w:val="20"/>
                <w:szCs w:val="20"/>
                <w:color w:val="auto"/>
              </w:rPr>
            </w:pPr>
            <w:r>
              <w:rPr>
                <w:rFonts w:ascii="Verdana" w:cs="Verdana" w:eastAsia="Verdana" w:hAnsi="Verdana"/>
                <w:sz w:val="10"/>
                <w:szCs w:val="10"/>
                <w:b w:val="1"/>
                <w:bCs w:val="1"/>
                <w:color w:val="auto"/>
              </w:rPr>
              <w:t>Value</w:t>
            </w:r>
          </w:p>
        </w:tc>
        <w:tc>
          <w:tcPr>
            <w:tcW w:w="80" w:type="dxa"/>
            <w:vAlign w:val="bottom"/>
          </w:tcPr>
          <w:p>
            <w:pPr>
              <w:spacing w:after="0"/>
              <w:rPr>
                <w:sz w:val="11"/>
                <w:szCs w:val="11"/>
                <w:color w:val="auto"/>
              </w:rPr>
            </w:pPr>
          </w:p>
        </w:tc>
        <w:tc>
          <w:tcPr>
            <w:tcW w:w="1160" w:type="dxa"/>
            <w:vAlign w:val="bottom"/>
            <w:gridSpan w:val="3"/>
          </w:tcPr>
          <w:p>
            <w:pPr>
              <w:jc w:val="center"/>
              <w:ind w:right="320"/>
              <w:spacing w:after="0"/>
              <w:rPr>
                <w:sz w:val="20"/>
                <w:szCs w:val="20"/>
                <w:color w:val="auto"/>
              </w:rPr>
            </w:pPr>
            <w:r>
              <w:rPr>
                <w:rFonts w:ascii="Verdana" w:cs="Verdana" w:eastAsia="Verdana" w:hAnsi="Verdana"/>
                <w:sz w:val="10"/>
                <w:szCs w:val="10"/>
                <w:b w:val="1"/>
                <w:bCs w:val="1"/>
                <w:color w:val="auto"/>
              </w:rPr>
              <w:t>Yield</w:t>
            </w:r>
          </w:p>
        </w:tc>
        <w:tc>
          <w:tcPr>
            <w:tcW w:w="860" w:type="dxa"/>
            <w:vAlign w:val="bottom"/>
          </w:tcPr>
          <w:p>
            <w:pPr>
              <w:jc w:val="right"/>
              <w:ind w:right="337"/>
              <w:spacing w:after="0"/>
              <w:rPr>
                <w:sz w:val="20"/>
                <w:szCs w:val="20"/>
                <w:color w:val="auto"/>
              </w:rPr>
            </w:pPr>
            <w:r>
              <w:rPr>
                <w:rFonts w:ascii="Verdana" w:cs="Verdana" w:eastAsia="Verdana" w:hAnsi="Verdana"/>
                <w:sz w:val="10"/>
                <w:szCs w:val="10"/>
                <w:b w:val="1"/>
                <w:bCs w:val="1"/>
                <w:color w:val="auto"/>
              </w:rPr>
              <w:t>Value</w:t>
            </w:r>
          </w:p>
        </w:tc>
        <w:tc>
          <w:tcPr>
            <w:tcW w:w="80" w:type="dxa"/>
            <w:vAlign w:val="bottom"/>
          </w:tcPr>
          <w:p>
            <w:pPr>
              <w:spacing w:after="0"/>
              <w:rPr>
                <w:sz w:val="11"/>
                <w:szCs w:val="11"/>
                <w:color w:val="auto"/>
              </w:rPr>
            </w:pPr>
          </w:p>
        </w:tc>
        <w:tc>
          <w:tcPr>
            <w:tcW w:w="92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Yield</w:t>
            </w:r>
          </w:p>
        </w:tc>
        <w:tc>
          <w:tcPr>
            <w:tcW w:w="220" w:type="dxa"/>
            <w:vAlign w:val="bottom"/>
          </w:tcPr>
          <w:p>
            <w:pPr>
              <w:spacing w:after="0"/>
              <w:rPr>
                <w:sz w:val="11"/>
                <w:szCs w:val="11"/>
                <w:color w:val="auto"/>
              </w:rPr>
            </w:pPr>
          </w:p>
        </w:tc>
        <w:tc>
          <w:tcPr>
            <w:tcW w:w="1100" w:type="dxa"/>
            <w:vAlign w:val="bottom"/>
            <w:gridSpan w:val="3"/>
          </w:tcPr>
          <w:p>
            <w:pPr>
              <w:jc w:val="right"/>
              <w:ind w:right="600"/>
              <w:spacing w:after="0"/>
              <w:rPr>
                <w:sz w:val="20"/>
                <w:szCs w:val="20"/>
                <w:color w:val="auto"/>
              </w:rPr>
            </w:pPr>
            <w:r>
              <w:rPr>
                <w:rFonts w:ascii="Verdana" w:cs="Verdana" w:eastAsia="Verdana" w:hAnsi="Verdana"/>
                <w:sz w:val="10"/>
                <w:szCs w:val="10"/>
                <w:b w:val="1"/>
                <w:bCs w:val="1"/>
                <w:color w:val="auto"/>
              </w:rPr>
              <w:t>Value</w:t>
            </w:r>
          </w:p>
        </w:tc>
        <w:tc>
          <w:tcPr>
            <w:tcW w:w="740" w:type="dxa"/>
            <w:vAlign w:val="bottom"/>
          </w:tcPr>
          <w:p>
            <w:pPr>
              <w:jc w:val="center"/>
              <w:ind w:right="56"/>
              <w:spacing w:after="0"/>
              <w:rPr>
                <w:sz w:val="20"/>
                <w:szCs w:val="20"/>
                <w:color w:val="auto"/>
              </w:rPr>
            </w:pPr>
            <w:r>
              <w:rPr>
                <w:rFonts w:ascii="Verdana" w:cs="Verdana" w:eastAsia="Verdana" w:hAnsi="Verdana"/>
                <w:sz w:val="10"/>
                <w:szCs w:val="10"/>
                <w:b w:val="1"/>
                <w:bCs w:val="1"/>
                <w:color w:val="auto"/>
                <w:w w:val="92"/>
              </w:rPr>
              <w:t>Yield</w:t>
            </w:r>
          </w:p>
        </w:tc>
        <w:tc>
          <w:tcPr>
            <w:tcW w:w="0" w:type="dxa"/>
            <w:vAlign w:val="bottom"/>
          </w:tcPr>
          <w:p>
            <w:pPr>
              <w:spacing w:after="0"/>
              <w:rPr>
                <w:sz w:val="1"/>
                <w:szCs w:val="1"/>
                <w:color w:val="auto"/>
              </w:rPr>
            </w:pPr>
          </w:p>
        </w:tc>
      </w:tr>
      <w:tr>
        <w:trPr>
          <w:trHeight w:val="197"/>
        </w:trPr>
        <w:tc>
          <w:tcPr>
            <w:tcW w:w="2940" w:type="dxa"/>
            <w:vAlign w:val="bottom"/>
            <w:tcBorders>
              <w:top w:val="single" w:sz="8" w:color="E0E7ED"/>
            </w:tcBorders>
            <w:shd w:val="clear" w:color="auto" w:fill="E0E7ED"/>
          </w:tcPr>
          <w:p>
            <w:pPr>
              <w:ind w:left="20"/>
              <w:spacing w:after="0" w:line="197" w:lineRule="exact"/>
              <w:rPr>
                <w:sz w:val="20"/>
                <w:szCs w:val="20"/>
                <w:color w:val="auto"/>
              </w:rPr>
            </w:pPr>
            <w:r>
              <w:rPr>
                <w:rFonts w:ascii="Verdana" w:cs="Verdana" w:eastAsia="Verdana" w:hAnsi="Verdana"/>
                <w:sz w:val="14"/>
                <w:szCs w:val="14"/>
                <w:b w:val="1"/>
                <w:bCs w:val="1"/>
                <w:color w:val="auto"/>
              </w:rPr>
              <w:t>Debt securities available for sale</w:t>
            </w:r>
            <w:r>
              <w:rPr>
                <w:rFonts w:ascii="Verdana" w:cs="Verdana" w:eastAsia="Verdana" w:hAnsi="Verdana"/>
                <w:sz w:val="18"/>
                <w:szCs w:val="18"/>
                <w:b w:val="1"/>
                <w:bCs w:val="1"/>
                <w:color w:val="auto"/>
                <w:vertAlign w:val="superscript"/>
              </w:rPr>
              <w:t>1</w:t>
            </w:r>
          </w:p>
        </w:tc>
        <w:tc>
          <w:tcPr>
            <w:tcW w:w="260" w:type="dxa"/>
            <w:vAlign w:val="bottom"/>
            <w:tcBorders>
              <w:top w:val="single" w:sz="8" w:color="auto"/>
            </w:tcBorders>
            <w:shd w:val="clear" w:color="auto" w:fill="E0E7ED"/>
          </w:tcPr>
          <w:p>
            <w:pPr>
              <w:spacing w:after="0"/>
              <w:rPr>
                <w:sz w:val="17"/>
                <w:szCs w:val="17"/>
                <w:color w:val="auto"/>
              </w:rPr>
            </w:pPr>
          </w:p>
        </w:tc>
        <w:tc>
          <w:tcPr>
            <w:tcW w:w="8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8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8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8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8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8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20" w:type="dxa"/>
            <w:vAlign w:val="bottom"/>
            <w:tcBorders>
              <w:top w:val="single" w:sz="8" w:color="auto"/>
            </w:tcBorders>
            <w:shd w:val="clear" w:color="auto" w:fill="E0E7ED"/>
          </w:tcPr>
          <w:p>
            <w:pPr>
              <w:spacing w:after="0"/>
              <w:rPr>
                <w:sz w:val="17"/>
                <w:szCs w:val="17"/>
                <w:color w:val="auto"/>
              </w:rPr>
            </w:pPr>
          </w:p>
        </w:tc>
        <w:tc>
          <w:tcPr>
            <w:tcW w:w="7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40" w:type="dxa"/>
            <w:vAlign w:val="bottom"/>
          </w:tcPr>
          <w:p>
            <w:pPr>
              <w:ind w:left="140"/>
              <w:spacing w:after="0"/>
              <w:rPr>
                <w:sz w:val="20"/>
                <w:szCs w:val="20"/>
                <w:color w:val="auto"/>
              </w:rPr>
            </w:pPr>
            <w:r>
              <w:rPr>
                <w:rFonts w:ascii="Verdana" w:cs="Verdana" w:eastAsia="Verdana" w:hAnsi="Verdana"/>
                <w:sz w:val="14"/>
                <w:szCs w:val="14"/>
                <w:color w:val="auto"/>
              </w:rPr>
              <w:t>Obligations of U.S. government</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40" w:type="dxa"/>
            <w:vAlign w:val="bottom"/>
          </w:tcPr>
          <w:p>
            <w:pPr>
              <w:ind w:left="140"/>
              <w:spacing w:after="0"/>
              <w:rPr>
                <w:sz w:val="20"/>
                <w:szCs w:val="20"/>
                <w:color w:val="auto"/>
              </w:rPr>
            </w:pPr>
            <w:r>
              <w:rPr>
                <w:rFonts w:ascii="Verdana" w:cs="Verdana" w:eastAsia="Verdana" w:hAnsi="Verdana"/>
                <w:sz w:val="14"/>
                <w:szCs w:val="14"/>
                <w:color w:val="auto"/>
              </w:rPr>
              <w:t>corporations and agencies</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840" w:type="dxa"/>
            <w:vAlign w:val="bottom"/>
          </w:tcPr>
          <w:p>
            <w:pPr>
              <w:jc w:val="right"/>
              <w:ind w:right="16"/>
              <w:spacing w:after="0"/>
              <w:rPr>
                <w:sz w:val="20"/>
                <w:szCs w:val="20"/>
                <w:color w:val="auto"/>
              </w:rPr>
            </w:pPr>
            <w:r>
              <w:rPr>
                <w:rFonts w:ascii="Verdana" w:cs="Verdana" w:eastAsia="Verdana" w:hAnsi="Verdana"/>
                <w:sz w:val="14"/>
                <w:szCs w:val="14"/>
                <w:color w:val="auto"/>
              </w:rPr>
              <w:t>160</w:t>
            </w:r>
          </w:p>
        </w:tc>
        <w:tc>
          <w:tcPr>
            <w:tcW w:w="124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2.65 % $</w:t>
            </w:r>
          </w:p>
        </w:tc>
        <w:tc>
          <w:tcPr>
            <w:tcW w:w="840" w:type="dxa"/>
            <w:vAlign w:val="bottom"/>
          </w:tcPr>
          <w:p>
            <w:pPr>
              <w:jc w:val="right"/>
              <w:spacing w:after="0"/>
              <w:rPr>
                <w:sz w:val="20"/>
                <w:szCs w:val="20"/>
                <w:color w:val="auto"/>
              </w:rPr>
            </w:pPr>
            <w:r>
              <w:rPr>
                <w:rFonts w:ascii="Verdana" w:cs="Verdana" w:eastAsia="Verdana" w:hAnsi="Verdana"/>
                <w:sz w:val="14"/>
                <w:szCs w:val="14"/>
                <w:color w:val="auto"/>
              </w:rPr>
              <w:t>1,240</w:t>
            </w:r>
          </w:p>
        </w:tc>
        <w:tc>
          <w:tcPr>
            <w:tcW w:w="1240" w:type="dxa"/>
            <w:vAlign w:val="bottom"/>
            <w:gridSpan w:val="4"/>
          </w:tcPr>
          <w:p>
            <w:pPr>
              <w:ind w:left="380"/>
              <w:spacing w:after="0"/>
              <w:rPr>
                <w:sz w:val="20"/>
                <w:szCs w:val="20"/>
                <w:color w:val="auto"/>
              </w:rPr>
            </w:pPr>
            <w:r>
              <w:rPr>
                <w:rFonts w:ascii="Verdana" w:cs="Verdana" w:eastAsia="Verdana" w:hAnsi="Verdana"/>
                <w:sz w:val="14"/>
                <w:szCs w:val="14"/>
                <w:color w:val="auto"/>
              </w:rPr>
              <w:t>5.03 % $</w:t>
            </w:r>
          </w:p>
        </w:tc>
        <w:tc>
          <w:tcPr>
            <w:tcW w:w="860" w:type="dxa"/>
            <w:vAlign w:val="bottom"/>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Verdana" w:cs="Verdana" w:eastAsia="Verdana" w:hAnsi="Verdana"/>
                <w:sz w:val="14"/>
                <w:szCs w:val="14"/>
                <w:color w:val="auto"/>
              </w:rPr>
              <w:t>—</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100" w:type="dxa"/>
            <w:vAlign w:val="bottom"/>
            <w:gridSpan w:val="3"/>
          </w:tcPr>
          <w:p>
            <w:pPr>
              <w:jc w:val="right"/>
              <w:ind w:right="260"/>
              <w:spacing w:after="0"/>
              <w:rPr>
                <w:sz w:val="20"/>
                <w:szCs w:val="20"/>
                <w:color w:val="auto"/>
              </w:rPr>
            </w:pPr>
            <w:r>
              <w:rPr>
                <w:rFonts w:ascii="Verdana" w:cs="Verdana" w:eastAsia="Verdana" w:hAnsi="Verdana"/>
                <w:sz w:val="14"/>
                <w:szCs w:val="14"/>
                <w:color w:val="auto"/>
              </w:rPr>
              <w:t>—</w:t>
            </w:r>
          </w:p>
        </w:tc>
        <w:tc>
          <w:tcPr>
            <w:tcW w:w="740" w:type="dxa"/>
            <w:vAlign w:val="bottom"/>
          </w:tcPr>
          <w:p>
            <w:pPr>
              <w:jc w:val="right"/>
              <w:ind w:right="156"/>
              <w:spacing w:after="0"/>
              <w:rPr>
                <w:sz w:val="20"/>
                <w:szCs w:val="20"/>
                <w:color w:val="auto"/>
              </w:rPr>
            </w:pPr>
            <w:r>
              <w:rPr>
                <w:rFonts w:ascii="Verdana" w:cs="Verdana" w:eastAsia="Verdana" w:hAnsi="Verdana"/>
                <w:sz w:val="14"/>
                <w:szCs w:val="14"/>
                <w:color w:val="auto"/>
              </w:rPr>
              <w:t>—</w:t>
            </w:r>
          </w:p>
        </w:tc>
        <w:tc>
          <w:tcPr>
            <w:tcW w:w="0" w:type="dxa"/>
            <w:vAlign w:val="bottom"/>
          </w:tcPr>
          <w:p>
            <w:pPr>
              <w:spacing w:after="0"/>
              <w:rPr>
                <w:sz w:val="1"/>
                <w:szCs w:val="1"/>
                <w:color w:val="auto"/>
              </w:rPr>
            </w:pPr>
          </w:p>
        </w:tc>
      </w:tr>
      <w:tr>
        <w:trPr>
          <w:trHeight w:val="195"/>
        </w:trPr>
        <w:tc>
          <w:tcPr>
            <w:tcW w:w="2940" w:type="dxa"/>
            <w:vAlign w:val="bottom"/>
          </w:tcPr>
          <w:p>
            <w:pPr>
              <w:ind w:left="140"/>
              <w:spacing w:after="0"/>
              <w:rPr>
                <w:sz w:val="20"/>
                <w:szCs w:val="20"/>
                <w:color w:val="auto"/>
              </w:rPr>
            </w:pPr>
            <w:r>
              <w:rPr>
                <w:rFonts w:ascii="Verdana" w:cs="Verdana" w:eastAsia="Verdana" w:hAnsi="Verdana"/>
                <w:sz w:val="14"/>
                <w:szCs w:val="14"/>
                <w:color w:val="auto"/>
              </w:rPr>
              <w:t>Obligations of states and political</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40" w:type="dxa"/>
            <w:vAlign w:val="bottom"/>
          </w:tcPr>
          <w:p>
            <w:pPr>
              <w:ind w:left="140"/>
              <w:spacing w:after="0" w:line="198" w:lineRule="exact"/>
              <w:rPr>
                <w:sz w:val="20"/>
                <w:szCs w:val="20"/>
                <w:color w:val="auto"/>
              </w:rPr>
            </w:pPr>
            <w:r>
              <w:rPr>
                <w:rFonts w:ascii="Verdana" w:cs="Verdana" w:eastAsia="Verdana" w:hAnsi="Verdana"/>
                <w:sz w:val="14"/>
                <w:szCs w:val="14"/>
                <w:color w:val="auto"/>
              </w:rPr>
              <w:t>subdivisions</w:t>
            </w:r>
            <w:r>
              <w:rPr>
                <w:rFonts w:ascii="Verdana" w:cs="Verdana" w:eastAsia="Verdana" w:hAnsi="Verdana"/>
                <w:sz w:val="18"/>
                <w:szCs w:val="18"/>
                <w:color w:val="auto"/>
                <w:vertAlign w:val="superscript"/>
              </w:rPr>
              <w:t>2</w:t>
            </w:r>
          </w:p>
        </w:tc>
        <w:tc>
          <w:tcPr>
            <w:tcW w:w="260" w:type="dxa"/>
            <w:vAlign w:val="bottom"/>
          </w:tcPr>
          <w:p>
            <w:pPr>
              <w:spacing w:after="0"/>
              <w:rPr>
                <w:sz w:val="17"/>
                <w:szCs w:val="17"/>
                <w:color w:val="auto"/>
              </w:rPr>
            </w:pPr>
          </w:p>
        </w:tc>
        <w:tc>
          <w:tcPr>
            <w:tcW w:w="840" w:type="dxa"/>
            <w:vAlign w:val="bottom"/>
          </w:tcPr>
          <w:p>
            <w:pPr>
              <w:jc w:val="right"/>
              <w:ind w:right="16"/>
              <w:spacing w:after="0"/>
              <w:rPr>
                <w:sz w:val="20"/>
                <w:szCs w:val="20"/>
                <w:color w:val="auto"/>
              </w:rPr>
            </w:pPr>
            <w:r>
              <w:rPr>
                <w:rFonts w:ascii="Verdana" w:cs="Verdana" w:eastAsia="Verdana" w:hAnsi="Verdana"/>
                <w:sz w:val="14"/>
                <w:szCs w:val="14"/>
                <w:color w:val="auto"/>
              </w:rPr>
              <w:t>12,341</w:t>
            </w:r>
          </w:p>
        </w:tc>
        <w:tc>
          <w:tcPr>
            <w:tcW w:w="920" w:type="dxa"/>
            <w:vAlign w:val="bottom"/>
            <w:gridSpan w:val="2"/>
          </w:tcPr>
          <w:p>
            <w:pPr>
              <w:jc w:val="right"/>
              <w:spacing w:after="0"/>
              <w:rPr>
                <w:sz w:val="20"/>
                <w:szCs w:val="20"/>
                <w:color w:val="auto"/>
              </w:rPr>
            </w:pPr>
            <w:r>
              <w:rPr>
                <w:rFonts w:ascii="Verdana" w:cs="Verdana" w:eastAsia="Verdana" w:hAnsi="Verdana"/>
                <w:sz w:val="14"/>
                <w:szCs w:val="14"/>
                <w:color w:val="auto"/>
              </w:rPr>
              <w:t>3.49 %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Verdana" w:cs="Verdana" w:eastAsia="Verdana" w:hAnsi="Verdana"/>
                <w:sz w:val="14"/>
                <w:szCs w:val="14"/>
                <w:color w:val="auto"/>
              </w:rPr>
              <w:t>40,593</w:t>
            </w:r>
          </w:p>
        </w:tc>
        <w:tc>
          <w:tcPr>
            <w:tcW w:w="920" w:type="dxa"/>
            <w:vAlign w:val="bottom"/>
            <w:gridSpan w:val="2"/>
          </w:tcPr>
          <w:p>
            <w:pPr>
              <w:ind w:left="380"/>
              <w:spacing w:after="0"/>
              <w:rPr>
                <w:sz w:val="20"/>
                <w:szCs w:val="20"/>
                <w:color w:val="auto"/>
              </w:rPr>
            </w:pPr>
            <w:r>
              <w:rPr>
                <w:rFonts w:ascii="Verdana" w:cs="Verdana" w:eastAsia="Verdana" w:hAnsi="Verdana"/>
                <w:sz w:val="14"/>
                <w:szCs w:val="14"/>
                <w:color w:val="auto"/>
              </w:rPr>
              <w:t>2.42 %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Verdana" w:cs="Verdana" w:eastAsia="Verdana" w:hAnsi="Verdana"/>
                <w:sz w:val="14"/>
                <w:szCs w:val="14"/>
                <w:color w:val="auto"/>
              </w:rPr>
              <w:t>72,066</w:t>
            </w:r>
          </w:p>
        </w:tc>
        <w:tc>
          <w:tcPr>
            <w:tcW w:w="940" w:type="dxa"/>
            <w:vAlign w:val="bottom"/>
            <w:gridSpan w:val="2"/>
          </w:tcPr>
          <w:p>
            <w:pPr>
              <w:jc w:val="right"/>
              <w:spacing w:after="0"/>
              <w:rPr>
                <w:sz w:val="20"/>
                <w:szCs w:val="20"/>
                <w:color w:val="auto"/>
              </w:rPr>
            </w:pPr>
            <w:r>
              <w:rPr>
                <w:rFonts w:ascii="Verdana" w:cs="Verdana" w:eastAsia="Verdana" w:hAnsi="Verdana"/>
                <w:sz w:val="14"/>
                <w:szCs w:val="14"/>
                <w:color w:val="auto"/>
              </w:rPr>
              <w:t>2.47 %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14,829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Verdana" w:cs="Verdana" w:eastAsia="Verdana" w:hAnsi="Verdana"/>
                <w:sz w:val="14"/>
                <w:szCs w:val="14"/>
                <w:color w:val="auto"/>
              </w:rPr>
              <w:t>2.76 %</w:t>
            </w:r>
          </w:p>
        </w:tc>
        <w:tc>
          <w:tcPr>
            <w:tcW w:w="0" w:type="dxa"/>
            <w:vAlign w:val="bottom"/>
          </w:tcPr>
          <w:p>
            <w:pPr>
              <w:spacing w:after="0"/>
              <w:rPr>
                <w:sz w:val="1"/>
                <w:szCs w:val="1"/>
                <w:color w:val="auto"/>
              </w:rPr>
            </w:pPr>
          </w:p>
        </w:tc>
      </w:tr>
      <w:tr>
        <w:trPr>
          <w:trHeight w:val="212"/>
        </w:trPr>
        <w:tc>
          <w:tcPr>
            <w:tcW w:w="29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Asset-backed securities</w:t>
            </w:r>
          </w:p>
        </w:tc>
        <w:tc>
          <w:tcPr>
            <w:tcW w:w="260" w:type="dxa"/>
            <w:vAlign w:val="bottom"/>
            <w:shd w:val="clear" w:color="auto" w:fill="E0E7ED"/>
          </w:tcPr>
          <w:p>
            <w:pPr>
              <w:spacing w:after="0"/>
              <w:rPr>
                <w:sz w:val="18"/>
                <w:szCs w:val="18"/>
                <w:color w:val="auto"/>
              </w:rPr>
            </w:pPr>
          </w:p>
        </w:tc>
        <w:tc>
          <w:tcPr>
            <w:tcW w:w="84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1180" w:type="dxa"/>
            <w:vAlign w:val="bottom"/>
            <w:gridSpan w:val="3"/>
            <w:shd w:val="clear" w:color="auto" w:fill="E0E7ED"/>
          </w:tcPr>
          <w:p>
            <w:pPr>
              <w:jc w:val="right"/>
              <w:ind w:right="540"/>
              <w:spacing w:after="0"/>
              <w:rPr>
                <w:sz w:val="20"/>
                <w:szCs w:val="20"/>
                <w:color w:val="auto"/>
              </w:rPr>
            </w:pPr>
            <w:r>
              <w:rPr>
                <w:rFonts w:ascii="Verdana" w:cs="Verdana" w:eastAsia="Verdana" w:hAnsi="Verdana"/>
                <w:sz w:val="14"/>
                <w:szCs w:val="14"/>
                <w:color w:val="auto"/>
              </w:rPr>
              <w:t>—</w:t>
            </w:r>
          </w:p>
        </w:tc>
        <w:tc>
          <w:tcPr>
            <w:tcW w:w="8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473</w:t>
            </w:r>
          </w:p>
        </w:tc>
        <w:tc>
          <w:tcPr>
            <w:tcW w:w="920" w:type="dxa"/>
            <w:vAlign w:val="bottom"/>
            <w:gridSpan w:val="2"/>
            <w:shd w:val="clear" w:color="auto" w:fill="E0E7ED"/>
          </w:tcPr>
          <w:p>
            <w:pPr>
              <w:ind w:left="380"/>
              <w:spacing w:after="0"/>
              <w:rPr>
                <w:sz w:val="20"/>
                <w:szCs w:val="20"/>
                <w:color w:val="auto"/>
              </w:rPr>
            </w:pPr>
            <w:r>
              <w:rPr>
                <w:rFonts w:ascii="Verdana" w:cs="Verdana" w:eastAsia="Verdana" w:hAnsi="Verdana"/>
                <w:sz w:val="14"/>
                <w:szCs w:val="14"/>
                <w:color w:val="auto"/>
              </w:rPr>
              <w:t>5.95 %</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304,995</w:t>
            </w:r>
          </w:p>
        </w:tc>
        <w:tc>
          <w:tcPr>
            <w:tcW w:w="94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6.15 %</w:t>
            </w:r>
          </w:p>
        </w:tc>
        <w:tc>
          <w:tcPr>
            <w:tcW w:w="6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31,089</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7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6.11 %</w:t>
            </w:r>
          </w:p>
        </w:tc>
        <w:tc>
          <w:tcPr>
            <w:tcW w:w="0" w:type="dxa"/>
            <w:vAlign w:val="bottom"/>
          </w:tcPr>
          <w:p>
            <w:pPr>
              <w:spacing w:after="0"/>
              <w:rPr>
                <w:sz w:val="1"/>
                <w:szCs w:val="1"/>
                <w:color w:val="auto"/>
              </w:rPr>
            </w:pPr>
          </w:p>
        </w:tc>
      </w:tr>
      <w:tr>
        <w:trPr>
          <w:trHeight w:val="187"/>
        </w:trPr>
        <w:tc>
          <w:tcPr>
            <w:tcW w:w="2940" w:type="dxa"/>
            <w:vAlign w:val="bottom"/>
          </w:tcPr>
          <w:p>
            <w:pPr>
              <w:ind w:left="140"/>
              <w:spacing w:after="0"/>
              <w:rPr>
                <w:sz w:val="20"/>
                <w:szCs w:val="20"/>
                <w:color w:val="auto"/>
              </w:rPr>
            </w:pPr>
            <w:r>
              <w:rPr>
                <w:rFonts w:ascii="Verdana" w:cs="Verdana" w:eastAsia="Verdana" w:hAnsi="Verdana"/>
                <w:sz w:val="14"/>
                <w:szCs w:val="14"/>
                <w:color w:val="auto"/>
              </w:rPr>
              <w:t>Commercial mortgage-backed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140"/>
              <w:spacing w:after="0"/>
              <w:rPr>
                <w:sz w:val="20"/>
                <w:szCs w:val="20"/>
                <w:color w:val="auto"/>
              </w:rPr>
            </w:pPr>
            <w:r>
              <w:rPr>
                <w:rFonts w:ascii="Verdana" w:cs="Verdana" w:eastAsia="Verdana" w:hAnsi="Verdana"/>
                <w:sz w:val="14"/>
                <w:szCs w:val="14"/>
                <w:color w:val="auto"/>
              </w:rPr>
              <w:t>securities</w:t>
            </w:r>
          </w:p>
        </w:tc>
        <w:tc>
          <w:tcPr>
            <w:tcW w:w="260" w:type="dxa"/>
            <w:vAlign w:val="bottom"/>
          </w:tcPr>
          <w:p>
            <w:pPr>
              <w:spacing w:after="0"/>
              <w:rPr>
                <w:sz w:val="16"/>
                <w:szCs w:val="16"/>
                <w:color w:val="auto"/>
              </w:rPr>
            </w:pPr>
          </w:p>
        </w:tc>
        <w:tc>
          <w:tcPr>
            <w:tcW w:w="840" w:type="dxa"/>
            <w:vAlign w:val="bottom"/>
          </w:tcPr>
          <w:p>
            <w:pPr>
              <w:jc w:val="right"/>
              <w:ind w:right="16"/>
              <w:spacing w:after="0"/>
              <w:rPr>
                <w:sz w:val="20"/>
                <w:szCs w:val="20"/>
                <w:color w:val="auto"/>
              </w:rPr>
            </w:pPr>
            <w:r>
              <w:rPr>
                <w:rFonts w:ascii="Verdana" w:cs="Verdana" w:eastAsia="Verdana" w:hAnsi="Verdana"/>
                <w:sz w:val="14"/>
                <w:szCs w:val="14"/>
                <w:color w:val="auto"/>
              </w:rPr>
              <w:t>5,966</w:t>
            </w:r>
          </w:p>
        </w:tc>
        <w:tc>
          <w:tcPr>
            <w:tcW w:w="920" w:type="dxa"/>
            <w:vAlign w:val="bottom"/>
            <w:gridSpan w:val="2"/>
          </w:tcPr>
          <w:p>
            <w:pPr>
              <w:jc w:val="right"/>
              <w:spacing w:after="0"/>
              <w:rPr>
                <w:sz w:val="20"/>
                <w:szCs w:val="20"/>
                <w:color w:val="auto"/>
              </w:rPr>
            </w:pPr>
            <w:r>
              <w:rPr>
                <w:rFonts w:ascii="Verdana" w:cs="Verdana" w:eastAsia="Verdana" w:hAnsi="Verdana"/>
                <w:sz w:val="14"/>
                <w:szCs w:val="14"/>
                <w:color w:val="auto"/>
              </w:rPr>
              <w:t>2.87 %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Verdana" w:cs="Verdana" w:eastAsia="Verdana" w:hAnsi="Verdana"/>
                <w:sz w:val="14"/>
                <w:szCs w:val="14"/>
                <w:color w:val="auto"/>
              </w:rPr>
              <w:t>4,233</w:t>
            </w:r>
          </w:p>
        </w:tc>
        <w:tc>
          <w:tcPr>
            <w:tcW w:w="920" w:type="dxa"/>
            <w:vAlign w:val="bottom"/>
            <w:gridSpan w:val="2"/>
          </w:tcPr>
          <w:p>
            <w:pPr>
              <w:ind w:left="380"/>
              <w:spacing w:after="0"/>
              <w:rPr>
                <w:sz w:val="20"/>
                <w:szCs w:val="20"/>
                <w:color w:val="auto"/>
              </w:rPr>
            </w:pPr>
            <w:r>
              <w:rPr>
                <w:rFonts w:ascii="Verdana" w:cs="Verdana" w:eastAsia="Verdana" w:hAnsi="Verdana"/>
                <w:sz w:val="14"/>
                <w:szCs w:val="14"/>
                <w:color w:val="auto"/>
              </w:rPr>
              <w:t>2.92 %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Verdana" w:cs="Verdana" w:eastAsia="Verdana" w:hAnsi="Verdana"/>
                <w:sz w:val="14"/>
                <w:szCs w:val="14"/>
                <w:color w:val="auto"/>
              </w:rPr>
              <w:t>34,094</w:t>
            </w:r>
          </w:p>
        </w:tc>
        <w:tc>
          <w:tcPr>
            <w:tcW w:w="940" w:type="dxa"/>
            <w:vAlign w:val="bottom"/>
            <w:gridSpan w:val="2"/>
          </w:tcPr>
          <w:p>
            <w:pPr>
              <w:jc w:val="right"/>
              <w:spacing w:after="0"/>
              <w:rPr>
                <w:sz w:val="20"/>
                <w:szCs w:val="20"/>
                <w:color w:val="auto"/>
              </w:rPr>
            </w:pPr>
            <w:r>
              <w:rPr>
                <w:rFonts w:ascii="Verdana" w:cs="Verdana" w:eastAsia="Verdana" w:hAnsi="Verdana"/>
                <w:sz w:val="14"/>
                <w:szCs w:val="14"/>
                <w:color w:val="auto"/>
              </w:rPr>
              <w:t>2.34 %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47,881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Verdana" w:cs="Verdana" w:eastAsia="Verdana" w:hAnsi="Verdana"/>
                <w:sz w:val="14"/>
                <w:szCs w:val="14"/>
                <w:color w:val="auto"/>
              </w:rPr>
              <w:t>2.44 %</w:t>
            </w:r>
          </w:p>
        </w:tc>
        <w:tc>
          <w:tcPr>
            <w:tcW w:w="0" w:type="dxa"/>
            <w:vAlign w:val="bottom"/>
          </w:tcPr>
          <w:p>
            <w:pPr>
              <w:spacing w:after="0"/>
              <w:rPr>
                <w:sz w:val="1"/>
                <w:szCs w:val="1"/>
                <w:color w:val="auto"/>
              </w:rPr>
            </w:pPr>
          </w:p>
        </w:tc>
      </w:tr>
      <w:tr>
        <w:trPr>
          <w:trHeight w:val="192"/>
        </w:trPr>
        <w:tc>
          <w:tcPr>
            <w:tcW w:w="29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w:t>
            </w:r>
          </w:p>
        </w:tc>
        <w:tc>
          <w:tcPr>
            <w:tcW w:w="260" w:type="dxa"/>
            <w:vAlign w:val="bottom"/>
            <w:shd w:val="clear" w:color="auto" w:fill="E0E7ED"/>
          </w:tcPr>
          <w:p>
            <w:pPr>
              <w:spacing w:after="0"/>
              <w:rPr>
                <w:sz w:val="16"/>
                <w:szCs w:val="16"/>
                <w:color w:val="auto"/>
              </w:rPr>
            </w:pPr>
          </w:p>
        </w:tc>
        <w:tc>
          <w:tcPr>
            <w:tcW w:w="8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86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8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8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86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7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securities</w:t>
            </w:r>
          </w:p>
        </w:tc>
        <w:tc>
          <w:tcPr>
            <w:tcW w:w="260" w:type="dxa"/>
            <w:vAlign w:val="bottom"/>
            <w:shd w:val="clear" w:color="auto" w:fill="E0E7ED"/>
          </w:tcPr>
          <w:p>
            <w:pPr>
              <w:spacing w:after="0"/>
              <w:rPr>
                <w:sz w:val="16"/>
                <w:szCs w:val="16"/>
                <w:color w:val="auto"/>
              </w:rPr>
            </w:pPr>
          </w:p>
        </w:tc>
        <w:tc>
          <w:tcPr>
            <w:tcW w:w="84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222</w:t>
            </w:r>
          </w:p>
        </w:tc>
        <w:tc>
          <w:tcPr>
            <w:tcW w:w="9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2.89 %</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6,621</w:t>
            </w:r>
          </w:p>
        </w:tc>
        <w:tc>
          <w:tcPr>
            <w:tcW w:w="920" w:type="dxa"/>
            <w:vAlign w:val="bottom"/>
            <w:gridSpan w:val="2"/>
            <w:shd w:val="clear" w:color="auto" w:fill="E0E7ED"/>
          </w:tcPr>
          <w:p>
            <w:pPr>
              <w:ind w:left="380"/>
              <w:spacing w:after="0"/>
              <w:rPr>
                <w:sz w:val="20"/>
                <w:szCs w:val="20"/>
                <w:color w:val="auto"/>
              </w:rPr>
            </w:pPr>
            <w:r>
              <w:rPr>
                <w:rFonts w:ascii="Verdana" w:cs="Verdana" w:eastAsia="Verdana" w:hAnsi="Verdana"/>
                <w:sz w:val="14"/>
                <w:szCs w:val="14"/>
                <w:color w:val="auto"/>
              </w:rPr>
              <w:t>4.24 %</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54,289</w:t>
            </w:r>
          </w:p>
        </w:tc>
        <w:tc>
          <w:tcPr>
            <w:tcW w:w="94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1.97 %</w:t>
            </w:r>
          </w:p>
        </w:tc>
        <w:tc>
          <w:tcPr>
            <w:tcW w:w="6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1,026,078</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7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2.14 %</w:t>
            </w:r>
          </w:p>
        </w:tc>
        <w:tc>
          <w:tcPr>
            <w:tcW w:w="0" w:type="dxa"/>
            <w:vAlign w:val="bottom"/>
          </w:tcPr>
          <w:p>
            <w:pPr>
              <w:spacing w:after="0"/>
              <w:rPr>
                <w:sz w:val="1"/>
                <w:szCs w:val="1"/>
                <w:color w:val="auto"/>
              </w:rPr>
            </w:pPr>
          </w:p>
        </w:tc>
      </w:tr>
      <w:tr>
        <w:trPr>
          <w:trHeight w:val="207"/>
        </w:trPr>
        <w:tc>
          <w:tcPr>
            <w:tcW w:w="29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Corporate debt securities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71,717</w:t>
            </w:r>
          </w:p>
        </w:tc>
        <w:tc>
          <w:tcPr>
            <w:tcW w:w="9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1.31 %</w:t>
            </w:r>
          </w:p>
        </w:tc>
        <w:tc>
          <w:tcPr>
            <w:tcW w:w="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51,754</w:t>
            </w:r>
          </w:p>
        </w:tc>
        <w:tc>
          <w:tcPr>
            <w:tcW w:w="920" w:type="dxa"/>
            <w:vAlign w:val="bottom"/>
            <w:tcBorders>
              <w:bottom w:val="single" w:sz="8" w:color="E0E7ED"/>
            </w:tcBorders>
            <w:gridSpan w:val="2"/>
          </w:tcPr>
          <w:p>
            <w:pPr>
              <w:ind w:left="380"/>
              <w:spacing w:after="0"/>
              <w:rPr>
                <w:sz w:val="20"/>
                <w:szCs w:val="20"/>
                <w:color w:val="auto"/>
              </w:rPr>
            </w:pPr>
            <w:r>
              <w:rPr>
                <w:rFonts w:ascii="Verdana" w:cs="Verdana" w:eastAsia="Verdana" w:hAnsi="Verdana"/>
                <w:sz w:val="14"/>
                <w:szCs w:val="14"/>
                <w:color w:val="auto"/>
              </w:rPr>
              <w:t>2.16 %</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29,580</w:t>
            </w:r>
          </w:p>
        </w:tc>
        <w:tc>
          <w:tcPr>
            <w:tcW w:w="94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3.72 %</w:t>
            </w:r>
          </w:p>
        </w:tc>
        <w:tc>
          <w:tcPr>
            <w:tcW w:w="6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200" w:type="dxa"/>
            <w:vAlign w:val="bottom"/>
            <w:tcBorders>
              <w:bottom w:val="single" w:sz="8" w:color="E0E7ED"/>
            </w:tcBorders>
            <w:gridSpan w:val="2"/>
          </w:tcPr>
          <w:p>
            <w:pPr>
              <w:spacing w:after="0"/>
              <w:rPr>
                <w:sz w:val="17"/>
                <w:szCs w:val="17"/>
                <w:color w:val="auto"/>
              </w:rPr>
            </w:pPr>
          </w:p>
        </w:tc>
        <w:tc>
          <w:tcPr>
            <w:tcW w:w="740" w:type="dxa"/>
            <w:vAlign w:val="bottom"/>
            <w:tcBorders>
              <w:bottom w:val="single" w:sz="8" w:color="E0E7ED"/>
            </w:tcBorders>
          </w:tcPr>
          <w:p>
            <w:pPr>
              <w:jc w:val="right"/>
              <w:spacing w:after="0"/>
              <w:rPr>
                <w:sz w:val="20"/>
                <w:szCs w:val="20"/>
                <w:color w:val="auto"/>
              </w:rPr>
            </w:pPr>
            <w:r>
              <w:rPr>
                <w:rFonts w:ascii="Verdana" w:cs="Verdana" w:eastAsia="Verdana" w:hAnsi="Verdana"/>
                <w:sz w:val="14"/>
                <w:szCs w:val="14"/>
                <w:color w:val="auto"/>
              </w:rPr>
              <w:t>— %</w:t>
            </w:r>
          </w:p>
        </w:tc>
        <w:tc>
          <w:tcPr>
            <w:tcW w:w="0" w:type="dxa"/>
            <w:vAlign w:val="bottom"/>
          </w:tcPr>
          <w:p>
            <w:pPr>
              <w:spacing w:after="0"/>
              <w:rPr>
                <w:sz w:val="1"/>
                <w:szCs w:val="1"/>
                <w:color w:val="auto"/>
              </w:rPr>
            </w:pPr>
          </w:p>
        </w:tc>
      </w:tr>
      <w:tr>
        <w:trPr>
          <w:trHeight w:val="228"/>
        </w:trPr>
        <w:tc>
          <w:tcPr>
            <w:tcW w:w="29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w:t>
            </w: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84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90,406</w:t>
            </w:r>
          </w:p>
        </w:tc>
        <w:tc>
          <w:tcPr>
            <w:tcW w:w="1240" w:type="dxa"/>
            <w:vAlign w:val="bottom"/>
            <w:gridSpan w:val="4"/>
            <w:shd w:val="clear" w:color="auto" w:fill="E0E7ED"/>
          </w:tcPr>
          <w:p>
            <w:pPr>
              <w:jc w:val="right"/>
              <w:ind w:right="160"/>
              <w:spacing w:after="0"/>
              <w:rPr>
                <w:sz w:val="20"/>
                <w:szCs w:val="20"/>
                <w:color w:val="auto"/>
              </w:rPr>
            </w:pPr>
            <w:r>
              <w:rPr>
                <w:rFonts w:ascii="Verdana" w:cs="Verdana" w:eastAsia="Verdana" w:hAnsi="Verdana"/>
                <w:sz w:val="14"/>
                <w:szCs w:val="14"/>
                <w:color w:val="auto"/>
              </w:rPr>
              <w:t>1.72 % $</w:t>
            </w:r>
          </w:p>
        </w:tc>
        <w:tc>
          <w:tcPr>
            <w:tcW w:w="8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104,914</w:t>
            </w:r>
          </w:p>
        </w:tc>
        <w:tc>
          <w:tcPr>
            <w:tcW w:w="1240" w:type="dxa"/>
            <w:vAlign w:val="bottom"/>
            <w:gridSpan w:val="4"/>
            <w:shd w:val="clear" w:color="auto" w:fill="E0E7ED"/>
          </w:tcPr>
          <w:p>
            <w:pPr>
              <w:ind w:left="380"/>
              <w:spacing w:after="0"/>
              <w:rPr>
                <w:sz w:val="20"/>
                <w:szCs w:val="20"/>
                <w:color w:val="auto"/>
              </w:rPr>
            </w:pPr>
            <w:r>
              <w:rPr>
                <w:rFonts w:ascii="Verdana" w:cs="Verdana" w:eastAsia="Verdana" w:hAnsi="Verdana"/>
                <w:sz w:val="14"/>
                <w:szCs w:val="14"/>
                <w:color w:val="auto"/>
              </w:rPr>
              <w:t>2.47 % $</w:t>
            </w: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495,024</w:t>
            </w:r>
          </w:p>
        </w:tc>
        <w:tc>
          <w:tcPr>
            <w:tcW w:w="94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4.75 %</w:t>
            </w:r>
          </w:p>
        </w:tc>
        <w:tc>
          <w:tcPr>
            <w:tcW w:w="60" w:type="dxa"/>
            <w:vAlign w:val="bottom"/>
            <w:shd w:val="clear" w:color="auto" w:fill="E0E7ED"/>
          </w:tcPr>
          <w:p>
            <w:pPr>
              <w:spacing w:after="0"/>
              <w:rPr>
                <w:sz w:val="19"/>
                <w:szCs w:val="19"/>
                <w:color w:val="auto"/>
              </w:rPr>
            </w:pPr>
          </w:p>
        </w:tc>
        <w:tc>
          <w:tcPr>
            <w:tcW w:w="220" w:type="dxa"/>
            <w:vAlign w:val="bottom"/>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1,119,877</w:t>
            </w:r>
          </w:p>
        </w:tc>
        <w:tc>
          <w:tcPr>
            <w:tcW w:w="80" w:type="dxa"/>
            <w:vAlign w:val="bottom"/>
            <w:shd w:val="clear" w:color="auto" w:fill="E0E7ED"/>
          </w:tcPr>
          <w:p>
            <w:pPr>
              <w:spacing w:after="0"/>
              <w:rPr>
                <w:sz w:val="19"/>
                <w:szCs w:val="19"/>
                <w:color w:val="auto"/>
              </w:rPr>
            </w:pPr>
          </w:p>
        </w:tc>
        <w:tc>
          <w:tcPr>
            <w:tcW w:w="120" w:type="dxa"/>
            <w:vAlign w:val="bottom"/>
            <w:shd w:val="clear" w:color="auto" w:fill="E0E7ED"/>
          </w:tcPr>
          <w:p>
            <w:pPr>
              <w:spacing w:after="0"/>
              <w:rPr>
                <w:sz w:val="19"/>
                <w:szCs w:val="19"/>
                <w:color w:val="auto"/>
              </w:rPr>
            </w:pPr>
          </w:p>
        </w:tc>
        <w:tc>
          <w:tcPr>
            <w:tcW w:w="7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2.27 %</w:t>
            </w:r>
          </w:p>
        </w:tc>
        <w:tc>
          <w:tcPr>
            <w:tcW w:w="0" w:type="dxa"/>
            <w:vAlign w:val="bottom"/>
          </w:tcPr>
          <w:p>
            <w:pPr>
              <w:spacing w:after="0"/>
              <w:rPr>
                <w:sz w:val="1"/>
                <w:szCs w:val="1"/>
                <w:color w:val="auto"/>
              </w:rPr>
            </w:pPr>
          </w:p>
        </w:tc>
      </w:tr>
      <w:tr>
        <w:trPr>
          <w:trHeight w:val="20"/>
        </w:trPr>
        <w:tc>
          <w:tcPr>
            <w:tcW w:w="294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7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line="230" w:lineRule="auto"/>
        <w:tabs>
          <w:tab w:leader="none" w:pos="380" w:val="left"/>
        </w:tabs>
        <w:numPr>
          <w:ilvl w:val="0"/>
          <w:numId w:val="26"/>
        </w:numPr>
        <w:rPr>
          <w:rFonts w:ascii="Verdana" w:cs="Verdana" w:eastAsia="Verdana" w:hAnsi="Verdana"/>
          <w:sz w:val="10"/>
          <w:szCs w:val="10"/>
          <w:color w:val="auto"/>
        </w:rPr>
      </w:pPr>
      <w:r>
        <w:rPr>
          <w:rFonts w:ascii="Verdana" w:cs="Verdana" w:eastAsia="Verdana" w:hAnsi="Verdana"/>
          <w:sz w:val="10"/>
          <w:szCs w:val="10"/>
          <w:color w:val="auto"/>
        </w:rPr>
        <w:t>Securities are presented based upon final contractual maturity or pre-refunded date.</w:t>
      </w:r>
    </w:p>
    <w:p>
      <w:pPr>
        <w:ind w:left="380" w:hanging="248"/>
        <w:spacing w:after="0"/>
        <w:tabs>
          <w:tab w:leader="none" w:pos="380" w:val="left"/>
        </w:tabs>
        <w:numPr>
          <w:ilvl w:val="0"/>
          <w:numId w:val="26"/>
        </w:numPr>
        <w:rPr>
          <w:rFonts w:ascii="Verdana" w:cs="Verdana" w:eastAsia="Verdana" w:hAnsi="Verdana"/>
          <w:sz w:val="10"/>
          <w:szCs w:val="10"/>
          <w:color w:val="auto"/>
        </w:rPr>
      </w:pPr>
      <w:r>
        <w:rPr>
          <w:rFonts w:ascii="Verdana" w:cs="Verdana" w:eastAsia="Verdana" w:hAnsi="Verdana"/>
          <w:sz w:val="10"/>
          <w:szCs w:val="10"/>
          <w:color w:val="auto"/>
        </w:rPr>
        <w:t>Weighted average yield calculated on a tax-equivalent basis, assuming a federal income tax rate of 21.0%.</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7" w:name="page68"/>
    <w:bookmarkEnd w:id="6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Debt Securities Held to Maturity</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Debt securities held to maturity are carried at amortized cost. Unrecognized losses are included in OCI and amortized into income over the contractual lives of the securities. An ACL balance will be established for debt securities held to maturity when applicable. No ACL was recorded for Busey’s portfolio of debt securities held to maturity as of December 31, 2024 or 2023.</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 of December 31, 2024, the amortized cost of debt securities held to maturity was $826.6 million, and the fair value was $675.1 million. There were no gross unrecognized gains and $151.6 million of gross unrecognized losses.</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composition of debt securities held to maturity was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7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49"/>
              <w:spacing w:after="0"/>
              <w:rPr>
                <w:sz w:val="20"/>
                <w:szCs w:val="20"/>
                <w:color w:val="auto"/>
              </w:rPr>
            </w:pPr>
            <w:r>
              <w:rPr>
                <w:rFonts w:ascii="Verdana" w:cs="Verdana" w:eastAsia="Verdana" w:hAnsi="Verdana"/>
                <w:sz w:val="10"/>
                <w:szCs w:val="10"/>
                <w:b w:val="1"/>
                <w:bCs w:val="1"/>
                <w:color w:val="auto"/>
              </w:rPr>
              <w:t>As of December 31,</w:t>
            </w:r>
          </w:p>
        </w:tc>
        <w:tc>
          <w:tcPr>
            <w:tcW w:w="1100" w:type="dxa"/>
            <w:vAlign w:val="bottom"/>
            <w:tcBorders>
              <w:bottom w:val="single" w:sz="8" w:color="auto"/>
            </w:tcBorders>
          </w:tcPr>
          <w:p>
            <w:pPr>
              <w:spacing w:after="0"/>
              <w:rPr>
                <w:sz w:val="11"/>
                <w:szCs w:val="11"/>
                <w:color w:val="auto"/>
              </w:rPr>
            </w:pPr>
          </w:p>
        </w:tc>
      </w:tr>
      <w:tr>
        <w:trPr>
          <w:trHeight w:val="131"/>
        </w:trPr>
        <w:tc>
          <w:tcPr>
            <w:tcW w:w="776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55"/>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53"/>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776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42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62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r>
      <w:tr>
        <w:trPr>
          <w:trHeight w:val="207"/>
        </w:trPr>
        <w:tc>
          <w:tcPr>
            <w:tcW w:w="776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5"/>
              <w:spacing w:after="0"/>
              <w:rPr>
                <w:sz w:val="20"/>
                <w:szCs w:val="20"/>
                <w:color w:val="auto"/>
              </w:rPr>
            </w:pPr>
            <w:r>
              <w:rPr>
                <w:rFonts w:ascii="Verdana" w:cs="Verdana" w:eastAsia="Verdana" w:hAnsi="Verdana"/>
                <w:sz w:val="14"/>
                <w:szCs w:val="14"/>
                <w:color w:val="auto"/>
              </w:rPr>
              <w:t>415,530</w:t>
            </w:r>
          </w:p>
        </w:tc>
        <w:tc>
          <w:tcPr>
            <w:tcW w:w="80" w:type="dxa"/>
            <w:vAlign w:val="bottom"/>
          </w:tcPr>
          <w:p>
            <w:pPr>
              <w:spacing w:after="0"/>
              <w:rPr>
                <w:sz w:val="17"/>
                <w:szCs w:val="17"/>
                <w:color w:val="auto"/>
              </w:rPr>
            </w:pPr>
          </w:p>
        </w:tc>
        <w:tc>
          <w:tcPr>
            <w:tcW w:w="620" w:type="dxa"/>
            <w:vAlign w:val="bottom"/>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3"/>
              <w:spacing w:after="0"/>
              <w:rPr>
                <w:sz w:val="20"/>
                <w:szCs w:val="20"/>
                <w:color w:val="auto"/>
              </w:rPr>
            </w:pPr>
            <w:r>
              <w:rPr>
                <w:rFonts w:ascii="Verdana" w:cs="Verdana" w:eastAsia="Verdana" w:hAnsi="Verdana"/>
                <w:sz w:val="14"/>
                <w:szCs w:val="14"/>
                <w:color w:val="auto"/>
              </w:rPr>
              <w:t>428,526</w:t>
            </w:r>
          </w:p>
        </w:tc>
      </w:tr>
      <w:tr>
        <w:trPr>
          <w:trHeight w:val="212"/>
        </w:trPr>
        <w:tc>
          <w:tcPr>
            <w:tcW w:w="77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42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55"/>
              <w:spacing w:after="0"/>
              <w:rPr>
                <w:sz w:val="20"/>
                <w:szCs w:val="20"/>
                <w:color w:val="auto"/>
              </w:rPr>
            </w:pPr>
            <w:r>
              <w:rPr>
                <w:rFonts w:ascii="Verdana" w:cs="Verdana" w:eastAsia="Verdana" w:hAnsi="Verdana"/>
                <w:sz w:val="14"/>
                <w:szCs w:val="14"/>
                <w:color w:val="auto"/>
              </w:rPr>
              <w:t>411,100</w:t>
            </w:r>
          </w:p>
        </w:tc>
        <w:tc>
          <w:tcPr>
            <w:tcW w:w="80" w:type="dxa"/>
            <w:vAlign w:val="bottom"/>
            <w:shd w:val="clear" w:color="auto" w:fill="E0E7ED"/>
          </w:tcPr>
          <w:p>
            <w:pPr>
              <w:spacing w:after="0"/>
              <w:rPr>
                <w:sz w:val="18"/>
                <w:szCs w:val="18"/>
                <w:color w:val="auto"/>
              </w:rPr>
            </w:pPr>
          </w:p>
        </w:tc>
        <w:tc>
          <w:tcPr>
            <w:tcW w:w="620" w:type="dxa"/>
            <w:vAlign w:val="bottom"/>
            <w:tcBorders>
              <w:bottom w:val="single" w:sz="8" w:color="auto"/>
            </w:tcBorders>
            <w:shd w:val="clear" w:color="auto" w:fill="E0E7ED"/>
          </w:tcPr>
          <w:p>
            <w:pPr>
              <w:spacing w:after="0"/>
              <w:rPr>
                <w:sz w:val="18"/>
                <w:szCs w:val="18"/>
                <w:color w:val="auto"/>
              </w:rPr>
            </w:pPr>
          </w:p>
        </w:tc>
        <w:tc>
          <w:tcPr>
            <w:tcW w:w="1100" w:type="dxa"/>
            <w:vAlign w:val="bottom"/>
            <w:tcBorders>
              <w:bottom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444,102</w:t>
            </w:r>
          </w:p>
        </w:tc>
      </w:tr>
      <w:tr>
        <w:trPr>
          <w:trHeight w:val="208"/>
        </w:trPr>
        <w:tc>
          <w:tcPr>
            <w:tcW w:w="7760" w:type="dxa"/>
            <w:vAlign w:val="bottom"/>
          </w:tcPr>
          <w:p>
            <w:pPr>
              <w:ind w:left="20"/>
              <w:spacing w:after="0"/>
              <w:rPr>
                <w:sz w:val="20"/>
                <w:szCs w:val="20"/>
                <w:color w:val="auto"/>
              </w:rPr>
            </w:pPr>
            <w:r>
              <w:rPr>
                <w:rFonts w:ascii="Verdana" w:cs="Verdana" w:eastAsia="Verdana" w:hAnsi="Verdana"/>
                <w:sz w:val="14"/>
                <w:szCs w:val="14"/>
                <w:color w:val="auto"/>
              </w:rPr>
              <w:t>Debt securities held to maturity, amortized cost</w:t>
            </w:r>
          </w:p>
        </w:tc>
        <w:tc>
          <w:tcPr>
            <w:tcW w:w="420" w:type="dxa"/>
            <w:vAlign w:val="bottom"/>
            <w:tcBorders>
              <w:bottom w:val="single" w:sz="8" w:color="auto"/>
            </w:tcBorders>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ind w:right="155"/>
              <w:spacing w:after="0"/>
              <w:rPr>
                <w:sz w:val="20"/>
                <w:szCs w:val="20"/>
                <w:color w:val="auto"/>
              </w:rPr>
            </w:pPr>
            <w:r>
              <w:rPr>
                <w:rFonts w:ascii="Verdana" w:cs="Verdana" w:eastAsia="Verdana" w:hAnsi="Verdana"/>
                <w:sz w:val="14"/>
                <w:szCs w:val="14"/>
                <w:color w:val="auto"/>
              </w:rPr>
              <w:t>826,630</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Borders>
              <w:bottom w:val="single" w:sz="8" w:color="auto"/>
            </w:tcBorders>
          </w:tcPr>
          <w:p>
            <w:pPr>
              <w:jc w:val="right"/>
              <w:ind w:right="153"/>
              <w:spacing w:after="0"/>
              <w:rPr>
                <w:sz w:val="20"/>
                <w:szCs w:val="20"/>
                <w:color w:val="auto"/>
              </w:rPr>
            </w:pPr>
            <w:r>
              <w:rPr>
                <w:rFonts w:ascii="Verdana" w:cs="Verdana" w:eastAsia="Verdana" w:hAnsi="Verdana"/>
                <w:sz w:val="14"/>
                <w:szCs w:val="14"/>
                <w:color w:val="auto"/>
              </w:rPr>
              <w:t>872,628</w:t>
            </w:r>
          </w:p>
        </w:tc>
      </w:tr>
      <w:tr>
        <w:trPr>
          <w:trHeight w:val="20"/>
        </w:trPr>
        <w:tc>
          <w:tcPr>
            <w:tcW w:w="776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3"/>
        </w:trPr>
        <w:tc>
          <w:tcPr>
            <w:tcW w:w="7760" w:type="dxa"/>
            <w:vAlign w:val="bottom"/>
            <w:shd w:val="clear" w:color="auto" w:fill="E0E7ED"/>
          </w:tcPr>
          <w:p>
            <w:pPr>
              <w:spacing w:after="0"/>
              <w:rPr>
                <w:sz w:val="15"/>
                <w:szCs w:val="15"/>
                <w:color w:val="auto"/>
              </w:rPr>
            </w:pPr>
          </w:p>
        </w:tc>
        <w:tc>
          <w:tcPr>
            <w:tcW w:w="42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r>
      <w:tr>
        <w:trPr>
          <w:trHeight w:val="212"/>
        </w:trPr>
        <w:tc>
          <w:tcPr>
            <w:tcW w:w="7760" w:type="dxa"/>
            <w:vAlign w:val="bottom"/>
          </w:tcPr>
          <w:p>
            <w:pPr>
              <w:ind w:left="20"/>
              <w:spacing w:after="0"/>
              <w:rPr>
                <w:sz w:val="20"/>
                <w:szCs w:val="20"/>
                <w:color w:val="auto"/>
              </w:rPr>
            </w:pPr>
            <w:r>
              <w:rPr>
                <w:rFonts w:ascii="Verdana" w:cs="Verdana" w:eastAsia="Verdana" w:hAnsi="Verdana"/>
                <w:sz w:val="14"/>
                <w:szCs w:val="14"/>
                <w:color w:val="auto"/>
              </w:rPr>
              <w:t>Debt securities held to maturity, fair value</w:t>
            </w:r>
          </w:p>
        </w:tc>
        <w:tc>
          <w:tcPr>
            <w:tcW w:w="420" w:type="dxa"/>
            <w:vAlign w:val="bottom"/>
            <w:tcBorders>
              <w:bottom w:val="single" w:sz="8" w:color="auto"/>
            </w:tcBorders>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ind w:right="155"/>
              <w:spacing w:after="0"/>
              <w:rPr>
                <w:sz w:val="20"/>
                <w:szCs w:val="20"/>
                <w:color w:val="auto"/>
              </w:rPr>
            </w:pPr>
            <w:r>
              <w:rPr>
                <w:rFonts w:ascii="Verdana" w:cs="Verdana" w:eastAsia="Verdana" w:hAnsi="Verdana"/>
                <w:sz w:val="14"/>
                <w:szCs w:val="14"/>
                <w:color w:val="auto"/>
              </w:rPr>
              <w:t>675,053</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tcBorders>
              <w:bottom w:val="single" w:sz="8" w:color="auto"/>
            </w:tcBorders>
          </w:tcPr>
          <w:p>
            <w:pPr>
              <w:jc w:val="right"/>
              <w:ind w:right="153"/>
              <w:spacing w:after="0"/>
              <w:rPr>
                <w:sz w:val="20"/>
                <w:szCs w:val="20"/>
                <w:color w:val="auto"/>
              </w:rPr>
            </w:pPr>
            <w:r>
              <w:rPr>
                <w:rFonts w:ascii="Verdana" w:cs="Verdana" w:eastAsia="Verdana" w:hAnsi="Verdana"/>
                <w:sz w:val="14"/>
                <w:szCs w:val="14"/>
                <w:color w:val="auto"/>
              </w:rPr>
              <w:t>730,397</w:t>
            </w:r>
          </w:p>
        </w:tc>
      </w:tr>
      <w:tr>
        <w:trPr>
          <w:trHeight w:val="20"/>
        </w:trPr>
        <w:tc>
          <w:tcPr>
            <w:tcW w:w="776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5"/>
        </w:trPr>
        <w:tc>
          <w:tcPr>
            <w:tcW w:w="77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Fair value as a percentage of amortized cost</w:t>
            </w:r>
          </w:p>
        </w:tc>
        <w:tc>
          <w:tcPr>
            <w:tcW w:w="420" w:type="dxa"/>
            <w:vAlign w:val="bottom"/>
            <w:shd w:val="clear" w:color="auto" w:fill="E0E7ED"/>
          </w:tcPr>
          <w:p>
            <w:pPr>
              <w:spacing w:after="0"/>
              <w:rPr>
                <w:sz w:val="16"/>
                <w:szCs w:val="16"/>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81.66 %</w:t>
            </w:r>
          </w:p>
        </w:tc>
        <w:tc>
          <w:tcPr>
            <w:tcW w:w="80" w:type="dxa"/>
            <w:vAlign w:val="bottom"/>
            <w:shd w:val="clear" w:color="auto" w:fill="E0E7ED"/>
          </w:tcPr>
          <w:p>
            <w:pPr>
              <w:spacing w:after="0"/>
              <w:rPr>
                <w:sz w:val="16"/>
                <w:szCs w:val="16"/>
                <w:color w:val="auto"/>
              </w:rPr>
            </w:pPr>
          </w:p>
        </w:tc>
        <w:tc>
          <w:tcPr>
            <w:tcW w:w="62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83.70 %</w:t>
            </w: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By maturity date, fair values and weighted average yields of debt securities held to maturity as of December 31, 2024, are presented in the following table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4"/>
            <w:vMerge w:val="restart"/>
          </w:tcPr>
          <w:p>
            <w:pPr>
              <w:ind w:left="320"/>
              <w:spacing w:after="0"/>
              <w:rPr>
                <w:sz w:val="20"/>
                <w:szCs w:val="20"/>
                <w:color w:val="auto"/>
              </w:rPr>
            </w:pPr>
            <w:r>
              <w:rPr>
                <w:rFonts w:ascii="Verdana" w:cs="Verdana" w:eastAsia="Verdana" w:hAnsi="Verdana"/>
                <w:sz w:val="10"/>
                <w:szCs w:val="10"/>
                <w:b w:val="1"/>
                <w:bCs w:val="1"/>
                <w:color w:val="auto"/>
              </w:rPr>
              <w:t>Due in 1 year or less</w:t>
            </w:r>
          </w:p>
        </w:tc>
        <w:tc>
          <w:tcPr>
            <w:tcW w:w="280" w:type="dxa"/>
            <w:vAlign w:val="bottom"/>
          </w:tcPr>
          <w:p>
            <w:pPr>
              <w:spacing w:after="0"/>
              <w:rPr>
                <w:sz w:val="10"/>
                <w:szCs w:val="10"/>
                <w:color w:val="auto"/>
              </w:rPr>
            </w:pPr>
          </w:p>
        </w:tc>
        <w:tc>
          <w:tcPr>
            <w:tcW w:w="2160" w:type="dxa"/>
            <w:vAlign w:val="bottom"/>
            <w:gridSpan w:val="4"/>
          </w:tcPr>
          <w:p>
            <w:pPr>
              <w:ind w:left="440"/>
              <w:spacing w:after="0"/>
              <w:rPr>
                <w:sz w:val="20"/>
                <w:szCs w:val="20"/>
                <w:color w:val="auto"/>
              </w:rPr>
            </w:pPr>
            <w:r>
              <w:rPr>
                <w:rFonts w:ascii="Verdana" w:cs="Verdana" w:eastAsia="Verdana" w:hAnsi="Verdana"/>
                <w:sz w:val="10"/>
                <w:szCs w:val="10"/>
                <w:b w:val="1"/>
                <w:bCs w:val="1"/>
                <w:color w:val="auto"/>
              </w:rPr>
              <w:t>Due after 1 year</w:t>
            </w:r>
          </w:p>
        </w:tc>
        <w:tc>
          <w:tcPr>
            <w:tcW w:w="260" w:type="dxa"/>
            <w:vAlign w:val="bottom"/>
          </w:tcPr>
          <w:p>
            <w:pPr>
              <w:spacing w:after="0"/>
              <w:rPr>
                <w:sz w:val="10"/>
                <w:szCs w:val="10"/>
                <w:color w:val="auto"/>
              </w:rPr>
            </w:pPr>
          </w:p>
        </w:tc>
        <w:tc>
          <w:tcPr>
            <w:tcW w:w="2180" w:type="dxa"/>
            <w:vAlign w:val="bottom"/>
            <w:gridSpan w:val="4"/>
          </w:tcPr>
          <w:p>
            <w:pPr>
              <w:ind w:left="440"/>
              <w:spacing w:after="0"/>
              <w:rPr>
                <w:sz w:val="20"/>
                <w:szCs w:val="20"/>
                <w:color w:val="auto"/>
              </w:rPr>
            </w:pPr>
            <w:r>
              <w:rPr>
                <w:rFonts w:ascii="Verdana" w:cs="Verdana" w:eastAsia="Verdana" w:hAnsi="Verdana"/>
                <w:sz w:val="10"/>
                <w:szCs w:val="10"/>
                <w:b w:val="1"/>
                <w:bCs w:val="1"/>
                <w:color w:val="auto"/>
              </w:rPr>
              <w:t>Due after 5 years</w:t>
            </w:r>
          </w:p>
        </w:tc>
        <w:tc>
          <w:tcPr>
            <w:tcW w:w="260" w:type="dxa"/>
            <w:vAlign w:val="bottom"/>
          </w:tcPr>
          <w:p>
            <w:pPr>
              <w:spacing w:after="0"/>
              <w:rPr>
                <w:sz w:val="10"/>
                <w:szCs w:val="10"/>
                <w:color w:val="auto"/>
              </w:rPr>
            </w:pPr>
          </w:p>
        </w:tc>
        <w:tc>
          <w:tcPr>
            <w:tcW w:w="1220" w:type="dxa"/>
            <w:vAlign w:val="bottom"/>
            <w:gridSpan w:val="3"/>
          </w:tcPr>
          <w:p>
            <w:pPr>
              <w:jc w:val="right"/>
              <w:ind w:right="60"/>
              <w:spacing w:after="0"/>
              <w:rPr>
                <w:sz w:val="20"/>
                <w:szCs w:val="20"/>
                <w:color w:val="auto"/>
              </w:rPr>
            </w:pPr>
            <w:r>
              <w:rPr>
                <w:rFonts w:ascii="Verdana" w:cs="Verdana" w:eastAsia="Verdana" w:hAnsi="Verdana"/>
                <w:sz w:val="10"/>
                <w:szCs w:val="10"/>
                <w:b w:val="1"/>
                <w:bCs w:val="1"/>
                <w:color w:val="auto"/>
              </w:rPr>
              <w:t>Due after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2160" w:type="dxa"/>
            <w:vAlign w:val="bottom"/>
            <w:gridSpan w:val="4"/>
          </w:tcPr>
          <w:p>
            <w:pPr>
              <w:ind w:left="460"/>
              <w:spacing w:after="0"/>
              <w:rPr>
                <w:sz w:val="20"/>
                <w:szCs w:val="20"/>
                <w:color w:val="auto"/>
              </w:rPr>
            </w:pPr>
            <w:r>
              <w:rPr>
                <w:rFonts w:ascii="Verdana" w:cs="Verdana" w:eastAsia="Verdana" w:hAnsi="Verdana"/>
                <w:sz w:val="10"/>
                <w:szCs w:val="10"/>
                <w:b w:val="1"/>
                <w:bCs w:val="1"/>
                <w:color w:val="auto"/>
              </w:rPr>
              <w:t>through 5 years</w:t>
            </w:r>
          </w:p>
        </w:tc>
        <w:tc>
          <w:tcPr>
            <w:tcW w:w="260" w:type="dxa"/>
            <w:vAlign w:val="bottom"/>
          </w:tcPr>
          <w:p>
            <w:pPr>
              <w:spacing w:after="0"/>
              <w:rPr>
                <w:sz w:val="11"/>
                <w:szCs w:val="11"/>
                <w:color w:val="auto"/>
              </w:rPr>
            </w:pPr>
          </w:p>
        </w:tc>
        <w:tc>
          <w:tcPr>
            <w:tcW w:w="2180" w:type="dxa"/>
            <w:vAlign w:val="bottom"/>
            <w:gridSpan w:val="4"/>
          </w:tcPr>
          <w:p>
            <w:pPr>
              <w:ind w:left="440"/>
              <w:spacing w:after="0"/>
              <w:rPr>
                <w:sz w:val="20"/>
                <w:szCs w:val="20"/>
                <w:color w:val="auto"/>
              </w:rPr>
            </w:pPr>
            <w:r>
              <w:rPr>
                <w:rFonts w:ascii="Verdana" w:cs="Verdana" w:eastAsia="Verdana" w:hAnsi="Verdana"/>
                <w:sz w:val="10"/>
                <w:szCs w:val="10"/>
                <w:b w:val="1"/>
                <w:bCs w:val="1"/>
                <w:color w:val="auto"/>
              </w:rPr>
              <w:t>through 10 years</w:t>
            </w:r>
          </w:p>
        </w:tc>
        <w:tc>
          <w:tcPr>
            <w:tcW w:w="260" w:type="dxa"/>
            <w:vAlign w:val="bottom"/>
          </w:tcPr>
          <w:p>
            <w:pPr>
              <w:spacing w:after="0"/>
              <w:rPr>
                <w:sz w:val="11"/>
                <w:szCs w:val="11"/>
                <w:color w:val="auto"/>
              </w:rPr>
            </w:pPr>
          </w:p>
        </w:tc>
        <w:tc>
          <w:tcPr>
            <w:tcW w:w="1220" w:type="dxa"/>
            <w:vAlign w:val="bottom"/>
            <w:gridSpan w:val="3"/>
          </w:tcPr>
          <w:p>
            <w:pPr>
              <w:jc w:val="right"/>
              <w:ind w:right="60"/>
              <w:spacing w:after="0"/>
              <w:rPr>
                <w:sz w:val="20"/>
                <w:szCs w:val="20"/>
                <w:color w:val="auto"/>
              </w:rPr>
            </w:pPr>
            <w:r>
              <w:rPr>
                <w:rFonts w:ascii="Verdana" w:cs="Verdana" w:eastAsia="Verdana" w:hAnsi="Verdana"/>
                <w:sz w:val="10"/>
                <w:szCs w:val="10"/>
                <w:b w:val="1"/>
                <w:bCs w:val="1"/>
                <w:color w:val="auto"/>
              </w:rPr>
              <w:t>10 years</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vMerge w:val="restart"/>
          </w:tcPr>
          <w:p>
            <w:pPr>
              <w:jc w:val="right"/>
              <w:ind w:right="400"/>
              <w:spacing w:after="0"/>
              <w:rPr>
                <w:sz w:val="20"/>
                <w:szCs w:val="20"/>
                <w:color w:val="auto"/>
              </w:rPr>
            </w:pPr>
            <w:r>
              <w:rPr>
                <w:rFonts w:ascii="Verdana" w:cs="Verdana" w:eastAsia="Verdana" w:hAnsi="Verdana"/>
                <w:sz w:val="10"/>
                <w:szCs w:val="10"/>
                <w:b w:val="1"/>
                <w:bCs w:val="1"/>
                <w:color w:val="auto"/>
              </w:rPr>
              <w:t>Fair</w:t>
            </w:r>
          </w:p>
        </w:tc>
        <w:tc>
          <w:tcPr>
            <w:tcW w:w="8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w w:val="96"/>
              </w:rPr>
              <w:t>Weighted</w:t>
            </w:r>
          </w:p>
        </w:tc>
        <w:tc>
          <w:tcPr>
            <w:tcW w:w="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vMerge w:val="restart"/>
          </w:tcPr>
          <w:p>
            <w:pPr>
              <w:jc w:val="right"/>
              <w:ind w:right="401"/>
              <w:spacing w:after="0"/>
              <w:rPr>
                <w:sz w:val="20"/>
                <w:szCs w:val="20"/>
                <w:color w:val="auto"/>
              </w:rPr>
            </w:pPr>
            <w:r>
              <w:rPr>
                <w:rFonts w:ascii="Verdana" w:cs="Verdana" w:eastAsia="Verdana" w:hAnsi="Verdana"/>
                <w:sz w:val="10"/>
                <w:szCs w:val="10"/>
                <w:b w:val="1"/>
                <w:bCs w:val="1"/>
                <w:color w:val="auto"/>
              </w:rPr>
              <w:t>Fair</w:t>
            </w:r>
          </w:p>
        </w:tc>
        <w:tc>
          <w:tcPr>
            <w:tcW w:w="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w w:val="96"/>
              </w:rPr>
              <w:t>Weighted</w:t>
            </w: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421"/>
              <w:spacing w:after="0"/>
              <w:rPr>
                <w:sz w:val="20"/>
                <w:szCs w:val="20"/>
                <w:color w:val="auto"/>
              </w:rPr>
            </w:pPr>
            <w:r>
              <w:rPr>
                <w:rFonts w:ascii="Verdana" w:cs="Verdana" w:eastAsia="Verdana" w:hAnsi="Verdana"/>
                <w:sz w:val="10"/>
                <w:szCs w:val="10"/>
                <w:b w:val="1"/>
                <w:bCs w:val="1"/>
                <w:color w:val="auto"/>
              </w:rPr>
              <w:t>Fair</w:t>
            </w:r>
          </w:p>
        </w:tc>
        <w:tc>
          <w:tcPr>
            <w:tcW w:w="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jc w:val="center"/>
              <w:spacing w:after="0" w:line="92" w:lineRule="exact"/>
              <w:rPr>
                <w:sz w:val="20"/>
                <w:szCs w:val="20"/>
                <w:color w:val="auto"/>
              </w:rPr>
            </w:pPr>
            <w:r>
              <w:rPr>
                <w:rFonts w:ascii="Verdana" w:cs="Verdana" w:eastAsia="Verdana" w:hAnsi="Verdana"/>
                <w:sz w:val="10"/>
                <w:szCs w:val="10"/>
                <w:b w:val="1"/>
                <w:bCs w:val="1"/>
                <w:color w:val="auto"/>
                <w:w w:val="96"/>
              </w:rPr>
              <w:t>Weighted</w:t>
            </w: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3"/>
            <w:vMerge w:val="restart"/>
          </w:tcPr>
          <w:p>
            <w:pPr>
              <w:jc w:val="right"/>
              <w:ind w:right="780"/>
              <w:spacing w:after="0"/>
              <w:rPr>
                <w:sz w:val="20"/>
                <w:szCs w:val="20"/>
                <w:color w:val="auto"/>
              </w:rPr>
            </w:pPr>
            <w:r>
              <w:rPr>
                <w:rFonts w:ascii="Verdana" w:cs="Verdana" w:eastAsia="Verdana" w:hAnsi="Verdana"/>
                <w:sz w:val="10"/>
                <w:szCs w:val="10"/>
                <w:b w:val="1"/>
                <w:bCs w:val="1"/>
                <w:color w:val="auto"/>
              </w:rPr>
              <w:t>Fair</w:t>
            </w:r>
          </w:p>
        </w:tc>
        <w:tc>
          <w:tcPr>
            <w:tcW w:w="880" w:type="dxa"/>
            <w:vAlign w:val="bottom"/>
            <w:tcBorders>
              <w:top w:val="single" w:sz="8" w:color="auto"/>
            </w:tcBorders>
          </w:tcPr>
          <w:p>
            <w:pPr>
              <w:jc w:val="center"/>
              <w:ind w:right="160"/>
              <w:spacing w:after="0" w:line="92" w:lineRule="exact"/>
              <w:rPr>
                <w:sz w:val="20"/>
                <w:szCs w:val="20"/>
                <w:color w:val="auto"/>
              </w:rPr>
            </w:pPr>
            <w:r>
              <w:rPr>
                <w:rFonts w:ascii="Verdana" w:cs="Verdana" w:eastAsia="Verdana" w:hAnsi="Verdana"/>
                <w:sz w:val="10"/>
                <w:szCs w:val="10"/>
                <w:b w:val="1"/>
                <w:bCs w:val="1"/>
                <w:color w:val="auto"/>
              </w:rPr>
              <w:t>Weighted</w:t>
            </w:r>
          </w:p>
        </w:tc>
        <w:tc>
          <w:tcPr>
            <w:tcW w:w="0" w:type="dxa"/>
            <w:vAlign w:val="bottom"/>
          </w:tcPr>
          <w:p>
            <w:pPr>
              <w:spacing w:after="0"/>
              <w:rPr>
                <w:sz w:val="1"/>
                <w:szCs w:val="1"/>
                <w:color w:val="auto"/>
              </w:rPr>
            </w:pPr>
          </w:p>
        </w:tc>
      </w:tr>
      <w:tr>
        <w:trPr>
          <w:trHeight w:val="95"/>
        </w:trPr>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tcPr>
          <w:p>
            <w:pPr>
              <w:jc w:val="center"/>
              <w:ind w:right="80"/>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80"/>
              <w:spacing w:after="0" w:line="96" w:lineRule="exact"/>
              <w:rPr>
                <w:sz w:val="20"/>
                <w:szCs w:val="20"/>
                <w:color w:val="auto"/>
              </w:rPr>
            </w:pPr>
            <w:r>
              <w:rPr>
                <w:rFonts w:ascii="Verdana" w:cs="Verdana" w:eastAsia="Verdana" w:hAnsi="Verdana"/>
                <w:sz w:val="10"/>
                <w:szCs w:val="10"/>
                <w:b w:val="1"/>
                <w:bCs w:val="1"/>
                <w:color w:val="auto"/>
                <w:w w:val="95"/>
              </w:rPr>
              <w:t>Average</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tcPr>
          <w:p>
            <w:pPr>
              <w:jc w:val="center"/>
              <w:ind w:right="80"/>
              <w:spacing w:after="0" w:line="96" w:lineRule="exact"/>
              <w:rPr>
                <w:sz w:val="20"/>
                <w:szCs w:val="20"/>
                <w:color w:val="auto"/>
              </w:rPr>
            </w:pPr>
            <w:r>
              <w:rPr>
                <w:rFonts w:ascii="Verdana" w:cs="Verdana" w:eastAsia="Verdana" w:hAnsi="Verdana"/>
                <w:sz w:val="10"/>
                <w:szCs w:val="10"/>
                <w:b w:val="1"/>
                <w:bCs w:val="1"/>
                <w:color w:val="auto"/>
                <w:w w:val="95"/>
              </w:rPr>
              <w:t>Average</w:t>
            </w:r>
          </w:p>
        </w:tc>
        <w:tc>
          <w:tcPr>
            <w:tcW w:w="26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880" w:type="dxa"/>
            <w:vAlign w:val="bottom"/>
          </w:tcPr>
          <w:p>
            <w:pPr>
              <w:jc w:val="center"/>
              <w:ind w:right="160"/>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360"/>
              <w:spacing w:after="0"/>
              <w:rPr>
                <w:sz w:val="20"/>
                <w:szCs w:val="20"/>
                <w:color w:val="auto"/>
              </w:rPr>
            </w:pPr>
            <w:r>
              <w:rPr>
                <w:rFonts w:ascii="Verdana" w:cs="Verdana" w:eastAsia="Verdana" w:hAnsi="Verdana"/>
                <w:sz w:val="10"/>
                <w:szCs w:val="10"/>
                <w:b w:val="1"/>
                <w:bCs w:val="1"/>
                <w:color w:val="auto"/>
              </w:rPr>
              <w:t>Value</w:t>
            </w:r>
          </w:p>
        </w:tc>
        <w:tc>
          <w:tcPr>
            <w:tcW w:w="80" w:type="dxa"/>
            <w:vAlign w:val="bottom"/>
          </w:tcPr>
          <w:p>
            <w:pPr>
              <w:spacing w:after="0"/>
              <w:rPr>
                <w:sz w:val="11"/>
                <w:szCs w:val="11"/>
                <w:color w:val="auto"/>
              </w:rPr>
            </w:pPr>
          </w:p>
        </w:tc>
        <w:tc>
          <w:tcPr>
            <w:tcW w:w="1180" w:type="dxa"/>
            <w:vAlign w:val="bottom"/>
            <w:gridSpan w:val="2"/>
          </w:tcPr>
          <w:p>
            <w:pPr>
              <w:jc w:val="center"/>
              <w:ind w:right="60"/>
              <w:spacing w:after="0"/>
              <w:rPr>
                <w:sz w:val="20"/>
                <w:szCs w:val="20"/>
                <w:color w:val="auto"/>
              </w:rPr>
            </w:pPr>
            <w:r>
              <w:rPr>
                <w:rFonts w:ascii="Verdana" w:cs="Verdana" w:eastAsia="Verdana" w:hAnsi="Verdana"/>
                <w:sz w:val="10"/>
                <w:szCs w:val="10"/>
                <w:b w:val="1"/>
                <w:bCs w:val="1"/>
                <w:color w:val="auto"/>
              </w:rPr>
              <w:t>Yield</w:t>
            </w:r>
          </w:p>
        </w:tc>
        <w:tc>
          <w:tcPr>
            <w:tcW w:w="280" w:type="dxa"/>
            <w:vAlign w:val="bottom"/>
          </w:tcPr>
          <w:p>
            <w:pPr>
              <w:spacing w:after="0"/>
              <w:rPr>
                <w:sz w:val="11"/>
                <w:szCs w:val="11"/>
                <w:color w:val="auto"/>
              </w:rPr>
            </w:pPr>
          </w:p>
        </w:tc>
        <w:tc>
          <w:tcPr>
            <w:tcW w:w="880" w:type="dxa"/>
            <w:vAlign w:val="bottom"/>
          </w:tcPr>
          <w:p>
            <w:pPr>
              <w:jc w:val="right"/>
              <w:ind w:right="361"/>
              <w:spacing w:after="0"/>
              <w:rPr>
                <w:sz w:val="20"/>
                <w:szCs w:val="20"/>
                <w:color w:val="auto"/>
              </w:rPr>
            </w:pPr>
            <w:r>
              <w:rPr>
                <w:rFonts w:ascii="Verdana" w:cs="Verdana" w:eastAsia="Verdana" w:hAnsi="Verdana"/>
                <w:sz w:val="10"/>
                <w:szCs w:val="10"/>
                <w:b w:val="1"/>
                <w:bCs w:val="1"/>
                <w:color w:val="auto"/>
              </w:rPr>
              <w:t>Value</w:t>
            </w:r>
          </w:p>
        </w:tc>
        <w:tc>
          <w:tcPr>
            <w:tcW w:w="8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Yield</w:t>
            </w:r>
          </w:p>
        </w:tc>
        <w:tc>
          <w:tcPr>
            <w:tcW w:w="260" w:type="dxa"/>
            <w:vAlign w:val="bottom"/>
          </w:tcPr>
          <w:p>
            <w:pPr>
              <w:spacing w:after="0"/>
              <w:rPr>
                <w:sz w:val="11"/>
                <w:szCs w:val="11"/>
                <w:color w:val="auto"/>
              </w:rPr>
            </w:pPr>
          </w:p>
        </w:tc>
        <w:tc>
          <w:tcPr>
            <w:tcW w:w="900" w:type="dxa"/>
            <w:vAlign w:val="bottom"/>
          </w:tcPr>
          <w:p>
            <w:pPr>
              <w:jc w:val="right"/>
              <w:ind w:right="361"/>
              <w:spacing w:after="0"/>
              <w:rPr>
                <w:sz w:val="20"/>
                <w:szCs w:val="20"/>
                <w:color w:val="auto"/>
              </w:rPr>
            </w:pPr>
            <w:r>
              <w:rPr>
                <w:rFonts w:ascii="Verdana" w:cs="Verdana" w:eastAsia="Verdana" w:hAnsi="Verdana"/>
                <w:sz w:val="10"/>
                <w:szCs w:val="10"/>
                <w:b w:val="1"/>
                <w:bCs w:val="1"/>
                <w:color w:val="auto"/>
              </w:rPr>
              <w:t>Value</w:t>
            </w:r>
          </w:p>
        </w:tc>
        <w:tc>
          <w:tcPr>
            <w:tcW w:w="8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Yield</w:t>
            </w:r>
          </w:p>
        </w:tc>
        <w:tc>
          <w:tcPr>
            <w:tcW w:w="260" w:type="dxa"/>
            <w:vAlign w:val="bottom"/>
          </w:tcPr>
          <w:p>
            <w:pPr>
              <w:spacing w:after="0"/>
              <w:rPr>
                <w:sz w:val="11"/>
                <w:szCs w:val="11"/>
                <w:color w:val="auto"/>
              </w:rPr>
            </w:pPr>
          </w:p>
        </w:tc>
        <w:tc>
          <w:tcPr>
            <w:tcW w:w="1220" w:type="dxa"/>
            <w:vAlign w:val="bottom"/>
            <w:gridSpan w:val="3"/>
          </w:tcPr>
          <w:p>
            <w:pPr>
              <w:jc w:val="right"/>
              <w:ind w:right="740"/>
              <w:spacing w:after="0"/>
              <w:rPr>
                <w:sz w:val="20"/>
                <w:szCs w:val="20"/>
                <w:color w:val="auto"/>
              </w:rPr>
            </w:pPr>
            <w:r>
              <w:rPr>
                <w:rFonts w:ascii="Verdana" w:cs="Verdana" w:eastAsia="Verdana" w:hAnsi="Verdana"/>
                <w:sz w:val="10"/>
                <w:szCs w:val="10"/>
                <w:b w:val="1"/>
                <w:bCs w:val="1"/>
                <w:color w:val="auto"/>
              </w:rPr>
              <w:t>Value</w:t>
            </w:r>
          </w:p>
        </w:tc>
        <w:tc>
          <w:tcPr>
            <w:tcW w:w="880" w:type="dxa"/>
            <w:vAlign w:val="bottom"/>
          </w:tcPr>
          <w:p>
            <w:pPr>
              <w:jc w:val="center"/>
              <w:ind w:right="160"/>
              <w:spacing w:after="0"/>
              <w:rPr>
                <w:sz w:val="20"/>
                <w:szCs w:val="20"/>
                <w:color w:val="auto"/>
              </w:rPr>
            </w:pPr>
            <w:r>
              <w:rPr>
                <w:rFonts w:ascii="Verdana" w:cs="Verdana" w:eastAsia="Verdana" w:hAnsi="Verdana"/>
                <w:sz w:val="10"/>
                <w:szCs w:val="10"/>
                <w:b w:val="1"/>
                <w:bCs w:val="1"/>
                <w:color w:val="auto"/>
                <w:w w:val="92"/>
              </w:rPr>
              <w:t>Yield</w:t>
            </w:r>
          </w:p>
        </w:tc>
        <w:tc>
          <w:tcPr>
            <w:tcW w:w="0" w:type="dxa"/>
            <w:vAlign w:val="bottom"/>
          </w:tcPr>
          <w:p>
            <w:pPr>
              <w:spacing w:after="0"/>
              <w:rPr>
                <w:sz w:val="1"/>
                <w:szCs w:val="1"/>
                <w:color w:val="auto"/>
              </w:rPr>
            </w:pPr>
          </w:p>
        </w:tc>
      </w:tr>
      <w:tr>
        <w:trPr>
          <w:trHeight w:val="172"/>
        </w:trPr>
        <w:tc>
          <w:tcPr>
            <w:tcW w:w="16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w:t>
            </w:r>
          </w:p>
        </w:tc>
        <w:tc>
          <w:tcPr>
            <w:tcW w:w="260" w:type="dxa"/>
            <w:vAlign w:val="bottom"/>
            <w:tcBorders>
              <w:top w:val="single" w:sz="8" w:color="auto"/>
            </w:tcBorders>
            <w:shd w:val="clear" w:color="auto" w:fill="E0E7ED"/>
          </w:tcPr>
          <w:p>
            <w:pPr>
              <w:spacing w:after="0"/>
              <w:rPr>
                <w:sz w:val="14"/>
                <w:szCs w:val="14"/>
                <w:color w:val="auto"/>
              </w:rPr>
            </w:pPr>
          </w:p>
        </w:tc>
        <w:tc>
          <w:tcPr>
            <w:tcW w:w="8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10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80" w:type="dxa"/>
            <w:vAlign w:val="bottom"/>
            <w:tcBorders>
              <w:top w:val="single" w:sz="8" w:color="auto"/>
            </w:tcBorders>
            <w:shd w:val="clear" w:color="auto" w:fill="E0E7ED"/>
          </w:tcPr>
          <w:p>
            <w:pPr>
              <w:spacing w:after="0"/>
              <w:rPr>
                <w:sz w:val="14"/>
                <w:szCs w:val="14"/>
                <w:color w:val="auto"/>
              </w:rPr>
            </w:pPr>
          </w:p>
        </w:tc>
        <w:tc>
          <w:tcPr>
            <w:tcW w:w="8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60" w:type="dxa"/>
            <w:vAlign w:val="bottom"/>
            <w:tcBorders>
              <w:top w:val="single" w:sz="8" w:color="auto"/>
            </w:tcBorders>
            <w:shd w:val="clear" w:color="auto" w:fill="E0E7ED"/>
          </w:tcPr>
          <w:p>
            <w:pPr>
              <w:spacing w:after="0"/>
              <w:rPr>
                <w:sz w:val="14"/>
                <w:szCs w:val="14"/>
                <w:color w:val="auto"/>
              </w:rPr>
            </w:pPr>
          </w:p>
        </w:tc>
        <w:tc>
          <w:tcPr>
            <w:tcW w:w="90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60" w:type="dxa"/>
            <w:vAlign w:val="bottom"/>
            <w:tcBorders>
              <w:top w:val="single" w:sz="8" w:color="auto"/>
            </w:tcBorders>
            <w:shd w:val="clear" w:color="auto" w:fill="E0E7ED"/>
          </w:tcPr>
          <w:p>
            <w:pPr>
              <w:spacing w:after="0"/>
              <w:rPr>
                <w:sz w:val="14"/>
                <w:szCs w:val="14"/>
                <w:color w:val="auto"/>
              </w:rPr>
            </w:pPr>
          </w:p>
        </w:tc>
        <w:tc>
          <w:tcPr>
            <w:tcW w:w="9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20" w:type="dxa"/>
            <w:vAlign w:val="bottom"/>
            <w:tcBorders>
              <w:top w:val="single" w:sz="8" w:color="auto"/>
            </w:tcBorders>
            <w:shd w:val="clear" w:color="auto" w:fill="E0E7ED"/>
          </w:tcPr>
          <w:p>
            <w:pPr>
              <w:spacing w:after="0"/>
              <w:rPr>
                <w:sz w:val="14"/>
                <w:szCs w:val="14"/>
                <w:color w:val="auto"/>
              </w:rPr>
            </w:pPr>
          </w:p>
        </w:tc>
        <w:tc>
          <w:tcPr>
            <w:tcW w:w="88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 maturity</w:t>
            </w:r>
            <w:r>
              <w:rPr>
                <w:rFonts w:ascii="Verdana" w:cs="Verdana" w:eastAsia="Verdana" w:hAnsi="Verdana"/>
                <w:sz w:val="9"/>
                <w:szCs w:val="9"/>
                <w:b w:val="1"/>
                <w:bCs w:val="1"/>
                <w:color w:val="auto"/>
              </w:rPr>
              <w:t>1</w:t>
            </w:r>
          </w:p>
        </w:tc>
        <w:tc>
          <w:tcPr>
            <w:tcW w:w="26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9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640" w:type="dxa"/>
            <w:vAlign w:val="bottom"/>
          </w:tcPr>
          <w:p>
            <w:pPr>
              <w:ind w:left="140"/>
              <w:spacing w:after="0"/>
              <w:rPr>
                <w:sz w:val="20"/>
                <w:szCs w:val="20"/>
                <w:color w:val="auto"/>
              </w:rPr>
            </w:pPr>
            <w:r>
              <w:rPr>
                <w:rFonts w:ascii="Verdana" w:cs="Verdana" w:eastAsia="Verdana" w:hAnsi="Verdana"/>
                <w:sz w:val="14"/>
                <w:szCs w:val="14"/>
                <w:color w:val="auto"/>
              </w:rPr>
              <w:t>Commercial</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40" w:type="dxa"/>
            <w:vAlign w:val="bottom"/>
          </w:tcPr>
          <w:p>
            <w:pPr>
              <w:ind w:left="140"/>
              <w:spacing w:after="0"/>
              <w:rPr>
                <w:sz w:val="20"/>
                <w:szCs w:val="20"/>
                <w:color w:val="auto"/>
              </w:rPr>
            </w:pPr>
            <w:r>
              <w:rPr>
                <w:rFonts w:ascii="Verdana" w:cs="Verdana" w:eastAsia="Verdana" w:hAnsi="Verdana"/>
                <w:sz w:val="14"/>
                <w:szCs w:val="14"/>
                <w:color w:val="auto"/>
              </w:rPr>
              <w:t>mortgage-backed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140"/>
              <w:spacing w:after="0"/>
              <w:rPr>
                <w:sz w:val="20"/>
                <w:szCs w:val="20"/>
                <w:color w:val="auto"/>
              </w:rPr>
            </w:pPr>
            <w:r>
              <w:rPr>
                <w:rFonts w:ascii="Verdana" w:cs="Verdana" w:eastAsia="Verdana" w:hAnsi="Verdana"/>
                <w:sz w:val="14"/>
                <w:szCs w:val="14"/>
                <w:color w:val="auto"/>
              </w:rPr>
              <w:t>securities</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tcPr>
          <w:p>
            <w:pPr>
              <w:jc w:val="right"/>
              <w:spacing w:after="0"/>
              <w:rPr>
                <w:sz w:val="20"/>
                <w:szCs w:val="20"/>
                <w:color w:val="auto"/>
              </w:rPr>
            </w:pPr>
            <w:r>
              <w:rPr>
                <w:rFonts w:ascii="Verdana" w:cs="Verdana" w:eastAsia="Verdana" w:hAnsi="Verdana"/>
                <w:sz w:val="14"/>
                <w:szCs w:val="14"/>
                <w:color w:val="auto"/>
              </w:rPr>
              <w:t>18,327</w:t>
            </w:r>
          </w:p>
        </w:tc>
        <w:tc>
          <w:tcPr>
            <w:tcW w:w="1180" w:type="dxa"/>
            <w:vAlign w:val="bottom"/>
            <w:gridSpan w:val="2"/>
          </w:tcPr>
          <w:p>
            <w:pPr>
              <w:jc w:val="right"/>
              <w:spacing w:after="0"/>
              <w:rPr>
                <w:sz w:val="20"/>
                <w:szCs w:val="20"/>
                <w:color w:val="auto"/>
              </w:rPr>
            </w:pPr>
            <w:r>
              <w:rPr>
                <w:rFonts w:ascii="Verdana" w:cs="Verdana" w:eastAsia="Verdana" w:hAnsi="Verdana"/>
                <w:sz w:val="14"/>
                <w:szCs w:val="14"/>
                <w:color w:val="auto"/>
              </w:rPr>
              <w:t>2.27 %</w:t>
            </w:r>
          </w:p>
        </w:tc>
        <w:tc>
          <w:tcPr>
            <w:tcW w:w="80" w:type="dxa"/>
            <w:vAlign w:val="bottom"/>
          </w:tcPr>
          <w:p>
            <w:pPr>
              <w:spacing w:after="0"/>
              <w:rPr>
                <w:sz w:val="16"/>
                <w:szCs w:val="16"/>
                <w:color w:val="auto"/>
              </w:rPr>
            </w:pPr>
          </w:p>
        </w:tc>
        <w:tc>
          <w:tcPr>
            <w:tcW w:w="280" w:type="dxa"/>
            <w:vAlign w:val="bottom"/>
          </w:tcPr>
          <w:p>
            <w:pPr>
              <w:jc w:val="right"/>
              <w:ind w:right="89"/>
              <w:spacing w:after="0"/>
              <w:rPr>
                <w:sz w:val="20"/>
                <w:szCs w:val="20"/>
                <w:color w:val="auto"/>
              </w:rPr>
            </w:pPr>
            <w:r>
              <w:rPr>
                <w:rFonts w:ascii="Verdana" w:cs="Verdana" w:eastAsia="Verdana" w:hAnsi="Verdana"/>
                <w:sz w:val="14"/>
                <w:szCs w:val="14"/>
                <w:color w:val="auto"/>
              </w:rPr>
              <w:t>$</w:t>
            </w:r>
          </w:p>
        </w:tc>
        <w:tc>
          <w:tcPr>
            <w:tcW w:w="880" w:type="dxa"/>
            <w:vAlign w:val="bottom"/>
          </w:tcPr>
          <w:p>
            <w:pPr>
              <w:jc w:val="right"/>
              <w:ind w:right="1"/>
              <w:spacing w:after="0"/>
              <w:rPr>
                <w:sz w:val="20"/>
                <w:szCs w:val="20"/>
                <w:color w:val="auto"/>
              </w:rPr>
            </w:pPr>
            <w:r>
              <w:rPr>
                <w:rFonts w:ascii="Verdana" w:cs="Verdana" w:eastAsia="Verdana" w:hAnsi="Verdana"/>
                <w:sz w:val="14"/>
                <w:szCs w:val="14"/>
                <w:color w:val="auto"/>
              </w:rPr>
              <w:t>58,733</w:t>
            </w:r>
          </w:p>
        </w:tc>
        <w:tc>
          <w:tcPr>
            <w:tcW w:w="1200" w:type="dxa"/>
            <w:vAlign w:val="bottom"/>
            <w:gridSpan w:val="2"/>
          </w:tcPr>
          <w:p>
            <w:pPr>
              <w:jc w:val="right"/>
              <w:spacing w:after="0"/>
              <w:rPr>
                <w:sz w:val="20"/>
                <w:szCs w:val="20"/>
                <w:color w:val="auto"/>
              </w:rPr>
            </w:pPr>
            <w:r>
              <w:rPr>
                <w:rFonts w:ascii="Verdana" w:cs="Verdana" w:eastAsia="Verdana" w:hAnsi="Verdana"/>
                <w:sz w:val="14"/>
                <w:szCs w:val="14"/>
                <w:color w:val="auto"/>
              </w:rPr>
              <w:t>2.15 %</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tcPr>
          <w:p>
            <w:pPr>
              <w:jc w:val="right"/>
              <w:ind w:right="1"/>
              <w:spacing w:after="0"/>
              <w:rPr>
                <w:sz w:val="20"/>
                <w:szCs w:val="20"/>
                <w:color w:val="auto"/>
              </w:rPr>
            </w:pPr>
            <w:r>
              <w:rPr>
                <w:rFonts w:ascii="Verdana" w:cs="Verdana" w:eastAsia="Verdana" w:hAnsi="Verdana"/>
                <w:sz w:val="14"/>
                <w:szCs w:val="14"/>
                <w:color w:val="auto"/>
              </w:rPr>
              <w:t>12,609</w:t>
            </w:r>
          </w:p>
        </w:tc>
        <w:tc>
          <w:tcPr>
            <w:tcW w:w="1200" w:type="dxa"/>
            <w:vAlign w:val="bottom"/>
            <w:gridSpan w:val="2"/>
          </w:tcPr>
          <w:p>
            <w:pPr>
              <w:jc w:val="right"/>
              <w:spacing w:after="0"/>
              <w:rPr>
                <w:sz w:val="20"/>
                <w:szCs w:val="20"/>
                <w:color w:val="auto"/>
              </w:rPr>
            </w:pPr>
            <w:r>
              <w:rPr>
                <w:rFonts w:ascii="Verdana" w:cs="Verdana" w:eastAsia="Verdana" w:hAnsi="Verdana"/>
                <w:sz w:val="14"/>
                <w:szCs w:val="14"/>
                <w:color w:val="auto"/>
              </w:rPr>
              <w:t>2.42 %</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ind w:right="21"/>
              <w:spacing w:after="0"/>
              <w:rPr>
                <w:sz w:val="20"/>
                <w:szCs w:val="20"/>
                <w:color w:val="auto"/>
              </w:rPr>
            </w:pPr>
            <w:r>
              <w:rPr>
                <w:rFonts w:ascii="Verdana" w:cs="Verdana" w:eastAsia="Verdana" w:hAnsi="Verdana"/>
                <w:sz w:val="14"/>
                <w:szCs w:val="14"/>
                <w:color w:val="auto"/>
              </w:rPr>
              <w:t>248,619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Verdana" w:cs="Verdana" w:eastAsia="Verdana" w:hAnsi="Verdana"/>
                <w:sz w:val="14"/>
                <w:szCs w:val="14"/>
                <w:color w:val="auto"/>
              </w:rPr>
              <w:t>2.20 %</w:t>
            </w:r>
          </w:p>
        </w:tc>
        <w:tc>
          <w:tcPr>
            <w:tcW w:w="0" w:type="dxa"/>
            <w:vAlign w:val="bottom"/>
          </w:tcPr>
          <w:p>
            <w:pPr>
              <w:spacing w:after="0"/>
              <w:rPr>
                <w:sz w:val="1"/>
                <w:szCs w:val="1"/>
                <w:color w:val="auto"/>
              </w:rPr>
            </w:pPr>
          </w:p>
        </w:tc>
      </w:tr>
      <w:tr>
        <w:trPr>
          <w:trHeight w:val="192"/>
        </w:trPr>
        <w:tc>
          <w:tcPr>
            <w:tcW w:w="16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w:t>
            </w:r>
          </w:p>
        </w:tc>
        <w:tc>
          <w:tcPr>
            <w:tcW w:w="26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9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9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mortgage-backed</w:t>
            </w:r>
          </w:p>
        </w:tc>
        <w:tc>
          <w:tcPr>
            <w:tcW w:w="260" w:type="dxa"/>
            <w:vAlign w:val="bottom"/>
            <w:shd w:val="clear" w:color="auto" w:fill="E0E7ED"/>
          </w:tcPr>
          <w:p>
            <w:pPr>
              <w:spacing w:after="0"/>
              <w:rPr>
                <w:sz w:val="14"/>
                <w:szCs w:val="14"/>
                <w:color w:val="auto"/>
              </w:rPr>
            </w:pPr>
          </w:p>
        </w:tc>
        <w:tc>
          <w:tcPr>
            <w:tcW w:w="8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8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9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9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88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securities</w:t>
            </w:r>
          </w:p>
        </w:tc>
        <w:tc>
          <w:tcPr>
            <w:tcW w:w="26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28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6"/>
                <w:szCs w:val="16"/>
                <w:color w:val="auto"/>
              </w:rPr>
            </w:pPr>
          </w:p>
        </w:tc>
        <w:tc>
          <w:tcPr>
            <w:tcW w:w="12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260" w:type="dxa"/>
            <w:vAlign w:val="bottom"/>
            <w:tcBorders>
              <w:bottom w:val="single" w:sz="8" w:color="auto"/>
            </w:tcBorders>
            <w:shd w:val="clear" w:color="auto" w:fill="E0E7ED"/>
          </w:tcPr>
          <w:p>
            <w:pPr>
              <w:spacing w:after="0"/>
              <w:rPr>
                <w:sz w:val="16"/>
                <w:szCs w:val="16"/>
                <w:color w:val="auto"/>
              </w:rPr>
            </w:pPr>
          </w:p>
        </w:tc>
        <w:tc>
          <w:tcPr>
            <w:tcW w:w="90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6"/>
                <w:szCs w:val="16"/>
                <w:color w:val="auto"/>
              </w:rPr>
            </w:pPr>
          </w:p>
        </w:tc>
        <w:tc>
          <w:tcPr>
            <w:tcW w:w="120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260" w:type="dxa"/>
            <w:vAlign w:val="bottom"/>
            <w:tcBorders>
              <w:bottom w:val="single" w:sz="8" w:color="auto"/>
            </w:tcBorders>
            <w:shd w:val="clear" w:color="auto" w:fill="E0E7ED"/>
          </w:tcPr>
          <w:p>
            <w:pPr>
              <w:spacing w:after="0"/>
              <w:rPr>
                <w:sz w:val="16"/>
                <w:szCs w:val="16"/>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4"/>
                <w:szCs w:val="14"/>
                <w:color w:val="auto"/>
              </w:rPr>
              <w:t>336,765</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2.20 %</w:t>
            </w:r>
          </w:p>
        </w:tc>
        <w:tc>
          <w:tcPr>
            <w:tcW w:w="0" w:type="dxa"/>
            <w:vAlign w:val="bottom"/>
          </w:tcPr>
          <w:p>
            <w:pPr>
              <w:spacing w:after="0"/>
              <w:rPr>
                <w:sz w:val="1"/>
                <w:szCs w:val="1"/>
                <w:color w:val="auto"/>
              </w:rPr>
            </w:pPr>
          </w:p>
        </w:tc>
      </w:tr>
      <w:tr>
        <w:trPr>
          <w:trHeight w:val="167"/>
        </w:trPr>
        <w:tc>
          <w:tcPr>
            <w:tcW w:w="1640" w:type="dxa"/>
            <w:vAlign w:val="bottom"/>
          </w:tcPr>
          <w:p>
            <w:pPr>
              <w:ind w:left="20"/>
              <w:spacing w:after="0" w:line="167" w:lineRule="exact"/>
              <w:rPr>
                <w:sz w:val="20"/>
                <w:szCs w:val="20"/>
                <w:color w:val="auto"/>
              </w:rPr>
            </w:pPr>
            <w:r>
              <w:rPr>
                <w:rFonts w:ascii="Verdana" w:cs="Verdana" w:eastAsia="Verdana" w:hAnsi="Verdana"/>
                <w:sz w:val="14"/>
                <w:szCs w:val="14"/>
                <w:color w:val="auto"/>
              </w:rPr>
              <w:t>Debt securities held to</w:t>
            </w:r>
          </w:p>
        </w:tc>
        <w:tc>
          <w:tcPr>
            <w:tcW w:w="260" w:type="dxa"/>
            <w:vAlign w:val="bottom"/>
            <w:vMerge w:val="restart"/>
          </w:tcPr>
          <w:p>
            <w:pPr>
              <w:jc w:val="right"/>
              <w:ind w:right="89"/>
              <w:spacing w:after="0"/>
              <w:rPr>
                <w:sz w:val="20"/>
                <w:szCs w:val="20"/>
                <w:color w:val="auto"/>
              </w:rPr>
            </w:pPr>
            <w:r>
              <w:rPr>
                <w:rFonts w:ascii="Verdana" w:cs="Verdana" w:eastAsia="Verdana" w:hAnsi="Verdana"/>
                <w:sz w:val="14"/>
                <w:szCs w:val="14"/>
                <w:color w:val="auto"/>
                <w:w w:val="88"/>
              </w:rPr>
              <w:t>$</w:t>
            </w:r>
          </w:p>
        </w:tc>
        <w:tc>
          <w:tcPr>
            <w:tcW w:w="880" w:type="dxa"/>
            <w:vAlign w:val="bottom"/>
            <w:vMerge w:val="restart"/>
          </w:tcPr>
          <w:p>
            <w:pPr>
              <w:jc w:val="right"/>
              <w:spacing w:after="0"/>
              <w:rPr>
                <w:sz w:val="20"/>
                <w:szCs w:val="20"/>
                <w:color w:val="auto"/>
              </w:rPr>
            </w:pPr>
            <w:r>
              <w:rPr>
                <w:rFonts w:ascii="Verdana" w:cs="Verdana" w:eastAsia="Verdana" w:hAnsi="Verdana"/>
                <w:sz w:val="14"/>
                <w:szCs w:val="14"/>
                <w:color w:val="auto"/>
              </w:rPr>
              <w:t>18,327</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jc w:val="right"/>
              <w:ind w:right="89"/>
              <w:spacing w:after="0"/>
              <w:rPr>
                <w:sz w:val="20"/>
                <w:szCs w:val="20"/>
                <w:color w:val="auto"/>
              </w:rPr>
            </w:pPr>
            <w:r>
              <w:rPr>
                <w:rFonts w:ascii="Verdana" w:cs="Verdana" w:eastAsia="Verdana" w:hAnsi="Verdana"/>
                <w:sz w:val="14"/>
                <w:szCs w:val="14"/>
                <w:color w:val="auto"/>
              </w:rPr>
              <w:t>$</w:t>
            </w:r>
          </w:p>
        </w:tc>
        <w:tc>
          <w:tcPr>
            <w:tcW w:w="880" w:type="dxa"/>
            <w:vAlign w:val="bottom"/>
            <w:vMerge w:val="restart"/>
          </w:tcPr>
          <w:p>
            <w:pPr>
              <w:jc w:val="right"/>
              <w:ind w:right="1"/>
              <w:spacing w:after="0"/>
              <w:rPr>
                <w:sz w:val="20"/>
                <w:szCs w:val="20"/>
                <w:color w:val="auto"/>
              </w:rPr>
            </w:pPr>
            <w:r>
              <w:rPr>
                <w:rFonts w:ascii="Verdana" w:cs="Verdana" w:eastAsia="Verdana" w:hAnsi="Verdana"/>
                <w:sz w:val="14"/>
                <w:szCs w:val="14"/>
                <w:color w:val="auto"/>
              </w:rPr>
              <w:t>58,733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vMerge w:val="restart"/>
          </w:tcPr>
          <w:p>
            <w:pPr>
              <w:jc w:val="right"/>
              <w:ind w:right="1"/>
              <w:spacing w:after="0"/>
              <w:rPr>
                <w:sz w:val="20"/>
                <w:szCs w:val="20"/>
                <w:color w:val="auto"/>
              </w:rPr>
            </w:pPr>
            <w:r>
              <w:rPr>
                <w:rFonts w:ascii="Verdana" w:cs="Verdana" w:eastAsia="Verdana" w:hAnsi="Verdana"/>
                <w:sz w:val="14"/>
                <w:szCs w:val="14"/>
                <w:color w:val="auto"/>
              </w:rPr>
              <w:t>12,609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restart"/>
          </w:tcPr>
          <w:p>
            <w:pPr>
              <w:jc w:val="right"/>
              <w:ind w:right="89"/>
              <w:spacing w:after="0"/>
              <w:rPr>
                <w:sz w:val="20"/>
                <w:szCs w:val="20"/>
                <w:color w:val="auto"/>
              </w:rPr>
            </w:pPr>
            <w:r>
              <w:rPr>
                <w:rFonts w:ascii="Verdana" w:cs="Verdana" w:eastAsia="Verdana" w:hAnsi="Verdana"/>
                <w:sz w:val="14"/>
                <w:szCs w:val="14"/>
                <w:color w:val="auto"/>
                <w:w w:val="88"/>
              </w:rPr>
              <w:t>$</w:t>
            </w:r>
          </w:p>
        </w:tc>
        <w:tc>
          <w:tcPr>
            <w:tcW w:w="920" w:type="dxa"/>
            <w:vAlign w:val="bottom"/>
            <w:vMerge w:val="restart"/>
          </w:tcPr>
          <w:p>
            <w:pPr>
              <w:jc w:val="right"/>
              <w:ind w:right="21"/>
              <w:spacing w:after="0"/>
              <w:rPr>
                <w:sz w:val="20"/>
                <w:szCs w:val="20"/>
                <w:color w:val="auto"/>
              </w:rPr>
            </w:pPr>
            <w:r>
              <w:rPr>
                <w:rFonts w:ascii="Verdana" w:cs="Verdana" w:eastAsia="Verdana" w:hAnsi="Verdana"/>
                <w:sz w:val="14"/>
                <w:szCs w:val="14"/>
                <w:color w:val="auto"/>
              </w:rPr>
              <w:t>585,384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40" w:type="dxa"/>
            <w:vAlign w:val="bottom"/>
          </w:tcPr>
          <w:p>
            <w:pPr>
              <w:ind w:left="20"/>
              <w:spacing w:after="0"/>
              <w:rPr>
                <w:sz w:val="20"/>
                <w:szCs w:val="20"/>
                <w:color w:val="auto"/>
              </w:rPr>
            </w:pPr>
            <w:r>
              <w:rPr>
                <w:rFonts w:ascii="Verdana" w:cs="Verdana" w:eastAsia="Verdana" w:hAnsi="Verdana"/>
                <w:sz w:val="14"/>
                <w:szCs w:val="14"/>
                <w:color w:val="auto"/>
              </w:rPr>
              <w:t>maturity</w:t>
            </w: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Verdana" w:cs="Verdana" w:eastAsia="Verdana" w:hAnsi="Verdana"/>
                <w:sz w:val="14"/>
                <w:szCs w:val="14"/>
                <w:color w:val="auto"/>
              </w:rPr>
              <w:t>2.27 %</w:t>
            </w:r>
          </w:p>
        </w:tc>
        <w:tc>
          <w:tcPr>
            <w:tcW w:w="8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Verdana" w:cs="Verdana" w:eastAsia="Verdana" w:hAnsi="Verdana"/>
                <w:sz w:val="14"/>
                <w:szCs w:val="14"/>
                <w:color w:val="auto"/>
              </w:rPr>
              <w:t>2.15 %</w:t>
            </w: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Verdana" w:cs="Verdana" w:eastAsia="Verdana" w:hAnsi="Verdana"/>
                <w:sz w:val="14"/>
                <w:szCs w:val="14"/>
                <w:color w:val="auto"/>
              </w:rPr>
              <w:t>2.42 %</w:t>
            </w: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Verdana" w:cs="Verdana" w:eastAsia="Verdana" w:hAnsi="Verdana"/>
                <w:sz w:val="14"/>
                <w:szCs w:val="14"/>
                <w:color w:val="auto"/>
              </w:rPr>
              <w:t>2.20 %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27"/>
        </w:numPr>
        <w:rPr>
          <w:rFonts w:ascii="Verdana" w:cs="Verdana" w:eastAsia="Verdana" w:hAnsi="Verdana"/>
          <w:sz w:val="10"/>
          <w:szCs w:val="10"/>
          <w:color w:val="auto"/>
        </w:rPr>
      </w:pPr>
      <w:r>
        <w:rPr>
          <w:rFonts w:ascii="Verdana" w:cs="Verdana" w:eastAsia="Verdana" w:hAnsi="Verdana"/>
          <w:sz w:val="10"/>
          <w:szCs w:val="10"/>
          <w:color w:val="auto"/>
        </w:rPr>
        <w:t>Securities are presented based upon final contractual maturity or pre-refunded date.</w:t>
      </w:r>
    </w:p>
    <w:p>
      <w:pPr>
        <w:spacing w:after="0" w:line="144"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Equity Securities</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Equity securities are carried at fair value. The fair value of equity securities was $15.9 million as of December 31, 2024, compared to $9.8 million as of December 31, 2023.</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8" w:name="page69"/>
    <w:bookmarkEnd w:id="6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Portfolio Loans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Busey believes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M&amp;M’s policies were similar in nature to Busey Bank’s policies, and Busey is in the process of migrating the legacy M&amp;M portfolio toward Busey Bank’s policies. While not specifically limited, Busey attempts to focus its lending on short to intermediate-term loans (0-10 years) in geographic areas within 125 miles of its lending offices. Loans originated outside of these areas are generally to existing customers of Busey Bank. Busey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23"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Busey’s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3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At no time is a borrower’s total borrowing relationship permitted to exceed Busey Bank’s regulatory lending limit. Busey generally limits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maintains an independent loan review department that reviews loans for compliance with Busey’s loan policy on a periodic basis. In addition, the loan review department reviews risk assessments made by Busey’s credit department, lenders, and loan committees. Results of these reviews are presented to management and the audit committee at least quarterly.</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Bank’s lending can be summarized into five primary lending activities, which can be further categorized as either commercial or retail lending. Commercial lending activities consist of C&amp;I and other commercial loans, CRE loans, and real estate construction loans while retail lending activities consist of retail real estate loans and retail other loans.</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C&amp;I and Other Commercial Loans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C&amp;I and other commercial loans typically comprise working capital loans or business expansion loans, including loans for asset purchases and other business loans. C&amp;I and other commercial loans will generally be guaranteed, in full or a material percentage, by the primary owners of the business. C&amp;I and other commercial loans are made based primarily on the borrower’s historical and projected cash flows and secondarily on the underlying assets pledged as collateral by the borrower. Cash flows of the borrower, however, may not perform consistently with historical or projected information. Further, collateral securing loans may fluctuate in value due to individual economic or other factors. Busey Bank has established minimum standards and underwriting guidelines for all C&amp;I and other commercial loan types.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69" w:name="page70"/>
    <w:bookmarkEnd w:id="6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Commercial Real Estate Loans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commercial environment, along with the academic presence in some of the markets in which Busey operates, provides for the majority of Busey’s commercial lending opportunities to be CRE related, including multi-unit housing. As the majority of Busey’s loan portfolio is within the CRE class, Busey’s goal is to maintain a high quality, geographically diverse portfolio of CRE loans. CRE loans are subject to underwriting standards and guidelines similar to commercial loans. CRE loans are generally guaranteed, in full or a material percentage, by the primary owners of the business. Repayment of these loans is primarily dependent on the cash flows of the underlying property. However, CRE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which Busey closely monitors.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Real Estate Construction Loans</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Real estate construction loans are primarily commercial in nature. Loan proceeds are monitored by Busey and advanced for the improvement of real estate in which Busey holds a mortgage. Real estate construction loans will generally be guaranteed, in full or a material percentage,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Retail Real Estate Loans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Retail real estate loans are comprised of direct consumer loans that include residential real estate, home equity lines of credit, and home equity loans. In 2024, Busey retained a smaller percentage of originated retail real estate loans in its portfolio, electing to sell a larger percentage to secondary market purchasers. As retail real estate loan underwriting is subject to specific regulations, Busey typically underwrites retail real estate loans to conform to widely accepted standards. Several factors are considered in underwriting including the debt-to-income ratio and credit history of the borrower, as well as the value of the underlying real estate.</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Retail Other Loans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Retail other loans consist of installment loans to individuals, including automotive loans and indirect lending. These loans are centrally underwritten utilizing the borrower’s financial history, including credit scores, as well as information about the underlying collateral. Retail other loans also include whole-life loans which are secured by the cash value of underlying life insurance policies. Repayment of retail other loans is expected from the borrower’s cash flows.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0" w:name="page71"/>
    <w:bookmarkEnd w:id="7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Portfolio Composition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composition of Busey’s loan portfolio as of the dates indicated, as well as changes in portfolio loan balances, were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3"/>
        </w:trPr>
        <w:tc>
          <w:tcPr>
            <w:tcW w:w="46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72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3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20" w:type="dxa"/>
            <w:vAlign w:val="bottom"/>
            <w:shd w:val="clear" w:color="auto" w:fill="E0E7ED"/>
          </w:tcPr>
          <w:p>
            <w:pPr>
              <w:spacing w:after="0"/>
              <w:rPr>
                <w:sz w:val="17"/>
                <w:szCs w:val="17"/>
                <w:color w:val="auto"/>
              </w:rPr>
            </w:pPr>
          </w:p>
        </w:tc>
      </w:tr>
      <w:tr>
        <w:trPr>
          <w:trHeight w:val="207"/>
        </w:trPr>
        <w:tc>
          <w:tcPr>
            <w:tcW w:w="460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1,904,515</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1,835,994</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68,521</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3.7 %</w:t>
            </w:r>
          </w:p>
        </w:tc>
      </w:tr>
      <w:tr>
        <w:trPr>
          <w:trHeight w:val="218"/>
        </w:trPr>
        <w:tc>
          <w:tcPr>
            <w:tcW w:w="46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3,269,564</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3,337,337</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(67,773)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(2.0)%</w:t>
            </w:r>
          </w:p>
        </w:tc>
      </w:tr>
      <w:tr>
        <w:trPr>
          <w:trHeight w:val="207"/>
        </w:trPr>
        <w:tc>
          <w:tcPr>
            <w:tcW w:w="46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378,209</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461,717</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(83,508)</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(18.1)%</w:t>
            </w:r>
          </w:p>
        </w:tc>
      </w:tr>
      <w:tr>
        <w:trPr>
          <w:trHeight w:val="208"/>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38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5,552,288</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5,635,048</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(82,760)</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(1.5)%</w:t>
            </w:r>
          </w:p>
        </w:tc>
      </w:tr>
      <w:tr>
        <w:trPr>
          <w:trHeight w:val="187"/>
        </w:trPr>
        <w:tc>
          <w:tcPr>
            <w:tcW w:w="460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8"/>
        </w:trPr>
        <w:tc>
          <w:tcPr>
            <w:tcW w:w="46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38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1,696,457</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1,720,455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(23,998)</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(1.4)%</w:t>
            </w:r>
          </w:p>
        </w:tc>
      </w:tr>
      <w:tr>
        <w:trPr>
          <w:trHeight w:val="207"/>
        </w:trPr>
        <w:tc>
          <w:tcPr>
            <w:tcW w:w="46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448,342</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295,531</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152,811</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51.7 %</w:t>
            </w:r>
          </w:p>
        </w:tc>
      </w:tr>
      <w:tr>
        <w:trPr>
          <w:trHeight w:val="203"/>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380" w:type="dxa"/>
            <w:vAlign w:val="bottom"/>
            <w:tcBorders>
              <w:bottom w:val="single" w:sz="8" w:color="auto"/>
            </w:tcBorders>
            <w:shd w:val="clear" w:color="auto" w:fill="E0E7ED"/>
          </w:tcPr>
          <w:p>
            <w:pPr>
              <w:spacing w:after="0"/>
              <w:rPr>
                <w:sz w:val="17"/>
                <w:szCs w:val="17"/>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2,144,799</w:t>
            </w:r>
          </w:p>
        </w:tc>
        <w:tc>
          <w:tcPr>
            <w:tcW w:w="100" w:type="dxa"/>
            <w:vAlign w:val="bottom"/>
            <w:shd w:val="clear" w:color="auto" w:fill="E0E7ED"/>
          </w:tcPr>
          <w:p>
            <w:pPr>
              <w:spacing w:after="0"/>
              <w:rPr>
                <w:sz w:val="17"/>
                <w:szCs w:val="17"/>
                <w:color w:val="auto"/>
              </w:rPr>
            </w:pPr>
          </w:p>
        </w:tc>
        <w:tc>
          <w:tcPr>
            <w:tcW w:w="560" w:type="dxa"/>
            <w:vAlign w:val="bottom"/>
            <w:tcBorders>
              <w:bottom w:val="single" w:sz="8" w:color="auto"/>
            </w:tcBorders>
            <w:shd w:val="clear" w:color="auto" w:fill="E0E7ED"/>
          </w:tcPr>
          <w:p>
            <w:pPr>
              <w:spacing w:after="0"/>
              <w:rPr>
                <w:sz w:val="17"/>
                <w:szCs w:val="17"/>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2,015,986</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128,813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6.4 %</w:t>
            </w:r>
          </w:p>
        </w:tc>
      </w:tr>
      <w:tr>
        <w:trPr>
          <w:trHeight w:val="203"/>
        </w:trPr>
        <w:tc>
          <w:tcPr>
            <w:tcW w:w="4600" w:type="dxa"/>
            <w:vAlign w:val="bottom"/>
          </w:tcPr>
          <w:p>
            <w:pPr>
              <w:ind w:left="20"/>
              <w:spacing w:after="0"/>
              <w:rPr>
                <w:sz w:val="20"/>
                <w:szCs w:val="20"/>
                <w:color w:val="auto"/>
              </w:rPr>
            </w:pPr>
            <w:r>
              <w:rPr>
                <w:rFonts w:ascii="Verdana" w:cs="Verdana" w:eastAsia="Verdana" w:hAnsi="Verdana"/>
                <w:sz w:val="14"/>
                <w:szCs w:val="14"/>
                <w:color w:val="auto"/>
              </w:rPr>
              <w:t>Total portfolio loans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7,697,087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7,651,034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46,053</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0.6 %</w:t>
            </w:r>
          </w:p>
        </w:tc>
      </w:tr>
      <w:tr>
        <w:trPr>
          <w:trHeight w:val="212"/>
        </w:trPr>
        <w:tc>
          <w:tcPr>
            <w:tcW w:w="46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ACL</w:t>
            </w:r>
          </w:p>
        </w:tc>
        <w:tc>
          <w:tcPr>
            <w:tcW w:w="38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(83,404)</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(91,740)</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8,336</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9.1 %</w:t>
            </w:r>
          </w:p>
        </w:tc>
      </w:tr>
      <w:tr>
        <w:trPr>
          <w:trHeight w:val="208"/>
        </w:trPr>
        <w:tc>
          <w:tcPr>
            <w:tcW w:w="4600" w:type="dxa"/>
            <w:vAlign w:val="bottom"/>
          </w:tcPr>
          <w:p>
            <w:pPr>
              <w:ind w:left="20"/>
              <w:spacing w:after="0"/>
              <w:rPr>
                <w:sz w:val="20"/>
                <w:szCs w:val="20"/>
                <w:color w:val="auto"/>
              </w:rPr>
            </w:pPr>
            <w:r>
              <w:rPr>
                <w:rFonts w:ascii="Verdana" w:cs="Verdana" w:eastAsia="Verdana" w:hAnsi="Verdana"/>
                <w:sz w:val="14"/>
                <w:szCs w:val="14"/>
                <w:color w:val="auto"/>
              </w:rPr>
              <w:t>Portfolio loans, net of ACL</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7,613,683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7,559,294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54,389</w:t>
            </w:r>
          </w:p>
        </w:tc>
        <w:tc>
          <w:tcPr>
            <w:tcW w:w="1800" w:type="dxa"/>
            <w:vAlign w:val="bottom"/>
            <w:gridSpan w:val="2"/>
          </w:tcPr>
          <w:p>
            <w:pPr>
              <w:jc w:val="right"/>
              <w:spacing w:after="0"/>
              <w:rPr>
                <w:sz w:val="20"/>
                <w:szCs w:val="20"/>
                <w:color w:val="auto"/>
              </w:rPr>
            </w:pPr>
            <w:r>
              <w:rPr>
                <w:rFonts w:ascii="Verdana" w:cs="Verdana" w:eastAsia="Verdana" w:hAnsi="Verdana"/>
                <w:sz w:val="14"/>
                <w:szCs w:val="14"/>
                <w:color w:val="auto"/>
              </w:rPr>
              <w:t>0.7 %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Portfolio loan growth in 2024 was due to the M&amp;M acquisition. As has been Busey’s practice, the Company remains steadfast in its conservative approach to underwriting and disciplined approach to pricing, particularly given Busey’s outlook for the economy in the coming quarters. This posture will continue to impact loan growth, which Busey expects to remain modest over the next several quarters.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Concentration of Credit Risk</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 a matter of policy and practice, Busey limits the level of concentration exposure in any particular loan segment with the goal of maintaining a well-diversified loan portfolio. The following table presents the percentage of total portfolio loans for each lending activity.</w:t>
      </w:r>
    </w:p>
    <w:p>
      <w:pPr>
        <w:spacing w:after="0" w:line="132" w:lineRule="exact"/>
        <w:rPr>
          <w:sz w:val="20"/>
          <w:szCs w:val="20"/>
          <w:color w:val="auto"/>
        </w:rPr>
      </w:pPr>
    </w:p>
    <w:p>
      <w:pPr>
        <w:ind w:left="9100"/>
        <w:spacing w:after="0"/>
        <w:rPr>
          <w:sz w:val="20"/>
          <w:szCs w:val="20"/>
          <w:color w:val="auto"/>
        </w:rPr>
      </w:pPr>
      <w:r>
        <w:rPr>
          <w:rFonts w:ascii="Verdana" w:cs="Verdana" w:eastAsia="Verdana" w:hAnsi="Verdana"/>
          <w:sz w:val="10"/>
          <w:szCs w:val="10"/>
          <w:b w:val="1"/>
          <w:bCs w:val="1"/>
          <w:color w:val="auto"/>
        </w:rPr>
        <w:t>As of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980" w:type="dxa"/>
            <w:vAlign w:val="bottom"/>
            <w:tcBorders>
              <w:bottom w:val="single" w:sz="8" w:color="E0E7ED"/>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E0E7ED"/>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592"/>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9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6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600" w:type="dxa"/>
            <w:vAlign w:val="bottom"/>
            <w:shd w:val="clear" w:color="auto" w:fill="E0E7ED"/>
          </w:tcPr>
          <w:p>
            <w:pPr>
              <w:spacing w:after="0"/>
              <w:rPr>
                <w:sz w:val="17"/>
                <w:szCs w:val="17"/>
                <w:color w:val="auto"/>
              </w:rPr>
            </w:pPr>
          </w:p>
        </w:tc>
      </w:tr>
      <w:tr>
        <w:trPr>
          <w:trHeight w:val="207"/>
        </w:trPr>
        <w:tc>
          <w:tcPr>
            <w:tcW w:w="8940" w:type="dxa"/>
            <w:vAlign w:val="bottom"/>
            <w:gridSpan w:val="2"/>
          </w:tcPr>
          <w:p>
            <w:pPr>
              <w:ind w:left="140"/>
              <w:spacing w:after="0"/>
              <w:rPr>
                <w:sz w:val="20"/>
                <w:szCs w:val="20"/>
                <w:color w:val="auto"/>
              </w:rPr>
            </w:pPr>
            <w:r>
              <w:rPr>
                <w:rFonts w:ascii="Verdana" w:cs="Verdana" w:eastAsia="Verdana" w:hAnsi="Verdana"/>
                <w:sz w:val="14"/>
                <w:szCs w:val="14"/>
                <w:color w:val="auto"/>
              </w:rPr>
              <w:t>C&amp;I and other commercial</w:t>
            </w:r>
          </w:p>
        </w:tc>
        <w:tc>
          <w:tcPr>
            <w:tcW w:w="640" w:type="dxa"/>
            <w:vAlign w:val="bottom"/>
          </w:tcPr>
          <w:p>
            <w:pPr>
              <w:jc w:val="right"/>
              <w:spacing w:after="0"/>
              <w:rPr>
                <w:sz w:val="20"/>
                <w:szCs w:val="20"/>
                <w:color w:val="auto"/>
              </w:rPr>
            </w:pPr>
            <w:r>
              <w:rPr>
                <w:rFonts w:ascii="Verdana" w:cs="Verdana" w:eastAsia="Verdana" w:hAnsi="Verdana"/>
                <w:sz w:val="14"/>
                <w:szCs w:val="14"/>
                <w:color w:val="auto"/>
              </w:rPr>
              <w:t>24.8 %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Verdana" w:cs="Verdana" w:eastAsia="Verdana" w:hAnsi="Verdana"/>
                <w:sz w:val="14"/>
                <w:szCs w:val="14"/>
                <w:color w:val="auto"/>
              </w:rPr>
              <w:t>24.0 %</w:t>
            </w:r>
          </w:p>
        </w:tc>
      </w:tr>
      <w:tr>
        <w:trPr>
          <w:trHeight w:val="218"/>
        </w:trPr>
        <w:tc>
          <w:tcPr>
            <w:tcW w:w="89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6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42.5 %</w:t>
            </w: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43.6 %</w:t>
            </w:r>
          </w:p>
        </w:tc>
      </w:tr>
      <w:tr>
        <w:trPr>
          <w:trHeight w:val="207"/>
        </w:trPr>
        <w:tc>
          <w:tcPr>
            <w:tcW w:w="7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4.9 %</w:t>
            </w:r>
          </w:p>
        </w:tc>
        <w:tc>
          <w:tcPr>
            <w:tcW w:w="100" w:type="dxa"/>
            <w:vAlign w:val="bottom"/>
            <w:tcBorders>
              <w:bottom w:val="single" w:sz="8" w:color="E0E7ED"/>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6.0 %</w:t>
            </w:r>
          </w:p>
        </w:tc>
      </w:tr>
      <w:tr>
        <w:trPr>
          <w:trHeight w:val="203"/>
        </w:trPr>
        <w:tc>
          <w:tcPr>
            <w:tcW w:w="79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960" w:type="dxa"/>
            <w:vAlign w:val="bottom"/>
            <w:tcBorders>
              <w:bottom w:val="single" w:sz="8" w:color="auto"/>
            </w:tcBorders>
            <w:shd w:val="clear" w:color="auto" w:fill="E0E7ED"/>
          </w:tcPr>
          <w:p>
            <w:pPr>
              <w:spacing w:after="0"/>
              <w:rPr>
                <w:sz w:val="17"/>
                <w:szCs w:val="17"/>
                <w:color w:val="auto"/>
              </w:rPr>
            </w:pPr>
          </w:p>
        </w:tc>
        <w:tc>
          <w:tcPr>
            <w:tcW w:w="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72.2 %</w:t>
            </w:r>
          </w:p>
        </w:tc>
        <w:tc>
          <w:tcPr>
            <w:tcW w:w="100" w:type="dxa"/>
            <w:vAlign w:val="bottom"/>
            <w:shd w:val="clear" w:color="auto" w:fill="E0E7ED"/>
          </w:tcPr>
          <w:p>
            <w:pPr>
              <w:spacing w:after="0"/>
              <w:rPr>
                <w:sz w:val="17"/>
                <w:szCs w:val="17"/>
                <w:color w:val="auto"/>
              </w:rPr>
            </w:pPr>
          </w:p>
        </w:tc>
        <w:tc>
          <w:tcPr>
            <w:tcW w:w="16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73.6 %</w:t>
            </w:r>
          </w:p>
        </w:tc>
      </w:tr>
      <w:tr>
        <w:trPr>
          <w:trHeight w:val="192"/>
        </w:trPr>
        <w:tc>
          <w:tcPr>
            <w:tcW w:w="8940" w:type="dxa"/>
            <w:vAlign w:val="bottom"/>
            <w:gridSpan w:val="2"/>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8"/>
        </w:trPr>
        <w:tc>
          <w:tcPr>
            <w:tcW w:w="89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6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22.0 %</w:t>
            </w: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22.5 %</w:t>
            </w:r>
          </w:p>
        </w:tc>
      </w:tr>
      <w:tr>
        <w:trPr>
          <w:trHeight w:val="207"/>
        </w:trPr>
        <w:tc>
          <w:tcPr>
            <w:tcW w:w="7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5.8 %</w:t>
            </w:r>
          </w:p>
        </w:tc>
        <w:tc>
          <w:tcPr>
            <w:tcW w:w="100" w:type="dxa"/>
            <w:vAlign w:val="bottom"/>
            <w:tcBorders>
              <w:bottom w:val="single" w:sz="8" w:color="E0E7ED"/>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3.9 %</w:t>
            </w:r>
          </w:p>
        </w:tc>
      </w:tr>
      <w:tr>
        <w:trPr>
          <w:trHeight w:val="203"/>
        </w:trPr>
        <w:tc>
          <w:tcPr>
            <w:tcW w:w="79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960" w:type="dxa"/>
            <w:vAlign w:val="bottom"/>
            <w:tcBorders>
              <w:bottom w:val="single" w:sz="8" w:color="auto"/>
            </w:tcBorders>
            <w:shd w:val="clear" w:color="auto" w:fill="E0E7ED"/>
          </w:tcPr>
          <w:p>
            <w:pPr>
              <w:spacing w:after="0"/>
              <w:rPr>
                <w:sz w:val="17"/>
                <w:szCs w:val="17"/>
                <w:color w:val="auto"/>
              </w:rPr>
            </w:pPr>
          </w:p>
        </w:tc>
        <w:tc>
          <w:tcPr>
            <w:tcW w:w="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27.8 %</w:t>
            </w:r>
          </w:p>
        </w:tc>
        <w:tc>
          <w:tcPr>
            <w:tcW w:w="100" w:type="dxa"/>
            <w:vAlign w:val="bottom"/>
            <w:shd w:val="clear" w:color="auto" w:fill="E0E7ED"/>
          </w:tcPr>
          <w:p>
            <w:pPr>
              <w:spacing w:after="0"/>
              <w:rPr>
                <w:sz w:val="17"/>
                <w:szCs w:val="17"/>
                <w:color w:val="auto"/>
              </w:rPr>
            </w:pPr>
          </w:p>
        </w:tc>
        <w:tc>
          <w:tcPr>
            <w:tcW w:w="16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26.4 %</w:t>
            </w:r>
          </w:p>
        </w:tc>
      </w:tr>
      <w:tr>
        <w:trPr>
          <w:trHeight w:val="197"/>
        </w:trPr>
        <w:tc>
          <w:tcPr>
            <w:tcW w:w="8940" w:type="dxa"/>
            <w:vAlign w:val="bottom"/>
            <w:gridSpan w:val="2"/>
          </w:tcPr>
          <w:p>
            <w:pPr>
              <w:ind w:left="20"/>
              <w:spacing w:after="0"/>
              <w:rPr>
                <w:sz w:val="20"/>
                <w:szCs w:val="20"/>
                <w:color w:val="auto"/>
              </w:rPr>
            </w:pPr>
            <w:r>
              <w:rPr>
                <w:rFonts w:ascii="Verdana" w:cs="Verdana" w:eastAsia="Verdana" w:hAnsi="Verdana"/>
                <w:sz w:val="14"/>
                <w:szCs w:val="14"/>
                <w:color w:val="auto"/>
              </w:rPr>
              <w:t>Total portfolio loans</w:t>
            </w:r>
          </w:p>
        </w:tc>
        <w:tc>
          <w:tcPr>
            <w:tcW w:w="640" w:type="dxa"/>
            <w:vAlign w:val="bottom"/>
          </w:tcPr>
          <w:p>
            <w:pPr>
              <w:jc w:val="right"/>
              <w:spacing w:after="0"/>
              <w:rPr>
                <w:sz w:val="20"/>
                <w:szCs w:val="20"/>
                <w:color w:val="auto"/>
              </w:rPr>
            </w:pPr>
            <w:r>
              <w:rPr>
                <w:rFonts w:ascii="Verdana" w:cs="Verdana" w:eastAsia="Verdana" w:hAnsi="Verdana"/>
                <w:sz w:val="14"/>
                <w:szCs w:val="14"/>
                <w:color w:val="auto"/>
              </w:rPr>
              <w:t>100.0 %</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Verdana" w:cs="Verdana" w:eastAsia="Verdana" w:hAnsi="Verdana"/>
                <w:sz w:val="14"/>
                <w:szCs w:val="14"/>
                <w:color w:val="auto"/>
              </w:rPr>
              <w:t>100.0 %</w:t>
            </w: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1" w:name="page72"/>
    <w:bookmarkEnd w:id="7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A significant majority of Busey’s portfolio lending activity occurs in the Illinois and Missouri markets, with the remainder in the Florida and Indiana markets.</w:t>
      </w:r>
    </w:p>
    <w:p>
      <w:pPr>
        <w:spacing w:after="0"/>
        <w:rPr>
          <w:sz w:val="20"/>
          <w:szCs w:val="20"/>
          <w:color w:val="auto"/>
        </w:rPr>
      </w:pPr>
      <w:r>
        <w:rPr>
          <w:rFonts w:ascii="Verdana" w:cs="Verdana" w:eastAsia="Verdana" w:hAnsi="Verdana"/>
          <w:sz w:val="14"/>
          <w:szCs w:val="14"/>
          <w:color w:val="auto"/>
        </w:rPr>
        <w:t xml:space="preserve">The geographic distribution of loans originated in each of these markets is presented in the tables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Verdana" w:cs="Verdana" w:eastAsia="Verdana" w:hAnsi="Verdana"/>
                <w:sz w:val="10"/>
                <w:szCs w:val="10"/>
                <w:b w:val="1"/>
                <w:bCs w:val="1"/>
                <w:color w:val="auto"/>
                <w:w w:val="98"/>
              </w:rPr>
              <w:t>As of December 31, 2024</w:t>
            </w: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Illinois</w:t>
            </w:r>
          </w:p>
        </w:tc>
        <w:tc>
          <w:tcPr>
            <w:tcW w:w="32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Missouri</w:t>
            </w:r>
          </w:p>
        </w:tc>
        <w:tc>
          <w:tcPr>
            <w:tcW w:w="360" w:type="dxa"/>
            <w:vAlign w:val="bottom"/>
          </w:tcPr>
          <w:p>
            <w:pPr>
              <w:spacing w:after="0"/>
              <w:rPr>
                <w:sz w:val="11"/>
                <w:szCs w:val="11"/>
                <w:color w:val="auto"/>
              </w:rPr>
            </w:pPr>
          </w:p>
        </w:tc>
        <w:tc>
          <w:tcPr>
            <w:tcW w:w="1300" w:type="dxa"/>
            <w:vAlign w:val="bottom"/>
            <w:gridSpan w:val="2"/>
          </w:tcPr>
          <w:p>
            <w:pPr>
              <w:jc w:val="center"/>
              <w:ind w:right="440"/>
              <w:spacing w:after="0"/>
              <w:rPr>
                <w:sz w:val="20"/>
                <w:szCs w:val="20"/>
                <w:color w:val="auto"/>
              </w:rPr>
            </w:pPr>
            <w:r>
              <w:rPr>
                <w:rFonts w:ascii="Verdana" w:cs="Verdana" w:eastAsia="Verdana" w:hAnsi="Verdana"/>
                <w:sz w:val="10"/>
                <w:szCs w:val="10"/>
                <w:b w:val="1"/>
                <w:bCs w:val="1"/>
                <w:color w:val="auto"/>
                <w:w w:val="97"/>
              </w:rPr>
              <w:t>Florida</w:t>
            </w:r>
          </w:p>
        </w:tc>
        <w:tc>
          <w:tcPr>
            <w:tcW w:w="34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Indiana</w:t>
            </w:r>
          </w:p>
        </w:tc>
        <w:tc>
          <w:tcPr>
            <w:tcW w:w="380" w:type="dxa"/>
            <w:vAlign w:val="bottom"/>
          </w:tcPr>
          <w:p>
            <w:pPr>
              <w:spacing w:after="0"/>
              <w:rPr>
                <w:sz w:val="11"/>
                <w:szCs w:val="11"/>
                <w:color w:val="auto"/>
              </w:rPr>
            </w:pPr>
          </w:p>
        </w:tc>
        <w:tc>
          <w:tcPr>
            <w:tcW w:w="1200" w:type="dxa"/>
            <w:vAlign w:val="bottom"/>
          </w:tcPr>
          <w:p>
            <w:pPr>
              <w:jc w:val="right"/>
              <w:ind w:right="591"/>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1,493,670</w:t>
            </w:r>
          </w:p>
        </w:tc>
        <w:tc>
          <w:tcPr>
            <w:tcW w:w="1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ind w:right="12"/>
              <w:spacing w:after="0"/>
              <w:rPr>
                <w:sz w:val="20"/>
                <w:szCs w:val="20"/>
                <w:color w:val="auto"/>
              </w:rPr>
            </w:pPr>
            <w:r>
              <w:rPr>
                <w:rFonts w:ascii="Verdana" w:cs="Verdana" w:eastAsia="Verdana" w:hAnsi="Verdana"/>
                <w:sz w:val="14"/>
                <w:szCs w:val="14"/>
                <w:color w:val="auto"/>
              </w:rPr>
              <w:t>276,140</w:t>
            </w:r>
          </w:p>
        </w:tc>
        <w:tc>
          <w:tcPr>
            <w:tcW w:w="80" w:type="dxa"/>
            <w:vAlign w:val="bottom"/>
          </w:tcPr>
          <w:p>
            <w:pPr>
              <w:spacing w:after="0"/>
              <w:rPr>
                <w:sz w:val="17"/>
                <w:szCs w:val="17"/>
                <w:color w:val="auto"/>
              </w:rPr>
            </w:pPr>
          </w:p>
        </w:tc>
        <w:tc>
          <w:tcPr>
            <w:tcW w:w="360" w:type="dxa"/>
            <w:vAlign w:val="bottom"/>
          </w:tcPr>
          <w:p>
            <w:pPr>
              <w:jc w:val="right"/>
              <w:ind w:right="196"/>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58,277</w:t>
            </w:r>
          </w:p>
        </w:tc>
        <w:tc>
          <w:tcPr>
            <w:tcW w:w="80" w:type="dxa"/>
            <w:vAlign w:val="bottom"/>
          </w:tcPr>
          <w:p>
            <w:pPr>
              <w:spacing w:after="0"/>
              <w:rPr>
                <w:sz w:val="17"/>
                <w:szCs w:val="17"/>
                <w:color w:val="auto"/>
              </w:rPr>
            </w:pPr>
          </w:p>
        </w:tc>
        <w:tc>
          <w:tcPr>
            <w:tcW w:w="340" w:type="dxa"/>
            <w:vAlign w:val="bottom"/>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tcPr>
          <w:p>
            <w:pPr>
              <w:jc w:val="right"/>
              <w:spacing w:after="0"/>
              <w:rPr>
                <w:sz w:val="20"/>
                <w:szCs w:val="20"/>
                <w:color w:val="auto"/>
              </w:rPr>
            </w:pPr>
            <w:r>
              <w:rPr>
                <w:rFonts w:ascii="Verdana" w:cs="Verdana" w:eastAsia="Verdana" w:hAnsi="Verdana"/>
                <w:sz w:val="14"/>
                <w:szCs w:val="14"/>
                <w:color w:val="auto"/>
              </w:rPr>
              <w:t>76,428</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1,904,515</w:t>
            </w: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2,285,915</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560,337</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245,918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177,394</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3,269,564</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232,898</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40,816</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30,826</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73,669</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378,209</w:t>
            </w:r>
          </w:p>
        </w:tc>
        <w:tc>
          <w:tcPr>
            <w:tcW w:w="0" w:type="dxa"/>
            <w:vAlign w:val="bottom"/>
          </w:tcPr>
          <w:p>
            <w:pPr>
              <w:spacing w:after="0"/>
              <w:rPr>
                <w:sz w:val="1"/>
                <w:szCs w:val="1"/>
                <w:color w:val="auto"/>
              </w:rPr>
            </w:pPr>
          </w:p>
        </w:tc>
      </w:tr>
      <w:tr>
        <w:trPr>
          <w:trHeight w:val="208"/>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4,012,483</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877,293</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335,021</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327,491</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5,552,288</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1,275,834</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211,878</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128,352</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80,393</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1,696,457</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443,164</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3,731</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683</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764</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448,342</w:t>
            </w:r>
          </w:p>
        </w:tc>
        <w:tc>
          <w:tcPr>
            <w:tcW w:w="0" w:type="dxa"/>
            <w:vAlign w:val="bottom"/>
          </w:tcPr>
          <w:p>
            <w:pPr>
              <w:spacing w:after="0"/>
              <w:rPr>
                <w:sz w:val="1"/>
                <w:szCs w:val="1"/>
                <w:color w:val="auto"/>
              </w:rPr>
            </w:pPr>
          </w:p>
        </w:tc>
      </w:tr>
      <w:tr>
        <w:trPr>
          <w:trHeight w:val="203"/>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1,718,998</w:t>
            </w:r>
          </w:p>
        </w:tc>
        <w:tc>
          <w:tcPr>
            <w:tcW w:w="10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215,609</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129,035</w:t>
            </w:r>
          </w:p>
        </w:tc>
        <w:tc>
          <w:tcPr>
            <w:tcW w:w="80" w:type="dxa"/>
            <w:vAlign w:val="bottom"/>
            <w:shd w:val="clear" w:color="auto" w:fill="E0E7ED"/>
          </w:tcPr>
          <w:p>
            <w:pPr>
              <w:spacing w:after="0"/>
              <w:rPr>
                <w:sz w:val="17"/>
                <w:szCs w:val="17"/>
                <w:color w:val="auto"/>
              </w:rPr>
            </w:pPr>
          </w:p>
        </w:tc>
        <w:tc>
          <w:tcPr>
            <w:tcW w:w="340" w:type="dxa"/>
            <w:vAlign w:val="bottom"/>
            <w:tcBorders>
              <w:bottom w:val="single" w:sz="8" w:color="auto"/>
            </w:tcBorders>
            <w:shd w:val="clear" w:color="auto" w:fill="E0E7ED"/>
          </w:tcPr>
          <w:p>
            <w:pPr>
              <w:spacing w:after="0"/>
              <w:rPr>
                <w:sz w:val="17"/>
                <w:szCs w:val="17"/>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81,157</w:t>
            </w:r>
          </w:p>
        </w:tc>
        <w:tc>
          <w:tcPr>
            <w:tcW w:w="10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2,144,799</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Verdana" w:cs="Verdana" w:eastAsia="Verdana" w:hAnsi="Verdana"/>
                <w:sz w:val="14"/>
                <w:szCs w:val="14"/>
                <w:color w:val="auto"/>
              </w:rPr>
              <w:t>Total portfolio loans</w:t>
            </w: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5,731,481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1,092,902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464,056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408,648</w:t>
            </w:r>
          </w:p>
        </w:tc>
        <w:tc>
          <w:tcPr>
            <w:tcW w:w="10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7,697,087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020" w:type="dxa"/>
            <w:vAlign w:val="bottom"/>
            <w:shd w:val="clear" w:color="auto" w:fill="E0E7ED"/>
          </w:tcPr>
          <w:p>
            <w:pPr>
              <w:ind w:left="20"/>
              <w:spacing w:after="0" w:line="164" w:lineRule="exact"/>
              <w:rPr>
                <w:sz w:val="20"/>
                <w:szCs w:val="20"/>
                <w:color w:val="auto"/>
              </w:rPr>
            </w:pPr>
            <w:r>
              <w:rPr>
                <w:rFonts w:ascii="Verdana" w:cs="Verdana" w:eastAsia="Verdana" w:hAnsi="Verdana"/>
                <w:sz w:val="14"/>
                <w:szCs w:val="14"/>
                <w:color w:val="auto"/>
              </w:rPr>
              <w:t>ACL</w:t>
            </w:r>
          </w:p>
        </w:tc>
        <w:tc>
          <w:tcPr>
            <w:tcW w:w="36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2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6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40" w:type="dxa"/>
            <w:vAlign w:val="bottom"/>
            <w:shd w:val="clear" w:color="auto" w:fill="E0E7ED"/>
          </w:tcPr>
          <w:p>
            <w:pPr>
              <w:spacing w:after="0"/>
              <w:rPr>
                <w:sz w:val="14"/>
                <w:szCs w:val="14"/>
                <w:color w:val="auto"/>
              </w:rPr>
            </w:pPr>
          </w:p>
        </w:tc>
        <w:tc>
          <w:tcPr>
            <w:tcW w:w="12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80" w:type="dxa"/>
            <w:vAlign w:val="bottom"/>
            <w:tcBorders>
              <w:bottom w:val="single" w:sz="8" w:color="auto"/>
            </w:tcBorders>
            <w:shd w:val="clear" w:color="auto" w:fill="E0E7ED"/>
          </w:tcPr>
          <w:p>
            <w:pPr>
              <w:spacing w:after="0"/>
              <w:rPr>
                <w:sz w:val="14"/>
                <w:szCs w:val="14"/>
                <w:color w:val="auto"/>
              </w:rPr>
            </w:pPr>
          </w:p>
        </w:tc>
        <w:tc>
          <w:tcPr>
            <w:tcW w:w="1200" w:type="dxa"/>
            <w:vAlign w:val="bottom"/>
            <w:tcBorders>
              <w:bottom w:val="single" w:sz="8" w:color="auto"/>
            </w:tcBorders>
            <w:shd w:val="clear" w:color="auto" w:fill="E0E7ED"/>
          </w:tcPr>
          <w:p>
            <w:pPr>
              <w:jc w:val="right"/>
              <w:spacing w:after="0" w:line="164" w:lineRule="exact"/>
              <w:rPr>
                <w:sz w:val="20"/>
                <w:szCs w:val="20"/>
                <w:color w:val="auto"/>
              </w:rPr>
            </w:pPr>
            <w:r>
              <w:rPr>
                <w:rFonts w:ascii="Verdana" w:cs="Verdana" w:eastAsia="Verdana" w:hAnsi="Verdana"/>
                <w:sz w:val="14"/>
                <w:szCs w:val="14"/>
                <w:color w:val="auto"/>
              </w:rPr>
              <w:t>(83,404)</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Verdana" w:cs="Verdana" w:eastAsia="Verdana" w:hAnsi="Verdana"/>
                <w:sz w:val="14"/>
                <w:szCs w:val="14"/>
                <w:color w:val="auto"/>
              </w:rPr>
              <w:t>Portfolio loans, net of ACL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7,613,683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vMerge w:val="restart"/>
          </w:tcPr>
          <w:p>
            <w:pPr>
              <w:jc w:val="center"/>
              <w:ind w:right="60"/>
              <w:spacing w:after="0"/>
              <w:rPr>
                <w:sz w:val="20"/>
                <w:szCs w:val="20"/>
                <w:color w:val="auto"/>
              </w:rPr>
            </w:pPr>
            <w:r>
              <w:rPr>
                <w:rFonts w:ascii="Verdana" w:cs="Verdana" w:eastAsia="Verdana" w:hAnsi="Verdana"/>
                <w:sz w:val="10"/>
                <w:szCs w:val="10"/>
                <w:b w:val="1"/>
                <w:bCs w:val="1"/>
                <w:color w:val="auto"/>
                <w:w w:val="98"/>
              </w:rPr>
              <w:t>As of December 31, 2023</w:t>
            </w: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Illinois</w:t>
            </w:r>
          </w:p>
        </w:tc>
        <w:tc>
          <w:tcPr>
            <w:tcW w:w="32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Missouri</w:t>
            </w:r>
          </w:p>
        </w:tc>
        <w:tc>
          <w:tcPr>
            <w:tcW w:w="360" w:type="dxa"/>
            <w:vAlign w:val="bottom"/>
          </w:tcPr>
          <w:p>
            <w:pPr>
              <w:spacing w:after="0"/>
              <w:rPr>
                <w:sz w:val="11"/>
                <w:szCs w:val="11"/>
                <w:color w:val="auto"/>
              </w:rPr>
            </w:pPr>
          </w:p>
        </w:tc>
        <w:tc>
          <w:tcPr>
            <w:tcW w:w="1300" w:type="dxa"/>
            <w:vAlign w:val="bottom"/>
            <w:gridSpan w:val="2"/>
          </w:tcPr>
          <w:p>
            <w:pPr>
              <w:jc w:val="center"/>
              <w:ind w:right="440"/>
              <w:spacing w:after="0"/>
              <w:rPr>
                <w:sz w:val="20"/>
                <w:szCs w:val="20"/>
                <w:color w:val="auto"/>
              </w:rPr>
            </w:pPr>
            <w:r>
              <w:rPr>
                <w:rFonts w:ascii="Verdana" w:cs="Verdana" w:eastAsia="Verdana" w:hAnsi="Verdana"/>
                <w:sz w:val="10"/>
                <w:szCs w:val="10"/>
                <w:b w:val="1"/>
                <w:bCs w:val="1"/>
                <w:color w:val="auto"/>
                <w:w w:val="97"/>
              </w:rPr>
              <w:t>Florida</w:t>
            </w:r>
          </w:p>
        </w:tc>
        <w:tc>
          <w:tcPr>
            <w:tcW w:w="34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Indiana</w:t>
            </w:r>
          </w:p>
        </w:tc>
        <w:tc>
          <w:tcPr>
            <w:tcW w:w="380" w:type="dxa"/>
            <w:vAlign w:val="bottom"/>
          </w:tcPr>
          <w:p>
            <w:pPr>
              <w:spacing w:after="0"/>
              <w:rPr>
                <w:sz w:val="11"/>
                <w:szCs w:val="11"/>
                <w:color w:val="auto"/>
              </w:rPr>
            </w:pPr>
          </w:p>
        </w:tc>
        <w:tc>
          <w:tcPr>
            <w:tcW w:w="1200" w:type="dxa"/>
            <w:vAlign w:val="bottom"/>
          </w:tcPr>
          <w:p>
            <w:pPr>
              <w:jc w:val="right"/>
              <w:ind w:right="591"/>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97"/>
        </w:trPr>
        <w:tc>
          <w:tcPr>
            <w:tcW w:w="3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1,395,020</w:t>
            </w:r>
          </w:p>
        </w:tc>
        <w:tc>
          <w:tcPr>
            <w:tcW w:w="1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ind w:right="12"/>
              <w:spacing w:after="0"/>
              <w:rPr>
                <w:sz w:val="20"/>
                <w:szCs w:val="20"/>
                <w:color w:val="auto"/>
              </w:rPr>
            </w:pPr>
            <w:r>
              <w:rPr>
                <w:rFonts w:ascii="Verdana" w:cs="Verdana" w:eastAsia="Verdana" w:hAnsi="Verdana"/>
                <w:sz w:val="14"/>
                <w:szCs w:val="14"/>
                <w:color w:val="auto"/>
              </w:rPr>
              <w:t>369,767</w:t>
            </w:r>
          </w:p>
        </w:tc>
        <w:tc>
          <w:tcPr>
            <w:tcW w:w="80" w:type="dxa"/>
            <w:vAlign w:val="bottom"/>
          </w:tcPr>
          <w:p>
            <w:pPr>
              <w:spacing w:after="0"/>
              <w:rPr>
                <w:sz w:val="17"/>
                <w:szCs w:val="17"/>
                <w:color w:val="auto"/>
              </w:rPr>
            </w:pPr>
          </w:p>
        </w:tc>
        <w:tc>
          <w:tcPr>
            <w:tcW w:w="360" w:type="dxa"/>
            <w:vAlign w:val="bottom"/>
          </w:tcPr>
          <w:p>
            <w:pPr>
              <w:jc w:val="right"/>
              <w:ind w:right="196"/>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25,267</w:t>
            </w:r>
          </w:p>
        </w:tc>
        <w:tc>
          <w:tcPr>
            <w:tcW w:w="80" w:type="dxa"/>
            <w:vAlign w:val="bottom"/>
          </w:tcPr>
          <w:p>
            <w:pPr>
              <w:spacing w:after="0"/>
              <w:rPr>
                <w:sz w:val="17"/>
                <w:szCs w:val="17"/>
                <w:color w:val="auto"/>
              </w:rPr>
            </w:pPr>
          </w:p>
        </w:tc>
        <w:tc>
          <w:tcPr>
            <w:tcW w:w="340" w:type="dxa"/>
            <w:vAlign w:val="bottom"/>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tcPr>
          <w:p>
            <w:pPr>
              <w:jc w:val="right"/>
              <w:spacing w:after="0"/>
              <w:rPr>
                <w:sz w:val="20"/>
                <w:szCs w:val="20"/>
                <w:color w:val="auto"/>
              </w:rPr>
            </w:pPr>
            <w:r>
              <w:rPr>
                <w:rFonts w:ascii="Verdana" w:cs="Verdana" w:eastAsia="Verdana" w:hAnsi="Verdana"/>
                <w:sz w:val="14"/>
                <w:szCs w:val="14"/>
                <w:color w:val="auto"/>
              </w:rPr>
              <w:t>45,940</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1,835,994</w:t>
            </w: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2,278,348</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671,762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219,511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167,716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3,337,337</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255,879</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74,805</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72,121</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58,912</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461,717</w:t>
            </w:r>
          </w:p>
        </w:tc>
        <w:tc>
          <w:tcPr>
            <w:tcW w:w="0" w:type="dxa"/>
            <w:vAlign w:val="bottom"/>
          </w:tcPr>
          <w:p>
            <w:pPr>
              <w:spacing w:after="0"/>
              <w:rPr>
                <w:sz w:val="1"/>
                <w:szCs w:val="1"/>
                <w:color w:val="auto"/>
              </w:rPr>
            </w:pPr>
          </w:p>
        </w:tc>
      </w:tr>
      <w:tr>
        <w:trPr>
          <w:trHeight w:val="208"/>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3,929,247</w:t>
            </w:r>
          </w:p>
        </w:tc>
        <w:tc>
          <w:tcPr>
            <w:tcW w:w="10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1,116,334</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316,899</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272,568</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5,635,048</w:t>
            </w: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1,284,362</w:t>
            </w: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225,610</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129,454</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81,029</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1,720,455</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290,937</w:t>
            </w:r>
          </w:p>
        </w:tc>
        <w:tc>
          <w:tcPr>
            <w:tcW w:w="100" w:type="dxa"/>
            <w:vAlign w:val="bottom"/>
            <w:tcBorders>
              <w:bottom w:val="single" w:sz="8" w:color="E0E7E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2,344</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1,111</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1,139</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295,531</w:t>
            </w:r>
          </w:p>
        </w:tc>
        <w:tc>
          <w:tcPr>
            <w:tcW w:w="0" w:type="dxa"/>
            <w:vAlign w:val="bottom"/>
          </w:tcPr>
          <w:p>
            <w:pPr>
              <w:spacing w:after="0"/>
              <w:rPr>
                <w:sz w:val="1"/>
                <w:szCs w:val="1"/>
                <w:color w:val="auto"/>
              </w:rPr>
            </w:pPr>
          </w:p>
        </w:tc>
      </w:tr>
      <w:tr>
        <w:trPr>
          <w:trHeight w:val="203"/>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1,575,299</w:t>
            </w:r>
          </w:p>
        </w:tc>
        <w:tc>
          <w:tcPr>
            <w:tcW w:w="100" w:type="dxa"/>
            <w:vAlign w:val="bottom"/>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spacing w:after="0"/>
              <w:rPr>
                <w:sz w:val="17"/>
                <w:szCs w:val="17"/>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227,954</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130,565</w:t>
            </w:r>
          </w:p>
        </w:tc>
        <w:tc>
          <w:tcPr>
            <w:tcW w:w="80" w:type="dxa"/>
            <w:vAlign w:val="bottom"/>
            <w:shd w:val="clear" w:color="auto" w:fill="E0E7ED"/>
          </w:tcPr>
          <w:p>
            <w:pPr>
              <w:spacing w:after="0"/>
              <w:rPr>
                <w:sz w:val="17"/>
                <w:szCs w:val="17"/>
                <w:color w:val="auto"/>
              </w:rPr>
            </w:pPr>
          </w:p>
        </w:tc>
        <w:tc>
          <w:tcPr>
            <w:tcW w:w="340" w:type="dxa"/>
            <w:vAlign w:val="bottom"/>
            <w:tcBorders>
              <w:bottom w:val="single" w:sz="8" w:color="auto"/>
            </w:tcBorders>
            <w:shd w:val="clear" w:color="auto" w:fill="E0E7ED"/>
          </w:tcPr>
          <w:p>
            <w:pPr>
              <w:spacing w:after="0"/>
              <w:rPr>
                <w:sz w:val="17"/>
                <w:szCs w:val="17"/>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82,168</w:t>
            </w:r>
          </w:p>
        </w:tc>
        <w:tc>
          <w:tcPr>
            <w:tcW w:w="100" w:type="dxa"/>
            <w:vAlign w:val="bottom"/>
            <w:shd w:val="clear" w:color="auto" w:fill="E0E7ED"/>
          </w:tcPr>
          <w:p>
            <w:pPr>
              <w:spacing w:after="0"/>
              <w:rPr>
                <w:sz w:val="17"/>
                <w:szCs w:val="17"/>
                <w:color w:val="auto"/>
              </w:rPr>
            </w:pPr>
          </w:p>
        </w:tc>
        <w:tc>
          <w:tcPr>
            <w:tcW w:w="38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2,015,986</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Verdana" w:cs="Verdana" w:eastAsia="Verdana" w:hAnsi="Verdana"/>
                <w:sz w:val="14"/>
                <w:szCs w:val="14"/>
                <w:color w:val="auto"/>
              </w:rPr>
              <w:t>Total portfolio loans</w:t>
            </w: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5,504,546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1,344,288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447,464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354,736</w:t>
            </w:r>
          </w:p>
        </w:tc>
        <w:tc>
          <w:tcPr>
            <w:tcW w:w="10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7,651,034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020" w:type="dxa"/>
            <w:vAlign w:val="bottom"/>
            <w:shd w:val="clear" w:color="auto" w:fill="E0E7ED"/>
          </w:tcPr>
          <w:p>
            <w:pPr>
              <w:ind w:left="20"/>
              <w:spacing w:after="0" w:line="164" w:lineRule="exact"/>
              <w:rPr>
                <w:sz w:val="20"/>
                <w:szCs w:val="20"/>
                <w:color w:val="auto"/>
              </w:rPr>
            </w:pPr>
            <w:r>
              <w:rPr>
                <w:rFonts w:ascii="Verdana" w:cs="Verdana" w:eastAsia="Verdana" w:hAnsi="Verdana"/>
                <w:sz w:val="14"/>
                <w:szCs w:val="14"/>
                <w:color w:val="auto"/>
              </w:rPr>
              <w:t>ACL</w:t>
            </w:r>
          </w:p>
        </w:tc>
        <w:tc>
          <w:tcPr>
            <w:tcW w:w="36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2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6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40" w:type="dxa"/>
            <w:vAlign w:val="bottom"/>
            <w:shd w:val="clear" w:color="auto" w:fill="E0E7ED"/>
          </w:tcPr>
          <w:p>
            <w:pPr>
              <w:spacing w:after="0"/>
              <w:rPr>
                <w:sz w:val="14"/>
                <w:szCs w:val="14"/>
                <w:color w:val="auto"/>
              </w:rPr>
            </w:pPr>
          </w:p>
        </w:tc>
        <w:tc>
          <w:tcPr>
            <w:tcW w:w="12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80" w:type="dxa"/>
            <w:vAlign w:val="bottom"/>
            <w:tcBorders>
              <w:bottom w:val="single" w:sz="8" w:color="auto"/>
            </w:tcBorders>
            <w:shd w:val="clear" w:color="auto" w:fill="E0E7ED"/>
          </w:tcPr>
          <w:p>
            <w:pPr>
              <w:spacing w:after="0"/>
              <w:rPr>
                <w:sz w:val="14"/>
                <w:szCs w:val="14"/>
                <w:color w:val="auto"/>
              </w:rPr>
            </w:pPr>
          </w:p>
        </w:tc>
        <w:tc>
          <w:tcPr>
            <w:tcW w:w="1200" w:type="dxa"/>
            <w:vAlign w:val="bottom"/>
            <w:tcBorders>
              <w:bottom w:val="single" w:sz="8" w:color="auto"/>
            </w:tcBorders>
            <w:shd w:val="clear" w:color="auto" w:fill="E0E7ED"/>
          </w:tcPr>
          <w:p>
            <w:pPr>
              <w:jc w:val="right"/>
              <w:spacing w:after="0" w:line="164" w:lineRule="exact"/>
              <w:rPr>
                <w:sz w:val="20"/>
                <w:szCs w:val="20"/>
                <w:color w:val="auto"/>
              </w:rPr>
            </w:pPr>
            <w:r>
              <w:rPr>
                <w:rFonts w:ascii="Verdana" w:cs="Verdana" w:eastAsia="Verdana" w:hAnsi="Verdana"/>
                <w:sz w:val="14"/>
                <w:szCs w:val="14"/>
                <w:color w:val="auto"/>
              </w:rPr>
              <w:t>(91,740)</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Verdana" w:cs="Verdana" w:eastAsia="Verdana" w:hAnsi="Verdana"/>
                <w:sz w:val="14"/>
                <w:szCs w:val="14"/>
                <w:color w:val="auto"/>
              </w:rPr>
              <w:t>Portfolio loans, net of ACL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7,559,294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2" w:name="page73"/>
    <w:bookmarkEnd w:id="7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CRE loans made up 42.5% of Busey’s total loan portfolio as of December 31, 2024, and were 27.9% owner occupied. CRE loans are made across a variety of industries, as depicted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 Balances reflected in the table below do not include loan origination fees or costs, purchase accounting adjustments, SBA discounts, or negative escrow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9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2024</w:t>
            </w: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r>
      <w:tr>
        <w:trPr>
          <w:trHeight w:val="150"/>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9"/>
              <w:spacing w:after="0"/>
              <w:rPr>
                <w:sz w:val="20"/>
                <w:szCs w:val="20"/>
                <w:color w:val="auto"/>
              </w:rPr>
            </w:pPr>
            <w:r>
              <w:rPr>
                <w:rFonts w:ascii="Verdana" w:cs="Verdana" w:eastAsia="Verdana" w:hAnsi="Verdana"/>
                <w:sz w:val="10"/>
                <w:szCs w:val="10"/>
                <w:b w:val="1"/>
                <w:bCs w:val="1"/>
                <w:color w:val="auto"/>
              </w:rPr>
              <w:t>Owned By</w:t>
            </w: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76"/>
              <w:spacing w:after="0"/>
              <w:rPr>
                <w:sz w:val="20"/>
                <w:szCs w:val="20"/>
                <w:color w:val="auto"/>
              </w:rPr>
            </w:pPr>
            <w:r>
              <w:rPr>
                <w:rFonts w:ascii="Verdana" w:cs="Verdana" w:eastAsia="Verdana" w:hAnsi="Verdana"/>
                <w:sz w:val="10"/>
                <w:szCs w:val="10"/>
                <w:b w:val="1"/>
                <w:bCs w:val="1"/>
                <w:color w:val="auto"/>
              </w:rPr>
              <w:t>% of CRE Loans That Are</w:t>
            </w:r>
          </w:p>
        </w:tc>
      </w:tr>
      <w:tr>
        <w:trPr>
          <w:trHeight w:val="152"/>
        </w:trPr>
        <w:tc>
          <w:tcPr>
            <w:tcW w:w="2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Verdana" w:cs="Verdana" w:eastAsia="Verdana" w:hAnsi="Verdana"/>
                <w:sz w:val="10"/>
                <w:szCs w:val="10"/>
                <w:b w:val="1"/>
                <w:bCs w:val="1"/>
                <w:color w:val="auto"/>
              </w:rPr>
              <w:t>CRE Loans</w:t>
            </w:r>
          </w:p>
        </w:tc>
        <w:tc>
          <w:tcPr>
            <w:tcW w:w="1760" w:type="dxa"/>
            <w:vAlign w:val="bottom"/>
            <w:gridSpan w:val="2"/>
          </w:tcPr>
          <w:p>
            <w:pPr>
              <w:ind w:left="360"/>
              <w:spacing w:after="0"/>
              <w:rPr>
                <w:sz w:val="20"/>
                <w:szCs w:val="20"/>
                <w:color w:val="auto"/>
              </w:rPr>
            </w:pPr>
            <w:r>
              <w:rPr>
                <w:rFonts w:ascii="Verdana" w:cs="Verdana" w:eastAsia="Verdana" w:hAnsi="Verdana"/>
                <w:sz w:val="10"/>
                <w:szCs w:val="10"/>
                <w:b w:val="1"/>
                <w:bCs w:val="1"/>
                <w:color w:val="auto"/>
              </w:rPr>
              <w:t>% of Total Loans</w:t>
            </w:r>
          </w:p>
        </w:tc>
        <w:tc>
          <w:tcPr>
            <w:tcW w:w="32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Verdana" w:cs="Verdana" w:eastAsia="Verdana" w:hAnsi="Verdana"/>
                <w:sz w:val="10"/>
                <w:szCs w:val="10"/>
                <w:b w:val="1"/>
                <w:bCs w:val="1"/>
                <w:color w:val="auto"/>
                <w:w w:val="99"/>
              </w:rPr>
              <w:t>Investor</w:t>
            </w:r>
          </w:p>
        </w:tc>
        <w:tc>
          <w:tcPr>
            <w:tcW w:w="360" w:type="dxa"/>
            <w:vAlign w:val="bottom"/>
          </w:tcPr>
          <w:p>
            <w:pPr>
              <w:spacing w:after="0"/>
              <w:rPr>
                <w:sz w:val="13"/>
                <w:szCs w:val="13"/>
                <w:color w:val="auto"/>
              </w:rPr>
            </w:pPr>
          </w:p>
        </w:tc>
        <w:tc>
          <w:tcPr>
            <w:tcW w:w="1180" w:type="dxa"/>
            <w:vAlign w:val="bottom"/>
          </w:tcPr>
          <w:p>
            <w:pPr>
              <w:jc w:val="right"/>
              <w:ind w:right="451"/>
              <w:spacing w:after="0"/>
              <w:rPr>
                <w:sz w:val="20"/>
                <w:szCs w:val="20"/>
                <w:color w:val="auto"/>
              </w:rPr>
            </w:pPr>
            <w:r>
              <w:rPr>
                <w:rFonts w:ascii="Verdana" w:cs="Verdana" w:eastAsia="Verdana" w:hAnsi="Verdana"/>
                <w:sz w:val="10"/>
                <w:szCs w:val="10"/>
                <w:b w:val="1"/>
                <w:bCs w:val="1"/>
                <w:color w:val="auto"/>
              </w:rPr>
              <w:t>Occupant</w:t>
            </w:r>
          </w:p>
        </w:tc>
        <w:tc>
          <w:tcPr>
            <w:tcW w:w="80" w:type="dxa"/>
            <w:vAlign w:val="bottom"/>
          </w:tcPr>
          <w:p>
            <w:pPr>
              <w:spacing w:after="0"/>
              <w:rPr>
                <w:sz w:val="13"/>
                <w:szCs w:val="13"/>
                <w:color w:val="auto"/>
              </w:rPr>
            </w:pPr>
          </w:p>
        </w:tc>
        <w:tc>
          <w:tcPr>
            <w:tcW w:w="1680" w:type="dxa"/>
            <w:vAlign w:val="bottom"/>
          </w:tcPr>
          <w:p>
            <w:pPr>
              <w:jc w:val="right"/>
              <w:ind w:right="316"/>
              <w:spacing w:after="0"/>
              <w:rPr>
                <w:sz w:val="20"/>
                <w:szCs w:val="20"/>
                <w:color w:val="auto"/>
              </w:rPr>
            </w:pPr>
            <w:r>
              <w:rPr>
                <w:rFonts w:ascii="Verdana" w:cs="Verdana" w:eastAsia="Verdana" w:hAnsi="Verdana"/>
                <w:sz w:val="10"/>
                <w:szCs w:val="10"/>
                <w:b w:val="1"/>
                <w:bCs w:val="1"/>
                <w:color w:val="auto"/>
              </w:rPr>
              <w:t>Owner Occupied</w:t>
            </w:r>
          </w:p>
        </w:tc>
      </w:tr>
      <w:tr>
        <w:trPr>
          <w:trHeight w:val="197"/>
        </w:trPr>
        <w:tc>
          <w:tcPr>
            <w:tcW w:w="2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Industry</w:t>
            </w:r>
          </w:p>
        </w:tc>
        <w:tc>
          <w:tcPr>
            <w:tcW w:w="28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6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1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680" w:type="dxa"/>
            <w:vAlign w:val="bottom"/>
            <w:tcBorders>
              <w:top w:val="single" w:sz="8" w:color="auto"/>
            </w:tcBorders>
            <w:shd w:val="clear" w:color="auto" w:fill="E0E7ED"/>
          </w:tcPr>
          <w:p>
            <w:pPr>
              <w:spacing w:after="0"/>
              <w:rPr>
                <w:sz w:val="17"/>
                <w:szCs w:val="17"/>
                <w:color w:val="auto"/>
              </w:rPr>
            </w:pP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Industrial/Warehouse</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spacing w:after="0"/>
              <w:rPr>
                <w:sz w:val="20"/>
                <w:szCs w:val="20"/>
                <w:color w:val="auto"/>
              </w:rPr>
            </w:pPr>
            <w:r>
              <w:rPr>
                <w:rFonts w:ascii="Verdana" w:cs="Verdana" w:eastAsia="Verdana" w:hAnsi="Verdana"/>
                <w:sz w:val="14"/>
                <w:szCs w:val="14"/>
                <w:color w:val="auto"/>
              </w:rPr>
              <w:t>654,223</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8.5 %</w:t>
            </w:r>
          </w:p>
        </w:tc>
        <w:tc>
          <w:tcPr>
            <w:tcW w:w="80" w:type="dxa"/>
            <w:vAlign w:val="bottom"/>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287,460</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366,763</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56.1 %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Apartments</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565,235</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7.3 %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565,235</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Retail</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557,008</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7.2 %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470,111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86,897</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15.6 %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Traditional Office</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364,331</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260,432</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103,899</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28.5 %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Specialty</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290,135</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3.8 %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67,899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222,236</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76.6 %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Student Housing</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227,149</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227,149</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Medical Office</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213,808</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2.8 %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135,024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78,784</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36.8 %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Hotel</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160,330</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159,740</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590</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0.4 %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Senior Housing</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120,328</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1.6 %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120,328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Restaurant</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76,376</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25,468</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50,908</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66.7 %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Nursing Homes</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24,159</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0.3 %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22,803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1,356</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5.6 %</w:t>
            </w:r>
          </w:p>
        </w:tc>
      </w:tr>
      <w:tr>
        <w:trPr>
          <w:trHeight w:val="218"/>
        </w:trPr>
        <w:tc>
          <w:tcPr>
            <w:tcW w:w="2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Health Care</w:t>
            </w:r>
          </w:p>
        </w:tc>
        <w:tc>
          <w:tcPr>
            <w:tcW w:w="28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20,519</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0.3 %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20,000</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519</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2.5 %</w:t>
            </w:r>
          </w:p>
        </w:tc>
      </w:tr>
      <w:tr>
        <w:trPr>
          <w:trHeight w:val="207"/>
        </w:trPr>
        <w:tc>
          <w:tcPr>
            <w:tcW w:w="2960" w:type="dxa"/>
            <w:vAlign w:val="bottom"/>
          </w:tcPr>
          <w:p>
            <w:pPr>
              <w:ind w:left="140"/>
              <w:spacing w:after="0"/>
              <w:rPr>
                <w:sz w:val="20"/>
                <w:szCs w:val="20"/>
                <w:color w:val="auto"/>
              </w:rPr>
            </w:pPr>
            <w:r>
              <w:rPr>
                <w:rFonts w:ascii="Verdana" w:cs="Verdana" w:eastAsia="Verdana" w:hAnsi="Verdana"/>
                <w:sz w:val="14"/>
                <w:szCs w:val="14"/>
                <w:color w:val="auto"/>
              </w:rPr>
              <w:t>Other</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499</w:t>
            </w:r>
          </w:p>
        </w:tc>
        <w:tc>
          <w:tcPr>
            <w:tcW w:w="8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 %</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499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 %</w:t>
            </w:r>
          </w:p>
        </w:tc>
      </w:tr>
      <w:tr>
        <w:trPr>
          <w:trHeight w:val="233"/>
        </w:trPr>
        <w:tc>
          <w:tcPr>
            <w:tcW w:w="29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w:t>
            </w:r>
          </w:p>
        </w:tc>
        <w:tc>
          <w:tcPr>
            <w:tcW w:w="280" w:type="dxa"/>
            <w:vAlign w:val="bottom"/>
            <w:tcBorders>
              <w:top w:val="single" w:sz="8" w:color="auto"/>
              <w:bottom w:val="single" w:sz="8" w:color="auto"/>
            </w:tcBorders>
            <w:shd w:val="clear" w:color="auto" w:fill="E0E7ED"/>
          </w:tcPr>
          <w:p>
            <w:pPr>
              <w:jc w:val="right"/>
              <w:ind w:right="109"/>
              <w:spacing w:after="0"/>
              <w:rPr>
                <w:sz w:val="20"/>
                <w:szCs w:val="20"/>
                <w:color w:val="auto"/>
              </w:rPr>
            </w:pPr>
            <w:r>
              <w:rPr>
                <w:rFonts w:ascii="Verdana" w:cs="Verdana" w:eastAsia="Verdana" w:hAnsi="Verdana"/>
                <w:sz w:val="14"/>
                <w:szCs w:val="14"/>
                <w:color w:val="auto"/>
                <w:w w:val="88"/>
              </w:rPr>
              <w:t>$</w:t>
            </w: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3,274,100</w:t>
            </w:r>
          </w:p>
        </w:tc>
        <w:tc>
          <w:tcPr>
            <w:tcW w:w="80" w:type="dxa"/>
            <w:vAlign w:val="bottom"/>
            <w:tcBorders>
              <w:top w:val="single" w:sz="8" w:color="E0E7ED"/>
              <w:bottom w:val="single" w:sz="8" w:color="E0E7ED"/>
            </w:tcBorders>
            <w:shd w:val="clear" w:color="auto" w:fill="E0E7ED"/>
          </w:tcPr>
          <w:p>
            <w:pPr>
              <w:spacing w:after="0"/>
              <w:rPr>
                <w:sz w:val="19"/>
                <w:szCs w:val="19"/>
                <w:color w:val="auto"/>
              </w:rPr>
            </w:pPr>
          </w:p>
        </w:tc>
        <w:tc>
          <w:tcPr>
            <w:tcW w:w="16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42.5 %</w:t>
            </w:r>
          </w:p>
        </w:tc>
        <w:tc>
          <w:tcPr>
            <w:tcW w:w="80" w:type="dxa"/>
            <w:vAlign w:val="bottom"/>
            <w:tcBorders>
              <w:top w:val="single" w:sz="8" w:color="E0E7ED"/>
              <w:bottom w:val="single" w:sz="8" w:color="E0E7ED"/>
            </w:tcBorders>
            <w:shd w:val="clear" w:color="auto" w:fill="E0E7ED"/>
          </w:tcPr>
          <w:p>
            <w:pPr>
              <w:spacing w:after="0"/>
              <w:rPr>
                <w:sz w:val="19"/>
                <w:szCs w:val="19"/>
                <w:color w:val="auto"/>
              </w:rPr>
            </w:pPr>
          </w:p>
        </w:tc>
        <w:tc>
          <w:tcPr>
            <w:tcW w:w="320" w:type="dxa"/>
            <w:vAlign w:val="bottom"/>
            <w:tcBorders>
              <w:top w:val="single" w:sz="8" w:color="auto"/>
              <w:bottom w:val="single" w:sz="8" w:color="auto"/>
            </w:tcBorders>
            <w:shd w:val="clear" w:color="auto" w:fill="E0E7ED"/>
          </w:tcPr>
          <w:p>
            <w:pPr>
              <w:jc w:val="right"/>
              <w:ind w:right="156"/>
              <w:spacing w:after="0"/>
              <w:rPr>
                <w:sz w:val="20"/>
                <w:szCs w:val="20"/>
                <w:color w:val="auto"/>
              </w:rPr>
            </w:pPr>
            <w:r>
              <w:rPr>
                <w:rFonts w:ascii="Verdana" w:cs="Verdana" w:eastAsia="Verdana" w:hAnsi="Verdana"/>
                <w:sz w:val="14"/>
                <w:szCs w:val="14"/>
                <w:color w:val="auto"/>
                <w:w w:val="88"/>
              </w:rPr>
              <w:t>$</w:t>
            </w: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2,362,148</w:t>
            </w:r>
          </w:p>
        </w:tc>
        <w:tc>
          <w:tcPr>
            <w:tcW w:w="100" w:type="dxa"/>
            <w:vAlign w:val="bottom"/>
            <w:tcBorders>
              <w:top w:val="single" w:sz="8" w:color="E0E7ED"/>
              <w:bottom w:val="single" w:sz="8" w:color="E0E7ED"/>
            </w:tcBorders>
            <w:shd w:val="clear" w:color="auto" w:fill="E0E7ED"/>
          </w:tcPr>
          <w:p>
            <w:pPr>
              <w:spacing w:after="0"/>
              <w:rPr>
                <w:sz w:val="19"/>
                <w:szCs w:val="19"/>
                <w:color w:val="auto"/>
              </w:rPr>
            </w:pPr>
          </w:p>
        </w:tc>
        <w:tc>
          <w:tcPr>
            <w:tcW w:w="360" w:type="dxa"/>
            <w:vAlign w:val="bottom"/>
            <w:tcBorders>
              <w:top w:val="single" w:sz="8" w:color="auto"/>
              <w:bottom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911,952</w:t>
            </w:r>
          </w:p>
        </w:tc>
        <w:tc>
          <w:tcPr>
            <w:tcW w:w="1760" w:type="dxa"/>
            <w:vAlign w:val="bottom"/>
            <w:tcBorders>
              <w:top w:val="single" w:sz="8" w:color="E0E7ED"/>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4"/>
                <w:szCs w:val="14"/>
                <w:color w:val="auto"/>
              </w:rPr>
              <w:t>27.9 %</w:t>
            </w:r>
          </w:p>
        </w:tc>
      </w:tr>
      <w:tr>
        <w:trPr>
          <w:trHeight w:val="20"/>
        </w:trPr>
        <w:tc>
          <w:tcPr>
            <w:tcW w:w="29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Loan Commitments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Commitments to extend credit and standby letters of credit increased by $371.7 million, or 17.1%, to a total of $2.55 billion as of December 31, 2024, compared to $2.18 billion as of December 31, 2023.</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Loan Maturities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determination of loan maturities is based on contractual loan terms. Demand loans, loans having no stated schedule of repayments and no stated maturity, and overdrafts are considered to mature within one year.</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sets forth the remaining maturities of portfolio loans at December 31, 2024,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vMerge w:val="restart"/>
          </w:tcPr>
          <w:p>
            <w:pPr>
              <w:ind w:left="140"/>
              <w:spacing w:after="0"/>
              <w:rPr>
                <w:sz w:val="20"/>
                <w:szCs w:val="20"/>
                <w:color w:val="auto"/>
              </w:rPr>
            </w:pPr>
            <w:r>
              <w:rPr>
                <w:rFonts w:ascii="Verdana" w:cs="Verdana" w:eastAsia="Verdana" w:hAnsi="Verdana"/>
                <w:sz w:val="10"/>
                <w:szCs w:val="10"/>
                <w:b w:val="1"/>
                <w:bCs w:val="1"/>
                <w:color w:val="auto"/>
              </w:rPr>
              <w:t>Within 1 Year</w:t>
            </w:r>
          </w:p>
        </w:tc>
        <w:tc>
          <w:tcPr>
            <w:tcW w:w="220" w:type="dxa"/>
            <w:vAlign w:val="bottom"/>
          </w:tcPr>
          <w:p>
            <w:pPr>
              <w:spacing w:after="0"/>
              <w:rPr>
                <w:sz w:val="10"/>
                <w:szCs w:val="10"/>
                <w:color w:val="auto"/>
              </w:rPr>
            </w:pPr>
          </w:p>
        </w:tc>
        <w:tc>
          <w:tcPr>
            <w:tcW w:w="144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7"/>
              </w:rPr>
              <w:t>After 1 Year</w:t>
            </w:r>
          </w:p>
        </w:tc>
        <w:tc>
          <w:tcPr>
            <w:tcW w:w="220" w:type="dxa"/>
            <w:vAlign w:val="bottom"/>
          </w:tcPr>
          <w:p>
            <w:pPr>
              <w:spacing w:after="0"/>
              <w:rPr>
                <w:sz w:val="10"/>
                <w:szCs w:val="10"/>
                <w:color w:val="auto"/>
              </w:rPr>
            </w:pPr>
          </w:p>
        </w:tc>
        <w:tc>
          <w:tcPr>
            <w:tcW w:w="146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7"/>
              </w:rPr>
              <w:t>After 5 Years</w:t>
            </w:r>
          </w:p>
        </w:tc>
        <w:tc>
          <w:tcPr>
            <w:tcW w:w="240" w:type="dxa"/>
            <w:vAlign w:val="bottom"/>
          </w:tcPr>
          <w:p>
            <w:pPr>
              <w:spacing w:after="0"/>
              <w:rPr>
                <w:sz w:val="10"/>
                <w:szCs w:val="10"/>
                <w:color w:val="auto"/>
              </w:rPr>
            </w:pPr>
          </w:p>
        </w:tc>
        <w:tc>
          <w:tcPr>
            <w:tcW w:w="1440" w:type="dxa"/>
            <w:vAlign w:val="bottom"/>
            <w:gridSpan w:val="2"/>
            <w:vMerge w:val="restart"/>
          </w:tcPr>
          <w:p>
            <w:pPr>
              <w:ind w:left="160"/>
              <w:spacing w:after="0"/>
              <w:rPr>
                <w:sz w:val="20"/>
                <w:szCs w:val="20"/>
                <w:color w:val="auto"/>
              </w:rPr>
            </w:pPr>
            <w:r>
              <w:rPr>
                <w:rFonts w:ascii="Verdana" w:cs="Verdana" w:eastAsia="Verdana" w:hAnsi="Verdana"/>
                <w:sz w:val="10"/>
                <w:szCs w:val="10"/>
                <w:b w:val="1"/>
                <w:bCs w:val="1"/>
                <w:color w:val="auto"/>
              </w:rPr>
              <w:t>After 15 Years</w:t>
            </w:r>
          </w:p>
        </w:tc>
        <w:tc>
          <w:tcPr>
            <w:tcW w:w="380" w:type="dxa"/>
            <w:vAlign w:val="bottom"/>
          </w:tcPr>
          <w:p>
            <w:pPr>
              <w:spacing w:after="0"/>
              <w:rPr>
                <w:sz w:val="10"/>
                <w:szCs w:val="10"/>
                <w:color w:val="auto"/>
              </w:rPr>
            </w:pPr>
          </w:p>
        </w:tc>
        <w:tc>
          <w:tcPr>
            <w:tcW w:w="1200" w:type="dxa"/>
            <w:vAlign w:val="bottom"/>
            <w:vMerge w:val="restart"/>
          </w:tcPr>
          <w:p>
            <w:pPr>
              <w:jc w:val="right"/>
              <w:ind w:right="59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280"/>
              <w:spacing w:after="0"/>
              <w:rPr>
                <w:sz w:val="20"/>
                <w:szCs w:val="20"/>
                <w:color w:val="auto"/>
              </w:rPr>
            </w:pPr>
            <w:r>
              <w:rPr>
                <w:rFonts w:ascii="Verdana" w:cs="Verdana" w:eastAsia="Verdana" w:hAnsi="Verdana"/>
                <w:sz w:val="10"/>
                <w:szCs w:val="10"/>
                <w:b w:val="1"/>
                <w:bCs w:val="1"/>
                <w:color w:val="auto"/>
                <w:w w:val="99"/>
              </w:rPr>
              <w:t>Through 5 Years</w:t>
            </w:r>
          </w:p>
        </w:tc>
        <w:tc>
          <w:tcPr>
            <w:tcW w:w="220" w:type="dxa"/>
            <w:vAlign w:val="bottom"/>
          </w:tcPr>
          <w:p>
            <w:pPr>
              <w:spacing w:after="0"/>
              <w:rPr>
                <w:sz w:val="11"/>
                <w:szCs w:val="11"/>
                <w:color w:val="auto"/>
              </w:rPr>
            </w:pPr>
          </w:p>
        </w:tc>
        <w:tc>
          <w:tcPr>
            <w:tcW w:w="146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rPr>
              <w:t>Through 15 Years</w:t>
            </w: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Portfolio loans</w:t>
            </w:r>
          </w:p>
        </w:tc>
        <w:tc>
          <w:tcPr>
            <w:tcW w:w="260" w:type="dxa"/>
            <w:vAlign w:val="bottom"/>
            <w:tcBorders>
              <w:top w:val="single" w:sz="8" w:color="auto"/>
            </w:tcBorders>
            <w:shd w:val="clear" w:color="auto" w:fill="E0E7ED"/>
          </w:tcPr>
          <w:p>
            <w:pPr>
              <w:spacing w:after="0"/>
              <w:rPr>
                <w:sz w:val="17"/>
                <w:szCs w:val="17"/>
                <w:color w:val="auto"/>
              </w:rPr>
            </w:pPr>
          </w:p>
        </w:tc>
        <w:tc>
          <w:tcPr>
            <w:tcW w:w="13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tcBorders>
            <w:shd w:val="clear" w:color="auto" w:fill="E0E7ED"/>
          </w:tcPr>
          <w:p>
            <w:pPr>
              <w:spacing w:after="0"/>
              <w:rPr>
                <w:sz w:val="17"/>
                <w:szCs w:val="17"/>
                <w:color w:val="auto"/>
              </w:rPr>
            </w:pPr>
          </w:p>
        </w:tc>
        <w:tc>
          <w:tcPr>
            <w:tcW w:w="13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20" w:type="dxa"/>
            <w:vAlign w:val="bottom"/>
            <w:tcBorders>
              <w:top w:val="single" w:sz="8" w:color="auto"/>
            </w:tcBorders>
            <w:shd w:val="clear" w:color="auto" w:fill="E0E7ED"/>
          </w:tcPr>
          <w:p>
            <w:pPr>
              <w:spacing w:after="0"/>
              <w:rPr>
                <w:sz w:val="17"/>
                <w:szCs w:val="17"/>
                <w:color w:val="auto"/>
              </w:rPr>
            </w:pPr>
          </w:p>
        </w:tc>
        <w:tc>
          <w:tcPr>
            <w:tcW w:w="13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13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2"/>
              <w:spacing w:after="0"/>
              <w:rPr>
                <w:sz w:val="20"/>
                <w:szCs w:val="20"/>
                <w:color w:val="auto"/>
              </w:rPr>
            </w:pPr>
            <w:r>
              <w:rPr>
                <w:rFonts w:ascii="Verdana" w:cs="Verdana" w:eastAsia="Verdana" w:hAnsi="Verdana"/>
                <w:sz w:val="14"/>
                <w:szCs w:val="14"/>
                <w:color w:val="auto"/>
              </w:rPr>
              <w:t>599,723</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908,332</w:t>
            </w:r>
          </w:p>
        </w:tc>
        <w:tc>
          <w:tcPr>
            <w:tcW w:w="80" w:type="dxa"/>
            <w:vAlign w:val="bottom"/>
          </w:tcPr>
          <w:p>
            <w:pPr>
              <w:spacing w:after="0"/>
              <w:rPr>
                <w:sz w:val="17"/>
                <w:szCs w:val="17"/>
                <w:color w:val="auto"/>
              </w:rPr>
            </w:pPr>
          </w:p>
        </w:tc>
        <w:tc>
          <w:tcPr>
            <w:tcW w:w="220" w:type="dxa"/>
            <w:vAlign w:val="bottom"/>
          </w:tcPr>
          <w:p>
            <w:pPr>
              <w:jc w:val="right"/>
              <w:ind w:right="29"/>
              <w:spacing w:after="0"/>
              <w:rPr>
                <w:sz w:val="20"/>
                <w:szCs w:val="20"/>
                <w:color w:val="auto"/>
              </w:rPr>
            </w:pPr>
            <w:r>
              <w:rPr>
                <w:rFonts w:ascii="Verdana" w:cs="Verdana" w:eastAsia="Verdana" w:hAnsi="Verdana"/>
                <w:sz w:val="14"/>
                <w:szCs w:val="14"/>
                <w:color w:val="auto"/>
              </w:rPr>
              <w:t>$</w:t>
            </w:r>
          </w:p>
        </w:tc>
        <w:tc>
          <w:tcPr>
            <w:tcW w:w="1380" w:type="dxa"/>
            <w:vAlign w:val="bottom"/>
          </w:tcPr>
          <w:p>
            <w:pPr>
              <w:jc w:val="right"/>
              <w:ind w:right="15"/>
              <w:spacing w:after="0"/>
              <w:rPr>
                <w:sz w:val="20"/>
                <w:szCs w:val="20"/>
                <w:color w:val="auto"/>
              </w:rPr>
            </w:pPr>
            <w:r>
              <w:rPr>
                <w:rFonts w:ascii="Verdana" w:cs="Verdana" w:eastAsia="Verdana" w:hAnsi="Verdana"/>
                <w:sz w:val="14"/>
                <w:szCs w:val="14"/>
                <w:color w:val="auto"/>
              </w:rPr>
              <w:t>50,052</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1340" w:type="dxa"/>
            <w:vAlign w:val="bottom"/>
          </w:tcPr>
          <w:p>
            <w:pPr>
              <w:jc w:val="right"/>
              <w:spacing w:after="0"/>
              <w:rPr>
                <w:sz w:val="20"/>
                <w:szCs w:val="20"/>
                <w:color w:val="auto"/>
              </w:rPr>
            </w:pPr>
            <w:r>
              <w:rPr>
                <w:rFonts w:ascii="Verdana" w:cs="Verdana" w:eastAsia="Verdana" w:hAnsi="Verdana"/>
                <w:sz w:val="14"/>
                <w:szCs w:val="14"/>
                <w:color w:val="auto"/>
              </w:rPr>
              <w:t>346,408</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1,904,515</w:t>
            </w: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6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572,016</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2,065,193</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3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9,130</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623,225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3,269,564</w:t>
            </w: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Verdana" w:cs="Verdana" w:eastAsia="Verdana" w:hAnsi="Verdana"/>
                <w:sz w:val="14"/>
                <w:szCs w:val="14"/>
                <w:color w:val="auto"/>
              </w:rPr>
              <w:t>Real estate construction</w:t>
            </w:r>
          </w:p>
        </w:tc>
        <w:tc>
          <w:tcPr>
            <w:tcW w:w="26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Verdana" w:cs="Verdana" w:eastAsia="Verdana" w:hAnsi="Verdana"/>
                <w:sz w:val="14"/>
                <w:szCs w:val="14"/>
                <w:color w:val="auto"/>
              </w:rPr>
              <w:t>130,383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Verdana" w:cs="Verdana" w:eastAsia="Verdana" w:hAnsi="Verdana"/>
                <w:sz w:val="14"/>
                <w:szCs w:val="14"/>
                <w:color w:val="auto"/>
              </w:rPr>
              <w:t>235,123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5"/>
              <w:spacing w:after="0"/>
              <w:rPr>
                <w:sz w:val="20"/>
                <w:szCs w:val="20"/>
                <w:color w:val="auto"/>
              </w:rPr>
            </w:pPr>
            <w:r>
              <w:rPr>
                <w:rFonts w:ascii="Verdana" w:cs="Verdana" w:eastAsia="Verdana" w:hAnsi="Verdana"/>
                <w:sz w:val="14"/>
                <w:szCs w:val="14"/>
                <w:color w:val="auto"/>
              </w:rPr>
              <w:t>8,058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4,645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378,209</w:t>
            </w: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26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55,965</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138,108</w:t>
            </w: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38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1,002,328</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500,056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1,696,457</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29,234</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402,429</w:t>
            </w:r>
          </w:p>
        </w:tc>
        <w:tc>
          <w:tcPr>
            <w:tcW w:w="80" w:type="dxa"/>
            <w:vAlign w:val="bottom"/>
            <w:tcBorders>
              <w:bottom w:val="single" w:sz="8" w:color="E0E7ED"/>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15,138</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1,541</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448,342</w:t>
            </w:r>
          </w:p>
        </w:tc>
        <w:tc>
          <w:tcPr>
            <w:tcW w:w="0" w:type="dxa"/>
            <w:vAlign w:val="bottom"/>
          </w:tcPr>
          <w:p>
            <w:pPr>
              <w:spacing w:after="0"/>
              <w:rPr>
                <w:sz w:val="1"/>
                <w:szCs w:val="1"/>
                <w:color w:val="auto"/>
              </w:rPr>
            </w:pPr>
          </w:p>
        </w:tc>
      </w:tr>
      <w:tr>
        <w:trPr>
          <w:trHeight w:val="233"/>
        </w:trPr>
        <w:tc>
          <w:tcPr>
            <w:tcW w:w="3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portfolio loans</w:t>
            </w: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1,387,321</w:t>
            </w:r>
          </w:p>
        </w:tc>
        <w:tc>
          <w:tcPr>
            <w:tcW w:w="80" w:type="dxa"/>
            <w:vAlign w:val="bottom"/>
            <w:tcBorders>
              <w:bottom w:val="single" w:sz="8" w:color="E0E7ED"/>
            </w:tcBorders>
            <w:shd w:val="clear" w:color="auto" w:fill="E0E7ED"/>
          </w:tcPr>
          <w:p>
            <w:pPr>
              <w:spacing w:after="0"/>
              <w:rPr>
                <w:sz w:val="19"/>
                <w:szCs w:val="19"/>
                <w:color w:val="auto"/>
              </w:rPr>
            </w:pP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3,749,185</w:t>
            </w:r>
          </w:p>
        </w:tc>
        <w:tc>
          <w:tcPr>
            <w:tcW w:w="80" w:type="dxa"/>
            <w:vAlign w:val="bottom"/>
            <w:tcBorders>
              <w:bottom w:val="single" w:sz="8" w:color="E0E7ED"/>
            </w:tcBorders>
            <w:shd w:val="clear" w:color="auto" w:fill="E0E7ED"/>
          </w:tcPr>
          <w:p>
            <w:pPr>
              <w:spacing w:after="0"/>
              <w:rPr>
                <w:sz w:val="19"/>
                <w:szCs w:val="19"/>
                <w:color w:val="auto"/>
              </w:rPr>
            </w:pPr>
          </w:p>
        </w:tc>
        <w:tc>
          <w:tcPr>
            <w:tcW w:w="220" w:type="dxa"/>
            <w:vAlign w:val="bottom"/>
            <w:tcBorders>
              <w:bottom w:val="single" w:sz="8" w:color="auto"/>
            </w:tcBorders>
            <w:shd w:val="clear" w:color="auto" w:fill="E0E7ED"/>
          </w:tcPr>
          <w:p>
            <w:pPr>
              <w:jc w:val="right"/>
              <w:ind w:right="29"/>
              <w:spacing w:after="0"/>
              <w:rPr>
                <w:sz w:val="20"/>
                <w:szCs w:val="20"/>
                <w:color w:val="auto"/>
              </w:rPr>
            </w:pPr>
            <w:r>
              <w:rPr>
                <w:rFonts w:ascii="Verdana" w:cs="Verdana" w:eastAsia="Verdana" w:hAnsi="Verdana"/>
                <w:sz w:val="14"/>
                <w:szCs w:val="14"/>
                <w:color w:val="auto"/>
              </w:rPr>
              <w:t>$</w:t>
            </w:r>
          </w:p>
        </w:tc>
        <w:tc>
          <w:tcPr>
            <w:tcW w:w="138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1,084,706</w:t>
            </w:r>
          </w:p>
        </w:tc>
        <w:tc>
          <w:tcPr>
            <w:tcW w:w="80" w:type="dxa"/>
            <w:vAlign w:val="bottom"/>
            <w:tcBorders>
              <w:bottom w:val="single" w:sz="8" w:color="E0E7ED"/>
            </w:tcBorders>
            <w:shd w:val="clear" w:color="auto" w:fill="E0E7ED"/>
          </w:tcPr>
          <w:p>
            <w:pPr>
              <w:spacing w:after="0"/>
              <w:rPr>
                <w:sz w:val="19"/>
                <w:szCs w:val="19"/>
                <w:color w:val="auto"/>
              </w:rPr>
            </w:pPr>
          </w:p>
        </w:tc>
        <w:tc>
          <w:tcPr>
            <w:tcW w:w="240" w:type="dxa"/>
            <w:vAlign w:val="bottom"/>
            <w:tcBorders>
              <w:bottom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1,475,875</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7,697,087</w:t>
            </w:r>
          </w:p>
        </w:tc>
        <w:tc>
          <w:tcPr>
            <w:tcW w:w="0" w:type="dxa"/>
            <w:vAlign w:val="bottom"/>
          </w:tcPr>
          <w:p>
            <w:pPr>
              <w:spacing w:after="0"/>
              <w:rPr>
                <w:sz w:val="1"/>
                <w:szCs w:val="1"/>
                <w:color w:val="auto"/>
              </w:rPr>
            </w:pPr>
          </w:p>
        </w:tc>
      </w:tr>
      <w:tr>
        <w:trPr>
          <w:trHeight w:val="20"/>
        </w:trPr>
        <w:tc>
          <w:tcPr>
            <w:tcW w:w="30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3" w:name="page74"/>
    <w:bookmarkEnd w:id="7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Structure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Portfolio loans maturing after one year are summarized below by interest rate structure and lending activity, as of December 31, 2024,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63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2"/>
          </w:tcPr>
          <w:p>
            <w:pPr>
              <w:jc w:val="center"/>
              <w:ind w:right="480"/>
              <w:spacing w:after="0" w:line="106" w:lineRule="exact"/>
              <w:rPr>
                <w:sz w:val="20"/>
                <w:szCs w:val="20"/>
                <w:color w:val="auto"/>
              </w:rPr>
            </w:pPr>
            <w:r>
              <w:rPr>
                <w:rFonts w:ascii="Verdana" w:cs="Verdana" w:eastAsia="Verdana" w:hAnsi="Verdana"/>
                <w:sz w:val="10"/>
                <w:szCs w:val="10"/>
                <w:b w:val="1"/>
                <w:bCs w:val="1"/>
                <w:color w:val="auto"/>
                <w:w w:val="98"/>
              </w:rPr>
              <w:t>Fixed</w:t>
            </w:r>
          </w:p>
        </w:tc>
        <w:tc>
          <w:tcPr>
            <w:tcW w:w="30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2"/>
          </w:tcPr>
          <w:p>
            <w:pPr>
              <w:jc w:val="center"/>
              <w:ind w:right="400"/>
              <w:spacing w:after="0" w:line="106" w:lineRule="exact"/>
              <w:rPr>
                <w:sz w:val="20"/>
                <w:szCs w:val="20"/>
                <w:color w:val="auto"/>
              </w:rPr>
            </w:pPr>
            <w:r>
              <w:rPr>
                <w:rFonts w:ascii="Verdana" w:cs="Verdana" w:eastAsia="Verdana" w:hAnsi="Verdana"/>
                <w:sz w:val="10"/>
                <w:szCs w:val="10"/>
                <w:b w:val="1"/>
                <w:bCs w:val="1"/>
                <w:color w:val="auto"/>
                <w:w w:val="96"/>
              </w:rPr>
              <w:t>Adjustable</w:t>
            </w:r>
          </w:p>
        </w:tc>
        <w:tc>
          <w:tcPr>
            <w:tcW w:w="3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vMerge w:val="restart"/>
          </w:tcPr>
          <w:p>
            <w:pPr>
              <w:jc w:val="right"/>
              <w:ind w:right="59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6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gridSpan w:val="2"/>
          </w:tcPr>
          <w:p>
            <w:pPr>
              <w:jc w:val="center"/>
              <w:ind w:right="480"/>
              <w:spacing w:after="0"/>
              <w:rPr>
                <w:sz w:val="20"/>
                <w:szCs w:val="20"/>
                <w:color w:val="auto"/>
              </w:rPr>
            </w:pPr>
            <w:r>
              <w:rPr>
                <w:rFonts w:ascii="Verdana" w:cs="Verdana" w:eastAsia="Verdana" w:hAnsi="Verdana"/>
                <w:sz w:val="10"/>
                <w:szCs w:val="10"/>
                <w:b w:val="1"/>
                <w:bCs w:val="1"/>
                <w:color w:val="auto"/>
              </w:rPr>
              <w:t>Rate</w:t>
            </w:r>
          </w:p>
        </w:tc>
        <w:tc>
          <w:tcPr>
            <w:tcW w:w="300" w:type="dxa"/>
            <w:vAlign w:val="bottom"/>
          </w:tcPr>
          <w:p>
            <w:pPr>
              <w:spacing w:after="0"/>
              <w:rPr>
                <w:sz w:val="11"/>
                <w:szCs w:val="11"/>
                <w:color w:val="auto"/>
              </w:rPr>
            </w:pPr>
          </w:p>
        </w:tc>
        <w:tc>
          <w:tcPr>
            <w:tcW w:w="1380" w:type="dxa"/>
            <w:vAlign w:val="bottom"/>
            <w:gridSpan w:val="2"/>
          </w:tcPr>
          <w:p>
            <w:pPr>
              <w:jc w:val="center"/>
              <w:ind w:right="400"/>
              <w:spacing w:after="0"/>
              <w:rPr>
                <w:sz w:val="20"/>
                <w:szCs w:val="20"/>
                <w:color w:val="auto"/>
              </w:rPr>
            </w:pPr>
            <w:r>
              <w:rPr>
                <w:rFonts w:ascii="Verdana" w:cs="Verdana" w:eastAsia="Verdana" w:hAnsi="Verdana"/>
                <w:sz w:val="10"/>
                <w:szCs w:val="10"/>
                <w:b w:val="1"/>
                <w:bCs w:val="1"/>
                <w:color w:val="auto"/>
              </w:rPr>
              <w:t>Rate</w:t>
            </w: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Portfolio loans maturing after 1 year</w:t>
            </w:r>
          </w:p>
        </w:tc>
        <w:tc>
          <w:tcPr>
            <w:tcW w:w="3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5"/>
              <w:spacing w:after="0"/>
              <w:rPr>
                <w:sz w:val="20"/>
                <w:szCs w:val="20"/>
                <w:color w:val="auto"/>
              </w:rPr>
            </w:pPr>
            <w:r>
              <w:rPr>
                <w:rFonts w:ascii="Verdana" w:cs="Verdana" w:eastAsia="Verdana" w:hAnsi="Verdana"/>
                <w:sz w:val="14"/>
                <w:szCs w:val="14"/>
                <w:color w:val="auto"/>
              </w:rPr>
              <w:t>648,823</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655,969</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1,304,792</w:t>
            </w:r>
          </w:p>
        </w:tc>
        <w:tc>
          <w:tcPr>
            <w:tcW w:w="0" w:type="dxa"/>
            <w:vAlign w:val="bottom"/>
          </w:tcPr>
          <w:p>
            <w:pPr>
              <w:spacing w:after="0"/>
              <w:rPr>
                <w:sz w:val="1"/>
                <w:szCs w:val="1"/>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1,908,192</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789,356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2,697,548</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Real estate construction</w:t>
            </w:r>
          </w:p>
        </w:tc>
        <w:tc>
          <w:tcPr>
            <w:tcW w:w="3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Verdana" w:cs="Verdana" w:eastAsia="Verdana" w:hAnsi="Verdana"/>
                <w:sz w:val="14"/>
                <w:szCs w:val="14"/>
                <w:color w:val="auto"/>
              </w:rPr>
              <w:t>53,040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194,786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247,826</w:t>
            </w:r>
          </w:p>
        </w:tc>
        <w:tc>
          <w:tcPr>
            <w:tcW w:w="0" w:type="dxa"/>
            <w:vAlign w:val="bottom"/>
          </w:tcPr>
          <w:p>
            <w:pPr>
              <w:spacing w:after="0"/>
              <w:rPr>
                <w:sz w:val="1"/>
                <w:szCs w:val="1"/>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758,852</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881,640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1,640,492</w:t>
            </w:r>
          </w:p>
        </w:tc>
        <w:tc>
          <w:tcPr>
            <w:tcW w:w="0" w:type="dxa"/>
            <w:vAlign w:val="bottom"/>
          </w:tcPr>
          <w:p>
            <w:pPr>
              <w:spacing w:after="0"/>
              <w:rPr>
                <w:sz w:val="1"/>
                <w:szCs w:val="1"/>
                <w:color w:val="auto"/>
              </w:rPr>
            </w:pP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132,521</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286,587</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419,108</w:t>
            </w:r>
          </w:p>
        </w:tc>
        <w:tc>
          <w:tcPr>
            <w:tcW w:w="0" w:type="dxa"/>
            <w:vAlign w:val="bottom"/>
          </w:tcPr>
          <w:p>
            <w:pPr>
              <w:spacing w:after="0"/>
              <w:rPr>
                <w:sz w:val="1"/>
                <w:szCs w:val="1"/>
                <w:color w:val="auto"/>
              </w:rPr>
            </w:pP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portfolio loans maturing after 1 year</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3,501,428</w:t>
            </w:r>
          </w:p>
        </w:tc>
        <w:tc>
          <w:tcPr>
            <w:tcW w:w="80" w:type="dxa"/>
            <w:vAlign w:val="bottom"/>
            <w:tcBorders>
              <w:bottom w:val="single" w:sz="8" w:color="E0E7ED"/>
            </w:tcBorders>
            <w:shd w:val="clear" w:color="auto" w:fill="E0E7ED"/>
          </w:tcPr>
          <w:p>
            <w:pPr>
              <w:spacing w:after="0"/>
              <w:rPr>
                <w:sz w:val="19"/>
                <w:szCs w:val="19"/>
                <w:color w:val="auto"/>
              </w:rPr>
            </w:pPr>
          </w:p>
        </w:tc>
        <w:tc>
          <w:tcPr>
            <w:tcW w:w="300" w:type="dxa"/>
            <w:vAlign w:val="bottom"/>
            <w:tcBorders>
              <w:bottom w:val="single" w:sz="8" w:color="auto"/>
            </w:tcBorders>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2,808,338</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6,309,766</w:t>
            </w:r>
          </w:p>
        </w:tc>
        <w:tc>
          <w:tcPr>
            <w:tcW w:w="0" w:type="dxa"/>
            <w:vAlign w:val="bottom"/>
          </w:tcPr>
          <w:p>
            <w:pPr>
              <w:spacing w:after="0"/>
              <w:rPr>
                <w:sz w:val="1"/>
                <w:szCs w:val="1"/>
                <w:color w:val="auto"/>
              </w:rPr>
            </w:pP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Allowance and Provision for Credit Losses</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The ACL is a significant estimate on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affecting both earnings and capital. The methodology adopted influences, and is influenced by, Busey’s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the collectability as of the evaluation date. The ACL is established through the provision for credit loss expense charged to income. Provision expenses (releases) were recorded as follows for each of the years indicated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0"/>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Provision for credit losses</w:t>
            </w:r>
          </w:p>
        </w:tc>
        <w:tc>
          <w:tcPr>
            <w:tcW w:w="1020" w:type="dxa"/>
            <w:vAlign w:val="bottom"/>
            <w:shd w:val="clear" w:color="auto" w:fill="E0E7ED"/>
          </w:tcPr>
          <w:p>
            <w:pPr>
              <w:jc w:val="right"/>
              <w:ind w:right="860"/>
              <w:spacing w:after="0"/>
              <w:rPr>
                <w:sz w:val="20"/>
                <w:szCs w:val="20"/>
                <w:color w:val="auto"/>
              </w:rPr>
            </w:pPr>
            <w:r>
              <w:rPr>
                <w:rFonts w:ascii="Verdana" w:cs="Verdana" w:eastAsia="Verdana" w:hAnsi="Verdana"/>
                <w:sz w:val="14"/>
                <w:szCs w:val="14"/>
                <w:color w:val="auto"/>
                <w:w w:val="88"/>
              </w:rPr>
              <w:t>$</w:t>
            </w:r>
          </w:p>
        </w:tc>
        <w:tc>
          <w:tcPr>
            <w:tcW w:w="5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8,590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20"/>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2,399</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4,623</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4" w:name="page75"/>
    <w:bookmarkEnd w:id="7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following table summarizes, by lending activity, net charge-off and recovery activity affecting the ACL balance, together with average portfolio loans outstanding and the related ratios of net charge-offs (recoveries) to average portfolio loans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Verdana" w:cs="Verdana" w:eastAsia="Verdana" w:hAnsi="Verdana"/>
                <w:sz w:val="10"/>
                <w:szCs w:val="10"/>
                <w:b w:val="1"/>
                <w:bCs w:val="1"/>
                <w:color w:val="auto"/>
              </w:rPr>
              <w:t>Ratio of</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vMerge w:val="restart"/>
          </w:tcPr>
          <w:p>
            <w:pPr>
              <w:jc w:val="center"/>
              <w:ind w:right="172"/>
              <w:spacing w:after="0"/>
              <w:rPr>
                <w:sz w:val="20"/>
                <w:szCs w:val="20"/>
                <w:color w:val="auto"/>
              </w:rPr>
            </w:pPr>
            <w:r>
              <w:rPr>
                <w:rFonts w:ascii="Verdana" w:cs="Verdana" w:eastAsia="Verdana" w:hAnsi="Verdana"/>
                <w:sz w:val="10"/>
                <w:szCs w:val="10"/>
                <w:b w:val="1"/>
                <w:bCs w:val="1"/>
                <w:color w:val="auto"/>
                <w:w w:val="99"/>
              </w:rPr>
              <w:t>Average</w:t>
            </w:r>
          </w:p>
        </w:tc>
        <w:tc>
          <w:tcPr>
            <w:tcW w:w="100" w:type="dxa"/>
            <w:vAlign w:val="bottom"/>
          </w:tcPr>
          <w:p>
            <w:pPr>
              <w:spacing w:after="0"/>
              <w:rPr>
                <w:sz w:val="8"/>
                <w:szCs w:val="8"/>
                <w:color w:val="auto"/>
              </w:rPr>
            </w:pPr>
          </w:p>
        </w:tc>
        <w:tc>
          <w:tcPr>
            <w:tcW w:w="172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9"/>
              </w:rPr>
              <w:t>Net Charge-offs</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9"/>
              </w:rPr>
              <w:t>(Recoveries)</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Verdana" w:cs="Verdana" w:eastAsia="Verdana" w:hAnsi="Verdana"/>
                <w:sz w:val="10"/>
                <w:szCs w:val="10"/>
                <w:b w:val="1"/>
                <w:bCs w:val="1"/>
                <w:color w:val="auto"/>
              </w:rPr>
              <w:t>ACL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52"/>
              <w:spacing w:after="0" w:line="96" w:lineRule="exact"/>
              <w:rPr>
                <w:sz w:val="20"/>
                <w:szCs w:val="20"/>
                <w:color w:val="auto"/>
              </w:rPr>
            </w:pPr>
            <w:r>
              <w:rPr>
                <w:rFonts w:ascii="Verdana" w:cs="Verdana" w:eastAsia="Verdana" w:hAnsi="Verdana"/>
                <w:sz w:val="10"/>
                <w:szCs w:val="10"/>
                <w:b w:val="1"/>
                <w:bCs w:val="1"/>
                <w:color w:val="auto"/>
                <w:w w:val="98"/>
              </w:rPr>
              <w:t>Portfolio Loans</w:t>
            </w:r>
          </w:p>
        </w:tc>
        <w:tc>
          <w:tcPr>
            <w:tcW w:w="100" w:type="dxa"/>
            <w:vAlign w:val="bottom"/>
          </w:tcPr>
          <w:p>
            <w:pPr>
              <w:spacing w:after="0"/>
              <w:rPr>
                <w:sz w:val="8"/>
                <w:szCs w:val="8"/>
                <w:color w:val="auto"/>
              </w:rPr>
            </w:pPr>
          </w:p>
        </w:tc>
        <w:tc>
          <w:tcPr>
            <w:tcW w:w="172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rPr>
              <w:t>To Average</w:t>
            </w:r>
          </w:p>
        </w:tc>
        <w:tc>
          <w:tcPr>
            <w:tcW w:w="0" w:type="dxa"/>
            <w:vAlign w:val="bottom"/>
          </w:tcPr>
          <w:p>
            <w:pPr>
              <w:spacing w:after="0"/>
              <w:rPr>
                <w:sz w:val="1"/>
                <w:szCs w:val="1"/>
                <w:color w:val="auto"/>
              </w:rPr>
            </w:pPr>
          </w:p>
        </w:tc>
      </w:tr>
      <w:tr>
        <w:trPr>
          <w:trHeight w:val="127"/>
        </w:trPr>
        <w:tc>
          <w:tcPr>
            <w:tcW w:w="6240" w:type="dxa"/>
            <w:vAlign w:val="bottom"/>
            <w:tcBorders>
              <w:bottom w:val="single" w:sz="8" w:color="E0E7ED"/>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52"/>
              <w:spacing w:after="0"/>
              <w:rPr>
                <w:sz w:val="20"/>
                <w:szCs w:val="20"/>
                <w:color w:val="auto"/>
              </w:rPr>
            </w:pPr>
            <w:r>
              <w:rPr>
                <w:rFonts w:ascii="Verdana" w:cs="Verdana" w:eastAsia="Verdana" w:hAnsi="Verdana"/>
                <w:sz w:val="10"/>
                <w:szCs w:val="10"/>
                <w:b w:val="1"/>
                <w:bCs w:val="1"/>
                <w:color w:val="auto"/>
                <w:w w:val="98"/>
              </w:rPr>
              <w:t>Outstanding</w:t>
            </w:r>
          </w:p>
        </w:tc>
        <w:tc>
          <w:tcPr>
            <w:tcW w:w="100" w:type="dxa"/>
            <w:vAlign w:val="bottom"/>
            <w:tcBorders>
              <w:bottom w:val="single" w:sz="8" w:color="E0E7ED"/>
            </w:tcBorders>
          </w:tcPr>
          <w:p>
            <w:pPr>
              <w:spacing w:after="0"/>
              <w:rPr>
                <w:sz w:val="11"/>
                <w:szCs w:val="11"/>
                <w:color w:val="auto"/>
              </w:rPr>
            </w:pPr>
          </w:p>
        </w:tc>
        <w:tc>
          <w:tcPr>
            <w:tcW w:w="172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8"/>
              </w:rPr>
              <w:t>Portfolio Loans</w:t>
            </w:r>
          </w:p>
        </w:tc>
        <w:tc>
          <w:tcPr>
            <w:tcW w:w="0" w:type="dxa"/>
            <w:vAlign w:val="bottom"/>
          </w:tcPr>
          <w:p>
            <w:pPr>
              <w:spacing w:after="0"/>
              <w:rPr>
                <w:sz w:val="1"/>
                <w:szCs w:val="1"/>
                <w:color w:val="auto"/>
              </w:rPr>
            </w:pPr>
          </w:p>
        </w:tc>
      </w:tr>
      <w:tr>
        <w:trPr>
          <w:trHeight w:val="203"/>
        </w:trPr>
        <w:tc>
          <w:tcPr>
            <w:tcW w:w="62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2021</w:t>
            </w:r>
          </w:p>
        </w:tc>
        <w:tc>
          <w:tcPr>
            <w:tcW w:w="900" w:type="dxa"/>
            <w:vAlign w:val="bottom"/>
            <w:shd w:val="clear" w:color="auto" w:fill="E0E7ED"/>
          </w:tcPr>
          <w:p>
            <w:pPr>
              <w:jc w:val="right"/>
              <w:ind w:right="736"/>
              <w:spacing w:after="0"/>
              <w:rPr>
                <w:sz w:val="20"/>
                <w:szCs w:val="20"/>
                <w:color w:val="auto"/>
              </w:rPr>
            </w:pPr>
            <w:r>
              <w:rPr>
                <w:rFonts w:ascii="Verdana" w:cs="Verdana" w:eastAsia="Verdana" w:hAnsi="Verdana"/>
                <w:sz w:val="14"/>
                <w:szCs w:val="14"/>
                <w:color w:val="auto"/>
                <w:w w:val="88"/>
              </w:rPr>
              <w:t>$</w:t>
            </w: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87,887</w:t>
            </w:r>
          </w:p>
        </w:tc>
        <w:tc>
          <w:tcPr>
            <w:tcW w:w="8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3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72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140"/>
              <w:spacing w:after="0"/>
              <w:rPr>
                <w:sz w:val="20"/>
                <w:szCs w:val="20"/>
                <w:color w:val="auto"/>
              </w:rPr>
            </w:pPr>
            <w:r>
              <w:rPr>
                <w:rFonts w:ascii="Verdana" w:cs="Verdana" w:eastAsia="Verdana" w:hAnsi="Verdana"/>
                <w:sz w:val="14"/>
                <w:szCs w:val="14"/>
                <w:color w:val="auto"/>
              </w:rPr>
              <w:t>Net (charge-offs) recoveries and average portfolio loans by loan category:</w:t>
            </w: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C&amp;I and other commercial</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(492)</w:t>
            </w:r>
          </w:p>
        </w:tc>
        <w:tc>
          <w:tcPr>
            <w:tcW w:w="3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1,919,227</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0.03 %</w:t>
            </w: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CRE</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(842)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3,200,166</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0.03 %</w:t>
            </w: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Real estate construction</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213</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466,045</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(0.05)%</w:t>
            </w: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Retail real estate</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385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1,584,859</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(0.02)%</w:t>
            </w:r>
          </w:p>
        </w:tc>
        <w:tc>
          <w:tcPr>
            <w:tcW w:w="0" w:type="dxa"/>
            <w:vAlign w:val="bottom"/>
          </w:tcPr>
          <w:p>
            <w:pPr>
              <w:spacing w:after="0"/>
              <w:rPr>
                <w:sz w:val="1"/>
                <w:szCs w:val="1"/>
                <w:color w:val="auto"/>
              </w:rPr>
            </w:pPr>
          </w:p>
        </w:tc>
      </w:tr>
      <w:tr>
        <w:trPr>
          <w:trHeight w:val="212"/>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other</w:t>
            </w:r>
          </w:p>
        </w:tc>
        <w:tc>
          <w:tcPr>
            <w:tcW w:w="900" w:type="dxa"/>
            <w:vAlign w:val="bottom"/>
            <w:tcBorders>
              <w:bottom w:val="single" w:sz="8" w:color="auto"/>
            </w:tcBorders>
            <w:shd w:val="clear" w:color="auto" w:fill="E0E7ED"/>
          </w:tcPr>
          <w:p>
            <w:pPr>
              <w:spacing w:after="0"/>
              <w:rPr>
                <w:sz w:val="18"/>
                <w:szCs w:val="18"/>
                <w:color w:val="auto"/>
              </w:rPr>
            </w:pPr>
          </w:p>
        </w:tc>
        <w:tc>
          <w:tcPr>
            <w:tcW w:w="6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(166)</w:t>
            </w: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275,665</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0.06 %</w:t>
            </w:r>
          </w:p>
        </w:tc>
        <w:tc>
          <w:tcPr>
            <w:tcW w:w="0" w:type="dxa"/>
            <w:vAlign w:val="bottom"/>
          </w:tcPr>
          <w:p>
            <w:pPr>
              <w:spacing w:after="0"/>
              <w:rPr>
                <w:sz w:val="1"/>
                <w:szCs w:val="1"/>
                <w:color w:val="auto"/>
              </w:rPr>
            </w:pPr>
          </w:p>
        </w:tc>
      </w:tr>
      <w:tr>
        <w:trPr>
          <w:trHeight w:val="208"/>
        </w:trPr>
        <w:tc>
          <w:tcPr>
            <w:tcW w:w="6240" w:type="dxa"/>
            <w:vAlign w:val="bottom"/>
          </w:tcPr>
          <w:p>
            <w:pPr>
              <w:ind w:left="140"/>
              <w:spacing w:after="0"/>
              <w:rPr>
                <w:sz w:val="20"/>
                <w:szCs w:val="20"/>
                <w:color w:val="auto"/>
              </w:rPr>
            </w:pPr>
            <w:r>
              <w:rPr>
                <w:rFonts w:ascii="Verdana" w:cs="Verdana" w:eastAsia="Verdana" w:hAnsi="Verdana"/>
                <w:sz w:val="14"/>
                <w:szCs w:val="14"/>
                <w:color w:val="auto"/>
              </w:rPr>
              <w:t>Net (charge-offs) recoveries and average portfolio loans</w:t>
            </w: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(902)</w:t>
            </w:r>
          </w:p>
        </w:tc>
        <w:tc>
          <w:tcPr>
            <w:tcW w:w="32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spacing w:after="0"/>
              <w:rPr>
                <w:sz w:val="20"/>
                <w:szCs w:val="20"/>
                <w:color w:val="auto"/>
              </w:rPr>
            </w:pPr>
            <w:r>
              <w:rPr>
                <w:rFonts w:ascii="Verdana" w:cs="Verdana" w:eastAsia="Verdana" w:hAnsi="Verdana"/>
                <w:sz w:val="14"/>
                <w:szCs w:val="14"/>
                <w:color w:val="auto"/>
              </w:rPr>
              <w:t>7,445,962</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0.01 %</w:t>
            </w:r>
          </w:p>
        </w:tc>
        <w:tc>
          <w:tcPr>
            <w:tcW w:w="0" w:type="dxa"/>
            <w:vAlign w:val="bottom"/>
          </w:tcPr>
          <w:p>
            <w:pPr>
              <w:spacing w:after="0"/>
              <w:rPr>
                <w:sz w:val="1"/>
                <w:szCs w:val="1"/>
                <w:color w:val="auto"/>
              </w:rPr>
            </w:pPr>
          </w:p>
        </w:tc>
      </w:tr>
      <w:tr>
        <w:trPr>
          <w:trHeight w:val="20"/>
        </w:trPr>
        <w:tc>
          <w:tcPr>
            <w:tcW w:w="6240" w:type="dxa"/>
            <w:vAlign w:val="bottom"/>
            <w:tcBorders>
              <w:bottom w:val="single" w:sz="8" w:color="E0E7ED"/>
            </w:tcBorders>
          </w:tcPr>
          <w:p>
            <w:pPr>
              <w:spacing w:after="0" w:line="20" w:lineRule="exact"/>
              <w:rPr>
                <w:sz w:val="1"/>
                <w:szCs w:val="1"/>
                <w:color w:val="auto"/>
              </w:rPr>
            </w:pPr>
          </w:p>
        </w:tc>
        <w:tc>
          <w:tcPr>
            <w:tcW w:w="900" w:type="dxa"/>
            <w:vAlign w:val="bottom"/>
            <w:tcBorders>
              <w:bottom w:val="single" w:sz="8" w:color="E0E7ED"/>
            </w:tcBorders>
          </w:tcPr>
          <w:p>
            <w:pPr>
              <w:spacing w:after="0" w:line="20" w:lineRule="exact"/>
              <w:rPr>
                <w:sz w:val="1"/>
                <w:szCs w:val="1"/>
                <w:color w:val="auto"/>
              </w:rPr>
            </w:pPr>
          </w:p>
        </w:tc>
        <w:tc>
          <w:tcPr>
            <w:tcW w:w="66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7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240" w:type="dxa"/>
            <w:vAlign w:val="bottom"/>
            <w:shd w:val="clear" w:color="auto" w:fill="E0E7ED"/>
          </w:tcPr>
          <w:p>
            <w:pPr>
              <w:ind w:left="140"/>
              <w:spacing w:after="0" w:line="164" w:lineRule="exact"/>
              <w:rPr>
                <w:sz w:val="20"/>
                <w:szCs w:val="20"/>
                <w:color w:val="auto"/>
              </w:rPr>
            </w:pPr>
            <w:r>
              <w:rPr>
                <w:rFonts w:ascii="Verdana" w:cs="Verdana" w:eastAsia="Verdana" w:hAnsi="Verdana"/>
                <w:sz w:val="14"/>
                <w:szCs w:val="14"/>
                <w:color w:val="auto"/>
              </w:rPr>
              <w:t>Provision for credit losses</w:t>
            </w:r>
          </w:p>
        </w:tc>
        <w:tc>
          <w:tcPr>
            <w:tcW w:w="900" w:type="dxa"/>
            <w:vAlign w:val="bottom"/>
            <w:tcBorders>
              <w:bottom w:val="single" w:sz="8" w:color="auto"/>
            </w:tcBorders>
            <w:shd w:val="clear" w:color="auto" w:fill="E0E7ED"/>
          </w:tcPr>
          <w:p>
            <w:pPr>
              <w:spacing w:after="0"/>
              <w:rPr>
                <w:sz w:val="14"/>
                <w:szCs w:val="14"/>
                <w:color w:val="auto"/>
              </w:rPr>
            </w:pPr>
          </w:p>
        </w:tc>
        <w:tc>
          <w:tcPr>
            <w:tcW w:w="660" w:type="dxa"/>
            <w:vAlign w:val="bottom"/>
            <w:tcBorders>
              <w:bottom w:val="single" w:sz="8" w:color="auto"/>
            </w:tcBorders>
            <w:shd w:val="clear" w:color="auto" w:fill="E0E7ED"/>
          </w:tcPr>
          <w:p>
            <w:pPr>
              <w:jc w:val="right"/>
              <w:spacing w:after="0" w:line="164" w:lineRule="exact"/>
              <w:rPr>
                <w:sz w:val="20"/>
                <w:szCs w:val="20"/>
                <w:color w:val="auto"/>
              </w:rPr>
            </w:pPr>
            <w:r>
              <w:rPr>
                <w:rFonts w:ascii="Verdana" w:cs="Verdana" w:eastAsia="Verdana" w:hAnsi="Verdana"/>
                <w:sz w:val="14"/>
                <w:szCs w:val="14"/>
                <w:color w:val="auto"/>
              </w:rPr>
              <w:t>4,623</w:t>
            </w:r>
          </w:p>
        </w:tc>
        <w:tc>
          <w:tcPr>
            <w:tcW w:w="8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3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72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rPr>
                <w:sz w:val="20"/>
                <w:szCs w:val="20"/>
                <w:color w:val="auto"/>
              </w:rPr>
            </w:pPr>
            <w:r>
              <w:rPr>
                <w:rFonts w:ascii="Verdana" w:cs="Verdana" w:eastAsia="Verdana" w:hAnsi="Verdana"/>
                <w:sz w:val="14"/>
                <w:szCs w:val="14"/>
                <w:b w:val="1"/>
                <w:bCs w:val="1"/>
                <w:color w:val="auto"/>
              </w:rPr>
              <w:t>ACL balance, December 31, 2022</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91,608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Net (charge-offs) recoveries and average portfolio loans by loan category:</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C&amp;I and other commercial</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(1,877)</w:t>
            </w:r>
          </w:p>
        </w:tc>
        <w:tc>
          <w:tcPr>
            <w:tcW w:w="32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spacing w:after="0"/>
              <w:rPr>
                <w:sz w:val="20"/>
                <w:szCs w:val="20"/>
                <w:color w:val="auto"/>
              </w:rPr>
            </w:pPr>
            <w:r>
              <w:rPr>
                <w:rFonts w:ascii="Verdana" w:cs="Verdana" w:eastAsia="Verdana" w:hAnsi="Verdana"/>
                <w:sz w:val="14"/>
                <w:szCs w:val="14"/>
                <w:color w:val="auto"/>
              </w:rPr>
              <w:t>1,910,008</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0.10 %</w:t>
            </w: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CRE</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(379)</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3,316,633</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0.01 %</w:t>
            </w: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Real estate construction</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171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536,280</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(0.03)%</w:t>
            </w: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real estate</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183</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1,689,868</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(0.01)%</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Retail other</w:t>
            </w: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(365)</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306,683</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0.12 %</w:t>
            </w:r>
          </w:p>
        </w:tc>
        <w:tc>
          <w:tcPr>
            <w:tcW w:w="0" w:type="dxa"/>
            <w:vAlign w:val="bottom"/>
          </w:tcPr>
          <w:p>
            <w:pPr>
              <w:spacing w:after="0"/>
              <w:rPr>
                <w:sz w:val="1"/>
                <w:szCs w:val="1"/>
                <w:color w:val="auto"/>
              </w:rPr>
            </w:pPr>
          </w:p>
        </w:tc>
      </w:tr>
      <w:tr>
        <w:trPr>
          <w:trHeight w:val="228"/>
        </w:trPr>
        <w:tc>
          <w:tcPr>
            <w:tcW w:w="62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Net (charge-offs) recoveries and average portfolio loans</w:t>
            </w:r>
          </w:p>
        </w:tc>
        <w:tc>
          <w:tcPr>
            <w:tcW w:w="900" w:type="dxa"/>
            <w:vAlign w:val="bottom"/>
            <w:shd w:val="clear" w:color="auto" w:fill="E0E7ED"/>
          </w:tcPr>
          <w:p>
            <w:pPr>
              <w:spacing w:after="0"/>
              <w:rPr>
                <w:sz w:val="19"/>
                <w:szCs w:val="19"/>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(2,267)</w:t>
            </w:r>
          </w:p>
        </w:tc>
        <w:tc>
          <w:tcPr>
            <w:tcW w:w="3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7,759,472</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0.03 %</w:t>
            </w:r>
          </w:p>
        </w:tc>
        <w:tc>
          <w:tcPr>
            <w:tcW w:w="0" w:type="dxa"/>
            <w:vAlign w:val="bottom"/>
          </w:tcPr>
          <w:p>
            <w:pPr>
              <w:spacing w:after="0"/>
              <w:rPr>
                <w:sz w:val="1"/>
                <w:szCs w:val="1"/>
                <w:color w:val="auto"/>
              </w:rPr>
            </w:pPr>
          </w:p>
        </w:tc>
      </w:tr>
      <w:tr>
        <w:trPr>
          <w:trHeight w:val="20"/>
        </w:trPr>
        <w:tc>
          <w:tcPr>
            <w:tcW w:w="6240" w:type="dxa"/>
            <w:vAlign w:val="bottom"/>
            <w:tcBorders>
              <w:top w:val="single" w:sz="8" w:color="E0E7ED"/>
              <w:bottom w:val="single" w:sz="8" w:color="E0E7ED"/>
            </w:tcBorders>
            <w:vMerge w:val="restart"/>
          </w:tcPr>
          <w:p>
            <w:pPr>
              <w:ind w:left="140"/>
              <w:spacing w:after="0"/>
              <w:rPr>
                <w:sz w:val="20"/>
                <w:szCs w:val="20"/>
                <w:color w:val="auto"/>
              </w:rPr>
            </w:pPr>
            <w:r>
              <w:rPr>
                <w:rFonts w:ascii="Verdana" w:cs="Verdana" w:eastAsia="Verdana" w:hAnsi="Verdana"/>
                <w:sz w:val="14"/>
                <w:szCs w:val="14"/>
                <w:color w:val="auto"/>
              </w:rPr>
              <w:t>Provision for credit losses</w:t>
            </w:r>
          </w:p>
        </w:tc>
        <w:tc>
          <w:tcPr>
            <w:tcW w:w="900" w:type="dxa"/>
            <w:vAlign w:val="bottom"/>
            <w:tcBorders>
              <w:top w:val="single" w:sz="8" w:color="E0E7ED"/>
            </w:tcBorders>
          </w:tcPr>
          <w:p>
            <w:pPr>
              <w:spacing w:after="0" w:line="20" w:lineRule="exact"/>
              <w:rPr>
                <w:sz w:val="1"/>
                <w:szCs w:val="1"/>
                <w:color w:val="auto"/>
              </w:rPr>
            </w:pPr>
          </w:p>
        </w:tc>
        <w:tc>
          <w:tcPr>
            <w:tcW w:w="660" w:type="dxa"/>
            <w:vAlign w:val="bottom"/>
            <w:tcBorders>
              <w:top w:val="single" w:sz="8" w:color="E0E7ED"/>
              <w:bottom w:val="single" w:sz="8" w:color="E0E7ED"/>
            </w:tcBorders>
            <w:vMerge w:val="restart"/>
          </w:tcPr>
          <w:p>
            <w:pPr>
              <w:jc w:val="right"/>
              <w:spacing w:after="0"/>
              <w:rPr>
                <w:sz w:val="20"/>
                <w:szCs w:val="20"/>
                <w:color w:val="auto"/>
              </w:rPr>
            </w:pPr>
            <w:r>
              <w:rPr>
                <w:rFonts w:ascii="Verdana" w:cs="Verdana" w:eastAsia="Verdana" w:hAnsi="Verdana"/>
                <w:sz w:val="14"/>
                <w:szCs w:val="14"/>
                <w:color w:val="auto"/>
              </w:rPr>
              <w:t>2,399</w:t>
            </w: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240" w:type="dxa"/>
            <w:vAlign w:val="bottom"/>
            <w:tcBorders>
              <w:bottom w:val="single" w:sz="8" w:color="E0E7ED"/>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E0E7ED"/>
            </w:tcBorders>
          </w:tcPr>
          <w:p>
            <w:pPr>
              <w:spacing w:after="0"/>
              <w:rPr>
                <w:sz w:val="12"/>
                <w:szCs w:val="12"/>
                <w:color w:val="auto"/>
              </w:rPr>
            </w:pPr>
          </w:p>
        </w:tc>
        <w:tc>
          <w:tcPr>
            <w:tcW w:w="1340" w:type="dxa"/>
            <w:vAlign w:val="bottom"/>
            <w:tcBorders>
              <w:bottom w:val="single" w:sz="8" w:color="E0E7ED"/>
            </w:tcBorders>
          </w:tcPr>
          <w:p>
            <w:pPr>
              <w:spacing w:after="0"/>
              <w:rPr>
                <w:sz w:val="12"/>
                <w:szCs w:val="12"/>
                <w:color w:val="auto"/>
              </w:rPr>
            </w:pPr>
          </w:p>
        </w:tc>
        <w:tc>
          <w:tcPr>
            <w:tcW w:w="100" w:type="dxa"/>
            <w:vAlign w:val="bottom"/>
            <w:tcBorders>
              <w:bottom w:val="single" w:sz="8" w:color="E0E7ED"/>
            </w:tcBorders>
          </w:tcPr>
          <w:p>
            <w:pPr>
              <w:spacing w:after="0"/>
              <w:rPr>
                <w:sz w:val="12"/>
                <w:szCs w:val="12"/>
                <w:color w:val="auto"/>
              </w:rPr>
            </w:pPr>
          </w:p>
        </w:tc>
        <w:tc>
          <w:tcPr>
            <w:tcW w:w="1720" w:type="dxa"/>
            <w:vAlign w:val="bottom"/>
            <w:tcBorders>
              <w:bottom w:val="single" w:sz="8" w:color="E0E7ED"/>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2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2023</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91,740</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Pr>
          <w:p>
            <w:pPr>
              <w:ind w:left="140"/>
              <w:spacing w:after="0" w:line="212" w:lineRule="exact"/>
              <w:rPr>
                <w:sz w:val="20"/>
                <w:szCs w:val="20"/>
                <w:color w:val="auto"/>
              </w:rPr>
            </w:pPr>
            <w:r>
              <w:rPr>
                <w:rFonts w:ascii="Verdana" w:cs="Verdana" w:eastAsia="Verdana" w:hAnsi="Verdana"/>
                <w:sz w:val="14"/>
                <w:szCs w:val="14"/>
                <w:color w:val="auto"/>
              </w:rPr>
              <w:t>Day 1 PCD</w:t>
            </w:r>
            <w:r>
              <w:rPr>
                <w:rFonts w:ascii="Verdana" w:cs="Verdana" w:eastAsia="Verdana" w:hAnsi="Verdana"/>
                <w:sz w:val="18"/>
                <w:szCs w:val="18"/>
                <w:color w:val="auto"/>
                <w:vertAlign w:val="superscript"/>
              </w:rPr>
              <w:t>1</w:t>
            </w: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1,243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Net (charge-offs) recoveries and average portfolio loans by loan category:</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72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C&amp;I and other commercial</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w w:val="99"/>
              </w:rPr>
              <w:t>(14,946)</w:t>
            </w:r>
          </w:p>
        </w:tc>
        <w:tc>
          <w:tcPr>
            <w:tcW w:w="32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tcPr>
          <w:p>
            <w:pPr>
              <w:jc w:val="right"/>
              <w:spacing w:after="0"/>
              <w:rPr>
                <w:sz w:val="20"/>
                <w:szCs w:val="20"/>
                <w:color w:val="auto"/>
              </w:rPr>
            </w:pPr>
            <w:r>
              <w:rPr>
                <w:rFonts w:ascii="Verdana" w:cs="Verdana" w:eastAsia="Verdana" w:hAnsi="Verdana"/>
                <w:sz w:val="14"/>
                <w:szCs w:val="14"/>
                <w:color w:val="auto"/>
              </w:rPr>
              <w:t>1,892,293</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0.79 %</w:t>
            </w: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CRE</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(3,168)</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3,361,644</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0.09 %</w:t>
            </w:r>
          </w:p>
        </w:tc>
        <w:tc>
          <w:tcPr>
            <w:tcW w:w="0" w:type="dxa"/>
            <w:vAlign w:val="bottom"/>
          </w:tcPr>
          <w:p>
            <w:pPr>
              <w:spacing w:after="0"/>
              <w:rPr>
                <w:sz w:val="1"/>
                <w:szCs w:val="1"/>
                <w:color w:val="auto"/>
              </w:rPr>
            </w:pPr>
          </w:p>
        </w:tc>
      </w:tr>
      <w:tr>
        <w:trPr>
          <w:trHeight w:val="207"/>
        </w:trPr>
        <w:tc>
          <w:tcPr>
            <w:tcW w:w="6240" w:type="dxa"/>
            <w:vAlign w:val="bottom"/>
          </w:tcPr>
          <w:p>
            <w:pPr>
              <w:ind w:left="280"/>
              <w:spacing w:after="0"/>
              <w:rPr>
                <w:sz w:val="20"/>
                <w:szCs w:val="20"/>
                <w:color w:val="auto"/>
              </w:rPr>
            </w:pPr>
            <w:r>
              <w:rPr>
                <w:rFonts w:ascii="Verdana" w:cs="Verdana" w:eastAsia="Verdana" w:hAnsi="Verdana"/>
                <w:sz w:val="14"/>
                <w:szCs w:val="14"/>
                <w:color w:val="auto"/>
              </w:rPr>
              <w:t>Real estate construction</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Verdana" w:cs="Verdana" w:eastAsia="Verdana" w:hAnsi="Verdana"/>
                <w:sz w:val="14"/>
                <w:szCs w:val="14"/>
                <w:color w:val="auto"/>
              </w:rPr>
              <w:t>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416,439</w:t>
            </w:r>
          </w:p>
        </w:tc>
        <w:tc>
          <w:tcPr>
            <w:tcW w:w="1820" w:type="dxa"/>
            <w:vAlign w:val="bottom"/>
            <w:gridSpan w:val="2"/>
          </w:tcPr>
          <w:p>
            <w:pPr>
              <w:jc w:val="right"/>
              <w:spacing w:after="0"/>
              <w:rPr>
                <w:sz w:val="20"/>
                <w:szCs w:val="20"/>
                <w:color w:val="auto"/>
              </w:rPr>
            </w:pPr>
            <w:r>
              <w:rPr>
                <w:rFonts w:ascii="Verdana" w:cs="Verdana" w:eastAsia="Verdana" w:hAnsi="Verdana"/>
                <w:sz w:val="14"/>
                <w:szCs w:val="14"/>
                <w:color w:val="auto"/>
              </w:rPr>
              <w:t>(0.02)%</w:t>
            </w:r>
          </w:p>
        </w:tc>
        <w:tc>
          <w:tcPr>
            <w:tcW w:w="0" w:type="dxa"/>
            <w:vAlign w:val="bottom"/>
          </w:tcPr>
          <w:p>
            <w:pPr>
              <w:spacing w:after="0"/>
              <w:rPr>
                <w:sz w:val="1"/>
                <w:szCs w:val="1"/>
                <w:color w:val="auto"/>
              </w:rPr>
            </w:pPr>
          </w:p>
        </w:tc>
      </w:tr>
      <w:tr>
        <w:trPr>
          <w:trHeight w:val="218"/>
        </w:trPr>
        <w:tc>
          <w:tcPr>
            <w:tcW w:w="62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real estate</w:t>
            </w:r>
          </w:p>
        </w:tc>
        <w:tc>
          <w:tcPr>
            <w:tcW w:w="900" w:type="dxa"/>
            <w:vAlign w:val="bottom"/>
            <w:shd w:val="clear" w:color="auto" w:fill="E0E7ED"/>
          </w:tcPr>
          <w:p>
            <w:pPr>
              <w:spacing w:after="0"/>
              <w:rPr>
                <w:sz w:val="18"/>
                <w:szCs w:val="18"/>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348</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1,714,681</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(0.02)%</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Retail other</w:t>
            </w: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(470)</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419,572</w:t>
            </w:r>
          </w:p>
        </w:tc>
        <w:tc>
          <w:tcPr>
            <w:tcW w:w="18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0.11 %</w:t>
            </w:r>
          </w:p>
        </w:tc>
        <w:tc>
          <w:tcPr>
            <w:tcW w:w="0" w:type="dxa"/>
            <w:vAlign w:val="bottom"/>
          </w:tcPr>
          <w:p>
            <w:pPr>
              <w:spacing w:after="0"/>
              <w:rPr>
                <w:sz w:val="1"/>
                <w:szCs w:val="1"/>
                <w:color w:val="auto"/>
              </w:rPr>
            </w:pPr>
          </w:p>
        </w:tc>
      </w:tr>
      <w:tr>
        <w:trPr>
          <w:trHeight w:val="228"/>
        </w:trPr>
        <w:tc>
          <w:tcPr>
            <w:tcW w:w="62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Net (charge-offs) recoveries and average portfolio loans</w:t>
            </w:r>
          </w:p>
        </w:tc>
        <w:tc>
          <w:tcPr>
            <w:tcW w:w="900" w:type="dxa"/>
            <w:vAlign w:val="bottom"/>
            <w:shd w:val="clear" w:color="auto" w:fill="E0E7ED"/>
          </w:tcPr>
          <w:p>
            <w:pPr>
              <w:spacing w:after="0"/>
              <w:rPr>
                <w:sz w:val="19"/>
                <w:szCs w:val="19"/>
                <w:color w:val="auto"/>
              </w:rPr>
            </w:pPr>
          </w:p>
        </w:tc>
        <w:tc>
          <w:tcPr>
            <w:tcW w:w="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99"/>
              </w:rPr>
              <w:t>(18,169)</w:t>
            </w:r>
          </w:p>
        </w:tc>
        <w:tc>
          <w:tcPr>
            <w:tcW w:w="3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4"/>
                <w:szCs w:val="14"/>
                <w:color w:val="auto"/>
              </w:rPr>
              <w:t>$</w:t>
            </w: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7,804,629</w:t>
            </w:r>
          </w:p>
        </w:tc>
        <w:tc>
          <w:tcPr>
            <w:tcW w:w="18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0.23 %</w:t>
            </w:r>
          </w:p>
        </w:tc>
        <w:tc>
          <w:tcPr>
            <w:tcW w:w="0" w:type="dxa"/>
            <w:vAlign w:val="bottom"/>
          </w:tcPr>
          <w:p>
            <w:pPr>
              <w:spacing w:after="0"/>
              <w:rPr>
                <w:sz w:val="1"/>
                <w:szCs w:val="1"/>
                <w:color w:val="auto"/>
              </w:rPr>
            </w:pPr>
          </w:p>
        </w:tc>
      </w:tr>
      <w:tr>
        <w:trPr>
          <w:trHeight w:val="20"/>
        </w:trPr>
        <w:tc>
          <w:tcPr>
            <w:tcW w:w="6240" w:type="dxa"/>
            <w:vAlign w:val="bottom"/>
            <w:tcBorders>
              <w:top w:val="single" w:sz="8" w:color="E0E7ED"/>
              <w:bottom w:val="single" w:sz="8" w:color="E0E7ED"/>
            </w:tcBorders>
            <w:vMerge w:val="restart"/>
          </w:tcPr>
          <w:p>
            <w:pPr>
              <w:ind w:left="140"/>
              <w:spacing w:after="0"/>
              <w:rPr>
                <w:sz w:val="20"/>
                <w:szCs w:val="20"/>
                <w:color w:val="auto"/>
              </w:rPr>
            </w:pPr>
            <w:r>
              <w:rPr>
                <w:rFonts w:ascii="Verdana" w:cs="Verdana" w:eastAsia="Verdana" w:hAnsi="Verdana"/>
                <w:sz w:val="14"/>
                <w:szCs w:val="14"/>
                <w:color w:val="auto"/>
              </w:rPr>
              <w:t>Provision for credit losses</w:t>
            </w:r>
          </w:p>
        </w:tc>
        <w:tc>
          <w:tcPr>
            <w:tcW w:w="900" w:type="dxa"/>
            <w:vAlign w:val="bottom"/>
            <w:tcBorders>
              <w:top w:val="single" w:sz="8" w:color="E0E7ED"/>
            </w:tcBorders>
          </w:tcPr>
          <w:p>
            <w:pPr>
              <w:spacing w:after="0" w:line="20" w:lineRule="exact"/>
              <w:rPr>
                <w:sz w:val="1"/>
                <w:szCs w:val="1"/>
                <w:color w:val="auto"/>
              </w:rPr>
            </w:pPr>
          </w:p>
        </w:tc>
        <w:tc>
          <w:tcPr>
            <w:tcW w:w="660" w:type="dxa"/>
            <w:vAlign w:val="bottom"/>
            <w:tcBorders>
              <w:top w:val="single" w:sz="8" w:color="E0E7ED"/>
              <w:bottom w:val="single" w:sz="8" w:color="E0E7ED"/>
            </w:tcBorders>
            <w:vMerge w:val="restart"/>
          </w:tcPr>
          <w:p>
            <w:pPr>
              <w:jc w:val="right"/>
              <w:spacing w:after="0"/>
              <w:rPr>
                <w:sz w:val="20"/>
                <w:szCs w:val="20"/>
                <w:color w:val="auto"/>
              </w:rPr>
            </w:pPr>
            <w:r>
              <w:rPr>
                <w:rFonts w:ascii="Verdana" w:cs="Verdana" w:eastAsia="Verdana" w:hAnsi="Verdana"/>
                <w:sz w:val="14"/>
                <w:szCs w:val="14"/>
                <w:color w:val="auto"/>
              </w:rPr>
              <w:t>8,590</w:t>
            </w: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240" w:type="dxa"/>
            <w:vAlign w:val="bottom"/>
            <w:tcBorders>
              <w:bottom w:val="single" w:sz="8" w:color="E0E7ED"/>
            </w:tcBorders>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E0E7ED"/>
            </w:tcBorders>
          </w:tcPr>
          <w:p>
            <w:pPr>
              <w:spacing w:after="0"/>
              <w:rPr>
                <w:sz w:val="12"/>
                <w:szCs w:val="12"/>
                <w:color w:val="auto"/>
              </w:rPr>
            </w:pPr>
          </w:p>
        </w:tc>
        <w:tc>
          <w:tcPr>
            <w:tcW w:w="1340" w:type="dxa"/>
            <w:vAlign w:val="bottom"/>
            <w:tcBorders>
              <w:bottom w:val="single" w:sz="8" w:color="E0E7ED"/>
            </w:tcBorders>
          </w:tcPr>
          <w:p>
            <w:pPr>
              <w:spacing w:after="0"/>
              <w:rPr>
                <w:sz w:val="12"/>
                <w:szCs w:val="12"/>
                <w:color w:val="auto"/>
              </w:rPr>
            </w:pPr>
          </w:p>
        </w:tc>
        <w:tc>
          <w:tcPr>
            <w:tcW w:w="100" w:type="dxa"/>
            <w:vAlign w:val="bottom"/>
            <w:tcBorders>
              <w:bottom w:val="single" w:sz="8" w:color="E0E7ED"/>
            </w:tcBorders>
          </w:tcPr>
          <w:p>
            <w:pPr>
              <w:spacing w:after="0"/>
              <w:rPr>
                <w:sz w:val="12"/>
                <w:szCs w:val="12"/>
                <w:color w:val="auto"/>
              </w:rPr>
            </w:pPr>
          </w:p>
        </w:tc>
        <w:tc>
          <w:tcPr>
            <w:tcW w:w="1720" w:type="dxa"/>
            <w:vAlign w:val="bottom"/>
            <w:tcBorders>
              <w:bottom w:val="single" w:sz="8" w:color="E0E7ED"/>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2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2024</w:t>
            </w:r>
          </w:p>
        </w:tc>
        <w:tc>
          <w:tcPr>
            <w:tcW w:w="900" w:type="dxa"/>
            <w:vAlign w:val="bottom"/>
            <w:tcBorders>
              <w:bottom w:val="single" w:sz="8" w:color="auto"/>
            </w:tcBorders>
            <w:shd w:val="clear" w:color="auto" w:fill="E0E7ED"/>
          </w:tcPr>
          <w:p>
            <w:pPr>
              <w:jc w:val="right"/>
              <w:ind w:right="736"/>
              <w:spacing w:after="0"/>
              <w:rPr>
                <w:sz w:val="20"/>
                <w:szCs w:val="20"/>
                <w:color w:val="auto"/>
              </w:rPr>
            </w:pPr>
            <w:r>
              <w:rPr>
                <w:rFonts w:ascii="Verdana" w:cs="Verdana" w:eastAsia="Verdana" w:hAnsi="Verdana"/>
                <w:sz w:val="14"/>
                <w:szCs w:val="14"/>
                <w:color w:val="auto"/>
                <w:w w:val="88"/>
              </w:rPr>
              <w:t>$</w:t>
            </w:r>
          </w:p>
        </w:tc>
        <w:tc>
          <w:tcPr>
            <w:tcW w:w="6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83,404</w:t>
            </w:r>
          </w:p>
        </w:tc>
        <w:tc>
          <w:tcPr>
            <w:tcW w:w="80" w:type="dxa"/>
            <w:vAlign w:val="bottom"/>
            <w:tcBorders>
              <w:bottom w:val="single" w:sz="8" w:color="E0E7ED"/>
            </w:tcBorders>
            <w:shd w:val="clear" w:color="auto" w:fill="E0E7ED"/>
          </w:tcPr>
          <w:p>
            <w:pPr>
              <w:spacing w:after="0"/>
              <w:rPr>
                <w:sz w:val="19"/>
                <w:szCs w:val="19"/>
                <w:color w:val="auto"/>
              </w:rPr>
            </w:pPr>
          </w:p>
        </w:tc>
        <w:tc>
          <w:tcPr>
            <w:tcW w:w="240" w:type="dxa"/>
            <w:vAlign w:val="bottom"/>
            <w:tcBorders>
              <w:bottom w:val="single" w:sz="8" w:color="E0E7ED"/>
            </w:tcBorders>
            <w:shd w:val="clear" w:color="auto" w:fill="E0E7ED"/>
          </w:tcPr>
          <w:p>
            <w:pPr>
              <w:spacing w:after="0"/>
              <w:rPr>
                <w:sz w:val="19"/>
                <w:szCs w:val="19"/>
                <w:color w:val="auto"/>
              </w:rPr>
            </w:pPr>
          </w:p>
        </w:tc>
        <w:tc>
          <w:tcPr>
            <w:tcW w:w="1340" w:type="dxa"/>
            <w:vAlign w:val="bottom"/>
            <w:tcBorders>
              <w:bottom w:val="single" w:sz="8" w:color="E0E7ED"/>
            </w:tcBorders>
            <w:shd w:val="clear" w:color="auto" w:fill="E0E7ED"/>
          </w:tcPr>
          <w:p>
            <w:pPr>
              <w:spacing w:after="0"/>
              <w:rPr>
                <w:sz w:val="19"/>
                <w:szCs w:val="19"/>
                <w:color w:val="auto"/>
              </w:rPr>
            </w:pPr>
          </w:p>
        </w:tc>
        <w:tc>
          <w:tcPr>
            <w:tcW w:w="100" w:type="dxa"/>
            <w:vAlign w:val="bottom"/>
            <w:tcBorders>
              <w:bottom w:val="single" w:sz="8" w:color="E0E7ED"/>
            </w:tcBorders>
            <w:shd w:val="clear" w:color="auto" w:fill="E0E7ED"/>
          </w:tcPr>
          <w:p>
            <w:pPr>
              <w:spacing w:after="0"/>
              <w:rPr>
                <w:sz w:val="19"/>
                <w:szCs w:val="19"/>
                <w:color w:val="auto"/>
              </w:rPr>
            </w:pPr>
          </w:p>
        </w:tc>
        <w:tc>
          <w:tcPr>
            <w:tcW w:w="1720" w:type="dxa"/>
            <w:vAlign w:val="bottom"/>
            <w:tcBorders>
              <w:bottom w:val="single" w:sz="8" w:color="E0E7ED"/>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6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tcBorders>
          </w:tcPr>
          <w:p>
            <w:pPr>
              <w:spacing w:after="0" w:line="20" w:lineRule="exact"/>
              <w:rPr>
                <w:sz w:val="1"/>
                <w:szCs w:val="1"/>
                <w:color w:val="auto"/>
              </w:rPr>
            </w:pPr>
          </w:p>
        </w:tc>
        <w:tc>
          <w:tcPr>
            <w:tcW w:w="13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28"/>
        </w:numPr>
        <w:rPr>
          <w:rFonts w:ascii="Verdana" w:cs="Verdana" w:eastAsia="Verdana" w:hAnsi="Verdana"/>
          <w:sz w:val="10"/>
          <w:szCs w:val="10"/>
          <w:color w:val="auto"/>
        </w:rPr>
      </w:pPr>
      <w:r>
        <w:rPr>
          <w:rFonts w:ascii="Verdana" w:cs="Verdana" w:eastAsia="Verdana" w:hAnsi="Verdana"/>
          <w:sz w:val="10"/>
          <w:szCs w:val="10"/>
          <w:color w:val="auto"/>
        </w:rPr>
        <w:t>The Day 1 PCD is attributable to the M&amp;M acquisition.</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5" w:name="page76"/>
    <w:bookmarkEnd w:id="7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59" w:lineRule="auto"/>
        <w:rPr>
          <w:sz w:val="20"/>
          <w:szCs w:val="20"/>
          <w:color w:val="auto"/>
        </w:rPr>
      </w:pPr>
      <w:r>
        <w:rPr>
          <w:rFonts w:ascii="Verdana" w:cs="Verdana" w:eastAsia="Verdana" w:hAnsi="Verdana"/>
          <w:sz w:val="14"/>
          <w:szCs w:val="14"/>
          <w:color w:val="auto"/>
        </w:rPr>
        <w:t xml:space="preserve">The following table sets forth the ACL by loan categories and percentage of loans to total loans as of December 31 for each of the years indicated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5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tcPr>
          <w:p>
            <w:pPr>
              <w:jc w:val="right"/>
              <w:ind w:right="29"/>
              <w:spacing w:after="0"/>
              <w:rPr>
                <w:sz w:val="20"/>
                <w:szCs w:val="20"/>
                <w:color w:val="auto"/>
              </w:rPr>
            </w:pPr>
            <w:r>
              <w:rPr>
                <w:rFonts w:ascii="Verdana" w:cs="Verdana" w:eastAsia="Verdana" w:hAnsi="Verdana"/>
                <w:sz w:val="10"/>
                <w:szCs w:val="10"/>
                <w:b w:val="1"/>
                <w:bCs w:val="1"/>
                <w:color w:val="auto"/>
              </w:rPr>
              <w:t>As of December 31,</w:t>
            </w: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131"/>
        </w:trPr>
        <w:tc>
          <w:tcPr>
            <w:tcW w:w="45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1463"/>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1460"/>
              <w:spacing w:after="0"/>
              <w:rPr>
                <w:sz w:val="20"/>
                <w:szCs w:val="20"/>
                <w:color w:val="auto"/>
              </w:rPr>
            </w:pPr>
            <w:r>
              <w:rPr>
                <w:rFonts w:ascii="Verdana" w:cs="Verdana" w:eastAsia="Verdana" w:hAnsi="Verdana"/>
                <w:sz w:val="10"/>
                <w:szCs w:val="10"/>
                <w:b w:val="1"/>
                <w:bCs w:val="1"/>
                <w:color w:val="auto"/>
                <w:w w:val="98"/>
              </w:rPr>
              <w:t>2023</w:t>
            </w:r>
          </w:p>
        </w:tc>
      </w:tr>
      <w:tr>
        <w:trPr>
          <w:trHeight w:val="129"/>
        </w:trPr>
        <w:tc>
          <w:tcPr>
            <w:tcW w:w="452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ACL</w:t>
            </w: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700" w:type="dxa"/>
            <w:vAlign w:val="bottom"/>
            <w:tcBorders>
              <w:bottom w:val="single" w:sz="8" w:color="auto"/>
            </w:tcBorders>
          </w:tcPr>
          <w:p>
            <w:pPr>
              <w:jc w:val="right"/>
              <w:ind w:right="63"/>
              <w:spacing w:after="0"/>
              <w:rPr>
                <w:sz w:val="20"/>
                <w:szCs w:val="20"/>
                <w:color w:val="auto"/>
              </w:rPr>
            </w:pPr>
            <w:r>
              <w:rPr>
                <w:rFonts w:ascii="Verdana" w:cs="Verdana" w:eastAsia="Verdana" w:hAnsi="Verdana"/>
                <w:sz w:val="10"/>
                <w:szCs w:val="10"/>
                <w:b w:val="1"/>
                <w:bCs w:val="1"/>
                <w:color w:val="auto"/>
              </w:rPr>
              <w:t>% of Loans to Total Loans</w:t>
            </w:r>
          </w:p>
        </w:tc>
        <w:tc>
          <w:tcPr>
            <w:tcW w:w="80" w:type="dxa"/>
            <w:vAlign w:val="bottom"/>
            <w:tcBorders>
              <w:bottom w:val="single" w:sz="8" w:color="E0E7ED"/>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2"/>
              <w:spacing w:after="0"/>
              <w:rPr>
                <w:sz w:val="20"/>
                <w:szCs w:val="20"/>
                <w:color w:val="auto"/>
              </w:rPr>
            </w:pPr>
            <w:r>
              <w:rPr>
                <w:rFonts w:ascii="Verdana" w:cs="Verdana" w:eastAsia="Verdana" w:hAnsi="Verdana"/>
                <w:sz w:val="10"/>
                <w:szCs w:val="10"/>
                <w:b w:val="1"/>
                <w:bCs w:val="1"/>
                <w:color w:val="auto"/>
              </w:rPr>
              <w:t>ACL</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700" w:type="dxa"/>
            <w:vAlign w:val="bottom"/>
            <w:tcBorders>
              <w:bottom w:val="single" w:sz="8" w:color="auto"/>
            </w:tcBorders>
          </w:tcPr>
          <w:p>
            <w:pPr>
              <w:jc w:val="right"/>
              <w:ind w:right="60"/>
              <w:spacing w:after="0"/>
              <w:rPr>
                <w:sz w:val="20"/>
                <w:szCs w:val="20"/>
                <w:color w:val="auto"/>
              </w:rPr>
            </w:pPr>
            <w:r>
              <w:rPr>
                <w:rFonts w:ascii="Verdana" w:cs="Verdana" w:eastAsia="Verdana" w:hAnsi="Verdana"/>
                <w:sz w:val="10"/>
                <w:szCs w:val="10"/>
                <w:b w:val="1"/>
                <w:bCs w:val="1"/>
                <w:color w:val="auto"/>
              </w:rPr>
              <w:t>% of Loans to Total Loans</w:t>
            </w:r>
          </w:p>
        </w:tc>
      </w:tr>
      <w:tr>
        <w:trPr>
          <w:trHeight w:val="197"/>
        </w:trPr>
        <w:tc>
          <w:tcPr>
            <w:tcW w:w="4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Loan Category</w:t>
            </w:r>
          </w:p>
        </w:tc>
        <w:tc>
          <w:tcPr>
            <w:tcW w:w="94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600" w:type="dxa"/>
            <w:vAlign w:val="bottom"/>
            <w:shd w:val="clear" w:color="auto" w:fill="E0E7ED"/>
          </w:tcPr>
          <w:p>
            <w:pPr>
              <w:spacing w:after="0"/>
              <w:rPr>
                <w:sz w:val="17"/>
                <w:szCs w:val="17"/>
                <w:color w:val="auto"/>
              </w:rPr>
            </w:pPr>
          </w:p>
        </w:tc>
        <w:tc>
          <w:tcPr>
            <w:tcW w:w="920" w:type="dxa"/>
            <w:vAlign w:val="bottom"/>
            <w:shd w:val="clear" w:color="auto" w:fill="E0E7ED"/>
          </w:tcPr>
          <w:p>
            <w:pPr>
              <w:spacing w:after="0"/>
              <w:rPr>
                <w:sz w:val="17"/>
                <w:szCs w:val="17"/>
                <w:color w:val="auto"/>
              </w:rPr>
            </w:pPr>
          </w:p>
        </w:tc>
        <w:tc>
          <w:tcPr>
            <w:tcW w:w="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00" w:type="dxa"/>
            <w:vAlign w:val="bottom"/>
            <w:shd w:val="clear" w:color="auto" w:fill="E0E7ED"/>
          </w:tcPr>
          <w:p>
            <w:pPr>
              <w:spacing w:after="0"/>
              <w:rPr>
                <w:sz w:val="17"/>
                <w:szCs w:val="17"/>
                <w:color w:val="auto"/>
              </w:rPr>
            </w:pPr>
          </w:p>
        </w:tc>
      </w:tr>
      <w:tr>
        <w:trPr>
          <w:trHeight w:val="207"/>
        </w:trPr>
        <w:tc>
          <w:tcPr>
            <w:tcW w:w="45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940" w:type="dxa"/>
            <w:vAlign w:val="bottom"/>
          </w:tcPr>
          <w:p>
            <w:pPr>
              <w:jc w:val="right"/>
              <w:ind w:right="776"/>
              <w:spacing w:after="0"/>
              <w:rPr>
                <w:sz w:val="20"/>
                <w:szCs w:val="20"/>
                <w:color w:val="auto"/>
              </w:rPr>
            </w:pPr>
            <w:r>
              <w:rPr>
                <w:rFonts w:ascii="Verdana" w:cs="Verdana" w:eastAsia="Verdana" w:hAnsi="Verdana"/>
                <w:sz w:val="14"/>
                <w:szCs w:val="14"/>
                <w:color w:val="auto"/>
                <w:w w:val="88"/>
              </w:rPr>
              <w:t>$</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21,589</w:t>
            </w:r>
          </w:p>
        </w:tc>
        <w:tc>
          <w:tcPr>
            <w:tcW w:w="1840" w:type="dxa"/>
            <w:vAlign w:val="bottom"/>
            <w:gridSpan w:val="3"/>
          </w:tcPr>
          <w:p>
            <w:pPr>
              <w:jc w:val="right"/>
              <w:spacing w:after="0"/>
              <w:rPr>
                <w:sz w:val="20"/>
                <w:szCs w:val="20"/>
                <w:color w:val="auto"/>
              </w:rPr>
            </w:pPr>
            <w:r>
              <w:rPr>
                <w:rFonts w:ascii="Verdana" w:cs="Verdana" w:eastAsia="Verdana" w:hAnsi="Verdana"/>
                <w:sz w:val="14"/>
                <w:szCs w:val="14"/>
                <w:color w:val="auto"/>
              </w:rPr>
              <w:t>24.8 %</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21,256</w:t>
            </w:r>
          </w:p>
        </w:tc>
        <w:tc>
          <w:tcPr>
            <w:tcW w:w="1820" w:type="dxa"/>
            <w:vAlign w:val="bottom"/>
            <w:gridSpan w:val="3"/>
          </w:tcPr>
          <w:p>
            <w:pPr>
              <w:jc w:val="right"/>
              <w:spacing w:after="0"/>
              <w:rPr>
                <w:sz w:val="20"/>
                <w:szCs w:val="20"/>
                <w:color w:val="auto"/>
              </w:rPr>
            </w:pPr>
            <w:r>
              <w:rPr>
                <w:rFonts w:ascii="Verdana" w:cs="Verdana" w:eastAsia="Verdana" w:hAnsi="Verdana"/>
                <w:sz w:val="14"/>
                <w:szCs w:val="14"/>
                <w:color w:val="auto"/>
              </w:rPr>
              <w:t>24.0 %</w:t>
            </w:r>
          </w:p>
        </w:tc>
      </w:tr>
      <w:tr>
        <w:trPr>
          <w:trHeight w:val="218"/>
        </w:trPr>
        <w:tc>
          <w:tcPr>
            <w:tcW w:w="4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940" w:type="dxa"/>
            <w:vAlign w:val="bottom"/>
            <w:shd w:val="clear" w:color="auto" w:fill="E0E7ED"/>
          </w:tcPr>
          <w:p>
            <w:pPr>
              <w:spacing w:after="0"/>
              <w:rPr>
                <w:sz w:val="18"/>
                <w:szCs w:val="18"/>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32,301</w:t>
            </w:r>
          </w:p>
        </w:tc>
        <w:tc>
          <w:tcPr>
            <w:tcW w:w="184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42.5 %</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35,465</w:t>
            </w:r>
          </w:p>
        </w:tc>
        <w:tc>
          <w:tcPr>
            <w:tcW w:w="182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43.6 %</w:t>
            </w:r>
          </w:p>
        </w:tc>
      </w:tr>
      <w:tr>
        <w:trPr>
          <w:trHeight w:val="207"/>
        </w:trPr>
        <w:tc>
          <w:tcPr>
            <w:tcW w:w="4520" w:type="dxa"/>
            <w:vAlign w:val="bottom"/>
          </w:tcPr>
          <w:p>
            <w:pPr>
              <w:ind w:left="140"/>
              <w:spacing w:after="0"/>
              <w:rPr>
                <w:sz w:val="20"/>
                <w:szCs w:val="20"/>
                <w:color w:val="auto"/>
              </w:rPr>
            </w:pPr>
            <w:r>
              <w:rPr>
                <w:rFonts w:ascii="Verdana" w:cs="Verdana" w:eastAsia="Verdana" w:hAnsi="Verdana"/>
                <w:sz w:val="14"/>
                <w:szCs w:val="14"/>
                <w:color w:val="auto"/>
              </w:rPr>
              <w:t>Real estate construction</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Verdana" w:cs="Verdana" w:eastAsia="Verdana" w:hAnsi="Verdana"/>
                <w:sz w:val="14"/>
                <w:szCs w:val="14"/>
                <w:color w:val="auto"/>
              </w:rPr>
              <w:t>3,345</w:t>
            </w:r>
          </w:p>
        </w:tc>
        <w:tc>
          <w:tcPr>
            <w:tcW w:w="1840" w:type="dxa"/>
            <w:vAlign w:val="bottom"/>
            <w:gridSpan w:val="3"/>
          </w:tcPr>
          <w:p>
            <w:pPr>
              <w:jc w:val="right"/>
              <w:spacing w:after="0"/>
              <w:rPr>
                <w:sz w:val="20"/>
                <w:szCs w:val="20"/>
                <w:color w:val="auto"/>
              </w:rPr>
            </w:pPr>
            <w:r>
              <w:rPr>
                <w:rFonts w:ascii="Verdana" w:cs="Verdana" w:eastAsia="Verdana" w:hAnsi="Verdana"/>
                <w:sz w:val="14"/>
                <w:szCs w:val="14"/>
                <w:color w:val="auto"/>
              </w:rPr>
              <w:t>4.9 %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5,163</w:t>
            </w:r>
          </w:p>
        </w:tc>
        <w:tc>
          <w:tcPr>
            <w:tcW w:w="1820" w:type="dxa"/>
            <w:vAlign w:val="bottom"/>
            <w:gridSpan w:val="3"/>
          </w:tcPr>
          <w:p>
            <w:pPr>
              <w:jc w:val="right"/>
              <w:spacing w:after="0"/>
              <w:rPr>
                <w:sz w:val="20"/>
                <w:szCs w:val="20"/>
                <w:color w:val="auto"/>
              </w:rPr>
            </w:pPr>
            <w:r>
              <w:rPr>
                <w:rFonts w:ascii="Verdana" w:cs="Verdana" w:eastAsia="Verdana" w:hAnsi="Verdana"/>
                <w:sz w:val="14"/>
                <w:szCs w:val="14"/>
                <w:color w:val="auto"/>
              </w:rPr>
              <w:t>6.0 %</w:t>
            </w:r>
          </w:p>
        </w:tc>
      </w:tr>
      <w:tr>
        <w:trPr>
          <w:trHeight w:val="218"/>
        </w:trPr>
        <w:tc>
          <w:tcPr>
            <w:tcW w:w="4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940" w:type="dxa"/>
            <w:vAlign w:val="bottom"/>
            <w:shd w:val="clear" w:color="auto" w:fill="E0E7ED"/>
          </w:tcPr>
          <w:p>
            <w:pPr>
              <w:spacing w:after="0"/>
              <w:rPr>
                <w:sz w:val="18"/>
                <w:szCs w:val="18"/>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23,711</w:t>
            </w:r>
          </w:p>
        </w:tc>
        <w:tc>
          <w:tcPr>
            <w:tcW w:w="184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22.0 %</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26,298</w:t>
            </w:r>
          </w:p>
        </w:tc>
        <w:tc>
          <w:tcPr>
            <w:tcW w:w="182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22.5 %</w:t>
            </w:r>
          </w:p>
        </w:tc>
      </w:tr>
      <w:tr>
        <w:trPr>
          <w:trHeight w:val="207"/>
        </w:trPr>
        <w:tc>
          <w:tcPr>
            <w:tcW w:w="4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2,458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5.8 %</w:t>
            </w:r>
          </w:p>
        </w:tc>
        <w:tc>
          <w:tcPr>
            <w:tcW w:w="80" w:type="dxa"/>
            <w:vAlign w:val="bottom"/>
            <w:tcBorders>
              <w:bottom w:val="single" w:sz="8" w:color="E0E7ED"/>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3,558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3.9 %</w:t>
            </w:r>
          </w:p>
        </w:tc>
      </w:tr>
      <w:tr>
        <w:trPr>
          <w:trHeight w:val="228"/>
        </w:trPr>
        <w:tc>
          <w:tcPr>
            <w:tcW w:w="4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w:t>
            </w:r>
          </w:p>
        </w:tc>
        <w:tc>
          <w:tcPr>
            <w:tcW w:w="940" w:type="dxa"/>
            <w:vAlign w:val="bottom"/>
            <w:shd w:val="clear" w:color="auto" w:fill="E0E7ED"/>
          </w:tcPr>
          <w:p>
            <w:pPr>
              <w:jc w:val="right"/>
              <w:ind w:right="776"/>
              <w:spacing w:after="0"/>
              <w:rPr>
                <w:sz w:val="20"/>
                <w:szCs w:val="20"/>
                <w:color w:val="auto"/>
              </w:rPr>
            </w:pPr>
            <w:r>
              <w:rPr>
                <w:rFonts w:ascii="Verdana" w:cs="Verdana" w:eastAsia="Verdana" w:hAnsi="Verdana"/>
                <w:sz w:val="14"/>
                <w:szCs w:val="14"/>
                <w:color w:val="auto"/>
                <w:w w:val="88"/>
              </w:rPr>
              <w:t>$</w:t>
            </w:r>
          </w:p>
        </w:tc>
        <w:tc>
          <w:tcPr>
            <w:tcW w:w="5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83,404</w:t>
            </w:r>
          </w:p>
        </w:tc>
        <w:tc>
          <w:tcPr>
            <w:tcW w:w="184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100.0 %</w:t>
            </w:r>
          </w:p>
        </w:tc>
        <w:tc>
          <w:tcPr>
            <w:tcW w:w="80" w:type="dxa"/>
            <w:vAlign w:val="bottom"/>
            <w:shd w:val="clear" w:color="auto" w:fill="E0E7ED"/>
          </w:tcPr>
          <w:p>
            <w:pPr>
              <w:spacing w:after="0"/>
              <w:rPr>
                <w:sz w:val="19"/>
                <w:szCs w:val="19"/>
                <w:color w:val="auto"/>
              </w:rPr>
            </w:pPr>
          </w:p>
        </w:tc>
        <w:tc>
          <w:tcPr>
            <w:tcW w:w="600" w:type="dxa"/>
            <w:vAlign w:val="bottom"/>
            <w:shd w:val="clear" w:color="auto" w:fill="E0E7ED"/>
          </w:tcPr>
          <w:p>
            <w:pPr>
              <w:jc w:val="right"/>
              <w:ind w:right="429"/>
              <w:spacing w:after="0"/>
              <w:rPr>
                <w:sz w:val="20"/>
                <w:szCs w:val="20"/>
                <w:color w:val="auto"/>
              </w:rPr>
            </w:pPr>
            <w:r>
              <w:rPr>
                <w:rFonts w:ascii="Verdana" w:cs="Verdana" w:eastAsia="Verdana" w:hAnsi="Verdana"/>
                <w:sz w:val="14"/>
                <w:szCs w:val="14"/>
                <w:color w:val="auto"/>
                <w:w w:val="88"/>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91,740</w:t>
            </w:r>
          </w:p>
        </w:tc>
        <w:tc>
          <w:tcPr>
            <w:tcW w:w="1820" w:type="dxa"/>
            <w:vAlign w:val="bottom"/>
            <w:gridSpan w:val="3"/>
            <w:shd w:val="clear" w:color="auto" w:fill="E0E7ED"/>
          </w:tcPr>
          <w:p>
            <w:pPr>
              <w:jc w:val="right"/>
              <w:spacing w:after="0"/>
              <w:rPr>
                <w:sz w:val="20"/>
                <w:szCs w:val="20"/>
                <w:color w:val="auto"/>
              </w:rPr>
            </w:pPr>
            <w:r>
              <w:rPr>
                <w:rFonts w:ascii="Verdana" w:cs="Verdana" w:eastAsia="Verdana" w:hAnsi="Verdana"/>
                <w:sz w:val="14"/>
                <w:szCs w:val="14"/>
                <w:color w:val="auto"/>
              </w:rPr>
              <w:t>100.0 %</w:t>
            </w:r>
          </w:p>
        </w:tc>
      </w:tr>
      <w:tr>
        <w:trPr>
          <w:trHeight w:val="20"/>
        </w:trPr>
        <w:tc>
          <w:tcPr>
            <w:tcW w:w="452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spacing w:after="0" w:line="208" w:lineRule="auto"/>
        <w:rPr>
          <w:sz w:val="20"/>
          <w:szCs w:val="20"/>
          <w:color w:val="auto"/>
        </w:rPr>
      </w:pPr>
      <w:r>
        <w:rPr>
          <w:rFonts w:ascii="Verdana" w:cs="Verdana" w:eastAsia="Verdana" w:hAnsi="Verdana"/>
          <w:sz w:val="14"/>
          <w:szCs w:val="14"/>
          <w:color w:val="auto"/>
        </w:rPr>
        <w:t>Busey did not record an allowance for credit loss for its Life Equity Loan</w:t>
      </w:r>
      <w:r>
        <w:rPr>
          <w:rFonts w:ascii="Verdana" w:cs="Verdana" w:eastAsia="Verdana" w:hAnsi="Verdana"/>
          <w:sz w:val="18"/>
          <w:szCs w:val="18"/>
          <w:color w:val="auto"/>
          <w:vertAlign w:val="superscript"/>
        </w:rPr>
        <w:t>®</w:t>
      </w:r>
      <w:r>
        <w:rPr>
          <w:rFonts w:ascii="Verdana" w:cs="Verdana" w:eastAsia="Verdana" w:hAnsi="Verdana"/>
          <w:sz w:val="14"/>
          <w:szCs w:val="14"/>
          <w:color w:val="auto"/>
        </w:rPr>
        <w:t xml:space="preserve"> portfolio, a component of its retail other lending activity, due to no expected credit loss at default, as permitted under the practical expedient provided within ASC 326-20-35-6. The Life Equity Loan</w:t>
      </w:r>
      <w:r>
        <w:rPr>
          <w:rFonts w:ascii="Verdana" w:cs="Verdana" w:eastAsia="Verdana" w:hAnsi="Verdana"/>
          <w:sz w:val="18"/>
          <w:szCs w:val="18"/>
          <w:color w:val="auto"/>
          <w:vertAlign w:val="superscript"/>
        </w:rPr>
        <w:t>®</w:t>
      </w:r>
      <w:r>
        <w:rPr>
          <w:rFonts w:ascii="Verdana" w:cs="Verdana" w:eastAsia="Verdana" w:hAnsi="Verdana"/>
          <w:sz w:val="14"/>
          <w:szCs w:val="14"/>
          <w:color w:val="auto"/>
        </w:rPr>
        <w:t xml:space="preserve"> portfolio balance was $264.2 million as of December 31, 2024.</w:t>
      </w:r>
    </w:p>
    <w:p>
      <w:pPr>
        <w:spacing w:after="0" w:line="124"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ongoing impacts of CECL will be dependent upon changes in economic conditions and forecasts, originated and acquired loan portfolio composition, credit performance trends, portfolio duration, and other factors. As of December 31, 2024, Busey management believed the level of the allowance to be appropriate based upon the information available. However, additional losses may be identified in the loan portfolio as new information is obtained.</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Non-Performing Loans and Non-Performing Assets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Typically, loans are secured by collateral. When a loan is classified as non-accrual and determined to be collateral dependent, it is appropriately reserved or charged down through the ACL to the fair value of Busey’s interest in the underlying collateral less estimated costs to sell. Busey’s loan portfolio is collateralized primarily by real estate.</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6" w:name="page77"/>
    <w:bookmarkEnd w:id="7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sets forth information concerning non-performing loans and performing restructured loans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9"/>
              <w:spacing w:after="0"/>
              <w:rPr>
                <w:sz w:val="20"/>
                <w:szCs w:val="20"/>
                <w:color w:val="auto"/>
              </w:rPr>
            </w:pPr>
            <w:r>
              <w:rPr>
                <w:rFonts w:ascii="Verdana" w:cs="Verdana" w:eastAsia="Verdana" w:hAnsi="Verdana"/>
                <w:sz w:val="10"/>
                <w:szCs w:val="10"/>
                <w:b w:val="1"/>
                <w:bCs w:val="1"/>
                <w:color w:val="auto"/>
              </w:rPr>
              <w:t>As of December 31,</w:t>
            </w: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33"/>
        </w:trPr>
        <w:tc>
          <w:tcPr>
            <w:tcW w:w="44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30"/>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0"/>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Borders>
              <w:bottom w:val="single" w:sz="8" w:color="E0E7ED"/>
            </w:tcBorders>
          </w:tcPr>
          <w:p>
            <w:pPr>
              <w:spacing w:after="0"/>
              <w:rPr>
                <w:sz w:val="11"/>
                <w:szCs w:val="11"/>
                <w:color w:val="auto"/>
              </w:rPr>
            </w:pPr>
          </w:p>
        </w:tc>
        <w:tc>
          <w:tcPr>
            <w:tcW w:w="1680" w:type="dxa"/>
            <w:vAlign w:val="bottom"/>
            <w:tcBorders>
              <w:bottom w:val="single" w:sz="8" w:color="auto"/>
            </w:tcBorders>
          </w:tcPr>
          <w:p>
            <w:pPr>
              <w:jc w:val="right"/>
              <w:ind w:right="491"/>
              <w:spacing w:after="0"/>
              <w:rPr>
                <w:sz w:val="20"/>
                <w:szCs w:val="20"/>
                <w:color w:val="auto"/>
              </w:rPr>
            </w:pPr>
            <w:r>
              <w:rPr>
                <w:rFonts w:ascii="Verdana" w:cs="Verdana" w:eastAsia="Verdana" w:hAnsi="Verdana"/>
                <w:sz w:val="10"/>
                <w:szCs w:val="10"/>
                <w:b w:val="1"/>
                <w:bCs w:val="1"/>
                <w:color w:val="auto"/>
              </w:rPr>
              <w:t>% Change</w:t>
            </w:r>
          </w:p>
        </w:tc>
      </w:tr>
      <w:tr>
        <w:trPr>
          <w:trHeight w:val="20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Portfolio loans</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7,697,087</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7,651,034</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46,053</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0.6 %</w:t>
            </w: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Loans 30 – 89 days past due</w:t>
            </w: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8,124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50"/>
              <w:spacing w:after="0"/>
              <w:rPr>
                <w:sz w:val="20"/>
                <w:szCs w:val="20"/>
                <w:color w:val="auto"/>
              </w:rPr>
            </w:pPr>
            <w:r>
              <w:rPr>
                <w:rFonts w:ascii="Verdana" w:cs="Verdana" w:eastAsia="Verdana" w:hAnsi="Verdana"/>
                <w:sz w:val="14"/>
                <w:szCs w:val="14"/>
                <w:color w:val="auto"/>
              </w:rPr>
              <w:t>5,779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2,345</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40.6 %</w:t>
            </w: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assets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12,046,722</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12,283,415</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(236,693)</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w:t>
            </w:r>
          </w:p>
        </w:tc>
      </w:tr>
      <w:tr>
        <w:trPr>
          <w:trHeight w:val="212"/>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Non-performing assets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20" w:type="dxa"/>
            <w:vAlign w:val="bottom"/>
          </w:tcPr>
          <w:p>
            <w:pPr>
              <w:ind w:left="140"/>
              <w:spacing w:after="0"/>
              <w:rPr>
                <w:sz w:val="20"/>
                <w:szCs w:val="20"/>
                <w:color w:val="auto"/>
              </w:rPr>
            </w:pPr>
            <w:r>
              <w:rPr>
                <w:rFonts w:ascii="Verdana" w:cs="Verdana" w:eastAsia="Verdana" w:hAnsi="Verdana"/>
                <w:sz w:val="14"/>
                <w:szCs w:val="14"/>
                <w:color w:val="auto"/>
              </w:rPr>
              <w:t>Non-performing loans: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Non-accrual loans</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22,088</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7,441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14,647</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196.8 %</w:t>
            </w:r>
          </w:p>
        </w:tc>
      </w:tr>
      <w:tr>
        <w:trPr>
          <w:trHeight w:val="207"/>
        </w:trPr>
        <w:tc>
          <w:tcPr>
            <w:tcW w:w="442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Loans 90+ days past due and still accruing</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1,149</w:t>
            </w:r>
          </w:p>
        </w:tc>
        <w:tc>
          <w:tcPr>
            <w:tcW w:w="80" w:type="dxa"/>
            <w:vAlign w:val="bottom"/>
            <w:tcBorders>
              <w:bottom w:val="single" w:sz="8" w:color="E0E7E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375</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774</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206.4 %</w:t>
            </w:r>
          </w:p>
        </w:tc>
      </w:tr>
      <w:tr>
        <w:trPr>
          <w:trHeight w:val="208"/>
        </w:trPr>
        <w:tc>
          <w:tcPr>
            <w:tcW w:w="44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Total non-performing loans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23,237</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7,816</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15,421</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197.3 %</w:t>
            </w:r>
          </w:p>
        </w:tc>
      </w:tr>
      <w:tr>
        <w:trPr>
          <w:trHeight w:val="207"/>
        </w:trPr>
        <w:tc>
          <w:tcPr>
            <w:tcW w:w="44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OREO and other repossessed assets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63</w:t>
            </w:r>
          </w:p>
        </w:tc>
        <w:tc>
          <w:tcPr>
            <w:tcW w:w="80" w:type="dxa"/>
            <w:vAlign w:val="bottom"/>
            <w:tcBorders>
              <w:bottom w:val="single" w:sz="8" w:color="E0E7E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125</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(62)</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(49.6)%</w:t>
            </w:r>
          </w:p>
        </w:tc>
      </w:tr>
      <w:tr>
        <w:trPr>
          <w:trHeight w:val="20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non-performing assets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23,300</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7,941</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15,359</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193.4 %</w:t>
            </w:r>
          </w:p>
        </w:tc>
      </w:tr>
      <w:tr>
        <w:trPr>
          <w:trHeight w:val="207"/>
        </w:trPr>
        <w:tc>
          <w:tcPr>
            <w:tcW w:w="44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Substandard (excludes 90+ days past due)</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1"/>
              <w:spacing w:after="0"/>
              <w:rPr>
                <w:sz w:val="20"/>
                <w:szCs w:val="20"/>
                <w:color w:val="auto"/>
              </w:rPr>
            </w:pPr>
            <w:r>
              <w:rPr>
                <w:rFonts w:ascii="Verdana" w:cs="Verdana" w:eastAsia="Verdana" w:hAnsi="Verdana"/>
                <w:sz w:val="14"/>
                <w:szCs w:val="14"/>
                <w:color w:val="auto"/>
              </w:rPr>
              <w:t>62,023</w:t>
            </w:r>
          </w:p>
        </w:tc>
        <w:tc>
          <w:tcPr>
            <w:tcW w:w="80" w:type="dxa"/>
            <w:vAlign w:val="bottom"/>
            <w:tcBorders>
              <w:bottom w:val="single" w:sz="8" w:color="E0E7E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4"/>
                <w:szCs w:val="14"/>
                <w:color w:val="auto"/>
              </w:rPr>
              <w:t>64,347</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(2,324)</w:t>
            </w:r>
          </w:p>
        </w:tc>
        <w:tc>
          <w:tcPr>
            <w:tcW w:w="176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(3.6)%</w:t>
            </w:r>
          </w:p>
        </w:tc>
      </w:tr>
      <w:tr>
        <w:trPr>
          <w:trHeight w:val="233"/>
        </w:trPr>
        <w:tc>
          <w:tcPr>
            <w:tcW w:w="44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Classified assets</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shd w:val="clear" w:color="auto" w:fill="E0E7ED"/>
          </w:tcPr>
          <w:p>
            <w:pPr>
              <w:jc w:val="right"/>
              <w:ind w:right="151"/>
              <w:spacing w:after="0"/>
              <w:rPr>
                <w:sz w:val="20"/>
                <w:szCs w:val="20"/>
                <w:color w:val="auto"/>
              </w:rPr>
            </w:pPr>
            <w:r>
              <w:rPr>
                <w:rFonts w:ascii="Verdana" w:cs="Verdana" w:eastAsia="Verdana" w:hAnsi="Verdana"/>
                <w:sz w:val="14"/>
                <w:szCs w:val="14"/>
                <w:color w:val="auto"/>
              </w:rPr>
              <w:t>85,323</w:t>
            </w:r>
          </w:p>
        </w:tc>
        <w:tc>
          <w:tcPr>
            <w:tcW w:w="80" w:type="dxa"/>
            <w:vAlign w:val="bottom"/>
            <w:tcBorders>
              <w:bottom w:val="single" w:sz="8" w:color="E0E7ED"/>
            </w:tcBorders>
            <w:shd w:val="clear" w:color="auto" w:fill="E0E7ED"/>
          </w:tcPr>
          <w:p>
            <w:pPr>
              <w:spacing w:after="0"/>
              <w:rPr>
                <w:sz w:val="19"/>
                <w:szCs w:val="19"/>
                <w:color w:val="auto"/>
              </w:rPr>
            </w:pPr>
          </w:p>
        </w:tc>
        <w:tc>
          <w:tcPr>
            <w:tcW w:w="580" w:type="dxa"/>
            <w:vAlign w:val="bottom"/>
            <w:tcBorders>
              <w:bottom w:val="single" w:sz="8" w:color="auto"/>
            </w:tcBorders>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4"/>
                <w:szCs w:val="14"/>
                <w:color w:val="auto"/>
              </w:rPr>
              <w:t>72,288</w:t>
            </w:r>
          </w:p>
        </w:tc>
        <w:tc>
          <w:tcPr>
            <w:tcW w:w="80" w:type="dxa"/>
            <w:vAlign w:val="bottom"/>
            <w:tcBorders>
              <w:bottom w:val="single" w:sz="8" w:color="E0E7ED"/>
            </w:tcBorders>
            <w:shd w:val="clear" w:color="auto" w:fill="E0E7ED"/>
          </w:tcPr>
          <w:p>
            <w:pPr>
              <w:spacing w:after="0"/>
              <w:rPr>
                <w:sz w:val="19"/>
                <w:szCs w:val="19"/>
                <w:color w:val="auto"/>
              </w:rPr>
            </w:pPr>
          </w:p>
        </w:tc>
        <w:tc>
          <w:tcPr>
            <w:tcW w:w="340" w:type="dxa"/>
            <w:vAlign w:val="bottom"/>
            <w:tcBorders>
              <w:bottom w:val="single" w:sz="8" w:color="auto"/>
            </w:tcBorders>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13,035</w:t>
            </w:r>
          </w:p>
        </w:tc>
        <w:tc>
          <w:tcPr>
            <w:tcW w:w="176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4"/>
                <w:szCs w:val="14"/>
                <w:color w:val="auto"/>
              </w:rPr>
              <w:t>18.0 %</w:t>
            </w:r>
          </w:p>
        </w:tc>
      </w:tr>
      <w:tr>
        <w:trPr>
          <w:trHeight w:val="20"/>
        </w:trPr>
        <w:tc>
          <w:tcPr>
            <w:tcW w:w="44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80" w:type="dxa"/>
            <w:vAlign w:val="bottom"/>
            <w:tcBorders>
              <w:top w:val="single" w:sz="8" w:color="E0E7ED"/>
            </w:tcBorders>
          </w:tcPr>
          <w:p>
            <w:pPr>
              <w:spacing w:after="0" w:line="20" w:lineRule="exact"/>
              <w:rPr>
                <w:sz w:val="1"/>
                <w:szCs w:val="1"/>
                <w:color w:val="auto"/>
              </w:rPr>
            </w:pPr>
          </w:p>
        </w:tc>
      </w:tr>
      <w:tr>
        <w:trPr>
          <w:trHeight w:val="153"/>
        </w:trPr>
        <w:tc>
          <w:tcPr>
            <w:tcW w:w="4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12"/>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ACL</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2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83,404</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ind w:right="150"/>
              <w:spacing w:after="0"/>
              <w:rPr>
                <w:sz w:val="20"/>
                <w:szCs w:val="20"/>
                <w:color w:val="auto"/>
              </w:rPr>
            </w:pPr>
            <w:r>
              <w:rPr>
                <w:rFonts w:ascii="Verdana" w:cs="Verdana" w:eastAsia="Verdana" w:hAnsi="Verdana"/>
                <w:sz w:val="14"/>
                <w:szCs w:val="14"/>
                <w:color w:val="auto"/>
              </w:rPr>
              <w:t>91,740</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(8,336)</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(9.1)%</w:t>
            </w: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Bank Tier 1 Capital</w:t>
            </w:r>
          </w:p>
        </w:tc>
        <w:tc>
          <w:tcPr>
            <w:tcW w:w="380" w:type="dxa"/>
            <w:vAlign w:val="bottom"/>
          </w:tcPr>
          <w:p>
            <w:pPr>
              <w:spacing w:after="0"/>
              <w:rPr>
                <w:sz w:val="17"/>
                <w:szCs w:val="17"/>
                <w:color w:val="auto"/>
              </w:rPr>
            </w:pPr>
          </w:p>
        </w:tc>
        <w:tc>
          <w:tcPr>
            <w:tcW w:w="1320" w:type="dxa"/>
            <w:vAlign w:val="bottom"/>
          </w:tcPr>
          <w:p>
            <w:pPr>
              <w:jc w:val="right"/>
              <w:ind w:right="151"/>
              <w:spacing w:after="0"/>
              <w:rPr>
                <w:sz w:val="20"/>
                <w:szCs w:val="20"/>
                <w:color w:val="auto"/>
              </w:rPr>
            </w:pPr>
            <w:r>
              <w:rPr>
                <w:rFonts w:ascii="Verdana" w:cs="Verdana" w:eastAsia="Verdana" w:hAnsi="Verdana"/>
                <w:sz w:val="14"/>
                <w:szCs w:val="14"/>
                <w:color w:val="auto"/>
              </w:rPr>
              <w:t>1,438,296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ind w:right="150"/>
              <w:spacing w:after="0"/>
              <w:rPr>
                <w:sz w:val="20"/>
                <w:szCs w:val="20"/>
                <w:color w:val="auto"/>
              </w:rPr>
            </w:pPr>
            <w:r>
              <w:rPr>
                <w:rFonts w:ascii="Verdana" w:cs="Verdana" w:eastAsia="Verdana" w:hAnsi="Verdana"/>
                <w:sz w:val="14"/>
                <w:szCs w:val="14"/>
                <w:color w:val="auto"/>
              </w:rPr>
              <w:t>1,362,962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75,334</w:t>
            </w:r>
          </w:p>
        </w:tc>
        <w:tc>
          <w:tcPr>
            <w:tcW w:w="1760" w:type="dxa"/>
            <w:vAlign w:val="bottom"/>
            <w:gridSpan w:val="2"/>
          </w:tcPr>
          <w:p>
            <w:pPr>
              <w:jc w:val="right"/>
              <w:spacing w:after="0"/>
              <w:rPr>
                <w:sz w:val="20"/>
                <w:szCs w:val="20"/>
                <w:color w:val="auto"/>
              </w:rPr>
            </w:pPr>
            <w:r>
              <w:rPr>
                <w:rFonts w:ascii="Verdana" w:cs="Verdana" w:eastAsia="Verdana" w:hAnsi="Verdana"/>
                <w:sz w:val="14"/>
                <w:szCs w:val="14"/>
                <w:color w:val="auto"/>
              </w:rPr>
              <w:t>5.5 %</w:t>
            </w:r>
          </w:p>
        </w:tc>
      </w:tr>
      <w:tr>
        <w:trPr>
          <w:trHeight w:val="218"/>
        </w:trPr>
        <w:tc>
          <w:tcPr>
            <w:tcW w:w="442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b w:val="1"/>
                <w:bCs w:val="1"/>
                <w:color w:val="auto"/>
              </w:rPr>
              <w:t>Ratios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ACL to portfolio loans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1.08 %</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1.20 %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 bps</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ACL to non-accrual loans</w:t>
            </w:r>
          </w:p>
        </w:tc>
        <w:tc>
          <w:tcPr>
            <w:tcW w:w="380" w:type="dxa"/>
            <w:vAlign w:val="bottom"/>
          </w:tcPr>
          <w:p>
            <w:pPr>
              <w:spacing w:after="0"/>
              <w:rPr>
                <w:sz w:val="17"/>
                <w:szCs w:val="17"/>
                <w:color w:val="auto"/>
              </w:rPr>
            </w:pPr>
          </w:p>
        </w:tc>
        <w:tc>
          <w:tcPr>
            <w:tcW w:w="1400" w:type="dxa"/>
            <w:vAlign w:val="bottom"/>
            <w:gridSpan w:val="2"/>
          </w:tcPr>
          <w:p>
            <w:pPr>
              <w:ind w:left="840"/>
              <w:spacing w:after="0"/>
              <w:rPr>
                <w:sz w:val="20"/>
                <w:szCs w:val="20"/>
                <w:color w:val="auto"/>
              </w:rPr>
            </w:pPr>
            <w:r>
              <w:rPr>
                <w:rFonts w:ascii="Verdana" w:cs="Verdana" w:eastAsia="Verdana" w:hAnsi="Verdana"/>
                <w:sz w:val="14"/>
                <w:szCs w:val="14"/>
                <w:color w:val="auto"/>
              </w:rPr>
              <w:t>3.78 x</w:t>
            </w:r>
          </w:p>
        </w:tc>
        <w:tc>
          <w:tcPr>
            <w:tcW w:w="580" w:type="dxa"/>
            <w:vAlign w:val="bottom"/>
          </w:tcPr>
          <w:p>
            <w:pPr>
              <w:spacing w:after="0"/>
              <w:rPr>
                <w:sz w:val="17"/>
                <w:szCs w:val="17"/>
                <w:color w:val="auto"/>
              </w:rPr>
            </w:pPr>
          </w:p>
        </w:tc>
        <w:tc>
          <w:tcPr>
            <w:tcW w:w="1200" w:type="dxa"/>
            <w:vAlign w:val="bottom"/>
            <w:gridSpan w:val="2"/>
          </w:tcPr>
          <w:p>
            <w:pPr>
              <w:ind w:left="560"/>
              <w:spacing w:after="0"/>
              <w:rPr>
                <w:sz w:val="20"/>
                <w:szCs w:val="20"/>
                <w:color w:val="auto"/>
              </w:rPr>
            </w:pPr>
            <w:r>
              <w:rPr>
                <w:rFonts w:ascii="Verdana" w:cs="Verdana" w:eastAsia="Verdana" w:hAnsi="Verdana"/>
                <w:sz w:val="14"/>
                <w:szCs w:val="14"/>
                <w:color w:val="auto"/>
              </w:rPr>
              <w:t>12.33 x</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(8.55) x</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ACL to non-performing loans</w:t>
            </w:r>
          </w:p>
        </w:tc>
        <w:tc>
          <w:tcPr>
            <w:tcW w:w="38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ind w:left="840"/>
              <w:spacing w:after="0"/>
              <w:rPr>
                <w:sz w:val="20"/>
                <w:szCs w:val="20"/>
                <w:color w:val="auto"/>
              </w:rPr>
            </w:pPr>
            <w:r>
              <w:rPr>
                <w:rFonts w:ascii="Verdana" w:cs="Verdana" w:eastAsia="Verdana" w:hAnsi="Verdana"/>
                <w:sz w:val="14"/>
                <w:szCs w:val="14"/>
                <w:color w:val="auto"/>
              </w:rPr>
              <w:t>3.59 x</w:t>
            </w:r>
          </w:p>
        </w:tc>
        <w:tc>
          <w:tcPr>
            <w:tcW w:w="580" w:type="dxa"/>
            <w:vAlign w:val="bottom"/>
            <w:shd w:val="clear" w:color="auto" w:fill="E0E7ED"/>
          </w:tcPr>
          <w:p>
            <w:pPr>
              <w:spacing w:after="0"/>
              <w:rPr>
                <w:sz w:val="18"/>
                <w:szCs w:val="18"/>
                <w:color w:val="auto"/>
              </w:rPr>
            </w:pPr>
          </w:p>
        </w:tc>
        <w:tc>
          <w:tcPr>
            <w:tcW w:w="1200" w:type="dxa"/>
            <w:vAlign w:val="bottom"/>
            <w:gridSpan w:val="2"/>
            <w:shd w:val="clear" w:color="auto" w:fill="E0E7ED"/>
          </w:tcPr>
          <w:p>
            <w:pPr>
              <w:ind w:left="560"/>
              <w:spacing w:after="0"/>
              <w:rPr>
                <w:sz w:val="20"/>
                <w:szCs w:val="20"/>
                <w:color w:val="auto"/>
              </w:rPr>
            </w:pPr>
            <w:r>
              <w:rPr>
                <w:rFonts w:ascii="Verdana" w:cs="Verdana" w:eastAsia="Verdana" w:hAnsi="Verdana"/>
                <w:sz w:val="14"/>
                <w:szCs w:val="14"/>
                <w:color w:val="auto"/>
              </w:rPr>
              <w:t>11.74 x</w:t>
            </w: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(8.15) x</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ACL to non-performing assets</w:t>
            </w:r>
          </w:p>
        </w:tc>
        <w:tc>
          <w:tcPr>
            <w:tcW w:w="380" w:type="dxa"/>
            <w:vAlign w:val="bottom"/>
          </w:tcPr>
          <w:p>
            <w:pPr>
              <w:spacing w:after="0"/>
              <w:rPr>
                <w:sz w:val="17"/>
                <w:szCs w:val="17"/>
                <w:color w:val="auto"/>
              </w:rPr>
            </w:pPr>
          </w:p>
        </w:tc>
        <w:tc>
          <w:tcPr>
            <w:tcW w:w="1400" w:type="dxa"/>
            <w:vAlign w:val="bottom"/>
            <w:gridSpan w:val="2"/>
          </w:tcPr>
          <w:p>
            <w:pPr>
              <w:ind w:left="840"/>
              <w:spacing w:after="0"/>
              <w:rPr>
                <w:sz w:val="20"/>
                <w:szCs w:val="20"/>
                <w:color w:val="auto"/>
              </w:rPr>
            </w:pPr>
            <w:r>
              <w:rPr>
                <w:rFonts w:ascii="Verdana" w:cs="Verdana" w:eastAsia="Verdana" w:hAnsi="Verdana"/>
                <w:sz w:val="14"/>
                <w:szCs w:val="14"/>
                <w:color w:val="auto"/>
              </w:rPr>
              <w:t>3.58 x</w:t>
            </w:r>
          </w:p>
        </w:tc>
        <w:tc>
          <w:tcPr>
            <w:tcW w:w="580" w:type="dxa"/>
            <w:vAlign w:val="bottom"/>
          </w:tcPr>
          <w:p>
            <w:pPr>
              <w:spacing w:after="0"/>
              <w:rPr>
                <w:sz w:val="17"/>
                <w:szCs w:val="17"/>
                <w:color w:val="auto"/>
              </w:rPr>
            </w:pPr>
          </w:p>
        </w:tc>
        <w:tc>
          <w:tcPr>
            <w:tcW w:w="1200" w:type="dxa"/>
            <w:vAlign w:val="bottom"/>
            <w:gridSpan w:val="2"/>
          </w:tcPr>
          <w:p>
            <w:pPr>
              <w:ind w:left="560"/>
              <w:spacing w:after="0"/>
              <w:rPr>
                <w:sz w:val="20"/>
                <w:szCs w:val="20"/>
                <w:color w:val="auto"/>
              </w:rPr>
            </w:pPr>
            <w:r>
              <w:rPr>
                <w:rFonts w:ascii="Verdana" w:cs="Verdana" w:eastAsia="Verdana" w:hAnsi="Verdana"/>
                <w:sz w:val="14"/>
                <w:szCs w:val="14"/>
                <w:color w:val="auto"/>
              </w:rPr>
              <w:t>11.55 x</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(7.97) x</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Non-accrual loans to portfolio loans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0.29 %</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0.10 %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 bps</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4420" w:type="dxa"/>
            <w:vAlign w:val="bottom"/>
          </w:tcPr>
          <w:p>
            <w:pPr>
              <w:ind w:left="20"/>
              <w:spacing w:after="0"/>
              <w:rPr>
                <w:sz w:val="20"/>
                <w:szCs w:val="20"/>
                <w:color w:val="auto"/>
              </w:rPr>
            </w:pPr>
            <w:r>
              <w:rPr>
                <w:rFonts w:ascii="Verdana" w:cs="Verdana" w:eastAsia="Verdana" w:hAnsi="Verdana"/>
                <w:sz w:val="14"/>
                <w:szCs w:val="14"/>
                <w:color w:val="auto"/>
              </w:rPr>
              <w:t>Non-performing loans to portfolio loans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0.30 %</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0.10 %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 bps</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Non-performing assets to total assets</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0.19 %</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0.06 %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 bps</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187"/>
        </w:trPr>
        <w:tc>
          <w:tcPr>
            <w:tcW w:w="4420" w:type="dxa"/>
            <w:vAlign w:val="bottom"/>
          </w:tcPr>
          <w:p>
            <w:pPr>
              <w:ind w:left="20"/>
              <w:spacing w:after="0"/>
              <w:rPr>
                <w:sz w:val="20"/>
                <w:szCs w:val="20"/>
                <w:color w:val="auto"/>
              </w:rPr>
            </w:pPr>
            <w:r>
              <w:rPr>
                <w:rFonts w:ascii="Verdana" w:cs="Verdana" w:eastAsia="Verdana" w:hAnsi="Verdana"/>
                <w:sz w:val="14"/>
                <w:szCs w:val="14"/>
                <w:color w:val="auto"/>
              </w:rPr>
              <w:t>Non-performing assets to portfolio loans and OREO and other</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0"/>
        </w:trPr>
        <w:tc>
          <w:tcPr>
            <w:tcW w:w="4420" w:type="dxa"/>
            <w:vAlign w:val="bottom"/>
          </w:tcPr>
          <w:p>
            <w:pPr>
              <w:ind w:left="20"/>
              <w:spacing w:after="0"/>
              <w:rPr>
                <w:sz w:val="20"/>
                <w:szCs w:val="20"/>
                <w:color w:val="auto"/>
              </w:rPr>
            </w:pPr>
            <w:r>
              <w:rPr>
                <w:rFonts w:ascii="Verdana" w:cs="Verdana" w:eastAsia="Verdana" w:hAnsi="Verdana"/>
                <w:sz w:val="14"/>
                <w:szCs w:val="14"/>
                <w:color w:val="auto"/>
              </w:rPr>
              <w:t>repossessed assets</w:t>
            </w: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Verdana" w:cs="Verdana" w:eastAsia="Verdana" w:hAnsi="Verdana"/>
                <w:sz w:val="14"/>
                <w:szCs w:val="14"/>
                <w:color w:val="auto"/>
              </w:rPr>
              <w:t>0.30 %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0.10 %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 bps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8"/>
        </w:trPr>
        <w:tc>
          <w:tcPr>
            <w:tcW w:w="44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Classified assets to Bank Tier 1 Capital and ACL</w:t>
            </w:r>
          </w:p>
        </w:tc>
        <w:tc>
          <w:tcPr>
            <w:tcW w:w="380" w:type="dxa"/>
            <w:vAlign w:val="bottom"/>
            <w:shd w:val="clear" w:color="auto" w:fill="E0E7ED"/>
          </w:tcPr>
          <w:p>
            <w:pPr>
              <w:spacing w:after="0"/>
              <w:rPr>
                <w:sz w:val="18"/>
                <w:szCs w:val="18"/>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5.61 %</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4.97 %</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64 bps</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Asset quality remains strong by both Busey’s historical and current industry trends, and Busey’s operating mandate and focus have been on emphasizing credit quality over asset growth.</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Non-performing loan balances increased by 197.30% to $23.2 million as of December 31, 2024, compared to $7.8 million as of December 31, 2023. The increase was primarily related to one CRE loan that was classified in the fourth quarter of 2023 and was moved to non-accrual during the fourth quarter of 2024. This loan carries a remaining balance of $15.0 million following a $3.0 million charge-off in the fourth quarter of 2024. Non-performing loans represented 0.30% of portfolio loans as of December 31, 2024, compared to 0.10% as of December 31, 2023. Busey’s ACL coverage decreased to 3.59 times its non-performing loan balance at December 31, 2024, compared to 11.74 times its non-performing loan balance at December 31, 2023.</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7" w:name="page78"/>
    <w:bookmarkEnd w:id="7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Non-performing assets, which includes non-performing loans, OREO, and other repossessed assets, increased by 193.41% to $23.3 million as of December 31, 2024, compared to $7.9 million as of December 31, 2023. Non-performing assets represented 0.19% of total assets as of December 31, 2024, compared to 0.06% as of December 31, 2023. Busey’s ACL provided coverage of 3.58 times its non-performing assets at December 31, 2024, down from 11.55 times its non-performing assets at December 31, 2023.</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Classified assets, which include non-performing assets and substandard loans, increased to $85.3 million as of December 31, 2024, compared to $72.3 million as of December 31, 2023. Classified assets represented 5.61% of Busey Bank’s Tier 1 capital and ACL at December 31, 2024, up from 4.97% at December 31, 2023.</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Net charge-offs totaled $18.2 million in 2024, representing 0.23% of average loans, compared with net charge-offs of $2.3 million in 2023, representing 0.03% of average loans. Increases in net charge-offs during the year ended December 31, 2024, were significantly attributable to a single C&amp;I credit relationship and the CRE loan relationship mentioned above.</w:t>
      </w:r>
    </w:p>
    <w:p>
      <w:pPr>
        <w:spacing w:after="0" w:line="12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Asset quality metrics remain dependent upon market-specific economic conditions, and specific measures may fluctuate from period to period. If economic conditions were to deteriorate, Busey would expect the credit quality of its loan portfolio to decline and loan defaults to increase.</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Potential Problem Loans</w:t>
      </w:r>
    </w:p>
    <w:p>
      <w:pPr>
        <w:spacing w:after="0" w:line="127" w:lineRule="exact"/>
        <w:rPr>
          <w:sz w:val="20"/>
          <w:szCs w:val="20"/>
          <w:color w:val="auto"/>
        </w:rPr>
      </w:pPr>
    </w:p>
    <w:p>
      <w:pPr>
        <w:spacing w:after="0" w:line="230" w:lineRule="auto"/>
        <w:rPr>
          <w:sz w:val="20"/>
          <w:szCs w:val="20"/>
          <w:color w:val="auto"/>
        </w:rPr>
      </w:pPr>
      <w:r>
        <w:rPr>
          <w:rFonts w:ascii="Verdana" w:cs="Verdana" w:eastAsia="Verdana" w:hAnsi="Verdana"/>
          <w:sz w:val="14"/>
          <w:szCs w:val="14"/>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to $62.0 million at December 31, 2024, compared to $64.3 million at December 31, 2023. Management continues to monitor these loans and work with the borrowers on restructurings, guarantees, additional collateral, or other planned actions. As of December 31, 2024, management identified no other loans that represent or result from trends or uncertainties that would be expected to materially impact future operating results, liquidity, or capital resources.</w:t>
      </w:r>
    </w:p>
    <w:p>
      <w:pPr>
        <w:spacing w:after="0" w:line="31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Verdana" w:cs="Verdana" w:eastAsia="Verdana" w:hAnsi="Verdana"/>
                <w:sz w:val="14"/>
                <w:szCs w:val="14"/>
                <w:color w:val="0000FF"/>
                <w:w w:val="98"/>
              </w:rPr>
              <w:t>Table of Contents</w:t>
            </w:r>
          </w:p>
        </w:tc>
        <w:tc>
          <w:tcPr>
            <w:tcW w:w="180" w:type="dxa"/>
            <w:vAlign w:val="bottom"/>
          </w:tcPr>
          <w:p>
            <w:pPr>
              <w:spacing w:after="0"/>
              <w:rPr>
                <w:sz w:val="14"/>
                <w:szCs w:val="14"/>
                <w:color w:val="auto"/>
              </w:rPr>
            </w:pPr>
          </w:p>
        </w:tc>
        <w:tc>
          <w:tcPr>
            <w:tcW w:w="2740" w:type="dxa"/>
            <w:vAlign w:val="bottom"/>
            <w:gridSpan w:val="6"/>
          </w:tcPr>
          <w:p>
            <w:pPr>
              <w:jc w:val="right"/>
              <w:ind w:right="840"/>
              <w:spacing w:after="0"/>
              <w:rPr>
                <w:sz w:val="20"/>
                <w:szCs w:val="20"/>
                <w:color w:val="auto"/>
              </w:rPr>
            </w:pPr>
            <w:r>
              <w:rPr>
                <w:rFonts w:ascii="Verdana" w:cs="Verdana" w:eastAsia="Verdana" w:hAnsi="Verdana"/>
                <w:sz w:val="14"/>
                <w:szCs w:val="14"/>
                <w:color w:val="0000FF"/>
              </w:rPr>
              <w:t>Contents of Item 7. MD&amp;A</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797"/>
        </w:trPr>
        <w:tc>
          <w:tcPr>
            <w:tcW w:w="1240" w:type="dxa"/>
            <w:vAlign w:val="bottom"/>
            <w:tcBorders>
              <w:top w:val="single" w:sz="8" w:color="0000FF"/>
            </w:tcBorders>
          </w:tcPr>
          <w:p>
            <w:pPr>
              <w:spacing w:after="0"/>
              <w:rPr>
                <w:sz w:val="20"/>
                <w:szCs w:val="20"/>
                <w:color w:val="auto"/>
              </w:rPr>
            </w:pPr>
            <w:r>
              <w:rPr>
                <w:rFonts w:ascii="Verdana" w:cs="Verdana" w:eastAsia="Verdana" w:hAnsi="Verdana"/>
                <w:sz w:val="14"/>
                <w:szCs w:val="14"/>
                <w:b w:val="1"/>
                <w:bCs w:val="1"/>
                <w:i w:val="1"/>
                <w:iCs w:val="1"/>
                <w:color w:val="auto"/>
              </w:rPr>
              <w:t>Deposits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8"/>
        </w:trPr>
        <w:tc>
          <w:tcPr>
            <w:tcW w:w="7100" w:type="dxa"/>
            <w:vAlign w:val="bottom"/>
            <w:gridSpan w:val="13"/>
          </w:tcPr>
          <w:p>
            <w:pPr>
              <w:spacing w:after="0"/>
              <w:rPr>
                <w:sz w:val="20"/>
                <w:szCs w:val="20"/>
                <w:color w:val="auto"/>
              </w:rPr>
            </w:pPr>
            <w:r>
              <w:rPr>
                <w:rFonts w:ascii="Verdana" w:cs="Verdana" w:eastAsia="Verdana" w:hAnsi="Verdana"/>
                <w:sz w:val="14"/>
                <w:szCs w:val="14"/>
                <w:color w:val="auto"/>
              </w:rPr>
              <w:t xml:space="preserve">The following table shows the deposit mix for each of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0"/>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26"/>
        </w:trPr>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Verdana" w:cs="Verdana" w:eastAsia="Verdana" w:hAnsi="Verdana"/>
                <w:sz w:val="10"/>
                <w:szCs w:val="10"/>
                <w:b w:val="1"/>
                <w:bCs w:val="1"/>
                <w:color w:val="auto"/>
              </w:rPr>
              <w:t>2024</w:t>
            </w: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Verdana" w:cs="Verdana" w:eastAsia="Verdana" w:hAnsi="Verdana"/>
                <w:sz w:val="10"/>
                <w:szCs w:val="10"/>
                <w:b w:val="1"/>
                <w:bCs w:val="1"/>
                <w:color w:val="auto"/>
              </w:rPr>
              <w:t>2023</w:t>
            </w:r>
          </w:p>
        </w:tc>
        <w:tc>
          <w:tcPr>
            <w:tcW w:w="1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3"/>
        </w:trPr>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right"/>
              <w:ind w:right="640"/>
              <w:spacing w:after="0"/>
              <w:rPr>
                <w:sz w:val="20"/>
                <w:szCs w:val="20"/>
                <w:color w:val="auto"/>
              </w:rPr>
            </w:pPr>
            <w:r>
              <w:rPr>
                <w:rFonts w:ascii="Verdana" w:cs="Verdana" w:eastAsia="Verdana" w:hAnsi="Verdana"/>
                <w:sz w:val="10"/>
                <w:szCs w:val="10"/>
                <w:b w:val="1"/>
                <w:bCs w:val="1"/>
                <w:color w:val="auto"/>
              </w:rPr>
              <w:t>Balance</w:t>
            </w:r>
          </w:p>
        </w:tc>
        <w:tc>
          <w:tcPr>
            <w:tcW w:w="1240" w:type="dxa"/>
            <w:vAlign w:val="bottom"/>
          </w:tcPr>
          <w:p>
            <w:pPr>
              <w:jc w:val="right"/>
              <w:ind w:right="335"/>
              <w:spacing w:after="0"/>
              <w:rPr>
                <w:sz w:val="20"/>
                <w:szCs w:val="20"/>
                <w:color w:val="auto"/>
              </w:rPr>
            </w:pPr>
            <w:r>
              <w:rPr>
                <w:rFonts w:ascii="Verdana" w:cs="Verdana" w:eastAsia="Verdana" w:hAnsi="Verdana"/>
                <w:sz w:val="10"/>
                <w:szCs w:val="10"/>
                <w:b w:val="1"/>
                <w:bCs w:val="1"/>
                <w:color w:val="auto"/>
              </w:rPr>
              <w:t>% Total</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jc w:val="right"/>
              <w:ind w:right="640"/>
              <w:spacing w:after="0"/>
              <w:rPr>
                <w:sz w:val="20"/>
                <w:szCs w:val="20"/>
                <w:color w:val="auto"/>
              </w:rPr>
            </w:pPr>
            <w:r>
              <w:rPr>
                <w:rFonts w:ascii="Verdana" w:cs="Verdana" w:eastAsia="Verdana" w:hAnsi="Verdana"/>
                <w:sz w:val="10"/>
                <w:szCs w:val="10"/>
                <w:b w:val="1"/>
                <w:bCs w:val="1"/>
                <w:color w:val="auto"/>
                <w:w w:val="95"/>
              </w:rPr>
              <w:t>Balance</w:t>
            </w:r>
          </w:p>
        </w:tc>
        <w:tc>
          <w:tcPr>
            <w:tcW w:w="1240" w:type="dxa"/>
            <w:vAlign w:val="bottom"/>
          </w:tcPr>
          <w:p>
            <w:pPr>
              <w:jc w:val="right"/>
              <w:ind w:right="332"/>
              <w:spacing w:after="0"/>
              <w:rPr>
                <w:sz w:val="20"/>
                <w:szCs w:val="20"/>
                <w:color w:val="auto"/>
              </w:rPr>
            </w:pPr>
            <w:r>
              <w:rPr>
                <w:rFonts w:ascii="Verdana" w:cs="Verdana" w:eastAsia="Verdana" w:hAnsi="Verdana"/>
                <w:sz w:val="10"/>
                <w:szCs w:val="10"/>
                <w:b w:val="1"/>
                <w:bCs w:val="1"/>
                <w:color w:val="auto"/>
              </w:rPr>
              <w:t>% Total</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0"/>
                <w:szCs w:val="10"/>
                <w:b w:val="1"/>
                <w:bCs w:val="1"/>
                <w:color w:val="auto"/>
              </w:rPr>
              <w:t>Change</w:t>
            </w:r>
          </w:p>
        </w:tc>
        <w:tc>
          <w:tcPr>
            <w:tcW w:w="80" w:type="dxa"/>
            <w:vAlign w:val="bottom"/>
          </w:tcPr>
          <w:p>
            <w:pPr>
              <w:spacing w:after="0"/>
              <w:rPr>
                <w:sz w:val="11"/>
                <w:szCs w:val="11"/>
                <w:color w:val="auto"/>
              </w:rPr>
            </w:pPr>
          </w:p>
        </w:tc>
        <w:tc>
          <w:tcPr>
            <w:tcW w:w="1240" w:type="dxa"/>
            <w:vAlign w:val="bottom"/>
          </w:tcPr>
          <w:p>
            <w:pPr>
              <w:jc w:val="right"/>
              <w:ind w:right="291"/>
              <w:spacing w:after="0"/>
              <w:rPr>
                <w:sz w:val="20"/>
                <w:szCs w:val="20"/>
                <w:color w:val="auto"/>
              </w:rPr>
            </w:pPr>
            <w:r>
              <w:rPr>
                <w:rFonts w:ascii="Verdana" w:cs="Verdana" w:eastAsia="Verdana" w:hAnsi="Verdana"/>
                <w:sz w:val="10"/>
                <w:szCs w:val="10"/>
                <w:b w:val="1"/>
                <w:bCs w:val="1"/>
                <w:color w:val="auto"/>
              </w:rPr>
              <w:t>% Change</w:t>
            </w:r>
          </w:p>
        </w:tc>
      </w:tr>
      <w:tr>
        <w:trPr>
          <w:trHeight w:val="197"/>
        </w:trPr>
        <w:tc>
          <w:tcPr>
            <w:tcW w:w="142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Deposits</w:t>
            </w:r>
          </w:p>
        </w:tc>
        <w:tc>
          <w:tcPr>
            <w:tcW w:w="20" w:type="dxa"/>
            <w:vAlign w:val="bottom"/>
            <w:tcBorders>
              <w:top w:val="single" w:sz="8" w:color="E0E7ED"/>
            </w:tcBorders>
            <w:shd w:val="clear" w:color="auto" w:fill="E0E7ED"/>
          </w:tcPr>
          <w:p>
            <w:pPr>
              <w:spacing w:after="0"/>
              <w:rPr>
                <w:sz w:val="17"/>
                <w:szCs w:val="17"/>
                <w:color w:val="auto"/>
              </w:rPr>
            </w:pPr>
          </w:p>
        </w:tc>
        <w:tc>
          <w:tcPr>
            <w:tcW w:w="112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440" w:type="dxa"/>
            <w:vAlign w:val="bottom"/>
            <w:tcBorders>
              <w:top w:val="single" w:sz="8" w:color="auto"/>
            </w:tcBorders>
            <w:shd w:val="clear" w:color="auto" w:fill="E0E7ED"/>
          </w:tcPr>
          <w:p>
            <w:pPr>
              <w:spacing w:after="0"/>
              <w:rPr>
                <w:sz w:val="17"/>
                <w:szCs w:val="17"/>
                <w:color w:val="auto"/>
              </w:rPr>
            </w:pPr>
          </w:p>
        </w:tc>
        <w:tc>
          <w:tcPr>
            <w:tcW w:w="7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2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54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2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240" w:type="dxa"/>
            <w:vAlign w:val="bottom"/>
            <w:tcBorders>
              <w:top w:val="single" w:sz="8" w:color="auto"/>
            </w:tcBorders>
            <w:shd w:val="clear" w:color="auto" w:fill="E0E7ED"/>
          </w:tcPr>
          <w:p>
            <w:pPr>
              <w:spacing w:after="0"/>
              <w:rPr>
                <w:sz w:val="17"/>
                <w:szCs w:val="17"/>
                <w:color w:val="auto"/>
              </w:rPr>
            </w:pPr>
          </w:p>
        </w:tc>
      </w:tr>
      <w:tr>
        <w:trPr>
          <w:trHeight w:val="207"/>
        </w:trPr>
        <w:tc>
          <w:tcPr>
            <w:tcW w:w="2880" w:type="dxa"/>
            <w:vAlign w:val="bottom"/>
            <w:gridSpan w:val="5"/>
          </w:tcPr>
          <w:p>
            <w:pPr>
              <w:ind w:left="140"/>
              <w:spacing w:after="0"/>
              <w:rPr>
                <w:sz w:val="20"/>
                <w:szCs w:val="20"/>
                <w:color w:val="auto"/>
              </w:rPr>
            </w:pPr>
            <w:r>
              <w:rPr>
                <w:rFonts w:ascii="Verdana" w:cs="Verdana" w:eastAsia="Verdana" w:hAnsi="Verdana"/>
                <w:sz w:val="14"/>
                <w:szCs w:val="14"/>
                <w:color w:val="auto"/>
              </w:rPr>
              <w:t>Non-maturity deposits:</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2"/>
        </w:trPr>
        <w:tc>
          <w:tcPr>
            <w:tcW w:w="2880" w:type="dxa"/>
            <w:vAlign w:val="bottom"/>
            <w:gridSpan w:val="5"/>
            <w:shd w:val="clear" w:color="auto" w:fill="E0E7ED"/>
          </w:tcPr>
          <w:p>
            <w:pPr>
              <w:ind w:left="280"/>
              <w:spacing w:after="0"/>
              <w:rPr>
                <w:sz w:val="20"/>
                <w:szCs w:val="20"/>
                <w:color w:val="auto"/>
              </w:rPr>
            </w:pPr>
            <w:r>
              <w:rPr>
                <w:rFonts w:ascii="Verdana" w:cs="Verdana" w:eastAsia="Verdana" w:hAnsi="Verdana"/>
                <w:sz w:val="14"/>
                <w:szCs w:val="14"/>
                <w:color w:val="auto"/>
              </w:rPr>
              <w:t>Noninterest-bearing demand</w:t>
            </w:r>
          </w:p>
        </w:tc>
        <w:tc>
          <w:tcPr>
            <w:tcW w:w="440" w:type="dxa"/>
            <w:vAlign w:val="bottom"/>
            <w:shd w:val="clear" w:color="auto" w:fill="E0E7ED"/>
          </w:tcPr>
          <w:p>
            <w:pPr>
              <w:spacing w:after="0"/>
              <w:rPr>
                <w:sz w:val="16"/>
                <w:szCs w:val="16"/>
                <w:color w:val="auto"/>
              </w:rPr>
            </w:pPr>
          </w:p>
        </w:tc>
        <w:tc>
          <w:tcPr>
            <w:tcW w:w="7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540" w:type="dxa"/>
            <w:vAlign w:val="bottom"/>
            <w:shd w:val="clear" w:color="auto" w:fill="E0E7ED"/>
          </w:tcPr>
          <w:p>
            <w:pPr>
              <w:spacing w:after="0"/>
              <w:rPr>
                <w:sz w:val="16"/>
                <w:szCs w:val="16"/>
                <w:color w:val="auto"/>
              </w:rPr>
            </w:pPr>
          </w:p>
        </w:tc>
        <w:tc>
          <w:tcPr>
            <w:tcW w:w="10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r>
      <w:tr>
        <w:trPr>
          <w:trHeight w:val="195"/>
        </w:trPr>
        <w:tc>
          <w:tcPr>
            <w:tcW w:w="1420" w:type="dxa"/>
            <w:vAlign w:val="bottom"/>
            <w:gridSpan w:val="2"/>
            <w:shd w:val="clear" w:color="auto" w:fill="E0E7ED"/>
          </w:tcPr>
          <w:p>
            <w:pPr>
              <w:ind w:left="280"/>
              <w:spacing w:after="0"/>
              <w:rPr>
                <w:sz w:val="20"/>
                <w:szCs w:val="20"/>
                <w:color w:val="auto"/>
              </w:rPr>
            </w:pPr>
            <w:r>
              <w:rPr>
                <w:rFonts w:ascii="Verdana" w:cs="Verdana" w:eastAsia="Verdana" w:hAnsi="Verdana"/>
                <w:sz w:val="14"/>
                <w:szCs w:val="14"/>
                <w:color w:val="auto"/>
              </w:rPr>
              <w:t>deposits</w:t>
            </w:r>
          </w:p>
        </w:tc>
        <w:tc>
          <w:tcPr>
            <w:tcW w:w="1460" w:type="dxa"/>
            <w:vAlign w:val="bottom"/>
            <w:gridSpan w:val="3"/>
            <w:shd w:val="clear" w:color="auto" w:fill="E0E7ED"/>
          </w:tcPr>
          <w:p>
            <w:pPr>
              <w:jc w:val="right"/>
              <w:ind w:right="220"/>
              <w:spacing w:after="0"/>
              <w:rPr>
                <w:sz w:val="20"/>
                <w:szCs w:val="20"/>
                <w:color w:val="auto"/>
              </w:rPr>
            </w:pPr>
            <w:r>
              <w:rPr>
                <w:rFonts w:ascii="Verdana" w:cs="Verdana" w:eastAsia="Verdana" w:hAnsi="Verdana"/>
                <w:sz w:val="14"/>
                <w:szCs w:val="14"/>
                <w:color w:val="auto"/>
              </w:rPr>
              <w:t>$</w:t>
            </w:r>
          </w:p>
        </w:tc>
        <w:tc>
          <w:tcPr>
            <w:tcW w:w="1180" w:type="dxa"/>
            <w:vAlign w:val="bottom"/>
            <w:gridSpan w:val="2"/>
            <w:shd w:val="clear" w:color="auto" w:fill="E0E7ED"/>
          </w:tcPr>
          <w:p>
            <w:pPr>
              <w:jc w:val="right"/>
              <w:ind w:right="60"/>
              <w:spacing w:after="0"/>
              <w:rPr>
                <w:sz w:val="20"/>
                <w:szCs w:val="20"/>
                <w:color w:val="auto"/>
              </w:rPr>
            </w:pPr>
            <w:r>
              <w:rPr>
                <w:rFonts w:ascii="Verdana" w:cs="Verdana" w:eastAsia="Verdana" w:hAnsi="Verdana"/>
                <w:sz w:val="14"/>
                <w:szCs w:val="14"/>
                <w:color w:val="auto"/>
              </w:rPr>
              <w:t>2,719,907</w:t>
            </w: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27.3 %</w:t>
            </w:r>
          </w:p>
        </w:tc>
        <w:tc>
          <w:tcPr>
            <w:tcW w:w="80" w:type="dxa"/>
            <w:vAlign w:val="bottom"/>
            <w:shd w:val="clear" w:color="auto" w:fill="E0E7ED"/>
          </w:tcPr>
          <w:p>
            <w:pPr>
              <w:spacing w:after="0"/>
              <w:rPr>
                <w:sz w:val="16"/>
                <w:szCs w:val="16"/>
                <w:color w:val="auto"/>
              </w:rPr>
            </w:pPr>
          </w:p>
        </w:tc>
        <w:tc>
          <w:tcPr>
            <w:tcW w:w="540" w:type="dxa"/>
            <w:vAlign w:val="bottom"/>
            <w:shd w:val="clear" w:color="auto" w:fill="E0E7ED"/>
          </w:tcPr>
          <w:p>
            <w:pPr>
              <w:jc w:val="right"/>
              <w:ind w:right="369"/>
              <w:spacing w:after="0"/>
              <w:rPr>
                <w:sz w:val="20"/>
                <w:szCs w:val="20"/>
                <w:color w:val="auto"/>
              </w:rPr>
            </w:pPr>
            <w:r>
              <w:rPr>
                <w:rFonts w:ascii="Verdana" w:cs="Verdana" w:eastAsia="Verdana" w:hAnsi="Verdana"/>
                <w:sz w:val="14"/>
                <w:szCs w:val="14"/>
                <w:color w:val="auto"/>
                <w:w w:val="88"/>
              </w:rPr>
              <w:t>$</w:t>
            </w:r>
          </w:p>
        </w:tc>
        <w:tc>
          <w:tcPr>
            <w:tcW w:w="100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2,834,655</w:t>
            </w: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27.5 %</w:t>
            </w: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(114,748)</w:t>
            </w:r>
          </w:p>
        </w:tc>
        <w:tc>
          <w:tcPr>
            <w:tcW w:w="13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(4.0)%</w:t>
            </w:r>
          </w:p>
        </w:tc>
      </w:tr>
      <w:tr>
        <w:trPr>
          <w:trHeight w:val="187"/>
        </w:trPr>
        <w:tc>
          <w:tcPr>
            <w:tcW w:w="2880" w:type="dxa"/>
            <w:vAlign w:val="bottom"/>
            <w:gridSpan w:val="5"/>
          </w:tcPr>
          <w:p>
            <w:pPr>
              <w:ind w:left="280"/>
              <w:spacing w:after="0"/>
              <w:rPr>
                <w:sz w:val="20"/>
                <w:szCs w:val="20"/>
                <w:color w:val="auto"/>
              </w:rPr>
            </w:pPr>
            <w:r>
              <w:rPr>
                <w:rFonts w:ascii="Verdana" w:cs="Verdana" w:eastAsia="Verdana" w:hAnsi="Verdana"/>
                <w:sz w:val="14"/>
                <w:szCs w:val="14"/>
                <w:color w:val="auto"/>
              </w:rPr>
              <w:t>Interest-bearing transaction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0"/>
        </w:trPr>
        <w:tc>
          <w:tcPr>
            <w:tcW w:w="1420" w:type="dxa"/>
            <w:vAlign w:val="bottom"/>
            <w:gridSpan w:val="2"/>
          </w:tcPr>
          <w:p>
            <w:pPr>
              <w:ind w:left="280"/>
              <w:spacing w:after="0"/>
              <w:rPr>
                <w:sz w:val="20"/>
                <w:szCs w:val="20"/>
                <w:color w:val="auto"/>
              </w:rPr>
            </w:pPr>
            <w:r>
              <w:rPr>
                <w:rFonts w:ascii="Verdana" w:cs="Verdana" w:eastAsia="Verdana" w:hAnsi="Verdana"/>
                <w:sz w:val="14"/>
                <w:szCs w:val="14"/>
                <w:color w:val="auto"/>
              </w:rPr>
              <w:t>deposits</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Verdana" w:cs="Verdana" w:eastAsia="Verdana" w:hAnsi="Verdana"/>
                <w:sz w:val="14"/>
                <w:szCs w:val="14"/>
                <w:color w:val="auto"/>
              </w:rPr>
              <w:t>2,423,237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24.3 %</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15"/>
              <w:spacing w:after="0"/>
              <w:rPr>
                <w:sz w:val="20"/>
                <w:szCs w:val="20"/>
                <w:color w:val="auto"/>
              </w:rPr>
            </w:pPr>
            <w:r>
              <w:rPr>
                <w:rFonts w:ascii="Verdana" w:cs="Verdana" w:eastAsia="Verdana" w:hAnsi="Verdana"/>
                <w:sz w:val="14"/>
                <w:szCs w:val="14"/>
                <w:color w:val="auto"/>
              </w:rPr>
              <w:t>2,717,139</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26.4 %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(293,902)</w:t>
            </w:r>
          </w:p>
        </w:tc>
        <w:tc>
          <w:tcPr>
            <w:tcW w:w="1320" w:type="dxa"/>
            <w:vAlign w:val="bottom"/>
            <w:gridSpan w:val="2"/>
          </w:tcPr>
          <w:p>
            <w:pPr>
              <w:jc w:val="right"/>
              <w:spacing w:after="0"/>
              <w:rPr>
                <w:sz w:val="20"/>
                <w:szCs w:val="20"/>
                <w:color w:val="auto"/>
              </w:rPr>
            </w:pPr>
            <w:r>
              <w:rPr>
                <w:rFonts w:ascii="Verdana" w:cs="Verdana" w:eastAsia="Verdana" w:hAnsi="Verdana"/>
                <w:sz w:val="14"/>
                <w:szCs w:val="14"/>
                <w:color w:val="auto"/>
              </w:rPr>
              <w:t>(10.8)%</w:t>
            </w:r>
          </w:p>
        </w:tc>
      </w:tr>
      <w:tr>
        <w:trPr>
          <w:trHeight w:val="192"/>
        </w:trPr>
        <w:tc>
          <w:tcPr>
            <w:tcW w:w="2880" w:type="dxa"/>
            <w:vAlign w:val="bottom"/>
            <w:gridSpan w:val="5"/>
            <w:shd w:val="clear" w:color="auto" w:fill="E0E7ED"/>
          </w:tcPr>
          <w:p>
            <w:pPr>
              <w:ind w:left="280"/>
              <w:spacing w:after="0"/>
              <w:rPr>
                <w:sz w:val="20"/>
                <w:szCs w:val="20"/>
                <w:color w:val="auto"/>
              </w:rPr>
            </w:pPr>
            <w:r>
              <w:rPr>
                <w:rFonts w:ascii="Verdana" w:cs="Verdana" w:eastAsia="Verdana" w:hAnsi="Verdana"/>
                <w:sz w:val="14"/>
                <w:szCs w:val="14"/>
                <w:color w:val="auto"/>
              </w:rPr>
              <w:t>Saving deposits and money</w:t>
            </w:r>
          </w:p>
        </w:tc>
        <w:tc>
          <w:tcPr>
            <w:tcW w:w="440" w:type="dxa"/>
            <w:vAlign w:val="bottom"/>
            <w:shd w:val="clear" w:color="auto" w:fill="E0E7ED"/>
          </w:tcPr>
          <w:p>
            <w:pPr>
              <w:spacing w:after="0"/>
              <w:rPr>
                <w:sz w:val="16"/>
                <w:szCs w:val="16"/>
                <w:color w:val="auto"/>
              </w:rPr>
            </w:pPr>
          </w:p>
        </w:tc>
        <w:tc>
          <w:tcPr>
            <w:tcW w:w="7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540" w:type="dxa"/>
            <w:vAlign w:val="bottom"/>
            <w:shd w:val="clear" w:color="auto" w:fill="E0E7ED"/>
          </w:tcPr>
          <w:p>
            <w:pPr>
              <w:spacing w:after="0"/>
              <w:rPr>
                <w:sz w:val="16"/>
                <w:szCs w:val="16"/>
                <w:color w:val="auto"/>
              </w:rPr>
            </w:pPr>
          </w:p>
        </w:tc>
        <w:tc>
          <w:tcPr>
            <w:tcW w:w="10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r>
      <w:tr>
        <w:trPr>
          <w:trHeight w:val="190"/>
        </w:trPr>
        <w:tc>
          <w:tcPr>
            <w:tcW w:w="1420" w:type="dxa"/>
            <w:vAlign w:val="bottom"/>
            <w:gridSpan w:val="2"/>
            <w:shd w:val="clear" w:color="auto" w:fill="E0E7ED"/>
          </w:tcPr>
          <w:p>
            <w:pPr>
              <w:ind w:left="280"/>
              <w:spacing w:after="0"/>
              <w:rPr>
                <w:sz w:val="20"/>
                <w:szCs w:val="20"/>
                <w:color w:val="auto"/>
              </w:rPr>
            </w:pPr>
            <w:r>
              <w:rPr>
                <w:rFonts w:ascii="Verdana" w:cs="Verdana" w:eastAsia="Verdana" w:hAnsi="Verdana"/>
                <w:sz w:val="14"/>
                <w:szCs w:val="14"/>
                <w:color w:val="auto"/>
                <w:w w:val="98"/>
              </w:rPr>
              <w:t>market deposits</w:t>
            </w:r>
          </w:p>
        </w:tc>
        <w:tc>
          <w:tcPr>
            <w:tcW w:w="2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gridSpan w:val="2"/>
            <w:shd w:val="clear" w:color="auto" w:fill="E0E7ED"/>
          </w:tcPr>
          <w:p>
            <w:pPr>
              <w:jc w:val="right"/>
              <w:ind w:right="60"/>
              <w:spacing w:after="0"/>
              <w:rPr>
                <w:sz w:val="20"/>
                <w:szCs w:val="20"/>
                <w:color w:val="auto"/>
              </w:rPr>
            </w:pPr>
            <w:r>
              <w:rPr>
                <w:rFonts w:ascii="Verdana" w:cs="Verdana" w:eastAsia="Verdana" w:hAnsi="Verdana"/>
                <w:sz w:val="14"/>
                <w:szCs w:val="14"/>
                <w:color w:val="auto"/>
              </w:rPr>
              <w:t>3,348,711</w:t>
            </w:r>
          </w:p>
        </w:tc>
        <w:tc>
          <w:tcPr>
            <w:tcW w:w="100" w:type="dxa"/>
            <w:vAlign w:val="bottom"/>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33.5 %</w:t>
            </w:r>
          </w:p>
        </w:tc>
        <w:tc>
          <w:tcPr>
            <w:tcW w:w="80" w:type="dxa"/>
            <w:vAlign w:val="bottom"/>
            <w:shd w:val="clear" w:color="auto" w:fill="E0E7ED"/>
          </w:tcPr>
          <w:p>
            <w:pPr>
              <w:spacing w:after="0"/>
              <w:rPr>
                <w:sz w:val="16"/>
                <w:szCs w:val="16"/>
                <w:color w:val="auto"/>
              </w:rPr>
            </w:pPr>
          </w:p>
        </w:tc>
        <w:tc>
          <w:tcPr>
            <w:tcW w:w="54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2,920,088</w:t>
            </w:r>
          </w:p>
        </w:tc>
        <w:tc>
          <w:tcPr>
            <w:tcW w:w="80" w:type="dxa"/>
            <w:vAlign w:val="bottom"/>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28.4 %</w:t>
            </w:r>
          </w:p>
        </w:tc>
        <w:tc>
          <w:tcPr>
            <w:tcW w:w="80" w:type="dxa"/>
            <w:vAlign w:val="bottom"/>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428,623</w:t>
            </w:r>
          </w:p>
        </w:tc>
        <w:tc>
          <w:tcPr>
            <w:tcW w:w="13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14.7 %</w:t>
            </w:r>
          </w:p>
        </w:tc>
      </w:tr>
      <w:tr>
        <w:trPr>
          <w:trHeight w:val="203"/>
        </w:trPr>
        <w:tc>
          <w:tcPr>
            <w:tcW w:w="2880" w:type="dxa"/>
            <w:vAlign w:val="bottom"/>
            <w:gridSpan w:val="5"/>
          </w:tcPr>
          <w:p>
            <w:pPr>
              <w:ind w:left="140"/>
              <w:spacing w:after="0"/>
              <w:rPr>
                <w:sz w:val="20"/>
                <w:szCs w:val="20"/>
                <w:color w:val="auto"/>
              </w:rPr>
            </w:pPr>
            <w:r>
              <w:rPr>
                <w:rFonts w:ascii="Verdana" w:cs="Verdana" w:eastAsia="Verdana" w:hAnsi="Verdana"/>
                <w:sz w:val="14"/>
                <w:szCs w:val="14"/>
                <w:color w:val="auto"/>
              </w:rPr>
              <w:t>Total non-maturity deposits</w:t>
            </w:r>
          </w:p>
        </w:tc>
        <w:tc>
          <w:tcPr>
            <w:tcW w:w="1180" w:type="dxa"/>
            <w:vAlign w:val="bottom"/>
            <w:gridSpan w:val="2"/>
          </w:tcPr>
          <w:p>
            <w:pPr>
              <w:jc w:val="right"/>
              <w:ind w:right="60"/>
              <w:spacing w:after="0"/>
              <w:rPr>
                <w:sz w:val="20"/>
                <w:szCs w:val="20"/>
                <w:color w:val="auto"/>
              </w:rPr>
            </w:pPr>
            <w:r>
              <w:rPr>
                <w:rFonts w:ascii="Verdana" w:cs="Verdana" w:eastAsia="Verdana" w:hAnsi="Verdana"/>
                <w:sz w:val="14"/>
                <w:szCs w:val="14"/>
                <w:color w:val="auto"/>
              </w:rPr>
              <w:t>8,491,855</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85.1 %</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Verdana" w:cs="Verdana" w:eastAsia="Verdana" w:hAnsi="Verdana"/>
                <w:sz w:val="14"/>
                <w:szCs w:val="14"/>
                <w:color w:val="auto"/>
              </w:rPr>
              <w:t>8,471,882</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82.3 %</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12"/>
              <w:spacing w:after="0"/>
              <w:rPr>
                <w:sz w:val="20"/>
                <w:szCs w:val="20"/>
                <w:color w:val="auto"/>
              </w:rPr>
            </w:pPr>
            <w:r>
              <w:rPr>
                <w:rFonts w:ascii="Verdana" w:cs="Verdana" w:eastAsia="Verdana" w:hAnsi="Verdana"/>
                <w:sz w:val="14"/>
                <w:szCs w:val="14"/>
                <w:color w:val="auto"/>
              </w:rPr>
              <w:t>19,973</w:t>
            </w:r>
          </w:p>
        </w:tc>
        <w:tc>
          <w:tcPr>
            <w:tcW w:w="1320" w:type="dxa"/>
            <w:vAlign w:val="bottom"/>
            <w:gridSpan w:val="2"/>
          </w:tcPr>
          <w:p>
            <w:pPr>
              <w:jc w:val="right"/>
              <w:spacing w:after="0"/>
              <w:rPr>
                <w:sz w:val="20"/>
                <w:szCs w:val="20"/>
                <w:color w:val="auto"/>
              </w:rPr>
            </w:pPr>
            <w:r>
              <w:rPr>
                <w:rFonts w:ascii="Verdana" w:cs="Verdana" w:eastAsia="Verdana" w:hAnsi="Verdana"/>
                <w:sz w:val="14"/>
                <w:szCs w:val="14"/>
                <w:color w:val="auto"/>
              </w:rPr>
              <w:t>0.2 %</w:t>
            </w:r>
          </w:p>
        </w:tc>
      </w:tr>
      <w:tr>
        <w:trPr>
          <w:trHeight w:val="212"/>
        </w:trPr>
        <w:tc>
          <w:tcPr>
            <w:tcW w:w="14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Time deposits</w:t>
            </w:r>
          </w:p>
        </w:tc>
        <w:tc>
          <w:tcPr>
            <w:tcW w:w="2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32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gridSpan w:val="2"/>
            <w:shd w:val="clear" w:color="auto" w:fill="E0E7ED"/>
          </w:tcPr>
          <w:p>
            <w:pPr>
              <w:jc w:val="right"/>
              <w:ind w:right="60"/>
              <w:spacing w:after="0"/>
              <w:rPr>
                <w:sz w:val="20"/>
                <w:szCs w:val="20"/>
                <w:color w:val="auto"/>
              </w:rPr>
            </w:pPr>
            <w:r>
              <w:rPr>
                <w:rFonts w:ascii="Verdana" w:cs="Verdana" w:eastAsia="Verdana" w:hAnsi="Verdana"/>
                <w:sz w:val="14"/>
                <w:szCs w:val="14"/>
                <w:color w:val="auto"/>
              </w:rPr>
              <w:t>1,490,635</w:t>
            </w:r>
          </w:p>
        </w:tc>
        <w:tc>
          <w:tcPr>
            <w:tcW w:w="100" w:type="dxa"/>
            <w:vAlign w:val="bottom"/>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14.9 %</w:t>
            </w:r>
          </w:p>
        </w:tc>
        <w:tc>
          <w:tcPr>
            <w:tcW w:w="80" w:type="dxa"/>
            <w:vAlign w:val="bottom"/>
            <w:shd w:val="clear" w:color="auto" w:fill="E0E7ED"/>
          </w:tcPr>
          <w:p>
            <w:pPr>
              <w:spacing w:after="0"/>
              <w:rPr>
                <w:sz w:val="18"/>
                <w:szCs w:val="18"/>
                <w:color w:val="auto"/>
              </w:rPr>
            </w:pPr>
          </w:p>
        </w:tc>
        <w:tc>
          <w:tcPr>
            <w:tcW w:w="54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1,819,274</w:t>
            </w:r>
          </w:p>
        </w:tc>
        <w:tc>
          <w:tcPr>
            <w:tcW w:w="80" w:type="dxa"/>
            <w:vAlign w:val="bottom"/>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17.7 %</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(328,639)</w:t>
            </w:r>
          </w:p>
        </w:tc>
        <w:tc>
          <w:tcPr>
            <w:tcW w:w="132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(18.1)%</w:t>
            </w:r>
          </w:p>
        </w:tc>
      </w:tr>
      <w:tr>
        <w:trPr>
          <w:trHeight w:val="208"/>
        </w:trPr>
        <w:tc>
          <w:tcPr>
            <w:tcW w:w="1420" w:type="dxa"/>
            <w:vAlign w:val="bottom"/>
            <w:gridSpan w:val="2"/>
          </w:tcPr>
          <w:p>
            <w:pPr>
              <w:ind w:left="20"/>
              <w:spacing w:after="0"/>
              <w:rPr>
                <w:sz w:val="20"/>
                <w:szCs w:val="20"/>
                <w:color w:val="auto"/>
              </w:rPr>
            </w:pPr>
            <w:r>
              <w:rPr>
                <w:rFonts w:ascii="Verdana" w:cs="Verdana" w:eastAsia="Verdana" w:hAnsi="Verdana"/>
                <w:sz w:val="14"/>
                <w:szCs w:val="14"/>
                <w:color w:val="auto"/>
              </w:rPr>
              <w:t>Total deposits</w:t>
            </w:r>
          </w:p>
        </w:tc>
        <w:tc>
          <w:tcPr>
            <w:tcW w:w="1460" w:type="dxa"/>
            <w:vAlign w:val="bottom"/>
            <w:gridSpan w:val="3"/>
          </w:tcPr>
          <w:p>
            <w:pPr>
              <w:jc w:val="right"/>
              <w:ind w:right="220"/>
              <w:spacing w:after="0"/>
              <w:rPr>
                <w:sz w:val="20"/>
                <w:szCs w:val="20"/>
                <w:color w:val="auto"/>
              </w:rPr>
            </w:pPr>
            <w:r>
              <w:rPr>
                <w:rFonts w:ascii="Verdana" w:cs="Verdana" w:eastAsia="Verdana" w:hAnsi="Verdana"/>
                <w:sz w:val="14"/>
                <w:szCs w:val="14"/>
                <w:color w:val="auto"/>
              </w:rPr>
              <w:t>$</w:t>
            </w:r>
          </w:p>
        </w:tc>
        <w:tc>
          <w:tcPr>
            <w:tcW w:w="1180" w:type="dxa"/>
            <w:vAlign w:val="bottom"/>
            <w:gridSpan w:val="2"/>
          </w:tcPr>
          <w:p>
            <w:pPr>
              <w:jc w:val="right"/>
              <w:ind w:right="60"/>
              <w:spacing w:after="0"/>
              <w:rPr>
                <w:sz w:val="20"/>
                <w:szCs w:val="20"/>
                <w:color w:val="auto"/>
              </w:rPr>
            </w:pPr>
            <w:r>
              <w:rPr>
                <w:rFonts w:ascii="Verdana" w:cs="Verdana" w:eastAsia="Verdana" w:hAnsi="Verdana"/>
                <w:sz w:val="14"/>
                <w:szCs w:val="14"/>
                <w:color w:val="auto"/>
              </w:rPr>
              <w:t>9,982,490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100.0 %</w:t>
            </w:r>
          </w:p>
        </w:tc>
        <w:tc>
          <w:tcPr>
            <w:tcW w:w="80" w:type="dxa"/>
            <w:vAlign w:val="bottom"/>
          </w:tcPr>
          <w:p>
            <w:pPr>
              <w:spacing w:after="0"/>
              <w:rPr>
                <w:sz w:val="18"/>
                <w:szCs w:val="18"/>
                <w:color w:val="auto"/>
              </w:rPr>
            </w:pPr>
          </w:p>
        </w:tc>
        <w:tc>
          <w:tcPr>
            <w:tcW w:w="540" w:type="dxa"/>
            <w:vAlign w:val="bottom"/>
          </w:tcPr>
          <w:p>
            <w:pPr>
              <w:jc w:val="right"/>
              <w:ind w:right="369"/>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ind w:right="15"/>
              <w:spacing w:after="0"/>
              <w:rPr>
                <w:sz w:val="20"/>
                <w:szCs w:val="20"/>
                <w:color w:val="auto"/>
              </w:rPr>
            </w:pPr>
            <w:r>
              <w:rPr>
                <w:rFonts w:ascii="Verdana" w:cs="Verdana" w:eastAsia="Verdana" w:hAnsi="Verdana"/>
                <w:sz w:val="14"/>
                <w:szCs w:val="14"/>
                <w:color w:val="auto"/>
              </w:rPr>
              <w:t>10,291,156</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100.0 %</w:t>
            </w:r>
          </w:p>
        </w:tc>
        <w:tc>
          <w:tcPr>
            <w:tcW w:w="80" w:type="dxa"/>
            <w:vAlign w:val="bottom"/>
          </w:tcPr>
          <w:p>
            <w:pPr>
              <w:spacing w:after="0"/>
              <w:rPr>
                <w:sz w:val="18"/>
                <w:szCs w:val="18"/>
                <w:color w:val="auto"/>
              </w:rPr>
            </w:pPr>
          </w:p>
        </w:tc>
        <w:tc>
          <w:tcPr>
            <w:tcW w:w="340" w:type="dxa"/>
            <w:vAlign w:val="bottom"/>
          </w:tcPr>
          <w:p>
            <w:pPr>
              <w:jc w:val="right"/>
              <w:ind w:right="149"/>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(308,666)</w:t>
            </w:r>
          </w:p>
        </w:tc>
        <w:tc>
          <w:tcPr>
            <w:tcW w:w="1320" w:type="dxa"/>
            <w:vAlign w:val="bottom"/>
            <w:gridSpan w:val="2"/>
          </w:tcPr>
          <w:p>
            <w:pPr>
              <w:jc w:val="right"/>
              <w:spacing w:after="0"/>
              <w:rPr>
                <w:sz w:val="20"/>
                <w:szCs w:val="20"/>
                <w:color w:val="auto"/>
              </w:rPr>
            </w:pPr>
            <w:r>
              <w:rPr>
                <w:rFonts w:ascii="Verdana" w:cs="Verdana" w:eastAsia="Verdana" w:hAnsi="Verdana"/>
                <w:sz w:val="14"/>
                <w:szCs w:val="14"/>
                <w:color w:val="auto"/>
              </w:rPr>
              <w:t>(3.0)%</w:t>
            </w:r>
          </w:p>
        </w:tc>
      </w:tr>
      <w:tr>
        <w:trPr>
          <w:trHeight w:val="20"/>
        </w:trPr>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Total deposits decreased by 3.0% to $9.98 billion as of December 31, 2024, compared to $10.29 billion as of December 31, 2023. The quality of Busey’s core deposit</w:t>
      </w:r>
      <w:r>
        <w:rPr>
          <w:rFonts w:ascii="Verdana" w:cs="Verdana" w:eastAsia="Verdana" w:hAnsi="Verdana"/>
          <w:sz w:val="9"/>
          <w:szCs w:val="9"/>
          <w:color w:val="auto"/>
        </w:rPr>
        <w:t>4</w:t>
      </w:r>
      <w:r>
        <w:rPr>
          <w:rFonts w:ascii="Verdana" w:cs="Verdana" w:eastAsia="Verdana" w:hAnsi="Verdana"/>
          <w:sz w:val="14"/>
          <w:szCs w:val="14"/>
          <w:color w:val="auto"/>
        </w:rPr>
        <w:t xml:space="preserve"> franchise coupled with cash flows from its securities portfolio allows Busey to fund loan growth while limiting its reliance on higher cost wholesale funding alternatives. Busey focuses on deepening its customer relationships to maintain and protect its strong core deposit franchise. As of December 31, 2024, Busey average customer tenure was 16.9 years for retail customers and 12.8 years for commercial customers. Core deposits include non-brokered transaction accounts, money market and savings deposit accounts, and time deposits of $250,000 or less. Core deposits represented 96.5% of total deposits as of December 31, 2024, compared to 96.2% as of December 31, 2023.</w:t>
      </w:r>
    </w:p>
    <w:p>
      <w:pPr>
        <w:spacing w:after="0" w:line="133"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Deposits are federally insured up to the FDIC insurance limit of $250,000. When a portion of a deposit account exceeds the FDIC insurance limit, that portion is uninsured. Estimated uninsured deposits were $3.78 billion at December 31, 2024. The portion of Busey’s deposit base that was uninsured and not otherwise collateralized was estimated to be $2.96 billion at December 31, 2024, which represented 30% of total deposits. Of that amount, $286.4 million represented time deposits. The following table presents estimates of the uninsured portion of time deposits by maturity date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jc w:val="center"/>
              <w:ind w:right="197"/>
              <w:spacing w:after="0"/>
              <w:rPr>
                <w:sz w:val="20"/>
                <w:szCs w:val="20"/>
                <w:color w:val="auto"/>
              </w:rPr>
            </w:pPr>
            <w:r>
              <w:rPr>
                <w:rFonts w:ascii="Verdana" w:cs="Verdana" w:eastAsia="Verdana" w:hAnsi="Verdana"/>
                <w:sz w:val="10"/>
                <w:szCs w:val="10"/>
                <w:b w:val="1"/>
                <w:bCs w:val="1"/>
                <w:color w:val="auto"/>
                <w:w w:val="98"/>
              </w:rPr>
              <w:t>As of</w:t>
            </w:r>
          </w:p>
        </w:tc>
      </w:tr>
      <w:tr>
        <w:trPr>
          <w:trHeight w:val="95"/>
        </w:trPr>
        <w:tc>
          <w:tcPr>
            <w:tcW w:w="21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jc w:val="center"/>
              <w:ind w:right="177"/>
              <w:spacing w:after="0" w:line="96" w:lineRule="exact"/>
              <w:rPr>
                <w:sz w:val="20"/>
                <w:szCs w:val="20"/>
                <w:color w:val="auto"/>
              </w:rPr>
            </w:pPr>
            <w:r>
              <w:rPr>
                <w:rFonts w:ascii="Verdana" w:cs="Verdana" w:eastAsia="Verdana" w:hAnsi="Verdana"/>
                <w:sz w:val="10"/>
                <w:szCs w:val="10"/>
                <w:b w:val="1"/>
                <w:bCs w:val="1"/>
                <w:color w:val="auto"/>
                <w:w w:val="99"/>
              </w:rPr>
              <w:t>December 31,</w:t>
            </w:r>
          </w:p>
        </w:tc>
      </w:tr>
      <w:tr>
        <w:trPr>
          <w:trHeight w:val="133"/>
        </w:trPr>
        <w:tc>
          <w:tcPr>
            <w:tcW w:w="2120" w:type="dxa"/>
            <w:vAlign w:val="bottom"/>
            <w:tcBorders>
              <w:bottom w:val="single" w:sz="8" w:color="E0E7ED"/>
            </w:tcBorders>
          </w:tcPr>
          <w:p>
            <w:pPr>
              <w:spacing w:after="0"/>
              <w:rPr>
                <w:sz w:val="11"/>
                <w:szCs w:val="11"/>
                <w:color w:val="auto"/>
              </w:rPr>
            </w:pPr>
          </w:p>
        </w:tc>
        <w:tc>
          <w:tcPr>
            <w:tcW w:w="758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97"/>
              <w:spacing w:after="0"/>
              <w:rPr>
                <w:sz w:val="20"/>
                <w:szCs w:val="20"/>
                <w:color w:val="auto"/>
              </w:rPr>
            </w:pPr>
            <w:r>
              <w:rPr>
                <w:rFonts w:ascii="Verdana" w:cs="Verdana" w:eastAsia="Verdana" w:hAnsi="Verdana"/>
                <w:sz w:val="10"/>
                <w:szCs w:val="10"/>
                <w:b w:val="1"/>
                <w:bCs w:val="1"/>
                <w:color w:val="auto"/>
                <w:w w:val="98"/>
              </w:rPr>
              <w:t>2024</w:t>
            </w:r>
          </w:p>
        </w:tc>
      </w:tr>
      <w:tr>
        <w:trPr>
          <w:trHeight w:val="197"/>
        </w:trPr>
        <w:tc>
          <w:tcPr>
            <w:tcW w:w="970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Estimated uninsured time deposits by schedule of maturities</w:t>
            </w:r>
          </w:p>
        </w:tc>
        <w:tc>
          <w:tcPr>
            <w:tcW w:w="240" w:type="dxa"/>
            <w:vAlign w:val="bottom"/>
            <w:shd w:val="clear" w:color="auto" w:fill="E0E7ED"/>
          </w:tcPr>
          <w:p>
            <w:pPr>
              <w:spacing w:after="0"/>
              <w:rPr>
                <w:sz w:val="17"/>
                <w:szCs w:val="17"/>
                <w:color w:val="auto"/>
              </w:rPr>
            </w:pPr>
          </w:p>
        </w:tc>
        <w:tc>
          <w:tcPr>
            <w:tcW w:w="1340" w:type="dxa"/>
            <w:vAlign w:val="bottom"/>
            <w:shd w:val="clear" w:color="auto" w:fill="E0E7ED"/>
          </w:tcPr>
          <w:p>
            <w:pPr>
              <w:spacing w:after="0"/>
              <w:rPr>
                <w:sz w:val="17"/>
                <w:szCs w:val="17"/>
                <w:color w:val="auto"/>
              </w:rPr>
            </w:pPr>
          </w:p>
        </w:tc>
      </w:tr>
      <w:tr>
        <w:trPr>
          <w:trHeight w:val="207"/>
        </w:trPr>
        <w:tc>
          <w:tcPr>
            <w:tcW w:w="9700" w:type="dxa"/>
            <w:vAlign w:val="bottom"/>
            <w:gridSpan w:val="2"/>
          </w:tcPr>
          <w:p>
            <w:pPr>
              <w:ind w:left="140"/>
              <w:spacing w:after="0"/>
              <w:rPr>
                <w:sz w:val="20"/>
                <w:szCs w:val="20"/>
                <w:color w:val="auto"/>
              </w:rPr>
            </w:pPr>
            <w:r>
              <w:rPr>
                <w:rFonts w:ascii="Verdana" w:cs="Verdana" w:eastAsia="Verdana" w:hAnsi="Verdana"/>
                <w:sz w:val="14"/>
                <w:szCs w:val="14"/>
                <w:color w:val="auto"/>
              </w:rPr>
              <w:t>3 months or less</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1340" w:type="dxa"/>
            <w:vAlign w:val="bottom"/>
          </w:tcPr>
          <w:p>
            <w:pPr>
              <w:jc w:val="right"/>
              <w:spacing w:after="0"/>
              <w:rPr>
                <w:sz w:val="20"/>
                <w:szCs w:val="20"/>
                <w:color w:val="auto"/>
              </w:rPr>
            </w:pPr>
            <w:r>
              <w:rPr>
                <w:rFonts w:ascii="Verdana" w:cs="Verdana" w:eastAsia="Verdana" w:hAnsi="Verdana"/>
                <w:sz w:val="14"/>
                <w:szCs w:val="14"/>
                <w:color w:val="auto"/>
              </w:rPr>
              <w:t>107,163</w:t>
            </w:r>
          </w:p>
        </w:tc>
      </w:tr>
      <w:tr>
        <w:trPr>
          <w:trHeight w:val="218"/>
        </w:trPr>
        <w:tc>
          <w:tcPr>
            <w:tcW w:w="970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Over 3 months through 6 months</w:t>
            </w:r>
          </w:p>
        </w:tc>
        <w:tc>
          <w:tcPr>
            <w:tcW w:w="240" w:type="dxa"/>
            <w:vAlign w:val="bottom"/>
            <w:shd w:val="clear" w:color="auto" w:fill="E0E7ED"/>
          </w:tcPr>
          <w:p>
            <w:pPr>
              <w:spacing w:after="0"/>
              <w:rPr>
                <w:sz w:val="18"/>
                <w:szCs w:val="18"/>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86,546</w:t>
            </w:r>
          </w:p>
        </w:tc>
      </w:tr>
      <w:tr>
        <w:trPr>
          <w:trHeight w:val="207"/>
        </w:trPr>
        <w:tc>
          <w:tcPr>
            <w:tcW w:w="9700" w:type="dxa"/>
            <w:vAlign w:val="bottom"/>
            <w:gridSpan w:val="2"/>
          </w:tcPr>
          <w:p>
            <w:pPr>
              <w:ind w:left="140"/>
              <w:spacing w:after="0"/>
              <w:rPr>
                <w:sz w:val="20"/>
                <w:szCs w:val="20"/>
                <w:color w:val="auto"/>
              </w:rPr>
            </w:pPr>
            <w:r>
              <w:rPr>
                <w:rFonts w:ascii="Verdana" w:cs="Verdana" w:eastAsia="Verdana" w:hAnsi="Verdana"/>
                <w:sz w:val="14"/>
                <w:szCs w:val="14"/>
                <w:color w:val="auto"/>
              </w:rPr>
              <w:t>Over 6 months through 12 months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Verdana" w:cs="Verdana" w:eastAsia="Verdana" w:hAnsi="Verdana"/>
                <w:sz w:val="14"/>
                <w:szCs w:val="14"/>
                <w:color w:val="auto"/>
              </w:rPr>
              <w:t>84,104</w:t>
            </w:r>
          </w:p>
        </w:tc>
      </w:tr>
      <w:tr>
        <w:trPr>
          <w:trHeight w:val="212"/>
        </w:trPr>
        <w:tc>
          <w:tcPr>
            <w:tcW w:w="970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Thereafter</w:t>
            </w:r>
          </w:p>
        </w:tc>
        <w:tc>
          <w:tcPr>
            <w:tcW w:w="240" w:type="dxa"/>
            <w:vAlign w:val="bottom"/>
            <w:tcBorders>
              <w:bottom w:val="single" w:sz="8" w:color="auto"/>
            </w:tcBorders>
            <w:shd w:val="clear" w:color="auto" w:fill="E0E7ED"/>
          </w:tcPr>
          <w:p>
            <w:pPr>
              <w:spacing w:after="0"/>
              <w:rPr>
                <w:sz w:val="18"/>
                <w:szCs w:val="18"/>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8,615</w:t>
            </w:r>
          </w:p>
        </w:tc>
      </w:tr>
      <w:tr>
        <w:trPr>
          <w:trHeight w:val="208"/>
        </w:trPr>
        <w:tc>
          <w:tcPr>
            <w:tcW w:w="9700" w:type="dxa"/>
            <w:vAlign w:val="bottom"/>
            <w:gridSpan w:val="2"/>
          </w:tcPr>
          <w:p>
            <w:pPr>
              <w:ind w:left="20"/>
              <w:spacing w:after="0"/>
              <w:rPr>
                <w:sz w:val="20"/>
                <w:szCs w:val="20"/>
                <w:color w:val="auto"/>
              </w:rPr>
            </w:pPr>
            <w:r>
              <w:rPr>
                <w:rFonts w:ascii="Verdana" w:cs="Verdana" w:eastAsia="Verdana" w:hAnsi="Verdana"/>
                <w:sz w:val="14"/>
                <w:szCs w:val="14"/>
                <w:color w:val="auto"/>
              </w:rPr>
              <w:t>Uninsured time deposits</w:t>
            </w: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286,428</w:t>
            </w:r>
          </w:p>
        </w:tc>
      </w:tr>
      <w:tr>
        <w:trPr>
          <w:trHeight w:val="20"/>
        </w:trPr>
        <w:tc>
          <w:tcPr>
            <w:tcW w:w="21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5"/>
        </w:trPr>
        <w:tc>
          <w:tcPr>
            <w:tcW w:w="2120" w:type="dxa"/>
            <w:vAlign w:val="bottom"/>
            <w:tcBorders>
              <w:bottom w:val="single" w:sz="8" w:color="auto"/>
            </w:tcBorders>
          </w:tcPr>
          <w:p>
            <w:pPr>
              <w:spacing w:after="0"/>
              <w:rPr>
                <w:sz w:val="16"/>
                <w:szCs w:val="16"/>
                <w:color w:val="auto"/>
              </w:rPr>
            </w:pPr>
          </w:p>
        </w:tc>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187" w:lineRule="exact"/>
        <w:rPr>
          <w:sz w:val="20"/>
          <w:szCs w:val="20"/>
          <w:color w:val="auto"/>
        </w:rPr>
      </w:pPr>
    </w:p>
    <w:p>
      <w:pPr>
        <w:ind w:left="140" w:hanging="135"/>
        <w:spacing w:after="0"/>
        <w:tabs>
          <w:tab w:leader="none" w:pos="121" w:val="left"/>
        </w:tabs>
        <w:numPr>
          <w:ilvl w:val="0"/>
          <w:numId w:val="29"/>
        </w:numPr>
        <w:rPr>
          <w:rFonts w:ascii="Verdana" w:cs="Verdana" w:eastAsia="Verdana" w:hAnsi="Verdana"/>
          <w:sz w:val="17"/>
          <w:szCs w:val="17"/>
          <w:color w:val="auto"/>
          <w:vertAlign w:val="superscript"/>
        </w:rPr>
      </w:pPr>
      <w:r>
        <w:rPr>
          <w:rFonts w:ascii="Verdana" w:cs="Verdana" w:eastAsia="Verdana" w:hAnsi="Verdana"/>
          <w:sz w:val="9"/>
          <w:szCs w:val="9"/>
          <w:color w:val="auto"/>
        </w:rPr>
        <w:t xml:space="preserve">Core deposits is a non-GAAP financial measure. For a reconciliation of non-GAAP measures to the most directly comparable GAAP financial measures, see </w:t>
      </w:r>
      <w:r>
        <w:rPr>
          <w:rFonts w:ascii="Verdana" w:cs="Verdana" w:eastAsia="Verdana" w:hAnsi="Verdana"/>
          <w:sz w:val="9"/>
          <w:szCs w:val="9"/>
          <w:i w:val="1"/>
          <w:iCs w:val="1"/>
          <w:color w:val="auto"/>
        </w:rPr>
        <w:t>“</w:t>
      </w:r>
      <w:r>
        <w:rPr>
          <w:rFonts w:ascii="Verdana" w:cs="Verdana" w:eastAsia="Verdana" w:hAnsi="Verdana"/>
          <w:sz w:val="9"/>
          <w:szCs w:val="9"/>
          <w:i w:val="1"/>
          <w:iCs w:val="1"/>
          <w:u w:val="single" w:color="auto"/>
          <w:color w:val="0000FF"/>
        </w:rPr>
        <w:t>Item 1. Business—Non-GAAP Financial Information</w:t>
      </w:r>
      <w:r>
        <w:rPr>
          <w:rFonts w:ascii="Verdana" w:cs="Verdana" w:eastAsia="Verdana" w:hAnsi="Verdana"/>
          <w:sz w:val="9"/>
          <w:szCs w:val="9"/>
          <w:i w:val="1"/>
          <w:iCs w:val="1"/>
          <w:color w:val="auto"/>
        </w:rPr>
        <w:t>”</w:t>
      </w:r>
      <w:r>
        <w:rPr>
          <w:rFonts w:ascii="Verdana" w:cs="Verdana" w:eastAsia="Verdana" w:hAnsi="Verdana"/>
          <w:sz w:val="9"/>
          <w:szCs w:val="9"/>
          <w:color w:val="auto"/>
        </w:rPr>
        <w:t xml:space="preserve"> included in this Annual Report.</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79" w:name="page80"/>
    <w:bookmarkEnd w:id="7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Borrowings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Term Loan</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May 28, 2021, Busey entered into a Second Amended and Restated Credit Agreement, pursuant to which it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annual interest rate for the loans was established at 1.80% plus the one-month forward-looking term rate based on SOFR. The agreement has subsequently been amended twice to extend the termination date for the revolving line of credit, which is currently April 30, 2025.</w:t>
      </w:r>
    </w:p>
    <w:p>
      <w:pPr>
        <w:spacing w:after="0" w:line="13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During the first quarter of 2024, Busey paid the full $30.0 million balance remaining on the Term Loan, at which time the Term Loan carried interest at a rate of 7.13%. As of December 31, 2024, there was no balance outstanding on the revolving credit facility. The revolving credit facility incurs a non-usage fee based on any undrawn amounts.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Short-term Borrowings and Securities Sold Under Agreements to Repurchase</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Short-term borrowings include FHLB advances that mature in less than one year from the date of origination, and the current portion of long-term debt due within 12 months. Securities sold under agreements to repurchase, which are classified as secured borrowings, generally mature daily.</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0" w:name="page81"/>
    <w:bookmarkEnd w:id="8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following table sets forth the distribution of short-term borrowings and securities sold under agreements to repurchase, as well as the weighted average interest rates thereon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ind w:left="20"/>
              <w:spacing w:after="0"/>
              <w:rPr>
                <w:sz w:val="20"/>
                <w:szCs w:val="20"/>
                <w:color w:val="auto"/>
              </w:rPr>
            </w:pPr>
            <w:r>
              <w:rPr>
                <w:rFonts w:ascii="Verdana" w:cs="Verdana" w:eastAsia="Verdana" w:hAnsi="Verdana"/>
                <w:sz w:val="10"/>
                <w:szCs w:val="10"/>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31"/>
        </w:trPr>
        <w:tc>
          <w:tcPr>
            <w:tcW w:w="604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1"/>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0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Securities sold under agreements to repurchase</w:t>
            </w:r>
          </w:p>
        </w:tc>
        <w:tc>
          <w:tcPr>
            <w:tcW w:w="4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6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Balance at end of period</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155,610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600" w:type="dxa"/>
            <w:vAlign w:val="bottom"/>
          </w:tcPr>
          <w:p>
            <w:pPr>
              <w:jc w:val="right"/>
              <w:ind w:right="152"/>
              <w:spacing w:after="0"/>
              <w:rPr>
                <w:sz w:val="20"/>
                <w:szCs w:val="20"/>
                <w:color w:val="auto"/>
              </w:rPr>
            </w:pPr>
            <w:r>
              <w:rPr>
                <w:rFonts w:ascii="Verdana" w:cs="Verdana" w:eastAsia="Verdana" w:hAnsi="Verdana"/>
                <w:sz w:val="14"/>
                <w:szCs w:val="14"/>
                <w:color w:val="auto"/>
              </w:rPr>
              <w:t>187,396</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229,806</w:t>
            </w: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interest rate at end of period</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2.63 %</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1.91 %</w:t>
            </w: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Maximum outstanding at any month end in year-to-date period</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214,567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600" w:type="dxa"/>
            <w:vAlign w:val="bottom"/>
          </w:tcPr>
          <w:p>
            <w:pPr>
              <w:jc w:val="right"/>
              <w:ind w:right="152"/>
              <w:spacing w:after="0"/>
              <w:rPr>
                <w:sz w:val="20"/>
                <w:szCs w:val="20"/>
                <w:color w:val="auto"/>
              </w:rPr>
            </w:pPr>
            <w:r>
              <w:rPr>
                <w:rFonts w:ascii="Verdana" w:cs="Verdana" w:eastAsia="Verdana" w:hAnsi="Verdana"/>
                <w:sz w:val="14"/>
                <w:szCs w:val="14"/>
                <w:color w:val="auto"/>
              </w:rPr>
              <w:t>248,850</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283,664</w:t>
            </w: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Average daily balance for the year-to-date period</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147,588</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200,702</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243,690</w:t>
            </w:r>
          </w:p>
        </w:tc>
      </w:tr>
      <w:tr>
        <w:trPr>
          <w:trHeight w:val="212"/>
        </w:trPr>
        <w:tc>
          <w:tcPr>
            <w:tcW w:w="6040" w:type="dxa"/>
            <w:vAlign w:val="bottom"/>
          </w:tcPr>
          <w:p>
            <w:pPr>
              <w:ind w:left="140"/>
              <w:spacing w:after="0" w:line="212" w:lineRule="exact"/>
              <w:rPr>
                <w:sz w:val="20"/>
                <w:szCs w:val="20"/>
                <w:color w:val="auto"/>
              </w:rPr>
            </w:pPr>
            <w:r>
              <w:rPr>
                <w:rFonts w:ascii="Verdana" w:cs="Verdana" w:eastAsia="Verdana" w:hAnsi="Verdana"/>
                <w:sz w:val="14"/>
                <w:szCs w:val="14"/>
                <w:color w:val="auto"/>
              </w:rPr>
              <w:t>Weighted average interest rate during period</w:t>
            </w:r>
            <w:r>
              <w:rPr>
                <w:rFonts w:ascii="Verdana" w:cs="Verdana" w:eastAsia="Verdana" w:hAnsi="Verdana"/>
                <w:sz w:val="18"/>
                <w:szCs w:val="18"/>
                <w:color w:val="auto"/>
                <w:vertAlign w:val="superscript"/>
              </w:rPr>
              <w:t>1</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2.91 %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Verdana" w:cs="Verdana" w:eastAsia="Verdana" w:hAnsi="Verdana"/>
                <w:sz w:val="14"/>
                <w:szCs w:val="14"/>
                <w:color w:val="auto"/>
              </w:rPr>
              <w:t>2.58 %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0.60 %</w:t>
            </w:r>
          </w:p>
        </w:tc>
      </w:tr>
      <w:tr>
        <w:trPr>
          <w:trHeight w:val="212"/>
        </w:trPr>
        <w:tc>
          <w:tcPr>
            <w:tcW w:w="604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r>
      <w:tr>
        <w:trPr>
          <w:trHeight w:val="207"/>
        </w:trPr>
        <w:tc>
          <w:tcPr>
            <w:tcW w:w="6040" w:type="dxa"/>
            <w:vAlign w:val="bottom"/>
          </w:tcPr>
          <w:p>
            <w:pPr>
              <w:ind w:left="20"/>
              <w:spacing w:after="0"/>
              <w:rPr>
                <w:sz w:val="20"/>
                <w:szCs w:val="20"/>
                <w:color w:val="auto"/>
              </w:rPr>
            </w:pPr>
            <w:r>
              <w:rPr>
                <w:rFonts w:ascii="Verdana" w:cs="Verdana" w:eastAsia="Verdana" w:hAnsi="Verdana"/>
                <w:sz w:val="14"/>
                <w:szCs w:val="14"/>
                <w:b w:val="1"/>
                <w:bCs w:val="1"/>
                <w:color w:val="auto"/>
              </w:rPr>
              <w:t>FHLB advances, current portion due within 12 months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Balance at end of period</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36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6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339,054</w:t>
            </w: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Weighted average interest rate at end of period</w:t>
            </w:r>
          </w:p>
        </w:tc>
        <w:tc>
          <w:tcPr>
            <w:tcW w:w="400" w:type="dxa"/>
            <w:vAlign w:val="bottom"/>
          </w:tcPr>
          <w:p>
            <w:pPr>
              <w:spacing w:after="0"/>
              <w:rPr>
                <w:sz w:val="17"/>
                <w:szCs w:val="17"/>
                <w:color w:val="auto"/>
              </w:rPr>
            </w:pPr>
          </w:p>
        </w:tc>
        <w:tc>
          <w:tcPr>
            <w:tcW w:w="1360" w:type="dxa"/>
            <w:vAlign w:val="bottom"/>
            <w:gridSpan w:val="2"/>
          </w:tcPr>
          <w:p>
            <w:pPr>
              <w:ind w:left="920"/>
              <w:spacing w:after="0"/>
              <w:rPr>
                <w:sz w:val="20"/>
                <w:szCs w:val="20"/>
                <w:color w:val="auto"/>
              </w:rPr>
            </w:pPr>
            <w:r>
              <w:rPr>
                <w:rFonts w:ascii="Verdana" w:cs="Verdana" w:eastAsia="Verdana" w:hAnsi="Verdana"/>
                <w:sz w:val="14"/>
                <w:szCs w:val="14"/>
                <w:color w:val="auto"/>
              </w:rPr>
              <w:t>— %</w:t>
            </w:r>
          </w:p>
        </w:tc>
        <w:tc>
          <w:tcPr>
            <w:tcW w:w="100" w:type="dxa"/>
            <w:vAlign w:val="bottom"/>
          </w:tcPr>
          <w:p>
            <w:pPr>
              <w:spacing w:after="0"/>
              <w:rPr>
                <w:sz w:val="17"/>
                <w:szCs w:val="17"/>
                <w:color w:val="auto"/>
              </w:rPr>
            </w:pPr>
          </w:p>
        </w:tc>
        <w:tc>
          <w:tcPr>
            <w:tcW w:w="1680" w:type="dxa"/>
            <w:vAlign w:val="bottom"/>
            <w:gridSpan w:val="2"/>
          </w:tcPr>
          <w:p>
            <w:pPr>
              <w:ind w:left="1240"/>
              <w:spacing w:after="0"/>
              <w:rPr>
                <w:sz w:val="20"/>
                <w:szCs w:val="20"/>
                <w:color w:val="auto"/>
              </w:rPr>
            </w:pPr>
            <w:r>
              <w:rPr>
                <w:rFonts w:ascii="Verdana" w:cs="Verdana" w:eastAsia="Verdana" w:hAnsi="Verdana"/>
                <w:sz w:val="14"/>
                <w:szCs w:val="14"/>
                <w:color w:val="auto"/>
              </w:rPr>
              <w:t>— %</w:t>
            </w: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4.28 %</w:t>
            </w: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Maximum outstanding at any month end in year-to-date period</w:t>
            </w:r>
          </w:p>
        </w:tc>
        <w:tc>
          <w:tcPr>
            <w:tcW w:w="400" w:type="dxa"/>
            <w:vAlign w:val="bottom"/>
            <w:shd w:val="clear" w:color="auto" w:fill="E0E7ED"/>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24,100</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6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603,881</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339,054</w:t>
            </w: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Average daily balance for the year-to-date period</w:t>
            </w:r>
          </w:p>
        </w:tc>
        <w:tc>
          <w:tcPr>
            <w:tcW w:w="400" w:type="dxa"/>
            <w:vAlign w:val="bottom"/>
          </w:tcPr>
          <w:p>
            <w:pPr>
              <w:spacing w:after="0"/>
              <w:rPr>
                <w:sz w:val="17"/>
                <w:szCs w:val="17"/>
                <w:color w:val="auto"/>
              </w:rPr>
            </w:pP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7,018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152"/>
              <w:spacing w:after="0"/>
              <w:rPr>
                <w:sz w:val="20"/>
                <w:szCs w:val="20"/>
                <w:color w:val="auto"/>
              </w:rPr>
            </w:pPr>
            <w:r>
              <w:rPr>
                <w:rFonts w:ascii="Verdana" w:cs="Verdana" w:eastAsia="Verdana" w:hAnsi="Verdana"/>
                <w:sz w:val="14"/>
                <w:szCs w:val="14"/>
                <w:color w:val="auto"/>
              </w:rPr>
              <w:t>241,382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25,845</w:t>
            </w:r>
          </w:p>
        </w:tc>
      </w:tr>
      <w:tr>
        <w:trPr>
          <w:trHeight w:val="218"/>
        </w:trPr>
        <w:tc>
          <w:tcPr>
            <w:tcW w:w="6040" w:type="dxa"/>
            <w:vAlign w:val="bottom"/>
            <w:shd w:val="clear" w:color="auto" w:fill="E0E7ED"/>
          </w:tcPr>
          <w:p>
            <w:pPr>
              <w:ind w:left="140"/>
              <w:spacing w:after="0" w:line="217" w:lineRule="exact"/>
              <w:rPr>
                <w:sz w:val="20"/>
                <w:szCs w:val="20"/>
                <w:color w:val="auto"/>
              </w:rPr>
            </w:pPr>
            <w:r>
              <w:rPr>
                <w:rFonts w:ascii="Verdana" w:cs="Verdana" w:eastAsia="Verdana" w:hAnsi="Verdana"/>
                <w:sz w:val="14"/>
                <w:szCs w:val="14"/>
                <w:color w:val="auto"/>
              </w:rPr>
              <w:t>Weighted average interest rate during period</w:t>
            </w:r>
            <w:r>
              <w:rPr>
                <w:rFonts w:ascii="Verdana" w:cs="Verdana" w:eastAsia="Verdana" w:hAnsi="Verdana"/>
                <w:sz w:val="18"/>
                <w:szCs w:val="18"/>
                <w:color w:val="auto"/>
                <w:vertAlign w:val="superscript"/>
              </w:rPr>
              <w:t>1</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5.54 %</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4.90 %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4.28 %</w:t>
            </w:r>
          </w:p>
        </w:tc>
      </w:tr>
      <w:tr>
        <w:trPr>
          <w:trHeight w:val="212"/>
        </w:trPr>
        <w:tc>
          <w:tcPr>
            <w:tcW w:w="6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60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Term Loan, current portion due within 12 months</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spacing w:after="0"/>
              <w:rPr>
                <w:sz w:val="18"/>
                <w:szCs w:val="18"/>
                <w:color w:val="auto"/>
              </w:rPr>
            </w:pP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Balance at end of period</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36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10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600" w:type="dxa"/>
            <w:vAlign w:val="bottom"/>
          </w:tcPr>
          <w:p>
            <w:pPr>
              <w:jc w:val="right"/>
              <w:ind w:right="152"/>
              <w:spacing w:after="0"/>
              <w:rPr>
                <w:sz w:val="20"/>
                <w:szCs w:val="20"/>
                <w:color w:val="auto"/>
              </w:rPr>
            </w:pPr>
            <w:r>
              <w:rPr>
                <w:rFonts w:ascii="Verdana" w:cs="Verdana" w:eastAsia="Verdana" w:hAnsi="Verdana"/>
                <w:sz w:val="14"/>
                <w:szCs w:val="14"/>
                <w:color w:val="auto"/>
              </w:rPr>
              <w:t>12,000</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12,000</w:t>
            </w: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interest rate at end of period</w:t>
            </w:r>
          </w:p>
        </w:tc>
        <w:tc>
          <w:tcPr>
            <w:tcW w:w="400" w:type="dxa"/>
            <w:vAlign w:val="bottom"/>
            <w:shd w:val="clear" w:color="auto" w:fill="E0E7ED"/>
          </w:tcPr>
          <w:p>
            <w:pPr>
              <w:spacing w:after="0"/>
              <w:rPr>
                <w:sz w:val="18"/>
                <w:szCs w:val="18"/>
                <w:color w:val="auto"/>
              </w:rPr>
            </w:pPr>
          </w:p>
        </w:tc>
        <w:tc>
          <w:tcPr>
            <w:tcW w:w="1360" w:type="dxa"/>
            <w:vAlign w:val="bottom"/>
            <w:gridSpan w:val="2"/>
            <w:shd w:val="clear" w:color="auto" w:fill="E0E7ED"/>
          </w:tcPr>
          <w:p>
            <w:pPr>
              <w:ind w:left="920"/>
              <w:spacing w:after="0"/>
              <w:rPr>
                <w:sz w:val="20"/>
                <w:szCs w:val="20"/>
                <w:color w:val="auto"/>
              </w:rPr>
            </w:pPr>
            <w:r>
              <w:rPr>
                <w:rFonts w:ascii="Verdana" w:cs="Verdana" w:eastAsia="Verdana" w:hAnsi="Verdana"/>
                <w:sz w:val="14"/>
                <w:szCs w:val="14"/>
                <w:color w:val="auto"/>
              </w:rPr>
              <w:t>— %</w:t>
            </w: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7.14 %</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5.92 %</w:t>
            </w:r>
          </w:p>
        </w:tc>
      </w:tr>
      <w:tr>
        <w:trPr>
          <w:trHeight w:val="207"/>
        </w:trPr>
        <w:tc>
          <w:tcPr>
            <w:tcW w:w="6040" w:type="dxa"/>
            <w:vAlign w:val="bottom"/>
          </w:tcPr>
          <w:p>
            <w:pPr>
              <w:ind w:left="140"/>
              <w:spacing w:after="0"/>
              <w:rPr>
                <w:sz w:val="20"/>
                <w:szCs w:val="20"/>
                <w:color w:val="auto"/>
              </w:rPr>
            </w:pPr>
            <w:r>
              <w:rPr>
                <w:rFonts w:ascii="Verdana" w:cs="Verdana" w:eastAsia="Verdana" w:hAnsi="Verdana"/>
                <w:sz w:val="14"/>
                <w:szCs w:val="14"/>
                <w:color w:val="auto"/>
              </w:rPr>
              <w:t>Maximum outstanding at any month end in year-to-date period</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12,000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600" w:type="dxa"/>
            <w:vAlign w:val="bottom"/>
          </w:tcPr>
          <w:p>
            <w:pPr>
              <w:jc w:val="right"/>
              <w:ind w:right="152"/>
              <w:spacing w:after="0"/>
              <w:rPr>
                <w:sz w:val="20"/>
                <w:szCs w:val="20"/>
                <w:color w:val="auto"/>
              </w:rPr>
            </w:pPr>
            <w:r>
              <w:rPr>
                <w:rFonts w:ascii="Verdana" w:cs="Verdana" w:eastAsia="Verdana" w:hAnsi="Verdana"/>
                <w:sz w:val="14"/>
                <w:szCs w:val="14"/>
                <w:color w:val="auto"/>
              </w:rPr>
              <w:t>12,000</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1"/>
              <w:spacing w:after="0"/>
              <w:rPr>
                <w:sz w:val="20"/>
                <w:szCs w:val="20"/>
                <w:color w:val="auto"/>
              </w:rPr>
            </w:pPr>
            <w:r>
              <w:rPr>
                <w:rFonts w:ascii="Verdana" w:cs="Verdana" w:eastAsia="Verdana" w:hAnsi="Verdana"/>
                <w:sz w:val="14"/>
                <w:szCs w:val="14"/>
                <w:color w:val="auto"/>
              </w:rPr>
              <w:t>12,000</w:t>
            </w:r>
          </w:p>
        </w:tc>
      </w:tr>
      <w:tr>
        <w:trPr>
          <w:trHeight w:val="218"/>
        </w:trPr>
        <w:tc>
          <w:tcPr>
            <w:tcW w:w="60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Average daily balance for the year-to-date period</w:t>
            </w:r>
          </w:p>
        </w:tc>
        <w:tc>
          <w:tcPr>
            <w:tcW w:w="40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2,853</w:t>
            </w:r>
          </w:p>
        </w:tc>
        <w:tc>
          <w:tcPr>
            <w:tcW w:w="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0" w:type="dxa"/>
            <w:vAlign w:val="bottom"/>
            <w:shd w:val="clear" w:color="auto" w:fill="E0E7ED"/>
          </w:tcPr>
          <w:p>
            <w:pPr>
              <w:jc w:val="right"/>
              <w:ind w:right="152"/>
              <w:spacing w:after="0"/>
              <w:rPr>
                <w:sz w:val="20"/>
                <w:szCs w:val="20"/>
                <w:color w:val="auto"/>
              </w:rPr>
            </w:pPr>
            <w:r>
              <w:rPr>
                <w:rFonts w:ascii="Verdana" w:cs="Verdana" w:eastAsia="Verdana" w:hAnsi="Verdana"/>
                <w:sz w:val="14"/>
                <w:szCs w:val="14"/>
                <w:color w:val="auto"/>
              </w:rPr>
              <w:t>12,000</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12,000</w:t>
            </w:r>
          </w:p>
        </w:tc>
      </w:tr>
      <w:tr>
        <w:trPr>
          <w:trHeight w:val="271"/>
        </w:trPr>
        <w:tc>
          <w:tcPr>
            <w:tcW w:w="6040" w:type="dxa"/>
            <w:vAlign w:val="bottom"/>
          </w:tcPr>
          <w:p>
            <w:pPr>
              <w:ind w:left="140"/>
              <w:spacing w:after="0"/>
              <w:rPr>
                <w:sz w:val="20"/>
                <w:szCs w:val="20"/>
                <w:color w:val="auto"/>
              </w:rPr>
            </w:pPr>
            <w:r>
              <w:rPr>
                <w:rFonts w:ascii="Verdana" w:cs="Verdana" w:eastAsia="Verdana" w:hAnsi="Verdana"/>
                <w:sz w:val="14"/>
                <w:szCs w:val="14"/>
                <w:color w:val="auto"/>
              </w:rPr>
              <w:t>Weighted average interest rate during period</w:t>
            </w:r>
            <w:r>
              <w:rPr>
                <w:rFonts w:ascii="Verdana" w:cs="Verdana" w:eastAsia="Verdana" w:hAnsi="Verdana"/>
                <w:sz w:val="18"/>
                <w:szCs w:val="18"/>
                <w:color w:val="auto"/>
                <w:vertAlign w:val="superscript"/>
              </w:rPr>
              <w:t>1</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7.26 %</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Verdana" w:cs="Verdana" w:eastAsia="Verdana" w:hAnsi="Verdana"/>
                <w:sz w:val="14"/>
                <w:szCs w:val="14"/>
                <w:color w:val="auto"/>
              </w:rPr>
              <w:t>6.88 %</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3.55 %</w:t>
            </w:r>
          </w:p>
        </w:tc>
      </w:tr>
    </w:tbl>
    <w:p>
      <w:pPr>
        <w:spacing w:after="0" w:line="7"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30"/>
        </w:numPr>
        <w:rPr>
          <w:rFonts w:ascii="Verdana" w:cs="Verdana" w:eastAsia="Verdana" w:hAnsi="Verdana"/>
          <w:sz w:val="10"/>
          <w:szCs w:val="10"/>
          <w:color w:val="auto"/>
        </w:rPr>
      </w:pPr>
      <w:r>
        <w:rPr>
          <w:rFonts w:ascii="Verdana" w:cs="Verdana" w:eastAsia="Verdana" w:hAnsi="Verdana"/>
          <w:sz w:val="10"/>
          <w:szCs w:val="10"/>
          <w:color w:val="auto"/>
        </w:rPr>
        <w:t>The weighted average interest rate is computed by dividing total interest for the period by the average daily balance outstanding.</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Subordinated Notes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1" w:name="page82"/>
    <w:bookmarkEnd w:id="8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expected to be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123"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Associated with the M&amp;M acquisition completed on April 1, 2024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 Mergers and Acquisitions</w:t>
      </w:r>
      <w:r>
        <w:rPr>
          <w:rFonts w:ascii="Verdana" w:cs="Verdana" w:eastAsia="Verdana" w:hAnsi="Verdana"/>
          <w:sz w:val="14"/>
          <w:szCs w:val="14"/>
          <w:i w:val="1"/>
          <w:iCs w:val="1"/>
          <w:color w:val="auto"/>
        </w:rPr>
        <w:t>”</w:t>
      </w:r>
      <w:r>
        <w:rPr>
          <w:rFonts w:ascii="Verdana" w:cs="Verdana" w:eastAsia="Verdana" w:hAnsi="Verdana"/>
          <w:sz w:val="14"/>
          <w:szCs w:val="14"/>
          <w:color w:val="auto"/>
        </w:rPr>
        <w:t>), Busey acquired $4.0 million of 5.25% fixed-to-floating rate subordinated notes maturing December 4, 2030, which qualify as Tier 2 capital for regulatory purposes. Interest on the subordinated notes accrues at a rate equal to (1) 5.25% per annum from the original issue date to December 4, 2025, and (2) a floating rate per annum equal to a benchmark rate, which is expected to be the Three-Month Term SOFR (as defined in the subordinated notes), plus a spread of 497 bps from December 4, 2025. The subordinated notes have an optional redemption, in whole or in part, on or after December 4, 2025. At December 31, 2024, there was $0.1 million of fair value discount outstanding, to be accreted through the earliest optional redemption date.</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Unamortized debt issuance costs related to subordinated notes are presented in the following table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Unamortized debt issuance costs</w:t>
            </w:r>
          </w:p>
        </w:tc>
        <w:tc>
          <w:tcPr>
            <w:tcW w:w="100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jc w:val="center"/>
              <w:ind w:right="5189"/>
              <w:spacing w:after="0"/>
              <w:rPr>
                <w:sz w:val="20"/>
                <w:szCs w:val="20"/>
                <w:color w:val="auto"/>
              </w:rPr>
            </w:pPr>
            <w:r>
              <w:rPr>
                <w:rFonts w:ascii="Verdana" w:cs="Verdana" w:eastAsia="Verdana" w:hAnsi="Verdana"/>
                <w:sz w:val="14"/>
                <w:szCs w:val="14"/>
                <w:color w:val="auto"/>
              </w:rPr>
              <w:t>Subordinated notes issued in 2020</w:t>
            </w:r>
          </w:p>
        </w:tc>
        <w:tc>
          <w:tcPr>
            <w:tcW w:w="1000" w:type="dxa"/>
            <w:vAlign w:val="bottom"/>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222</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735</w:t>
            </w:r>
          </w:p>
        </w:tc>
      </w:tr>
      <w:tr>
        <w:trPr>
          <w:trHeight w:val="212"/>
        </w:trPr>
        <w:tc>
          <w:tcPr>
            <w:tcW w:w="8020" w:type="dxa"/>
            <w:vAlign w:val="bottom"/>
            <w:shd w:val="clear" w:color="auto" w:fill="E0E7ED"/>
          </w:tcPr>
          <w:p>
            <w:pPr>
              <w:jc w:val="center"/>
              <w:ind w:right="5189"/>
              <w:spacing w:after="0"/>
              <w:rPr>
                <w:sz w:val="20"/>
                <w:szCs w:val="20"/>
                <w:color w:val="auto"/>
              </w:rPr>
            </w:pPr>
            <w:r>
              <w:rPr>
                <w:rFonts w:ascii="Verdana" w:cs="Verdana" w:eastAsia="Verdana" w:hAnsi="Verdana"/>
                <w:sz w:val="14"/>
                <w:szCs w:val="14"/>
                <w:color w:val="auto"/>
              </w:rPr>
              <w:t>Subordinated notes issued in 2022</w:t>
            </w:r>
          </w:p>
        </w:tc>
        <w:tc>
          <w:tcPr>
            <w:tcW w:w="1000" w:type="dxa"/>
            <w:vAlign w:val="bottom"/>
            <w:tcBorders>
              <w:bottom w:val="single" w:sz="8" w:color="auto"/>
            </w:tcBorders>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1,004</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1,383</w:t>
            </w:r>
          </w:p>
        </w:tc>
      </w:tr>
      <w:tr>
        <w:trPr>
          <w:trHeight w:val="208"/>
        </w:trPr>
        <w:tc>
          <w:tcPr>
            <w:tcW w:w="8020" w:type="dxa"/>
            <w:vAlign w:val="bottom"/>
          </w:tcPr>
          <w:p>
            <w:pPr>
              <w:jc w:val="center"/>
              <w:ind w:right="5209"/>
              <w:spacing w:after="0"/>
              <w:rPr>
                <w:sz w:val="20"/>
                <w:szCs w:val="20"/>
                <w:color w:val="auto"/>
              </w:rPr>
            </w:pPr>
            <w:r>
              <w:rPr>
                <w:rFonts w:ascii="Verdana" w:cs="Verdana" w:eastAsia="Verdana" w:hAnsi="Verdana"/>
                <w:sz w:val="14"/>
                <w:szCs w:val="14"/>
                <w:color w:val="auto"/>
                <w:w w:val="99"/>
              </w:rPr>
              <w:t>Total unamortized debt issuance costs</w:t>
            </w:r>
          </w:p>
        </w:tc>
        <w:tc>
          <w:tcPr>
            <w:tcW w:w="1000" w:type="dxa"/>
            <w:vAlign w:val="bottom"/>
            <w:tcBorders>
              <w:bottom w:val="single" w:sz="8" w:color="auto"/>
            </w:tcBorders>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1,226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2,118</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Junior Subordinated Debt Owed to Unconsolidated Trusts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Busey maintains statutory trusts for the sole purpose of issuing and servicing trust preferred securities and related trust common securities. Proceeds from such issuances were used by the trusts to purchase junior subordinated notes of Busey, which are the sole assets of each trust. Concurrent with the issuance of the trust preferred securities, Busey issued guarantees for the benefit of the holders of the trust preferred securities. The trust preferred securities are instruments that qualify, and are treated, as Tier 1 regulatory capital.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Busey had $74.8 million and $72.0 million of junior subordinated debt owed to unconsolidated trusts at December 31, 2024, and 2023, respectively. In connection with its acquisitions of Pulaski Financial Corp. in 2016 and M&amp;M in 2024, Busey has acquired similar statutory trusts and the fair value adjustment is being accreted over their weighted average remaining lives, with a balance remaining to be accreted of $2.9 million and $2.6 million at December 31, 2024, and 2023, respectively.</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2" w:name="page83"/>
    <w:bookmarkEnd w:id="8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Liquidity</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Liquidity management is the process by which Busey ensures that adequate liquid funds are available to meet the present and future cash flow obligations arising in the daily operations of its business. These financial obligations consist of needs for funds to meet commitments to borrowers for extensions of credit, fund capital expenditures, honor withdrawals by customers, pay dividends to stockholders, and pay operating expenses. Busey’s most liquid assets are cash and due from banks, interest-bearing bank deposits, and federal funds sold. Balances of these assets are dependent on Busey’s operating, investing, lending, and financing activities during any given period.</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Average liquid assets are summarized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ind w:left="100"/>
              <w:spacing w:after="0"/>
              <w:rPr>
                <w:sz w:val="20"/>
                <w:szCs w:val="20"/>
                <w:color w:val="auto"/>
              </w:rPr>
            </w:pPr>
            <w:r>
              <w:rPr>
                <w:rFonts w:ascii="Verdana" w:cs="Verdana" w:eastAsia="Verdana" w:hAnsi="Verdana"/>
                <w:sz w:val="10"/>
                <w:szCs w:val="10"/>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31"/>
        </w:trPr>
        <w:tc>
          <w:tcPr>
            <w:tcW w:w="602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34"/>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Average liquid assets</w:t>
            </w:r>
          </w:p>
        </w:tc>
        <w:tc>
          <w:tcPr>
            <w:tcW w:w="40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40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r>
      <w:tr>
        <w:trPr>
          <w:trHeight w:val="207"/>
        </w:trPr>
        <w:tc>
          <w:tcPr>
            <w:tcW w:w="6020" w:type="dxa"/>
            <w:vAlign w:val="bottom"/>
          </w:tcPr>
          <w:p>
            <w:pPr>
              <w:ind w:left="140"/>
              <w:spacing w:after="0"/>
              <w:rPr>
                <w:sz w:val="20"/>
                <w:szCs w:val="20"/>
                <w:color w:val="auto"/>
              </w:rPr>
            </w:pPr>
            <w:r>
              <w:rPr>
                <w:rFonts w:ascii="Verdana" w:cs="Verdana" w:eastAsia="Verdana" w:hAnsi="Verdana"/>
                <w:sz w:val="14"/>
                <w:szCs w:val="14"/>
                <w:color w:val="auto"/>
              </w:rPr>
              <w:t>Cash and due from banks</w:t>
            </w:r>
          </w:p>
        </w:tc>
        <w:tc>
          <w:tcPr>
            <w:tcW w:w="400" w:type="dxa"/>
            <w:vAlign w:val="bottom"/>
          </w:tcPr>
          <w:p>
            <w:pPr>
              <w:jc w:val="right"/>
              <w:ind w:right="22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4"/>
              <w:spacing w:after="0"/>
              <w:rPr>
                <w:sz w:val="20"/>
                <w:szCs w:val="20"/>
                <w:color w:val="auto"/>
              </w:rPr>
            </w:pPr>
            <w:r>
              <w:rPr>
                <w:rFonts w:ascii="Verdana" w:cs="Verdana" w:eastAsia="Verdana" w:hAnsi="Verdana"/>
                <w:sz w:val="14"/>
                <w:szCs w:val="14"/>
                <w:color w:val="auto"/>
              </w:rPr>
              <w:t>109,400</w:t>
            </w:r>
          </w:p>
        </w:tc>
        <w:tc>
          <w:tcPr>
            <w:tcW w:w="80" w:type="dxa"/>
            <w:vAlign w:val="bottom"/>
          </w:tcPr>
          <w:p>
            <w:pPr>
              <w:spacing w:after="0"/>
              <w:rPr>
                <w:sz w:val="17"/>
                <w:szCs w:val="17"/>
                <w:color w:val="auto"/>
              </w:rPr>
            </w:pPr>
          </w:p>
        </w:tc>
        <w:tc>
          <w:tcPr>
            <w:tcW w:w="400" w:type="dxa"/>
            <w:vAlign w:val="bottom"/>
          </w:tcPr>
          <w:p>
            <w:pPr>
              <w:jc w:val="right"/>
              <w:ind w:right="236"/>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4"/>
              <w:spacing w:after="0"/>
              <w:rPr>
                <w:sz w:val="20"/>
                <w:szCs w:val="20"/>
                <w:color w:val="auto"/>
              </w:rPr>
            </w:pPr>
            <w:r>
              <w:rPr>
                <w:rFonts w:ascii="Verdana" w:cs="Verdana" w:eastAsia="Verdana" w:hAnsi="Verdana"/>
                <w:sz w:val="14"/>
                <w:szCs w:val="14"/>
                <w:color w:val="auto"/>
              </w:rPr>
              <w:t>116,530</w:t>
            </w: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ind w:right="154"/>
              <w:spacing w:after="0"/>
              <w:rPr>
                <w:sz w:val="20"/>
                <w:szCs w:val="20"/>
                <w:color w:val="auto"/>
              </w:rPr>
            </w:pPr>
            <w:r>
              <w:rPr>
                <w:rFonts w:ascii="Verdana" w:cs="Verdana" w:eastAsia="Verdana" w:hAnsi="Verdana"/>
                <w:sz w:val="14"/>
                <w:szCs w:val="14"/>
                <w:color w:val="auto"/>
              </w:rPr>
              <w:t>120,910</w:t>
            </w:r>
          </w:p>
        </w:tc>
      </w:tr>
      <w:tr>
        <w:trPr>
          <w:trHeight w:val="212"/>
        </w:trPr>
        <w:tc>
          <w:tcPr>
            <w:tcW w:w="6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Interest-bearing bank deposits</w:t>
            </w:r>
          </w:p>
        </w:tc>
        <w:tc>
          <w:tcPr>
            <w:tcW w:w="4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445,881</w:t>
            </w:r>
          </w:p>
        </w:tc>
        <w:tc>
          <w:tcPr>
            <w:tcW w:w="80" w:type="dxa"/>
            <w:vAlign w:val="bottom"/>
            <w:shd w:val="clear" w:color="auto" w:fill="E0E7ED"/>
          </w:tcPr>
          <w:p>
            <w:pPr>
              <w:spacing w:after="0"/>
              <w:rPr>
                <w:sz w:val="18"/>
                <w:szCs w:val="18"/>
                <w:color w:val="auto"/>
              </w:rPr>
            </w:pPr>
          </w:p>
        </w:tc>
        <w:tc>
          <w:tcPr>
            <w:tcW w:w="4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214,422</w:t>
            </w:r>
          </w:p>
        </w:tc>
        <w:tc>
          <w:tcPr>
            <w:tcW w:w="80" w:type="dxa"/>
            <w:vAlign w:val="bottom"/>
            <w:shd w:val="clear" w:color="auto" w:fill="E0E7ED"/>
          </w:tcPr>
          <w:p>
            <w:pPr>
              <w:spacing w:after="0"/>
              <w:rPr>
                <w:sz w:val="18"/>
                <w:szCs w:val="18"/>
                <w:color w:val="auto"/>
              </w:rPr>
            </w:pPr>
          </w:p>
        </w:tc>
        <w:tc>
          <w:tcPr>
            <w:tcW w:w="42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ind w:right="154"/>
              <w:spacing w:after="0"/>
              <w:rPr>
                <w:sz w:val="20"/>
                <w:szCs w:val="20"/>
                <w:color w:val="auto"/>
              </w:rPr>
            </w:pPr>
            <w:r>
              <w:rPr>
                <w:rFonts w:ascii="Verdana" w:cs="Verdana" w:eastAsia="Verdana" w:hAnsi="Verdana"/>
                <w:sz w:val="14"/>
                <w:szCs w:val="14"/>
                <w:color w:val="auto"/>
              </w:rPr>
              <w:t>290,875</w:t>
            </w:r>
          </w:p>
        </w:tc>
      </w:tr>
      <w:tr>
        <w:trPr>
          <w:trHeight w:val="208"/>
        </w:trPr>
        <w:tc>
          <w:tcPr>
            <w:tcW w:w="6020" w:type="dxa"/>
            <w:vAlign w:val="bottom"/>
          </w:tcPr>
          <w:p>
            <w:pPr>
              <w:ind w:left="20"/>
              <w:spacing w:after="0"/>
              <w:rPr>
                <w:sz w:val="20"/>
                <w:szCs w:val="20"/>
                <w:color w:val="auto"/>
              </w:rPr>
            </w:pPr>
            <w:r>
              <w:rPr>
                <w:rFonts w:ascii="Verdana" w:cs="Verdana" w:eastAsia="Verdana" w:hAnsi="Verdana"/>
                <w:sz w:val="14"/>
                <w:szCs w:val="14"/>
                <w:color w:val="auto"/>
              </w:rPr>
              <w:t>Total average liquid assets</w:t>
            </w:r>
          </w:p>
        </w:tc>
        <w:tc>
          <w:tcPr>
            <w:tcW w:w="400" w:type="dxa"/>
            <w:vAlign w:val="bottom"/>
            <w:tcBorders>
              <w:bottom w:val="single" w:sz="8" w:color="auto"/>
            </w:tcBorders>
          </w:tcPr>
          <w:p>
            <w:pPr>
              <w:jc w:val="right"/>
              <w:ind w:right="229"/>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555,281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330,952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ind w:right="154"/>
              <w:spacing w:after="0"/>
              <w:rPr>
                <w:sz w:val="20"/>
                <w:szCs w:val="20"/>
                <w:color w:val="auto"/>
              </w:rPr>
            </w:pPr>
            <w:r>
              <w:rPr>
                <w:rFonts w:ascii="Verdana" w:cs="Verdana" w:eastAsia="Verdana" w:hAnsi="Verdana"/>
                <w:sz w:val="14"/>
                <w:szCs w:val="14"/>
                <w:color w:val="auto"/>
              </w:rPr>
              <w:t>411,785</w:t>
            </w:r>
          </w:p>
        </w:tc>
      </w:tr>
      <w:tr>
        <w:trPr>
          <w:trHeight w:val="20"/>
        </w:trPr>
        <w:tc>
          <w:tcPr>
            <w:tcW w:w="602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3"/>
        </w:trPr>
        <w:tc>
          <w:tcPr>
            <w:tcW w:w="6020" w:type="dxa"/>
            <w:vAlign w:val="bottom"/>
            <w:shd w:val="clear" w:color="auto" w:fill="E0E7ED"/>
          </w:tcPr>
          <w:p>
            <w:pPr>
              <w:spacing w:after="0"/>
              <w:rPr>
                <w:sz w:val="15"/>
                <w:szCs w:val="15"/>
                <w:color w:val="auto"/>
              </w:rPr>
            </w:pPr>
          </w:p>
        </w:tc>
        <w:tc>
          <w:tcPr>
            <w:tcW w:w="40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0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2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r>
      <w:tr>
        <w:trPr>
          <w:trHeight w:val="201"/>
        </w:trPr>
        <w:tc>
          <w:tcPr>
            <w:tcW w:w="6020" w:type="dxa"/>
            <w:vAlign w:val="bottom"/>
          </w:tcPr>
          <w:p>
            <w:pPr>
              <w:ind w:left="20"/>
              <w:spacing w:after="0"/>
              <w:rPr>
                <w:sz w:val="20"/>
                <w:szCs w:val="20"/>
                <w:color w:val="auto"/>
              </w:rPr>
            </w:pPr>
            <w:r>
              <w:rPr>
                <w:rFonts w:ascii="Verdana" w:cs="Verdana" w:eastAsia="Verdana" w:hAnsi="Verdana"/>
                <w:sz w:val="14"/>
                <w:szCs w:val="14"/>
                <w:color w:val="auto"/>
              </w:rPr>
              <w:t>Average liquid assets as a percent of average total assets</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4.6 %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2.7 %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3.3 %</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Cash and unencumbered securities on Busey’s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are summarized as follows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Cash and unencumbered securities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Total cash and cash equivalents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697,659</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719,581</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Debt securities available for sale</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1,810,221</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2,087,571</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Debt securities available for sale pledged as collateral</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(653,454)</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(649,769)</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Cash and unencumbered securities</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1,854,426</w:t>
            </w:r>
          </w:p>
        </w:tc>
        <w:tc>
          <w:tcPr>
            <w:tcW w:w="100" w:type="dxa"/>
            <w:vAlign w:val="bottom"/>
            <w:tcBorders>
              <w:bottom w:val="single" w:sz="8" w:color="E0E7ED"/>
            </w:tcBorders>
            <w:shd w:val="clear" w:color="auto" w:fill="E0E7ED"/>
          </w:tcPr>
          <w:p>
            <w:pPr>
              <w:spacing w:after="0"/>
              <w:rPr>
                <w:sz w:val="19"/>
                <w:szCs w:val="19"/>
                <w:color w:val="auto"/>
              </w:rPr>
            </w:pPr>
          </w:p>
        </w:tc>
        <w:tc>
          <w:tcPr>
            <w:tcW w:w="560" w:type="dxa"/>
            <w:vAlign w:val="bottom"/>
            <w:tcBorders>
              <w:bottom w:val="single" w:sz="8" w:color="auto"/>
            </w:tcBorders>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2,157,383</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Busey’s primary sources of funds consist of deposits, investment maturities and sales, loan principal repayments, and capital funds. Additional liquidity is provided by the ability to borrow from the FHLB, the Federal Reserve Bank, and Busey’s revolving credit facility, as summarized in the table below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3"/>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Additional available borrowing capacity</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FHLB</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1,679,463</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1,898,737</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Federal Reserve Bank</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664,083</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598,878</w:t>
            </w: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Federal funds purchased</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477,500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482,500</w:t>
            </w:r>
          </w:p>
        </w:tc>
      </w:tr>
      <w:tr>
        <w:trPr>
          <w:trHeight w:val="212"/>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Revolving credit facility</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40,000</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40,000</w:t>
            </w: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Additional borrowing capacity</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2,861,046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3,020,115</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Further, Busey could utilize brokered deposits as additional sources of liquidity, as needed.</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3" w:name="page84"/>
    <w:bookmarkEnd w:id="8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As of December 31, 2024, management believed that adequate liquidity existed to meet all projected cash flow obligations. Busey seeks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Busey’s ability to pay cash dividends to its stockholders and to service its debt is dependent on the receipt of cash dividends from its subsidiaries. Busey Bank paid dividends to First Busey Corporation totaling $100.0 million and $90.0 million for the years ended December 31, 2024, and 2023, respectively.</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Off-Balance-Sheet Arrangements</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summarizes Busey’s outstanding commitments and reserves for unfunded commitments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71"/>
        </w:trPr>
        <w:tc>
          <w:tcPr>
            <w:tcW w:w="802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Verdana" w:cs="Verdana" w:eastAsia="Verdana" w:hAnsi="Verdana"/>
                <w:sz w:val="11"/>
                <w:szCs w:val="11"/>
                <w:b w:val="1"/>
                <w:bCs w:val="1"/>
                <w:color w:val="auto"/>
              </w:rPr>
              <w:t>2024</w:t>
            </w:r>
          </w:p>
        </w:tc>
        <w:tc>
          <w:tcPr>
            <w:tcW w:w="100" w:type="dxa"/>
            <w:vAlign w:val="bottom"/>
            <w:tcBorders>
              <w:bottom w:val="single" w:sz="8" w:color="E0E7ED"/>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Verdana" w:cs="Verdana" w:eastAsia="Verdana" w:hAnsi="Verdana"/>
                <w:sz w:val="11"/>
                <w:szCs w:val="11"/>
                <w:b w:val="1"/>
                <w:bCs w:val="1"/>
                <w:color w:val="auto"/>
              </w:rPr>
              <w:t>2023</w:t>
            </w:r>
          </w:p>
        </w:tc>
      </w:tr>
      <w:tr>
        <w:trPr>
          <w:trHeight w:val="212"/>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Outstanding loan commitments and standby letters of credit</w:t>
            </w: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2,548,178</w:t>
            </w:r>
          </w:p>
        </w:tc>
        <w:tc>
          <w:tcPr>
            <w:tcW w:w="100" w:type="dxa"/>
            <w:vAlign w:val="bottom"/>
            <w:shd w:val="clear" w:color="auto" w:fill="E0E7ED"/>
          </w:tcPr>
          <w:p>
            <w:pPr>
              <w:spacing w:after="0"/>
              <w:rPr>
                <w:sz w:val="18"/>
                <w:szCs w:val="18"/>
                <w:color w:val="auto"/>
              </w:rPr>
            </w:pPr>
          </w:p>
        </w:tc>
        <w:tc>
          <w:tcPr>
            <w:tcW w:w="600" w:type="dxa"/>
            <w:vAlign w:val="bottom"/>
            <w:shd w:val="clear" w:color="auto" w:fill="E0E7ED"/>
          </w:tcPr>
          <w:p>
            <w:pPr>
              <w:jc w:val="right"/>
              <w:ind w:right="42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2,176,496</w:t>
            </w:r>
          </w:p>
        </w:tc>
      </w:tr>
      <w:tr>
        <w:trPr>
          <w:trHeight w:val="201"/>
        </w:trPr>
        <w:tc>
          <w:tcPr>
            <w:tcW w:w="8020" w:type="dxa"/>
            <w:vAlign w:val="bottom"/>
          </w:tcPr>
          <w:p>
            <w:pPr>
              <w:ind w:left="20"/>
              <w:spacing w:after="0"/>
              <w:rPr>
                <w:sz w:val="20"/>
                <w:szCs w:val="20"/>
                <w:color w:val="auto"/>
              </w:rPr>
            </w:pPr>
            <w:r>
              <w:rPr>
                <w:rFonts w:ascii="Verdana" w:cs="Verdana" w:eastAsia="Verdana" w:hAnsi="Verdana"/>
                <w:sz w:val="14"/>
                <w:szCs w:val="14"/>
                <w:color w:val="auto"/>
              </w:rPr>
              <w:t>Reserve for unfunded commitments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5,967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7,062</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summarizes Busey’s provision for unfunded commitments expenses (releases)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3"/>
        </w:trPr>
        <w:tc>
          <w:tcPr>
            <w:tcW w:w="4660" w:type="dxa"/>
            <w:vAlign w:val="bottom"/>
            <w:tcBorders>
              <w:bottom w:val="single" w:sz="8" w:color="E0E7ED"/>
            </w:tcBorders>
          </w:tcPr>
          <w:p>
            <w:pPr>
              <w:spacing w:after="0"/>
              <w:rPr>
                <w:sz w:val="11"/>
                <w:szCs w:val="11"/>
                <w:color w:val="auto"/>
              </w:rPr>
            </w:pPr>
          </w:p>
        </w:tc>
        <w:tc>
          <w:tcPr>
            <w:tcW w:w="1600" w:type="dxa"/>
            <w:vAlign w:val="bottom"/>
            <w:tcBorders>
              <w:bottom w:val="single" w:sz="8" w:color="auto"/>
            </w:tcBorders>
          </w:tcPr>
          <w:p>
            <w:pPr>
              <w:ind w:left="560"/>
              <w:spacing w:after="0"/>
              <w:rPr>
                <w:sz w:val="20"/>
                <w:szCs w:val="20"/>
                <w:color w:val="auto"/>
              </w:rPr>
            </w:pPr>
            <w:r>
              <w:rPr>
                <w:rFonts w:ascii="Verdana" w:cs="Verdana" w:eastAsia="Verdana" w:hAnsi="Verdana"/>
                <w:sz w:val="10"/>
                <w:szCs w:val="10"/>
                <w:b w:val="1"/>
                <w:bCs w:val="1"/>
                <w:color w:val="auto"/>
              </w:rPr>
              <w:t>Location</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0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0"/>
              <w:spacing w:after="0"/>
              <w:rPr>
                <w:sz w:val="20"/>
                <w:szCs w:val="20"/>
                <w:color w:val="auto"/>
              </w:rPr>
            </w:pPr>
            <w:r>
              <w:rPr>
                <w:rFonts w:ascii="Verdana" w:cs="Verdana" w:eastAsia="Verdana" w:hAnsi="Verdana"/>
                <w:sz w:val="10"/>
                <w:szCs w:val="10"/>
                <w:b w:val="1"/>
                <w:bCs w:val="1"/>
                <w:color w:val="auto"/>
              </w:rPr>
              <w:t>2022</w:t>
            </w:r>
          </w:p>
        </w:tc>
      </w:tr>
      <w:tr>
        <w:trPr>
          <w:trHeight w:val="183"/>
        </w:trPr>
        <w:tc>
          <w:tcPr>
            <w:tcW w:w="46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Provision for unfunded commitments expense (release)</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noninterest</w:t>
            </w:r>
          </w:p>
        </w:tc>
        <w:tc>
          <w:tcPr>
            <w:tcW w:w="3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r>
      <w:tr>
        <w:trPr>
          <w:trHeight w:val="195"/>
        </w:trPr>
        <w:tc>
          <w:tcPr>
            <w:tcW w:w="4660" w:type="dxa"/>
            <w:vAlign w:val="bottom"/>
            <w:shd w:val="clear" w:color="auto" w:fill="E0E7ED"/>
          </w:tcPr>
          <w:p>
            <w:pPr>
              <w:spacing w:after="0"/>
              <w:rPr>
                <w:sz w:val="16"/>
                <w:szCs w:val="16"/>
                <w:color w:val="auto"/>
              </w:rPr>
            </w:pP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expense</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(1,095)</w:t>
            </w: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jc w:val="right"/>
              <w:ind w:right="220"/>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461</w:t>
            </w: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w:t>
            </w: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anticipates that it will have sufficient funds available to meet current loan commitments, including loan applications received and in process prior to the issuance of firm commitments.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Contractual Obligations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has entered into certain contractual obligations and other commitments that generally relate to funding of operations through deposits, debt issuance, and property and equipment leases.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4" w:name="page85"/>
    <w:bookmarkEnd w:id="8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following table summarizes significant contractual obligations and other commitments, excluding, when applicable, short-term borrowings and the current portion of long-term debt, as of December 31, 2024,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6"/>
              </w:rPr>
              <w:t>Junior</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gridSpan w:val="2"/>
          </w:tcPr>
          <w:p>
            <w:pPr>
              <w:jc w:val="center"/>
              <w:ind w:right="300"/>
              <w:spacing w:after="0" w:line="96" w:lineRule="exact"/>
              <w:rPr>
                <w:sz w:val="20"/>
                <w:szCs w:val="20"/>
                <w:color w:val="auto"/>
              </w:rPr>
            </w:pPr>
            <w:r>
              <w:rPr>
                <w:rFonts w:ascii="Verdana" w:cs="Verdana" w:eastAsia="Verdana" w:hAnsi="Verdana"/>
                <w:sz w:val="10"/>
                <w:szCs w:val="10"/>
                <w:b w:val="1"/>
                <w:bCs w:val="1"/>
                <w:color w:val="auto"/>
                <w:w w:val="97"/>
              </w:rPr>
              <w:t>Subordinated</w:t>
            </w: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vMerge w:val="restart"/>
          </w:tcPr>
          <w:p>
            <w:pPr>
              <w:jc w:val="center"/>
              <w:ind w:right="220"/>
              <w:spacing w:after="0"/>
              <w:rPr>
                <w:sz w:val="20"/>
                <w:szCs w:val="20"/>
                <w:color w:val="auto"/>
              </w:rPr>
            </w:pPr>
            <w:r>
              <w:rPr>
                <w:rFonts w:ascii="Verdana" w:cs="Verdana" w:eastAsia="Verdana" w:hAnsi="Verdana"/>
                <w:sz w:val="10"/>
                <w:szCs w:val="10"/>
                <w:b w:val="1"/>
                <w:bCs w:val="1"/>
                <w:color w:val="auto"/>
                <w:w w:val="99"/>
              </w:rPr>
              <w:t>Subordinated Notes,</w:t>
            </w: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0" w:type="dxa"/>
            <w:vAlign w:val="bottom"/>
            <w:gridSpan w:val="2"/>
          </w:tcPr>
          <w:p>
            <w:pPr>
              <w:jc w:val="center"/>
              <w:ind w:right="320"/>
              <w:spacing w:after="0" w:line="85" w:lineRule="exact"/>
              <w:rPr>
                <w:sz w:val="20"/>
                <w:szCs w:val="20"/>
                <w:color w:val="auto"/>
              </w:rPr>
            </w:pPr>
            <w:r>
              <w:rPr>
                <w:rFonts w:ascii="Verdana" w:cs="Verdana" w:eastAsia="Verdana" w:hAnsi="Verdana"/>
                <w:sz w:val="9"/>
                <w:szCs w:val="9"/>
                <w:b w:val="1"/>
                <w:bCs w:val="1"/>
                <w:color w:val="auto"/>
              </w:rPr>
              <w:t>Debt Owed to</w:t>
            </w: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2"/>
          </w:tcPr>
          <w:p>
            <w:pPr>
              <w:jc w:val="center"/>
              <w:ind w:right="320"/>
              <w:spacing w:after="0" w:line="106" w:lineRule="exact"/>
              <w:rPr>
                <w:sz w:val="20"/>
                <w:szCs w:val="20"/>
                <w:color w:val="auto"/>
              </w:rPr>
            </w:pPr>
            <w:r>
              <w:rPr>
                <w:rFonts w:ascii="Verdana" w:cs="Verdana" w:eastAsia="Verdana" w:hAnsi="Verdana"/>
                <w:sz w:val="10"/>
                <w:szCs w:val="10"/>
                <w:b w:val="1"/>
                <w:bCs w:val="1"/>
                <w:color w:val="auto"/>
                <w:w w:val="96"/>
              </w:rPr>
              <w:t>Certificates of</w:t>
            </w:r>
          </w:p>
        </w:tc>
        <w:tc>
          <w:tcPr>
            <w:tcW w:w="280" w:type="dxa"/>
            <w:vAlign w:val="bottom"/>
          </w:tcPr>
          <w:p>
            <w:pPr>
              <w:spacing w:after="0"/>
              <w:rPr>
                <w:sz w:val="9"/>
                <w:szCs w:val="9"/>
                <w:color w:val="auto"/>
              </w:rPr>
            </w:pPr>
          </w:p>
        </w:tc>
        <w:tc>
          <w:tcPr>
            <w:tcW w:w="1320" w:type="dxa"/>
            <w:vAlign w:val="bottom"/>
            <w:gridSpan w:val="2"/>
          </w:tcPr>
          <w:p>
            <w:pPr>
              <w:jc w:val="center"/>
              <w:ind w:right="380"/>
              <w:spacing w:after="0" w:line="106" w:lineRule="exact"/>
              <w:rPr>
                <w:sz w:val="20"/>
                <w:szCs w:val="20"/>
                <w:color w:val="auto"/>
              </w:rPr>
            </w:pPr>
            <w:r>
              <w:rPr>
                <w:rFonts w:ascii="Verdana" w:cs="Verdana" w:eastAsia="Verdana" w:hAnsi="Verdana"/>
                <w:sz w:val="10"/>
                <w:szCs w:val="10"/>
                <w:b w:val="1"/>
                <w:bCs w:val="1"/>
                <w:color w:val="auto"/>
                <w:w w:val="96"/>
              </w:rPr>
              <w:t>Operating</w:t>
            </w:r>
          </w:p>
        </w:tc>
        <w:tc>
          <w:tcPr>
            <w:tcW w:w="200" w:type="dxa"/>
            <w:vAlign w:val="bottom"/>
          </w:tcPr>
          <w:p>
            <w:pPr>
              <w:spacing w:after="0"/>
              <w:rPr>
                <w:sz w:val="9"/>
                <w:szCs w:val="9"/>
                <w:color w:val="auto"/>
              </w:rPr>
            </w:pPr>
          </w:p>
        </w:tc>
        <w:tc>
          <w:tcPr>
            <w:tcW w:w="1400" w:type="dxa"/>
            <w:vAlign w:val="bottom"/>
            <w:gridSpan w:val="2"/>
          </w:tcPr>
          <w:p>
            <w:pPr>
              <w:jc w:val="center"/>
              <w:ind w:right="300"/>
              <w:spacing w:after="0" w:line="106" w:lineRule="exact"/>
              <w:rPr>
                <w:sz w:val="20"/>
                <w:szCs w:val="20"/>
                <w:color w:val="auto"/>
              </w:rPr>
            </w:pPr>
            <w:r>
              <w:rPr>
                <w:rFonts w:ascii="Verdana" w:cs="Verdana" w:eastAsia="Verdana" w:hAnsi="Verdana"/>
                <w:sz w:val="10"/>
                <w:szCs w:val="10"/>
                <w:b w:val="1"/>
                <w:bCs w:val="1"/>
                <w:color w:val="auto"/>
                <w:w w:val="99"/>
              </w:rPr>
              <w:t>Unconsolidated</w:t>
            </w:r>
          </w:p>
        </w:tc>
        <w:tc>
          <w:tcPr>
            <w:tcW w:w="280" w:type="dxa"/>
            <w:vAlign w:val="bottom"/>
          </w:tcPr>
          <w:p>
            <w:pPr>
              <w:spacing w:after="0"/>
              <w:rPr>
                <w:sz w:val="9"/>
                <w:szCs w:val="9"/>
                <w:color w:val="auto"/>
              </w:rPr>
            </w:pPr>
          </w:p>
        </w:tc>
        <w:tc>
          <w:tcPr>
            <w:tcW w:w="1300" w:type="dxa"/>
            <w:vAlign w:val="bottom"/>
            <w:gridSpan w:val="2"/>
          </w:tcPr>
          <w:p>
            <w:pPr>
              <w:ind w:left="180"/>
              <w:spacing w:after="0" w:line="106" w:lineRule="exact"/>
              <w:rPr>
                <w:sz w:val="20"/>
                <w:szCs w:val="20"/>
                <w:color w:val="auto"/>
              </w:rPr>
            </w:pPr>
            <w:r>
              <w:rPr>
                <w:rFonts w:ascii="Verdana" w:cs="Verdana" w:eastAsia="Verdana" w:hAnsi="Verdana"/>
                <w:sz w:val="10"/>
                <w:szCs w:val="10"/>
                <w:b w:val="1"/>
                <w:bCs w:val="1"/>
                <w:color w:val="auto"/>
              </w:rPr>
              <w:t>Long-term</w:t>
            </w:r>
          </w:p>
        </w:tc>
        <w:tc>
          <w:tcPr>
            <w:tcW w:w="160" w:type="dxa"/>
            <w:vAlign w:val="bottom"/>
          </w:tcPr>
          <w:p>
            <w:pPr>
              <w:spacing w:after="0"/>
              <w:rPr>
                <w:sz w:val="9"/>
                <w:szCs w:val="9"/>
                <w:color w:val="auto"/>
              </w:rPr>
            </w:pPr>
          </w:p>
        </w:tc>
        <w:tc>
          <w:tcPr>
            <w:tcW w:w="1440" w:type="dxa"/>
            <w:vAlign w:val="bottom"/>
            <w:gridSpan w:val="2"/>
          </w:tcPr>
          <w:p>
            <w:pPr>
              <w:jc w:val="center"/>
              <w:ind w:right="240"/>
              <w:spacing w:after="0" w:line="106" w:lineRule="exact"/>
              <w:rPr>
                <w:sz w:val="20"/>
                <w:szCs w:val="20"/>
                <w:color w:val="auto"/>
              </w:rPr>
            </w:pPr>
            <w:r>
              <w:rPr>
                <w:rFonts w:ascii="Verdana" w:cs="Verdana" w:eastAsia="Verdana" w:hAnsi="Verdana"/>
                <w:sz w:val="10"/>
                <w:szCs w:val="10"/>
                <w:b w:val="1"/>
                <w:bCs w:val="1"/>
                <w:color w:val="auto"/>
                <w:w w:val="98"/>
              </w:rPr>
              <w:t>Net of Unamortized</w:t>
            </w:r>
          </w:p>
        </w:tc>
        <w:tc>
          <w:tcPr>
            <w:tcW w:w="360" w:type="dxa"/>
            <w:vAlign w:val="bottom"/>
          </w:tcPr>
          <w:p>
            <w:pPr>
              <w:spacing w:after="0"/>
              <w:rPr>
                <w:sz w:val="9"/>
                <w:szCs w:val="9"/>
                <w:color w:val="auto"/>
              </w:rPr>
            </w:pPr>
          </w:p>
        </w:tc>
        <w:tc>
          <w:tcPr>
            <w:tcW w:w="1160" w:type="dxa"/>
            <w:vAlign w:val="bottom"/>
            <w:vMerge w:val="restart"/>
          </w:tcPr>
          <w:p>
            <w:pPr>
              <w:jc w:val="right"/>
              <w:ind w:right="55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27"/>
        </w:trPr>
        <w:tc>
          <w:tcPr>
            <w:tcW w:w="1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320"/>
              <w:spacing w:after="0"/>
              <w:rPr>
                <w:sz w:val="20"/>
                <w:szCs w:val="20"/>
                <w:color w:val="auto"/>
              </w:rPr>
            </w:pPr>
            <w:r>
              <w:rPr>
                <w:rFonts w:ascii="Verdana" w:cs="Verdana" w:eastAsia="Verdana" w:hAnsi="Verdana"/>
                <w:sz w:val="10"/>
                <w:szCs w:val="10"/>
                <w:b w:val="1"/>
                <w:bCs w:val="1"/>
                <w:color w:val="auto"/>
              </w:rPr>
              <w:t>Deposit</w:t>
            </w:r>
          </w:p>
        </w:tc>
        <w:tc>
          <w:tcPr>
            <w:tcW w:w="280" w:type="dxa"/>
            <w:vAlign w:val="bottom"/>
          </w:tcPr>
          <w:p>
            <w:pPr>
              <w:spacing w:after="0"/>
              <w:rPr>
                <w:sz w:val="11"/>
                <w:szCs w:val="11"/>
                <w:color w:val="auto"/>
              </w:rPr>
            </w:pPr>
          </w:p>
        </w:tc>
        <w:tc>
          <w:tcPr>
            <w:tcW w:w="132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w w:val="99"/>
              </w:rPr>
              <w:t>Leases</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5"/>
              </w:rPr>
              <w:t>Trusts</w:t>
            </w:r>
          </w:p>
        </w:tc>
        <w:tc>
          <w:tcPr>
            <w:tcW w:w="280" w:type="dxa"/>
            <w:vAlign w:val="bottom"/>
          </w:tcPr>
          <w:p>
            <w:pPr>
              <w:spacing w:after="0"/>
              <w:rPr>
                <w:sz w:val="11"/>
                <w:szCs w:val="11"/>
                <w:color w:val="auto"/>
              </w:rPr>
            </w:pPr>
          </w:p>
        </w:tc>
        <w:tc>
          <w:tcPr>
            <w:tcW w:w="1300" w:type="dxa"/>
            <w:vAlign w:val="bottom"/>
            <w:gridSpan w:val="2"/>
          </w:tcPr>
          <w:p>
            <w:pPr>
              <w:ind w:left="340"/>
              <w:spacing w:after="0"/>
              <w:rPr>
                <w:sz w:val="20"/>
                <w:szCs w:val="20"/>
                <w:color w:val="auto"/>
              </w:rPr>
            </w:pPr>
            <w:r>
              <w:rPr>
                <w:rFonts w:ascii="Verdana" w:cs="Verdana" w:eastAsia="Verdana" w:hAnsi="Verdana"/>
                <w:sz w:val="10"/>
                <w:szCs w:val="10"/>
                <w:b w:val="1"/>
                <w:bCs w:val="1"/>
                <w:color w:val="auto"/>
              </w:rPr>
              <w:t>Debt</w:t>
            </w:r>
          </w:p>
        </w:tc>
        <w:tc>
          <w:tcPr>
            <w:tcW w:w="160" w:type="dxa"/>
            <w:vAlign w:val="bottom"/>
          </w:tcPr>
          <w:p>
            <w:pPr>
              <w:spacing w:after="0"/>
              <w:rPr>
                <w:sz w:val="11"/>
                <w:szCs w:val="11"/>
                <w:color w:val="auto"/>
              </w:rPr>
            </w:pPr>
          </w:p>
        </w:tc>
        <w:tc>
          <w:tcPr>
            <w:tcW w:w="144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9"/>
              </w:rPr>
              <w:t>Issuance Costs</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tcBorders>
              <w:top w:val="single" w:sz="8" w:color="E0E7ED"/>
            </w:tcBorders>
            <w:shd w:val="clear" w:color="auto" w:fill="E0E7ED"/>
          </w:tcPr>
          <w:p>
            <w:pPr>
              <w:ind w:left="20"/>
              <w:spacing w:after="0" w:line="167" w:lineRule="exact"/>
              <w:rPr>
                <w:sz w:val="20"/>
                <w:szCs w:val="20"/>
                <w:color w:val="auto"/>
              </w:rPr>
            </w:pPr>
            <w:r>
              <w:rPr>
                <w:rFonts w:ascii="Verdana" w:cs="Verdana" w:eastAsia="Verdana" w:hAnsi="Verdana"/>
                <w:sz w:val="14"/>
                <w:szCs w:val="14"/>
                <w:b w:val="1"/>
                <w:bCs w:val="1"/>
                <w:color w:val="auto"/>
              </w:rPr>
              <w:t>Contractual</w:t>
            </w:r>
          </w:p>
        </w:tc>
        <w:tc>
          <w:tcPr>
            <w:tcW w:w="240" w:type="dxa"/>
            <w:vAlign w:val="bottom"/>
            <w:tcBorders>
              <w:top w:val="single" w:sz="8" w:color="auto"/>
            </w:tcBorders>
            <w:shd w:val="clear" w:color="auto" w:fill="E0E7ED"/>
          </w:tcPr>
          <w:p>
            <w:pPr>
              <w:spacing w:after="0"/>
              <w:rPr>
                <w:sz w:val="14"/>
                <w:szCs w:val="14"/>
                <w:color w:val="auto"/>
              </w:rPr>
            </w:pPr>
          </w:p>
        </w:tc>
        <w:tc>
          <w:tcPr>
            <w:tcW w:w="12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80" w:type="dxa"/>
            <w:vAlign w:val="bottom"/>
            <w:tcBorders>
              <w:top w:val="single" w:sz="8" w:color="auto"/>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13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80" w:type="dxa"/>
            <w:vAlign w:val="bottom"/>
            <w:tcBorders>
              <w:top w:val="single" w:sz="8" w:color="auto"/>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60" w:type="dxa"/>
            <w:vAlign w:val="bottom"/>
            <w:tcBorders>
              <w:top w:val="single" w:sz="8" w:color="auto"/>
            </w:tcBorders>
            <w:shd w:val="clear" w:color="auto" w:fill="E0E7ED"/>
          </w:tcPr>
          <w:p>
            <w:pPr>
              <w:spacing w:after="0"/>
              <w:rPr>
                <w:sz w:val="14"/>
                <w:szCs w:val="14"/>
                <w:color w:val="auto"/>
              </w:rPr>
            </w:pPr>
          </w:p>
        </w:tc>
        <w:tc>
          <w:tcPr>
            <w:tcW w:w="13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6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obligations by</w:t>
            </w:r>
          </w:p>
        </w:tc>
        <w:tc>
          <w:tcPr>
            <w:tcW w:w="24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3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3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60" w:type="dxa"/>
            <w:vAlign w:val="bottom"/>
            <w:shd w:val="clear" w:color="auto" w:fill="E0E7ED"/>
          </w:tcPr>
          <w:p>
            <w:pPr>
              <w:spacing w:after="0"/>
              <w:rPr>
                <w:sz w:val="14"/>
                <w:szCs w:val="14"/>
                <w:color w:val="auto"/>
              </w:rPr>
            </w:pPr>
          </w:p>
        </w:tc>
        <w:tc>
          <w:tcPr>
            <w:tcW w:w="11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schedule of</w:t>
            </w:r>
          </w:p>
        </w:tc>
        <w:tc>
          <w:tcPr>
            <w:tcW w:w="24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3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13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60" w:type="dxa"/>
            <w:vAlign w:val="bottom"/>
            <w:shd w:val="clear" w:color="auto" w:fill="E0E7ED"/>
          </w:tcPr>
          <w:p>
            <w:pPr>
              <w:spacing w:after="0"/>
              <w:rPr>
                <w:sz w:val="14"/>
                <w:szCs w:val="14"/>
                <w:color w:val="auto"/>
              </w:rPr>
            </w:pPr>
          </w:p>
        </w:tc>
        <w:tc>
          <w:tcPr>
            <w:tcW w:w="11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maturities</w:t>
            </w:r>
          </w:p>
        </w:tc>
        <w:tc>
          <w:tcPr>
            <w:tcW w:w="24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3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13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780" w:type="dxa"/>
            <w:vAlign w:val="bottom"/>
          </w:tcPr>
          <w:p>
            <w:pPr>
              <w:ind w:left="140"/>
              <w:spacing w:after="0"/>
              <w:rPr>
                <w:sz w:val="20"/>
                <w:szCs w:val="20"/>
                <w:color w:val="auto"/>
              </w:rPr>
            </w:pPr>
            <w:r>
              <w:rPr>
                <w:rFonts w:ascii="Verdana" w:cs="Verdana" w:eastAsia="Verdana" w:hAnsi="Verdana"/>
                <w:sz w:val="14"/>
                <w:szCs w:val="14"/>
                <w:color w:val="auto"/>
              </w:rPr>
              <w:t>2025</w:t>
            </w:r>
          </w:p>
        </w:tc>
        <w:tc>
          <w:tcPr>
            <w:tcW w:w="240" w:type="dxa"/>
            <w:vAlign w:val="bottom"/>
          </w:tcPr>
          <w:p>
            <w:pPr>
              <w:jc w:val="right"/>
              <w:ind w:right="49"/>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ind w:right="14"/>
              <w:spacing w:after="0"/>
              <w:rPr>
                <w:sz w:val="20"/>
                <w:szCs w:val="20"/>
                <w:color w:val="auto"/>
              </w:rPr>
            </w:pPr>
            <w:r>
              <w:rPr>
                <w:rFonts w:ascii="Verdana" w:cs="Verdana" w:eastAsia="Verdana" w:hAnsi="Verdana"/>
                <w:sz w:val="14"/>
                <w:szCs w:val="14"/>
                <w:color w:val="auto"/>
              </w:rPr>
              <w:t>1,427,748</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2,082</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Verdana" w:cs="Verdana" w:eastAsia="Verdana" w:hAnsi="Verdana"/>
                <w:sz w:val="14"/>
                <w:szCs w:val="14"/>
                <w:color w:val="auto"/>
                <w:w w:val="88"/>
              </w:rPr>
              <w:t>$</w:t>
            </w:r>
          </w:p>
        </w:tc>
        <w:tc>
          <w:tcPr>
            <w:tcW w:w="14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1,429,830</w:t>
            </w:r>
          </w:p>
        </w:tc>
        <w:tc>
          <w:tcPr>
            <w:tcW w:w="0" w:type="dxa"/>
            <w:vAlign w:val="bottom"/>
          </w:tcPr>
          <w:p>
            <w:pPr>
              <w:spacing w:after="0"/>
              <w:rPr>
                <w:sz w:val="1"/>
                <w:szCs w:val="1"/>
                <w:color w:val="auto"/>
              </w:rPr>
            </w:pPr>
          </w:p>
        </w:tc>
      </w:tr>
      <w:tr>
        <w:trPr>
          <w:trHeight w:val="218"/>
        </w:trPr>
        <w:tc>
          <w:tcPr>
            <w:tcW w:w="17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2026</w:t>
            </w:r>
          </w:p>
        </w:tc>
        <w:tc>
          <w:tcPr>
            <w:tcW w:w="24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33,459</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1,774</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shd w:val="clear" w:color="auto" w:fill="E0E7ED"/>
          </w:tcPr>
          <w:p>
            <w:pPr>
              <w:spacing w:after="0"/>
              <w:rPr>
                <w:sz w:val="18"/>
                <w:szCs w:val="18"/>
                <w:color w:val="auto"/>
              </w:rPr>
            </w:pPr>
          </w:p>
        </w:tc>
        <w:tc>
          <w:tcPr>
            <w:tcW w:w="14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35,233</w:t>
            </w:r>
          </w:p>
        </w:tc>
        <w:tc>
          <w:tcPr>
            <w:tcW w:w="0" w:type="dxa"/>
            <w:vAlign w:val="bottom"/>
          </w:tcPr>
          <w:p>
            <w:pPr>
              <w:spacing w:after="0"/>
              <w:rPr>
                <w:sz w:val="1"/>
                <w:szCs w:val="1"/>
                <w:color w:val="auto"/>
              </w:rPr>
            </w:pPr>
          </w:p>
        </w:tc>
      </w:tr>
      <w:tr>
        <w:trPr>
          <w:trHeight w:val="207"/>
        </w:trPr>
        <w:tc>
          <w:tcPr>
            <w:tcW w:w="1780" w:type="dxa"/>
            <w:vAlign w:val="bottom"/>
          </w:tcPr>
          <w:p>
            <w:pPr>
              <w:ind w:left="140"/>
              <w:spacing w:after="0"/>
              <w:rPr>
                <w:sz w:val="20"/>
                <w:szCs w:val="20"/>
                <w:color w:val="auto"/>
              </w:rPr>
            </w:pPr>
            <w:r>
              <w:rPr>
                <w:rFonts w:ascii="Verdana" w:cs="Verdana" w:eastAsia="Verdana" w:hAnsi="Verdana"/>
                <w:sz w:val="14"/>
                <w:szCs w:val="14"/>
                <w:color w:val="auto"/>
              </w:rPr>
              <w:t>2027</w:t>
            </w:r>
          </w:p>
        </w:tc>
        <w:tc>
          <w:tcPr>
            <w:tcW w:w="2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Verdana" w:cs="Verdana" w:eastAsia="Verdana" w:hAnsi="Verdana"/>
                <w:sz w:val="14"/>
                <w:szCs w:val="14"/>
                <w:color w:val="auto"/>
              </w:rPr>
              <w:t>14,964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28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16,522</w:t>
            </w:r>
          </w:p>
        </w:tc>
        <w:tc>
          <w:tcPr>
            <w:tcW w:w="0" w:type="dxa"/>
            <w:vAlign w:val="bottom"/>
          </w:tcPr>
          <w:p>
            <w:pPr>
              <w:spacing w:after="0"/>
              <w:rPr>
                <w:sz w:val="1"/>
                <w:szCs w:val="1"/>
                <w:color w:val="auto"/>
              </w:rPr>
            </w:pPr>
          </w:p>
        </w:tc>
      </w:tr>
      <w:tr>
        <w:trPr>
          <w:trHeight w:val="218"/>
        </w:trPr>
        <w:tc>
          <w:tcPr>
            <w:tcW w:w="17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2028</w:t>
            </w:r>
          </w:p>
        </w:tc>
        <w:tc>
          <w:tcPr>
            <w:tcW w:w="24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8,178</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1,495</w:t>
            </w: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4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shd w:val="clear" w:color="auto" w:fill="E0E7ED"/>
          </w:tcPr>
          <w:p>
            <w:pPr>
              <w:spacing w:after="0"/>
              <w:rPr>
                <w:sz w:val="18"/>
                <w:szCs w:val="18"/>
                <w:color w:val="auto"/>
              </w:rPr>
            </w:pPr>
          </w:p>
        </w:tc>
        <w:tc>
          <w:tcPr>
            <w:tcW w:w="14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9,673</w:t>
            </w:r>
          </w:p>
        </w:tc>
        <w:tc>
          <w:tcPr>
            <w:tcW w:w="0" w:type="dxa"/>
            <w:vAlign w:val="bottom"/>
          </w:tcPr>
          <w:p>
            <w:pPr>
              <w:spacing w:after="0"/>
              <w:rPr>
                <w:sz w:val="1"/>
                <w:szCs w:val="1"/>
                <w:color w:val="auto"/>
              </w:rPr>
            </w:pPr>
          </w:p>
        </w:tc>
      </w:tr>
      <w:tr>
        <w:trPr>
          <w:trHeight w:val="207"/>
        </w:trPr>
        <w:tc>
          <w:tcPr>
            <w:tcW w:w="1780" w:type="dxa"/>
            <w:vAlign w:val="bottom"/>
          </w:tcPr>
          <w:p>
            <w:pPr>
              <w:ind w:left="140"/>
              <w:spacing w:after="0"/>
              <w:rPr>
                <w:sz w:val="20"/>
                <w:szCs w:val="20"/>
                <w:color w:val="auto"/>
              </w:rPr>
            </w:pPr>
            <w:r>
              <w:rPr>
                <w:rFonts w:ascii="Verdana" w:cs="Verdana" w:eastAsia="Verdana" w:hAnsi="Verdana"/>
                <w:sz w:val="14"/>
                <w:szCs w:val="14"/>
                <w:color w:val="auto"/>
              </w:rPr>
              <w:t>2029</w:t>
            </w:r>
          </w:p>
        </w:tc>
        <w:tc>
          <w:tcPr>
            <w:tcW w:w="240" w:type="dxa"/>
            <w:vAlign w:val="bottom"/>
          </w:tcPr>
          <w:p>
            <w:pPr>
              <w:spacing w:after="0"/>
              <w:rPr>
                <w:sz w:val="17"/>
                <w:szCs w:val="17"/>
                <w:color w:val="auto"/>
              </w:rPr>
            </w:pPr>
          </w:p>
        </w:tc>
        <w:tc>
          <w:tcPr>
            <w:tcW w:w="1280" w:type="dxa"/>
            <w:vAlign w:val="bottom"/>
          </w:tcPr>
          <w:p>
            <w:pPr>
              <w:jc w:val="right"/>
              <w:ind w:right="14"/>
              <w:spacing w:after="0"/>
              <w:rPr>
                <w:sz w:val="20"/>
                <w:szCs w:val="20"/>
                <w:color w:val="auto"/>
              </w:rPr>
            </w:pPr>
            <w:r>
              <w:rPr>
                <w:rFonts w:ascii="Verdana" w:cs="Verdana" w:eastAsia="Verdana" w:hAnsi="Verdana"/>
                <w:sz w:val="14"/>
                <w:szCs w:val="14"/>
                <w:color w:val="auto"/>
              </w:rPr>
              <w:t>5,838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1,505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28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7,343</w:t>
            </w:r>
          </w:p>
        </w:tc>
        <w:tc>
          <w:tcPr>
            <w:tcW w:w="0" w:type="dxa"/>
            <w:vAlign w:val="bottom"/>
          </w:tcPr>
          <w:p>
            <w:pPr>
              <w:spacing w:after="0"/>
              <w:rPr>
                <w:sz w:val="1"/>
                <w:szCs w:val="1"/>
                <w:color w:val="auto"/>
              </w:rPr>
            </w:pPr>
          </w:p>
        </w:tc>
      </w:tr>
      <w:tr>
        <w:trPr>
          <w:trHeight w:val="212"/>
        </w:trPr>
        <w:tc>
          <w:tcPr>
            <w:tcW w:w="17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Thereafter</w:t>
            </w:r>
          </w:p>
        </w:tc>
        <w:tc>
          <w:tcPr>
            <w:tcW w:w="24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448</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4,376</w:t>
            </w:r>
          </w:p>
        </w:tc>
        <w:tc>
          <w:tcPr>
            <w:tcW w:w="10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74,815</w:t>
            </w:r>
          </w:p>
        </w:tc>
        <w:tc>
          <w:tcPr>
            <w:tcW w:w="10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ind w:left="1000"/>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227,723</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307,362</w:t>
            </w:r>
          </w:p>
        </w:tc>
        <w:tc>
          <w:tcPr>
            <w:tcW w:w="0" w:type="dxa"/>
            <w:vAlign w:val="bottom"/>
          </w:tcPr>
          <w:p>
            <w:pPr>
              <w:spacing w:after="0"/>
              <w:rPr>
                <w:sz w:val="1"/>
                <w:szCs w:val="1"/>
                <w:color w:val="auto"/>
              </w:rPr>
            </w:pPr>
          </w:p>
        </w:tc>
      </w:tr>
      <w:tr>
        <w:trPr>
          <w:trHeight w:val="208"/>
        </w:trPr>
        <w:tc>
          <w:tcPr>
            <w:tcW w:w="1780" w:type="dxa"/>
            <w:vAlign w:val="bottom"/>
          </w:tcPr>
          <w:p>
            <w:pPr>
              <w:ind w:left="20"/>
              <w:spacing w:after="0"/>
              <w:rPr>
                <w:sz w:val="20"/>
                <w:szCs w:val="20"/>
                <w:color w:val="auto"/>
              </w:rPr>
            </w:pPr>
            <w:r>
              <w:rPr>
                <w:rFonts w:ascii="Verdana" w:cs="Verdana" w:eastAsia="Verdana" w:hAnsi="Verdana"/>
                <w:sz w:val="14"/>
                <w:szCs w:val="14"/>
                <w:color w:val="auto"/>
              </w:rPr>
              <w:t>Contractual obligations</w:t>
            </w:r>
          </w:p>
        </w:tc>
        <w:tc>
          <w:tcPr>
            <w:tcW w:w="240" w:type="dxa"/>
            <w:vAlign w:val="bottom"/>
          </w:tcPr>
          <w:p>
            <w:pPr>
              <w:jc w:val="right"/>
              <w:ind w:right="49"/>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ind w:right="14"/>
              <w:spacing w:after="0"/>
              <w:rPr>
                <w:sz w:val="20"/>
                <w:szCs w:val="20"/>
                <w:color w:val="auto"/>
              </w:rPr>
            </w:pPr>
            <w:r>
              <w:rPr>
                <w:rFonts w:ascii="Verdana" w:cs="Verdana" w:eastAsia="Verdana" w:hAnsi="Verdana"/>
                <w:sz w:val="14"/>
                <w:szCs w:val="14"/>
                <w:color w:val="auto"/>
              </w:rPr>
              <w:t>1,490,635</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12,790</w:t>
            </w:r>
          </w:p>
        </w:tc>
        <w:tc>
          <w:tcPr>
            <w:tcW w:w="10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74,815</w:t>
            </w:r>
          </w:p>
        </w:tc>
        <w:tc>
          <w:tcPr>
            <w:tcW w:w="10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tcPr>
          <w:p>
            <w:pPr>
              <w:ind w:left="1000"/>
              <w:spacing w:after="0"/>
              <w:rPr>
                <w:sz w:val="20"/>
                <w:szCs w:val="20"/>
                <w:color w:val="auto"/>
              </w:rPr>
            </w:pPr>
            <w:r>
              <w:rPr>
                <w:rFonts w:ascii="Verdana" w:cs="Verdana" w:eastAsia="Verdana" w:hAnsi="Verdana"/>
                <w:sz w:val="14"/>
                <w:szCs w:val="14"/>
                <w:color w:val="auto"/>
              </w:rPr>
              <w:t>—</w:t>
            </w: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227,723</w:t>
            </w:r>
          </w:p>
        </w:tc>
        <w:tc>
          <w:tcPr>
            <w:tcW w:w="80" w:type="dxa"/>
            <w:vAlign w:val="bottom"/>
          </w:tcPr>
          <w:p>
            <w:pPr>
              <w:spacing w:after="0"/>
              <w:rPr>
                <w:sz w:val="18"/>
                <w:szCs w:val="18"/>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1,805,963</w:t>
            </w:r>
          </w:p>
        </w:tc>
        <w:tc>
          <w:tcPr>
            <w:tcW w:w="0" w:type="dxa"/>
            <w:vAlign w:val="bottom"/>
          </w:tcPr>
          <w:p>
            <w:pPr>
              <w:spacing w:after="0"/>
              <w:rPr>
                <w:sz w:val="1"/>
                <w:szCs w:val="1"/>
                <w:color w:val="auto"/>
              </w:rPr>
            </w:pPr>
          </w:p>
        </w:tc>
      </w:tr>
      <w:tr>
        <w:trPr>
          <w:trHeight w:val="20"/>
        </w:trPr>
        <w:tc>
          <w:tcPr>
            <w:tcW w:w="1780" w:type="dxa"/>
            <w:vAlign w:val="bottom"/>
            <w:tcBorders>
              <w:bottom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7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3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3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80" w:type="dxa"/>
            <w:vAlign w:val="bottom"/>
            <w:gridSpan w:val="7"/>
          </w:tcPr>
          <w:p>
            <w:pPr>
              <w:ind w:left="20"/>
              <w:spacing w:after="0"/>
              <w:rPr>
                <w:sz w:val="20"/>
                <w:szCs w:val="20"/>
                <w:color w:val="auto"/>
              </w:rPr>
            </w:pPr>
            <w:r>
              <w:rPr>
                <w:rFonts w:ascii="Verdana" w:cs="Verdana" w:eastAsia="Verdana" w:hAnsi="Verdana"/>
                <w:sz w:val="14"/>
                <w:szCs w:val="14"/>
                <w:color w:val="auto"/>
              </w:rPr>
              <w:t>Commitments to extend credit and standby letters of credit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2,548,178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Cash Flows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cash flows consist of operating activities, investing activities, and financing activities.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Net cash flows provided by operating activities totaled $178.3 million in 2024, compared to $173.4 million provided by operating activities in 2023. Significant operating activities affecting cash flows include net income, depreciation and amortization, the provision for credit losses, stock-based compensation, and mortgage loan sale activity. Fluctuations in sales of loans held for sale are a function of changes in market rates for mortgage loans, which influence refinance activity.</w:t>
      </w:r>
    </w:p>
    <w:p>
      <w:pPr>
        <w:spacing w:after="0" w:line="1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Net cash provided by investing activities totaled $657.9 million in 2024, compared to $551.0 million provided by investing activities in 2023. Significant investing activities are those associated with managing Busey’s investment and loan portfolios.</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Net cash used in financing activities totaled $858.1 million in 2024, compared to $232.0 million used in financing activities in 2023. Significant financing activities affecting cash flows include deposit and other borrowings, as well as cash dividends paid.</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For additional detail, see the </w:t>
      </w:r>
      <w:r>
        <w:rPr>
          <w:rFonts w:ascii="Verdana" w:cs="Verdana" w:eastAsia="Verdana" w:hAnsi="Verdana"/>
          <w:sz w:val="14"/>
          <w:szCs w:val="14"/>
          <w:u w:val="single" w:color="auto"/>
          <w:color w:val="0000FF"/>
        </w:rPr>
        <w:t>Consolidated Statements of Cash Flows</w:t>
      </w:r>
      <w:r>
        <w:rPr>
          <w:rFonts w:ascii="Verdana" w:cs="Verdana" w:eastAsia="Verdana" w:hAnsi="Verdana"/>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5" w:name="page86"/>
    <w:bookmarkEnd w:id="8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7. MD&amp;A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Capital Resources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Busey’s capital ratios are in excess of those required to be considered “well-capitalized”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December 31,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40" w:type="dxa"/>
            <w:vAlign w:val="bottom"/>
          </w:tcPr>
          <w:p>
            <w:pPr>
              <w:spacing w:after="0"/>
              <w:rPr>
                <w:sz w:val="11"/>
                <w:szCs w:val="11"/>
                <w:color w:val="auto"/>
              </w:rPr>
            </w:pPr>
          </w:p>
        </w:tc>
        <w:tc>
          <w:tcPr>
            <w:tcW w:w="178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w w:val="99"/>
              </w:rPr>
              <w:t>Minimum Capital</w:t>
            </w:r>
          </w:p>
        </w:tc>
        <w:tc>
          <w:tcPr>
            <w:tcW w:w="2440" w:type="dxa"/>
            <w:vAlign w:val="bottom"/>
            <w:tcBorders>
              <w:bottom w:val="single" w:sz="8" w:color="auto"/>
            </w:tcBorders>
            <w:gridSpan w:val="3"/>
          </w:tcPr>
          <w:p>
            <w:pPr>
              <w:ind w:left="1040"/>
              <w:spacing w:after="0"/>
              <w:rPr>
                <w:sz w:val="20"/>
                <w:szCs w:val="20"/>
                <w:color w:val="auto"/>
              </w:rPr>
            </w:pPr>
            <w:r>
              <w:rPr>
                <w:rFonts w:ascii="Verdana" w:cs="Verdana" w:eastAsia="Verdana" w:hAnsi="Verdana"/>
                <w:sz w:val="10"/>
                <w:szCs w:val="10"/>
                <w:b w:val="1"/>
                <w:bCs w:val="1"/>
                <w:color w:val="auto"/>
                <w:w w:val="97"/>
              </w:rPr>
              <w:t>As of December 31, 2024</w:t>
            </w:r>
          </w:p>
        </w:tc>
        <w:tc>
          <w:tcPr>
            <w:tcW w:w="1020" w:type="dxa"/>
            <w:vAlign w:val="bottom"/>
            <w:tcBorders>
              <w:bottom w:val="single" w:sz="8" w:color="auto"/>
            </w:tcBorders>
          </w:tcPr>
          <w:p>
            <w:pPr>
              <w:spacing w:after="0"/>
              <w:rPr>
                <w:sz w:val="11"/>
                <w:szCs w:val="11"/>
                <w:color w:val="auto"/>
              </w:rPr>
            </w:pPr>
          </w:p>
        </w:tc>
      </w:tr>
      <w:tr>
        <w:trPr>
          <w:trHeight w:val="104"/>
        </w:trPr>
        <w:tc>
          <w:tcPr>
            <w:tcW w:w="6040" w:type="dxa"/>
            <w:vAlign w:val="bottom"/>
          </w:tcPr>
          <w:p>
            <w:pPr>
              <w:spacing w:after="0"/>
              <w:rPr>
                <w:sz w:val="9"/>
                <w:szCs w:val="9"/>
                <w:color w:val="auto"/>
              </w:rPr>
            </w:pPr>
          </w:p>
        </w:tc>
        <w:tc>
          <w:tcPr>
            <w:tcW w:w="1780" w:type="dxa"/>
            <w:vAlign w:val="bottom"/>
            <w:gridSpan w:val="2"/>
          </w:tcPr>
          <w:p>
            <w:pPr>
              <w:jc w:val="center"/>
              <w:ind w:right="80"/>
              <w:spacing w:after="0" w:line="104" w:lineRule="exact"/>
              <w:rPr>
                <w:sz w:val="20"/>
                <w:szCs w:val="20"/>
                <w:color w:val="auto"/>
              </w:rPr>
            </w:pPr>
            <w:r>
              <w:rPr>
                <w:rFonts w:ascii="Verdana" w:cs="Verdana" w:eastAsia="Verdana" w:hAnsi="Verdana"/>
                <w:sz w:val="10"/>
                <w:szCs w:val="10"/>
                <w:b w:val="1"/>
                <w:bCs w:val="1"/>
                <w:color w:val="auto"/>
                <w:w w:val="99"/>
              </w:rPr>
              <w:t>Requirements with</w:t>
            </w:r>
          </w:p>
        </w:tc>
        <w:tc>
          <w:tcPr>
            <w:tcW w:w="2440" w:type="dxa"/>
            <w:vAlign w:val="bottom"/>
            <w:gridSpan w:val="3"/>
          </w:tcPr>
          <w:p>
            <w:pPr>
              <w:jc w:val="center"/>
              <w:ind w:right="740"/>
              <w:spacing w:after="0" w:line="104" w:lineRule="exact"/>
              <w:rPr>
                <w:sz w:val="20"/>
                <w:szCs w:val="20"/>
                <w:color w:val="auto"/>
              </w:rPr>
            </w:pPr>
            <w:r>
              <w:rPr>
                <w:rFonts w:ascii="Verdana" w:cs="Verdana" w:eastAsia="Verdana" w:hAnsi="Verdana"/>
                <w:sz w:val="10"/>
                <w:szCs w:val="10"/>
                <w:b w:val="1"/>
                <w:bCs w:val="1"/>
                <w:color w:val="auto"/>
              </w:rPr>
              <w:t>First</w:t>
            </w:r>
          </w:p>
        </w:tc>
        <w:tc>
          <w:tcPr>
            <w:tcW w:w="1020" w:type="dxa"/>
            <w:vAlign w:val="bottom"/>
          </w:tcPr>
          <w:p>
            <w:pPr>
              <w:jc w:val="right"/>
              <w:ind w:right="616"/>
              <w:spacing w:after="0" w:line="104" w:lineRule="exact"/>
              <w:rPr>
                <w:sz w:val="20"/>
                <w:szCs w:val="20"/>
                <w:color w:val="auto"/>
              </w:rPr>
            </w:pPr>
            <w:r>
              <w:rPr>
                <w:rFonts w:ascii="Verdana" w:cs="Verdana" w:eastAsia="Verdana" w:hAnsi="Verdana"/>
                <w:sz w:val="10"/>
                <w:szCs w:val="10"/>
                <w:b w:val="1"/>
                <w:bCs w:val="1"/>
                <w:color w:val="auto"/>
                <w:w w:val="94"/>
              </w:rPr>
              <w:t>Busey</w:t>
            </w:r>
          </w:p>
        </w:tc>
      </w:tr>
      <w:tr>
        <w:trPr>
          <w:trHeight w:val="133"/>
        </w:trPr>
        <w:tc>
          <w:tcPr>
            <w:tcW w:w="6040" w:type="dxa"/>
            <w:vAlign w:val="bottom"/>
          </w:tcPr>
          <w:p>
            <w:pPr>
              <w:spacing w:after="0"/>
              <w:rPr>
                <w:sz w:val="11"/>
                <w:szCs w:val="11"/>
                <w:color w:val="auto"/>
              </w:rPr>
            </w:pPr>
          </w:p>
        </w:tc>
        <w:tc>
          <w:tcPr>
            <w:tcW w:w="178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Capital Buffer</w:t>
            </w:r>
          </w:p>
        </w:tc>
        <w:tc>
          <w:tcPr>
            <w:tcW w:w="2440" w:type="dxa"/>
            <w:vAlign w:val="bottom"/>
            <w:gridSpan w:val="3"/>
          </w:tcPr>
          <w:p>
            <w:pPr>
              <w:jc w:val="center"/>
              <w:ind w:right="740"/>
              <w:spacing w:after="0"/>
              <w:rPr>
                <w:sz w:val="20"/>
                <w:szCs w:val="20"/>
                <w:color w:val="auto"/>
              </w:rPr>
            </w:pPr>
            <w:r>
              <w:rPr>
                <w:rFonts w:ascii="Verdana" w:cs="Verdana" w:eastAsia="Verdana" w:hAnsi="Verdana"/>
                <w:sz w:val="10"/>
                <w:szCs w:val="10"/>
                <w:b w:val="1"/>
                <w:bCs w:val="1"/>
                <w:color w:val="auto"/>
              </w:rPr>
              <w:t>Busey</w:t>
            </w:r>
          </w:p>
        </w:tc>
        <w:tc>
          <w:tcPr>
            <w:tcW w:w="1020" w:type="dxa"/>
            <w:vAlign w:val="bottom"/>
          </w:tcPr>
          <w:p>
            <w:pPr>
              <w:jc w:val="right"/>
              <w:ind w:right="636"/>
              <w:spacing w:after="0"/>
              <w:rPr>
                <w:sz w:val="20"/>
                <w:szCs w:val="20"/>
                <w:color w:val="auto"/>
              </w:rPr>
            </w:pPr>
            <w:r>
              <w:rPr>
                <w:rFonts w:ascii="Verdana" w:cs="Verdana" w:eastAsia="Verdana" w:hAnsi="Verdana"/>
                <w:sz w:val="10"/>
                <w:szCs w:val="10"/>
                <w:b w:val="1"/>
                <w:bCs w:val="1"/>
                <w:color w:val="auto"/>
              </w:rPr>
              <w:t>Bank</w:t>
            </w:r>
          </w:p>
        </w:tc>
      </w:tr>
      <w:tr>
        <w:trPr>
          <w:trHeight w:val="208"/>
        </w:trPr>
        <w:tc>
          <w:tcPr>
            <w:tcW w:w="60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Common Equity Tier 1 Capital to Risk Weighted Assets</w:t>
            </w: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7.00 %</w:t>
            </w:r>
          </w:p>
        </w:tc>
        <w:tc>
          <w:tcPr>
            <w:tcW w:w="80" w:type="dxa"/>
            <w:vAlign w:val="bottom"/>
            <w:tcBorders>
              <w:top w:val="single" w:sz="8" w:color="E0E7ED"/>
            </w:tcBorders>
            <w:shd w:val="clear" w:color="auto" w:fill="E0E7ED"/>
          </w:tcPr>
          <w:p>
            <w:pPr>
              <w:spacing w:after="0"/>
              <w:rPr>
                <w:sz w:val="18"/>
                <w:szCs w:val="18"/>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14.10 %</w:t>
            </w:r>
          </w:p>
        </w:tc>
        <w:tc>
          <w:tcPr>
            <w:tcW w:w="80" w:type="dxa"/>
            <w:vAlign w:val="bottom"/>
            <w:tcBorders>
              <w:top w:val="single" w:sz="8" w:color="E0E7ED"/>
            </w:tcBorders>
            <w:shd w:val="clear" w:color="auto" w:fill="E0E7ED"/>
          </w:tcPr>
          <w:p>
            <w:pPr>
              <w:spacing w:after="0"/>
              <w:rPr>
                <w:sz w:val="18"/>
                <w:szCs w:val="18"/>
                <w:color w:val="auto"/>
              </w:rPr>
            </w:pPr>
          </w:p>
        </w:tc>
        <w:tc>
          <w:tcPr>
            <w:tcW w:w="660" w:type="dxa"/>
            <w:vAlign w:val="bottom"/>
            <w:tcBorders>
              <w:top w:val="single" w:sz="8" w:color="auto"/>
            </w:tcBorders>
            <w:shd w:val="clear" w:color="auto" w:fill="E0E7ED"/>
          </w:tcPr>
          <w:p>
            <w:pPr>
              <w:spacing w:after="0"/>
              <w:rPr>
                <w:sz w:val="18"/>
                <w:szCs w:val="18"/>
                <w:color w:val="auto"/>
              </w:rPr>
            </w:pPr>
          </w:p>
        </w:tc>
        <w:tc>
          <w:tcPr>
            <w:tcW w:w="10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16.46 %</w:t>
            </w:r>
          </w:p>
        </w:tc>
      </w:tr>
      <w:tr>
        <w:trPr>
          <w:trHeight w:val="207"/>
        </w:trPr>
        <w:tc>
          <w:tcPr>
            <w:tcW w:w="6040" w:type="dxa"/>
            <w:vAlign w:val="bottom"/>
          </w:tcPr>
          <w:p>
            <w:pPr>
              <w:ind w:left="20"/>
              <w:spacing w:after="0"/>
              <w:rPr>
                <w:sz w:val="20"/>
                <w:szCs w:val="20"/>
                <w:color w:val="auto"/>
              </w:rPr>
            </w:pPr>
            <w:r>
              <w:rPr>
                <w:rFonts w:ascii="Verdana" w:cs="Verdana" w:eastAsia="Verdana" w:hAnsi="Verdana"/>
                <w:sz w:val="14"/>
                <w:szCs w:val="14"/>
                <w:color w:val="auto"/>
              </w:rPr>
              <w:t>Tier 1 Capital to Risk Weighted Assets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8.50 %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14.98 %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16.46 %</w:t>
            </w:r>
          </w:p>
        </w:tc>
      </w:tr>
      <w:tr>
        <w:trPr>
          <w:trHeight w:val="218"/>
        </w:trPr>
        <w:tc>
          <w:tcPr>
            <w:tcW w:w="60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Capital to Risk Weighted Assets</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10.50 %</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18.53 %</w:t>
            </w:r>
          </w:p>
        </w:tc>
        <w:tc>
          <w:tcPr>
            <w:tcW w:w="80" w:type="dxa"/>
            <w:vAlign w:val="bottom"/>
            <w:shd w:val="clear" w:color="auto" w:fill="E0E7ED"/>
          </w:tcPr>
          <w:p>
            <w:pPr>
              <w:spacing w:after="0"/>
              <w:rPr>
                <w:sz w:val="18"/>
                <w:szCs w:val="18"/>
                <w:color w:val="auto"/>
              </w:rPr>
            </w:pPr>
          </w:p>
        </w:tc>
        <w:tc>
          <w:tcPr>
            <w:tcW w:w="6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17.40 %</w:t>
            </w:r>
          </w:p>
        </w:tc>
      </w:tr>
      <w:tr>
        <w:trPr>
          <w:trHeight w:val="201"/>
        </w:trPr>
        <w:tc>
          <w:tcPr>
            <w:tcW w:w="6040" w:type="dxa"/>
            <w:vAlign w:val="bottom"/>
          </w:tcPr>
          <w:p>
            <w:pPr>
              <w:ind w:left="20"/>
              <w:spacing w:after="0"/>
              <w:rPr>
                <w:sz w:val="20"/>
                <w:szCs w:val="20"/>
                <w:color w:val="auto"/>
              </w:rPr>
            </w:pPr>
            <w:r>
              <w:rPr>
                <w:rFonts w:ascii="Verdana" w:cs="Verdana" w:eastAsia="Verdana" w:hAnsi="Verdana"/>
                <w:sz w:val="14"/>
                <w:szCs w:val="14"/>
                <w:color w:val="auto"/>
              </w:rPr>
              <w:t>Leverage Ratio of Tier 1 Capital to Average Assets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6.50 %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11.06 %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12.14 %</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Management believes that no conditions or events have occurred since December 31, 2024, that would materially adversely change First Busey’s or Busey Bank’s capital classifications.</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NEW ACCOUNTING PRONOUNCEMENTS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reviews new accounting standards as issued. Information relating to accounting pronouncements applicable to Busey appears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1. Significant</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Accounting Policies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in the Notes to the Consolidated Financial Statements.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EFFECTS OF INFLATION</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Item 7. Management’s Discussion and Analysis</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of Financial Condition and Results of Operations—Results of Operation — Three Years Ended December 31, 2024—Consolidated Average Balance Sheets and Interest Rates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and</w:t>
      </w:r>
      <w:r>
        <w:rPr>
          <w:rFonts w:ascii="Verdana" w:cs="Verdana" w:eastAsia="Verdana" w:hAnsi="Verdana"/>
          <w:sz w:val="14"/>
          <w:szCs w:val="14"/>
          <w:i w:val="1"/>
          <w:iCs w:val="1"/>
          <w:color w:val="0000FF"/>
        </w:rPr>
        <w:t xml:space="preserve"> </w:t>
      </w:r>
      <w:r>
        <w:rPr>
          <w:rFonts w:ascii="Verdana" w:cs="Verdana" w:eastAsia="Verdana" w:hAnsi="Verdana"/>
          <w:sz w:val="14"/>
          <w:szCs w:val="14"/>
          <w:i w:val="1"/>
          <w:iCs w:val="1"/>
          <w:color w:val="000000"/>
        </w:rPr>
        <w:t>“</w:t>
      </w:r>
      <w:r>
        <w:rPr>
          <w:rFonts w:ascii="Verdana" w:cs="Verdana" w:eastAsia="Verdana" w:hAnsi="Verdana"/>
          <w:sz w:val="14"/>
          <w:szCs w:val="14"/>
          <w:i w:val="1"/>
          <w:iCs w:val="1"/>
          <w:u w:val="single" w:color="auto"/>
          <w:color w:val="0000FF"/>
        </w:rPr>
        <w:t>Item 7A. Quantitative and Qualitative Disclosures About Market Risk</w:t>
      </w:r>
      <w:r>
        <w:rPr>
          <w:rFonts w:ascii="Verdana" w:cs="Verdana" w:eastAsia="Verdana" w:hAnsi="Verdana"/>
          <w:sz w:val="14"/>
          <w:szCs w:val="14"/>
          <w:i w:val="1"/>
          <w:iCs w:val="1"/>
          <w:color w:val="000000"/>
        </w:rPr>
        <w:t>.”</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6" w:name="page87"/>
    <w:bookmarkEnd w:id="86"/>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7A. QUANTITATIVE AND QUALITATIVE DISCLOSURES ABOUT MARKET RISK</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a minimal impact or do not arise in the normal course of Busey’s business activities.</w:t>
      </w:r>
    </w:p>
    <w:p>
      <w:pPr>
        <w:spacing w:after="0" w:line="1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has an asset-liability committee, whose policy is to meet at least quarterly, to review current market conditions and to structure the </w:t>
      </w:r>
      <w:r>
        <w:rPr>
          <w:rFonts w:ascii="Verdana" w:cs="Verdana" w:eastAsia="Verdana" w:hAnsi="Verdana"/>
          <w:sz w:val="14"/>
          <w:szCs w:val="14"/>
          <w:u w:val="single" w:color="auto"/>
          <w:color w:val="0000FF"/>
        </w:rPr>
        <w:t>Consolidated</w:t>
      </w:r>
      <w:r>
        <w:rPr>
          <w:rFonts w:ascii="Verdana" w:cs="Verdana" w:eastAsia="Verdana" w:hAnsi="Verdana"/>
          <w:sz w:val="14"/>
          <w:szCs w:val="14"/>
          <w:color w:val="auto"/>
        </w:rPr>
        <w:t xml:space="preserve"> </w:t>
      </w:r>
      <w:r>
        <w:rPr>
          <w:rFonts w:ascii="Verdana" w:cs="Verdana" w:eastAsia="Verdana" w:hAnsi="Verdana"/>
          <w:sz w:val="14"/>
          <w:szCs w:val="14"/>
          <w:u w:val="single" w:color="auto"/>
          <w:color w:val="0000FF"/>
        </w:rPr>
        <w:t>Balance Sheets</w:t>
      </w:r>
      <w:r>
        <w:rPr>
          <w:rFonts w:ascii="Verdana" w:cs="Verdana" w:eastAsia="Verdana" w:hAnsi="Verdana"/>
          <w:sz w:val="14"/>
          <w:szCs w:val="14"/>
          <w:color w:val="0000FF"/>
        </w:rPr>
        <w:t xml:space="preserve"> </w:t>
      </w:r>
      <w:r>
        <w:rPr>
          <w:rFonts w:ascii="Verdana" w:cs="Verdana" w:eastAsia="Verdana" w:hAnsi="Verdana"/>
          <w:sz w:val="14"/>
          <w:szCs w:val="14"/>
          <w:color w:val="000000"/>
        </w:rPr>
        <w:t>to optimize stability in net interest income in consideration of projected future changes in interest rates.</w:t>
      </w:r>
    </w:p>
    <w:p>
      <w:pPr>
        <w:spacing w:after="0" w:line="121"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bps.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9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60" w:type="dxa"/>
            <w:vAlign w:val="bottom"/>
          </w:tcPr>
          <w:p>
            <w:pPr>
              <w:spacing w:after="0"/>
              <w:rPr>
                <w:sz w:val="11"/>
                <w:szCs w:val="11"/>
                <w:color w:val="auto"/>
              </w:rPr>
            </w:pPr>
          </w:p>
        </w:tc>
        <w:tc>
          <w:tcPr>
            <w:tcW w:w="3480" w:type="dxa"/>
            <w:vAlign w:val="bottom"/>
            <w:gridSpan w:val="4"/>
          </w:tcPr>
          <w:p>
            <w:pPr>
              <w:ind w:left="840"/>
              <w:spacing w:after="0"/>
              <w:rPr>
                <w:sz w:val="20"/>
                <w:szCs w:val="20"/>
                <w:color w:val="auto"/>
              </w:rPr>
            </w:pPr>
            <w:r>
              <w:rPr>
                <w:rFonts w:ascii="Verdana" w:cs="Verdana" w:eastAsia="Verdana" w:hAnsi="Verdana"/>
                <w:sz w:val="10"/>
                <w:szCs w:val="10"/>
                <w:b w:val="1"/>
                <w:bCs w:val="1"/>
                <w:color w:val="auto"/>
              </w:rPr>
              <w:t>Year-One: Basis Point Changes</w:t>
            </w:r>
          </w:p>
        </w:tc>
        <w:tc>
          <w:tcPr>
            <w:tcW w:w="3440" w:type="dxa"/>
            <w:vAlign w:val="bottom"/>
            <w:gridSpan w:val="3"/>
          </w:tcPr>
          <w:p>
            <w:pPr>
              <w:jc w:val="right"/>
              <w:ind w:right="792"/>
              <w:spacing w:after="0"/>
              <w:rPr>
                <w:sz w:val="20"/>
                <w:szCs w:val="20"/>
                <w:color w:val="auto"/>
              </w:rPr>
            </w:pPr>
            <w:r>
              <w:rPr>
                <w:rFonts w:ascii="Verdana" w:cs="Verdana" w:eastAsia="Verdana" w:hAnsi="Verdana"/>
                <w:sz w:val="10"/>
                <w:szCs w:val="10"/>
                <w:b w:val="1"/>
                <w:bCs w:val="1"/>
                <w:color w:val="auto"/>
              </w:rPr>
              <w:t>Year-Two: Basis Point Changes</w:t>
            </w:r>
          </w:p>
        </w:tc>
      </w:tr>
      <w:tr>
        <w:trPr>
          <w:trHeight w:val="131"/>
        </w:trPr>
        <w:tc>
          <w:tcPr>
            <w:tcW w:w="4360" w:type="dxa"/>
            <w:vAlign w:val="bottom"/>
          </w:tcPr>
          <w:p>
            <w:pPr>
              <w:spacing w:after="0"/>
              <w:rPr>
                <w:sz w:val="11"/>
                <w:szCs w:val="11"/>
                <w:color w:val="auto"/>
              </w:rPr>
            </w:pPr>
          </w:p>
        </w:tc>
        <w:tc>
          <w:tcPr>
            <w:tcW w:w="1740" w:type="dxa"/>
            <w:vAlign w:val="bottom"/>
            <w:tcBorders>
              <w:top w:val="single" w:sz="8" w:color="auto"/>
            </w:tcBorders>
            <w:gridSpan w:val="2"/>
          </w:tcPr>
          <w:p>
            <w:pPr>
              <w:ind w:left="280"/>
              <w:spacing w:after="0"/>
              <w:rPr>
                <w:sz w:val="20"/>
                <w:szCs w:val="20"/>
                <w:color w:val="auto"/>
              </w:rPr>
            </w:pPr>
            <w:r>
              <w:rPr>
                <w:rFonts w:ascii="Verdana" w:cs="Verdana" w:eastAsia="Verdana" w:hAnsi="Verdana"/>
                <w:sz w:val="10"/>
                <w:szCs w:val="10"/>
                <w:b w:val="1"/>
                <w:bCs w:val="1"/>
                <w:color w:val="auto"/>
              </w:rPr>
              <w:t>December 31, 2024</w:t>
            </w:r>
          </w:p>
        </w:tc>
        <w:tc>
          <w:tcPr>
            <w:tcW w:w="1660" w:type="dxa"/>
            <w:vAlign w:val="bottom"/>
            <w:tcBorders>
              <w:top w:val="single" w:sz="8" w:color="auto"/>
            </w:tcBorders>
          </w:tcPr>
          <w:p>
            <w:pPr>
              <w:jc w:val="right"/>
              <w:ind w:right="212"/>
              <w:spacing w:after="0"/>
              <w:rPr>
                <w:sz w:val="20"/>
                <w:szCs w:val="20"/>
                <w:color w:val="auto"/>
              </w:rPr>
            </w:pPr>
            <w:r>
              <w:rPr>
                <w:rFonts w:ascii="Verdana" w:cs="Verdana" w:eastAsia="Verdana" w:hAnsi="Verdana"/>
                <w:sz w:val="10"/>
                <w:szCs w:val="10"/>
                <w:b w:val="1"/>
                <w:bCs w:val="1"/>
                <w:color w:val="auto"/>
              </w:rPr>
              <w:t>December 31, 2023</w:t>
            </w:r>
          </w:p>
        </w:tc>
        <w:tc>
          <w:tcPr>
            <w:tcW w:w="80" w:type="dxa"/>
            <w:vAlign w:val="bottom"/>
          </w:tcPr>
          <w:p>
            <w:pPr>
              <w:spacing w:after="0"/>
              <w:rPr>
                <w:sz w:val="11"/>
                <w:szCs w:val="11"/>
                <w:color w:val="auto"/>
              </w:rPr>
            </w:pPr>
          </w:p>
        </w:tc>
        <w:tc>
          <w:tcPr>
            <w:tcW w:w="1760" w:type="dxa"/>
            <w:vAlign w:val="bottom"/>
            <w:tcBorders>
              <w:top w:val="single" w:sz="8" w:color="auto"/>
            </w:tcBorders>
            <w:gridSpan w:val="2"/>
          </w:tcPr>
          <w:p>
            <w:pPr>
              <w:ind w:left="300"/>
              <w:spacing w:after="0"/>
              <w:rPr>
                <w:sz w:val="20"/>
                <w:szCs w:val="20"/>
                <w:color w:val="auto"/>
              </w:rPr>
            </w:pPr>
            <w:r>
              <w:rPr>
                <w:rFonts w:ascii="Verdana" w:cs="Verdana" w:eastAsia="Verdana" w:hAnsi="Verdana"/>
                <w:sz w:val="10"/>
                <w:szCs w:val="10"/>
                <w:b w:val="1"/>
                <w:bCs w:val="1"/>
                <w:color w:val="auto"/>
              </w:rPr>
              <w:t>December 31, 2024</w:t>
            </w:r>
          </w:p>
        </w:tc>
        <w:tc>
          <w:tcPr>
            <w:tcW w:w="1680" w:type="dxa"/>
            <w:vAlign w:val="bottom"/>
            <w:tcBorders>
              <w:top w:val="single" w:sz="8" w:color="auto"/>
            </w:tcBorders>
          </w:tcPr>
          <w:p>
            <w:pPr>
              <w:jc w:val="right"/>
              <w:ind w:right="232"/>
              <w:spacing w:after="0"/>
              <w:rPr>
                <w:sz w:val="20"/>
                <w:szCs w:val="20"/>
                <w:color w:val="auto"/>
              </w:rPr>
            </w:pPr>
            <w:r>
              <w:rPr>
                <w:rFonts w:ascii="Verdana" w:cs="Verdana" w:eastAsia="Verdana" w:hAnsi="Verdana"/>
                <w:sz w:val="10"/>
                <w:szCs w:val="10"/>
                <w:b w:val="1"/>
                <w:bCs w:val="1"/>
                <w:color w:val="auto"/>
              </w:rPr>
              <w:t>December 31, 2023</w:t>
            </w:r>
          </w:p>
        </w:tc>
      </w:tr>
      <w:tr>
        <w:trPr>
          <w:trHeight w:val="208"/>
        </w:trPr>
        <w:tc>
          <w:tcPr>
            <w:tcW w:w="43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400</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8.50 %</w:t>
            </w:r>
          </w:p>
        </w:tc>
        <w:tc>
          <w:tcPr>
            <w:tcW w:w="80" w:type="dxa"/>
            <w:vAlign w:val="bottom"/>
            <w:tcBorders>
              <w:top w:val="single" w:sz="8" w:color="E0E7ED"/>
            </w:tcBorders>
            <w:shd w:val="clear" w:color="auto" w:fill="E0E7ED"/>
          </w:tcPr>
          <w:p>
            <w:pPr>
              <w:spacing w:after="0"/>
              <w:rPr>
                <w:sz w:val="18"/>
                <w:szCs w:val="18"/>
                <w:color w:val="auto"/>
              </w:rPr>
            </w:pP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7.38 %</w:t>
            </w:r>
          </w:p>
        </w:tc>
        <w:tc>
          <w:tcPr>
            <w:tcW w:w="80" w:type="dxa"/>
            <w:vAlign w:val="bottom"/>
            <w:tcBorders>
              <w:top w:val="single" w:sz="8" w:color="E0E7ED"/>
            </w:tcBorders>
            <w:shd w:val="clear" w:color="auto" w:fill="E0E7ED"/>
          </w:tcPr>
          <w:p>
            <w:pPr>
              <w:spacing w:after="0"/>
              <w:rPr>
                <w:sz w:val="18"/>
                <w:szCs w:val="18"/>
                <w:color w:val="auto"/>
              </w:rPr>
            </w:pPr>
          </w:p>
        </w:tc>
        <w:tc>
          <w:tcPr>
            <w:tcW w:w="16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10.85 %</w:t>
            </w:r>
          </w:p>
        </w:tc>
        <w:tc>
          <w:tcPr>
            <w:tcW w:w="80" w:type="dxa"/>
            <w:vAlign w:val="bottom"/>
            <w:tcBorders>
              <w:top w:val="single" w:sz="8" w:color="E0E7ED"/>
            </w:tcBorders>
            <w:shd w:val="clear" w:color="auto" w:fill="E0E7ED"/>
          </w:tcPr>
          <w:p>
            <w:pPr>
              <w:spacing w:after="0"/>
              <w:rPr>
                <w:sz w:val="18"/>
                <w:szCs w:val="18"/>
                <w:color w:val="auto"/>
              </w:rPr>
            </w:pPr>
          </w:p>
        </w:tc>
        <w:tc>
          <w:tcPr>
            <w:tcW w:w="16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8.55 %</w:t>
            </w:r>
          </w:p>
        </w:tc>
      </w:tr>
      <w:tr>
        <w:trPr>
          <w:trHeight w:val="207"/>
        </w:trPr>
        <w:tc>
          <w:tcPr>
            <w:tcW w:w="4360" w:type="dxa"/>
            <w:vAlign w:val="bottom"/>
          </w:tcPr>
          <w:p>
            <w:pPr>
              <w:ind w:left="20"/>
              <w:spacing w:after="0"/>
              <w:rPr>
                <w:sz w:val="20"/>
                <w:szCs w:val="20"/>
                <w:color w:val="auto"/>
              </w:rPr>
            </w:pPr>
            <w:r>
              <w:rPr>
                <w:rFonts w:ascii="Verdana" w:cs="Verdana" w:eastAsia="Verdana" w:hAnsi="Verdana"/>
                <w:sz w:val="14"/>
                <w:szCs w:val="14"/>
                <w:color w:val="auto"/>
              </w:rPr>
              <w:t>300</w:t>
            </w:r>
          </w:p>
        </w:tc>
        <w:tc>
          <w:tcPr>
            <w:tcW w:w="1660" w:type="dxa"/>
            <w:vAlign w:val="bottom"/>
          </w:tcPr>
          <w:p>
            <w:pPr>
              <w:jc w:val="right"/>
              <w:spacing w:after="0"/>
              <w:rPr>
                <w:sz w:val="20"/>
                <w:szCs w:val="20"/>
                <w:color w:val="auto"/>
              </w:rPr>
            </w:pPr>
            <w:r>
              <w:rPr>
                <w:rFonts w:ascii="Verdana" w:cs="Verdana" w:eastAsia="Verdana" w:hAnsi="Verdana"/>
                <w:sz w:val="14"/>
                <w:szCs w:val="14"/>
                <w:color w:val="auto"/>
              </w:rPr>
              <w:t>6.26 %</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5.49 %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8.01 %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6.34 %</w:t>
            </w:r>
          </w:p>
        </w:tc>
      </w:tr>
      <w:tr>
        <w:trPr>
          <w:trHeight w:val="218"/>
        </w:trPr>
        <w:tc>
          <w:tcPr>
            <w:tcW w:w="43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200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4.05 %</w:t>
            </w: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3.64 %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5.24 %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4.20 %</w:t>
            </w:r>
          </w:p>
        </w:tc>
      </w:tr>
      <w:tr>
        <w:trPr>
          <w:trHeight w:val="207"/>
        </w:trPr>
        <w:tc>
          <w:tcPr>
            <w:tcW w:w="4360" w:type="dxa"/>
            <w:vAlign w:val="bottom"/>
          </w:tcPr>
          <w:p>
            <w:pPr>
              <w:ind w:left="20"/>
              <w:spacing w:after="0"/>
              <w:rPr>
                <w:sz w:val="20"/>
                <w:szCs w:val="20"/>
                <w:color w:val="auto"/>
              </w:rPr>
            </w:pPr>
            <w:r>
              <w:rPr>
                <w:rFonts w:ascii="Verdana" w:cs="Verdana" w:eastAsia="Verdana" w:hAnsi="Verdana"/>
                <w:sz w:val="14"/>
                <w:szCs w:val="14"/>
                <w:color w:val="auto"/>
              </w:rPr>
              <w:t>100</w:t>
            </w:r>
          </w:p>
        </w:tc>
        <w:tc>
          <w:tcPr>
            <w:tcW w:w="1660" w:type="dxa"/>
            <w:vAlign w:val="bottom"/>
          </w:tcPr>
          <w:p>
            <w:pPr>
              <w:jc w:val="right"/>
              <w:spacing w:after="0"/>
              <w:rPr>
                <w:sz w:val="20"/>
                <w:szCs w:val="20"/>
                <w:color w:val="auto"/>
              </w:rPr>
            </w:pPr>
            <w:r>
              <w:rPr>
                <w:rFonts w:ascii="Verdana" w:cs="Verdana" w:eastAsia="Verdana" w:hAnsi="Verdana"/>
                <w:sz w:val="14"/>
                <w:szCs w:val="14"/>
                <w:color w:val="auto"/>
              </w:rPr>
              <w:t>1.96 %</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1.81 %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2.59 %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2.10 %</w:t>
            </w:r>
          </w:p>
        </w:tc>
      </w:tr>
      <w:tr>
        <w:trPr>
          <w:trHeight w:val="218"/>
        </w:trPr>
        <w:tc>
          <w:tcPr>
            <w:tcW w:w="43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-100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(1.81)%</w:t>
            </w: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(1.91)%</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(3.35)%</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(2.98)%</w:t>
            </w:r>
          </w:p>
        </w:tc>
      </w:tr>
      <w:tr>
        <w:trPr>
          <w:trHeight w:val="207"/>
        </w:trPr>
        <w:tc>
          <w:tcPr>
            <w:tcW w:w="4360" w:type="dxa"/>
            <w:vAlign w:val="bottom"/>
          </w:tcPr>
          <w:p>
            <w:pPr>
              <w:ind w:left="20"/>
              <w:spacing w:after="0"/>
              <w:rPr>
                <w:sz w:val="20"/>
                <w:szCs w:val="20"/>
                <w:color w:val="auto"/>
              </w:rPr>
            </w:pPr>
            <w:r>
              <w:rPr>
                <w:rFonts w:ascii="Verdana" w:cs="Verdana" w:eastAsia="Verdana" w:hAnsi="Verdana"/>
                <w:sz w:val="14"/>
                <w:szCs w:val="14"/>
                <w:color w:val="auto"/>
              </w:rPr>
              <w:t>-200</w:t>
            </w:r>
          </w:p>
        </w:tc>
        <w:tc>
          <w:tcPr>
            <w:tcW w:w="1660" w:type="dxa"/>
            <w:vAlign w:val="bottom"/>
          </w:tcPr>
          <w:p>
            <w:pPr>
              <w:jc w:val="right"/>
              <w:spacing w:after="0"/>
              <w:rPr>
                <w:sz w:val="20"/>
                <w:szCs w:val="20"/>
                <w:color w:val="auto"/>
              </w:rPr>
            </w:pPr>
            <w:r>
              <w:rPr>
                <w:rFonts w:ascii="Verdana" w:cs="Verdana" w:eastAsia="Verdana" w:hAnsi="Verdana"/>
                <w:sz w:val="14"/>
                <w:szCs w:val="14"/>
                <w:color w:val="auto"/>
              </w:rPr>
              <w:t>(3.39)%</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(3.86)%</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(6.65)%</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(6.12)%</w:t>
            </w:r>
          </w:p>
        </w:tc>
      </w:tr>
      <w:tr>
        <w:trPr>
          <w:trHeight w:val="218"/>
        </w:trPr>
        <w:tc>
          <w:tcPr>
            <w:tcW w:w="43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-300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(4.03)%</w:t>
            </w:r>
          </w:p>
        </w:tc>
        <w:tc>
          <w:tcPr>
            <w:tcW w:w="80" w:type="dxa"/>
            <w:vAlign w:val="bottom"/>
            <w:shd w:val="clear" w:color="auto" w:fill="E0E7ED"/>
          </w:tcPr>
          <w:p>
            <w:pPr>
              <w:spacing w:after="0"/>
              <w:rPr>
                <w:sz w:val="18"/>
                <w:szCs w:val="18"/>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(5.60)%</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(9.47)%</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(9.17)%</w:t>
            </w:r>
          </w:p>
        </w:tc>
      </w:tr>
      <w:tr>
        <w:trPr>
          <w:trHeight w:val="201"/>
        </w:trPr>
        <w:tc>
          <w:tcPr>
            <w:tcW w:w="4360" w:type="dxa"/>
            <w:vAlign w:val="bottom"/>
          </w:tcPr>
          <w:p>
            <w:pPr>
              <w:ind w:left="20"/>
              <w:spacing w:after="0"/>
              <w:rPr>
                <w:sz w:val="20"/>
                <w:szCs w:val="20"/>
                <w:color w:val="auto"/>
              </w:rPr>
            </w:pPr>
            <w:r>
              <w:rPr>
                <w:rFonts w:ascii="Verdana" w:cs="Verdana" w:eastAsia="Verdana" w:hAnsi="Verdana"/>
                <w:sz w:val="14"/>
                <w:szCs w:val="14"/>
                <w:color w:val="auto"/>
              </w:rPr>
              <w:t>-400</w:t>
            </w:r>
          </w:p>
        </w:tc>
        <w:tc>
          <w:tcPr>
            <w:tcW w:w="1660" w:type="dxa"/>
            <w:vAlign w:val="bottom"/>
          </w:tcPr>
          <w:p>
            <w:pPr>
              <w:jc w:val="right"/>
              <w:spacing w:after="0"/>
              <w:rPr>
                <w:sz w:val="20"/>
                <w:szCs w:val="20"/>
                <w:color w:val="auto"/>
              </w:rPr>
            </w:pPr>
            <w:r>
              <w:rPr>
                <w:rFonts w:ascii="Verdana" w:cs="Verdana" w:eastAsia="Verdana" w:hAnsi="Verdana"/>
                <w:sz w:val="14"/>
                <w:szCs w:val="14"/>
                <w:color w:val="auto"/>
              </w:rPr>
              <w:t>(4.41)%</w:t>
            </w:r>
          </w:p>
        </w:tc>
        <w:tc>
          <w:tcPr>
            <w:tcW w:w="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Verdana" w:cs="Verdana" w:eastAsia="Verdana" w:hAnsi="Verdana"/>
                <w:sz w:val="14"/>
                <w:szCs w:val="14"/>
                <w:color w:val="auto"/>
              </w:rPr>
              <w:t>(6.91)%</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(12.43)%</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(11.36)%</w:t>
            </w:r>
          </w:p>
        </w:tc>
      </w:tr>
    </w:tbl>
    <w:p>
      <w:pPr>
        <w:spacing w:after="0" w:line="2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0"/>
        </w:trPr>
        <w:tc>
          <w:tcPr>
            <w:tcW w:w="9560" w:type="dxa"/>
            <w:vAlign w:val="bottom"/>
            <w:gridSpan w:val="3"/>
          </w:tcPr>
          <w:p>
            <w:pPr>
              <w:spacing w:after="0"/>
              <w:rPr>
                <w:sz w:val="20"/>
                <w:szCs w:val="20"/>
                <w:color w:val="auto"/>
              </w:rPr>
            </w:pPr>
            <w:r>
              <w:rPr>
                <w:rFonts w:ascii="Verdana" w:cs="Verdana" w:eastAsia="Verdana" w:hAnsi="Verdana"/>
                <w:sz w:val="14"/>
                <w:szCs w:val="14"/>
                <w:color w:val="0000FF"/>
              </w:rPr>
              <w:t>Table of Contents</w:t>
            </w:r>
          </w:p>
        </w:tc>
        <w:tc>
          <w:tcPr>
            <w:tcW w:w="1700" w:type="dxa"/>
            <w:vAlign w:val="bottom"/>
          </w:tcPr>
          <w:p>
            <w:pPr>
              <w:spacing w:after="0"/>
              <w:rPr>
                <w:sz w:val="14"/>
                <w:szCs w:val="14"/>
                <w:color w:val="auto"/>
              </w:rPr>
            </w:pPr>
          </w:p>
        </w:tc>
      </w:tr>
      <w:tr>
        <w:trPr>
          <w:trHeight w:val="797"/>
        </w:trPr>
        <w:tc>
          <w:tcPr>
            <w:tcW w:w="6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320" w:type="dxa"/>
            <w:vAlign w:val="bottom"/>
          </w:tcPr>
          <w:p>
            <w:pPr>
              <w:ind w:left="1920"/>
              <w:spacing w:after="0"/>
              <w:rPr>
                <w:sz w:val="20"/>
                <w:szCs w:val="20"/>
                <w:color w:val="auto"/>
              </w:rPr>
            </w:pPr>
            <w:r>
              <w:rPr>
                <w:rFonts w:ascii="Verdana" w:cs="Verdana" w:eastAsia="Verdana" w:hAnsi="Verdana"/>
                <w:sz w:val="14"/>
                <w:szCs w:val="14"/>
                <w:b w:val="1"/>
                <w:bCs w:val="1"/>
                <w:color w:val="auto"/>
              </w:rPr>
              <w:t>ITEM 8. FINANCIAL STATEMENTS AND SUPPLEMENTARY DATA</w:t>
            </w:r>
          </w:p>
        </w:tc>
        <w:tc>
          <w:tcPr>
            <w:tcW w:w="1700" w:type="dxa"/>
            <w:vAlign w:val="bottom"/>
          </w:tcPr>
          <w:p>
            <w:pPr>
              <w:spacing w:after="0"/>
              <w:rPr>
                <w:sz w:val="24"/>
                <w:szCs w:val="24"/>
                <w:color w:val="auto"/>
              </w:rPr>
            </w:pPr>
          </w:p>
        </w:tc>
      </w:tr>
      <w:tr>
        <w:trPr>
          <w:trHeight w:val="308"/>
        </w:trPr>
        <w:tc>
          <w:tcPr>
            <w:tcW w:w="9560" w:type="dxa"/>
            <w:vAlign w:val="bottom"/>
            <w:gridSpan w:val="3"/>
          </w:tcPr>
          <w:p>
            <w:pPr>
              <w:spacing w:after="0"/>
              <w:rPr>
                <w:sz w:val="20"/>
                <w:szCs w:val="20"/>
                <w:color w:val="auto"/>
              </w:rPr>
            </w:pPr>
            <w:r>
              <w:rPr>
                <w:rFonts w:ascii="Verdana" w:cs="Verdana" w:eastAsia="Verdana" w:hAnsi="Verdana"/>
                <w:sz w:val="14"/>
                <w:szCs w:val="14"/>
                <w:b w:val="1"/>
                <w:bCs w:val="1"/>
                <w:color w:val="auto"/>
              </w:rPr>
              <w:t>Contents of Item 8. Financial Statements &amp; Supplementary Data</w:t>
            </w:r>
          </w:p>
        </w:tc>
        <w:tc>
          <w:tcPr>
            <w:tcW w:w="1700" w:type="dxa"/>
            <w:vAlign w:val="bottom"/>
          </w:tcPr>
          <w:p>
            <w:pPr>
              <w:spacing w:after="0"/>
              <w:rPr>
                <w:sz w:val="24"/>
                <w:szCs w:val="24"/>
                <w:color w:val="auto"/>
              </w:rPr>
            </w:pPr>
          </w:p>
        </w:tc>
      </w:tr>
      <w:tr>
        <w:trPr>
          <w:trHeight w:val="350"/>
        </w:trPr>
        <w:tc>
          <w:tcPr>
            <w:tcW w:w="9560" w:type="dxa"/>
            <w:vAlign w:val="bottom"/>
            <w:gridSpan w:val="3"/>
          </w:tcPr>
          <w:p>
            <w:pPr>
              <w:ind w:left="20"/>
              <w:spacing w:after="0"/>
              <w:rPr>
                <w:sz w:val="20"/>
                <w:szCs w:val="20"/>
                <w:color w:val="auto"/>
              </w:rPr>
            </w:pPr>
            <w:r>
              <w:rPr>
                <w:rFonts w:ascii="Verdana" w:cs="Verdana" w:eastAsia="Verdana" w:hAnsi="Verdana"/>
                <w:sz w:val="14"/>
                <w:szCs w:val="14"/>
                <w:color w:val="auto"/>
              </w:rPr>
              <w:t>REPORT OF INDEPENDENT REGISTERED PUBLIC ACCOUNTING FIRM (PCAOB ID 49)</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89</w:t>
            </w:r>
          </w:p>
        </w:tc>
      </w:tr>
      <w:tr>
        <w:trPr>
          <w:trHeight w:val="424"/>
        </w:trPr>
        <w:tc>
          <w:tcPr>
            <w:tcW w:w="9560" w:type="dxa"/>
            <w:vAlign w:val="bottom"/>
            <w:gridSpan w:val="3"/>
          </w:tcPr>
          <w:p>
            <w:pPr>
              <w:ind w:left="20"/>
              <w:spacing w:after="0"/>
              <w:rPr>
                <w:sz w:val="20"/>
                <w:szCs w:val="20"/>
                <w:color w:val="auto"/>
              </w:rPr>
            </w:pPr>
            <w:r>
              <w:rPr>
                <w:rFonts w:ascii="Verdana" w:cs="Verdana" w:eastAsia="Verdana" w:hAnsi="Verdana"/>
                <w:sz w:val="14"/>
                <w:szCs w:val="14"/>
                <w:color w:val="auto"/>
              </w:rPr>
              <w:t>CONSOLIDATED FINANCIAL STATEMENTS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91</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Consolidated Balance Sheets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91</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Consolidated Statements of Income</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92</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Consolidated Statements of Comprehensive Income (Loss)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93</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Consolidated Statements of Stockholders’ Equity</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94</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Consolidated Statements of Cash Flows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95</w:t>
            </w:r>
          </w:p>
        </w:tc>
      </w:tr>
      <w:tr>
        <w:trPr>
          <w:trHeight w:val="424"/>
        </w:trPr>
        <w:tc>
          <w:tcPr>
            <w:tcW w:w="9560" w:type="dxa"/>
            <w:vAlign w:val="bottom"/>
            <w:gridSpan w:val="3"/>
          </w:tcPr>
          <w:p>
            <w:pPr>
              <w:ind w:left="20"/>
              <w:spacing w:after="0"/>
              <w:rPr>
                <w:sz w:val="20"/>
                <w:szCs w:val="20"/>
                <w:color w:val="auto"/>
              </w:rPr>
            </w:pPr>
            <w:r>
              <w:rPr>
                <w:rFonts w:ascii="Verdana" w:cs="Verdana" w:eastAsia="Verdana" w:hAnsi="Verdana"/>
                <w:sz w:val="14"/>
                <w:szCs w:val="14"/>
                <w:color w:val="auto"/>
              </w:rPr>
              <w:t>NOTES TO CONSOLIDATED FINANCIAL STATEMENTS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97</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1. Significant Accounting Policies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97</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2. Mergers and Acquisitions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113</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3. Debt Securities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118</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4. Portfolio Loans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124</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5. Other Real Estate Owned and Other Repossessed Assets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135</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6. Premises and Equipment</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136</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7. Leases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136</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8. Goodwill and Other Intangible Assets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138</w:t>
            </w:r>
          </w:p>
        </w:tc>
      </w:tr>
      <w:tr>
        <w:trPr>
          <w:trHeight w:val="212"/>
        </w:trPr>
        <w:tc>
          <w:tcPr>
            <w:tcW w:w="680" w:type="dxa"/>
            <w:vAlign w:val="bottom"/>
          </w:tcPr>
          <w:p>
            <w:pPr>
              <w:ind w:left="280"/>
              <w:spacing w:after="0"/>
              <w:rPr>
                <w:sz w:val="20"/>
                <w:szCs w:val="20"/>
                <w:color w:val="auto"/>
              </w:rPr>
            </w:pPr>
            <w:r>
              <w:rPr>
                <w:rFonts w:ascii="Verdana" w:cs="Verdana" w:eastAsia="Verdana" w:hAnsi="Verdana"/>
                <w:sz w:val="14"/>
                <w:szCs w:val="14"/>
                <w:color w:val="auto"/>
              </w:rPr>
              <w:t>Note</w:t>
            </w:r>
          </w:p>
        </w:tc>
        <w:tc>
          <w:tcPr>
            <w:tcW w:w="8880" w:type="dxa"/>
            <w:vAlign w:val="bottom"/>
            <w:gridSpan w:val="2"/>
          </w:tcPr>
          <w:p>
            <w:pPr>
              <w:ind w:left="80"/>
              <w:spacing w:after="0"/>
              <w:rPr>
                <w:sz w:val="20"/>
                <w:szCs w:val="20"/>
                <w:color w:val="auto"/>
              </w:rPr>
            </w:pPr>
            <w:r>
              <w:rPr>
                <w:rFonts w:ascii="Verdana" w:cs="Verdana" w:eastAsia="Verdana" w:hAnsi="Verdana"/>
                <w:sz w:val="14"/>
                <w:szCs w:val="14"/>
                <w:color w:val="auto"/>
              </w:rPr>
              <w:t>9. Deposits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140</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10. Borrowings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141</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11. Junior Subordinated Debt Owed to Unconsolidated Trusts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143</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12. Regulatory Capital</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143</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13. Income Taxes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146</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14. Tax Credit and Other Investments in Unconsolidated Entities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148</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15. Employee Benefit Plans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148</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16. Stock-based Compensation</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149</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17. Transactions with Related Parties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154</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18. Outstanding Commitments and Contingent Liabilities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154</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19. Derivative Financial Instruments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155</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20. Fair Value Measurements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161</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21. Earnings Per Common Share</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167</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22. Accumulated Other Comprehensive Income (Loss)</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168</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23. Operating Segments and Related Information</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169</w:t>
            </w:r>
          </w:p>
        </w:tc>
      </w:tr>
      <w:tr>
        <w:trPr>
          <w:trHeight w:val="212"/>
        </w:trPr>
        <w:tc>
          <w:tcPr>
            <w:tcW w:w="9560" w:type="dxa"/>
            <w:vAlign w:val="bottom"/>
            <w:gridSpan w:val="3"/>
          </w:tcPr>
          <w:p>
            <w:pPr>
              <w:ind w:left="280"/>
              <w:spacing w:after="0"/>
              <w:rPr>
                <w:sz w:val="20"/>
                <w:szCs w:val="20"/>
                <w:color w:val="auto"/>
              </w:rPr>
            </w:pPr>
            <w:r>
              <w:rPr>
                <w:rFonts w:ascii="Verdana" w:cs="Verdana" w:eastAsia="Verdana" w:hAnsi="Verdana"/>
                <w:sz w:val="14"/>
                <w:szCs w:val="14"/>
                <w:color w:val="auto"/>
              </w:rPr>
              <w:t>Note 24. Parent Company Only Financial Information</w:t>
            </w:r>
          </w:p>
        </w:tc>
        <w:tc>
          <w:tcPr>
            <w:tcW w:w="1700" w:type="dxa"/>
            <w:vAlign w:val="bottom"/>
          </w:tcPr>
          <w:p>
            <w:pPr>
              <w:jc w:val="right"/>
              <w:spacing w:after="0"/>
              <w:rPr>
                <w:sz w:val="20"/>
                <w:szCs w:val="20"/>
                <w:color w:val="auto"/>
              </w:rPr>
            </w:pPr>
            <w:r>
              <w:rPr>
                <w:rFonts w:ascii="Verdana" w:cs="Verdana" w:eastAsia="Verdana" w:hAnsi="Verdana"/>
                <w:sz w:val="14"/>
                <w:szCs w:val="14"/>
                <w:color w:val="auto"/>
              </w:rPr>
              <w:t>174</w:t>
            </w: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88" w:name="page89"/>
    <w:bookmarkEnd w:id="8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First Busey Corporation and 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3"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We have audited the accompanying consolidated balance sheets of First Busey Corporation and its subsidiaries (the Company) as of December 31, 2024 and 2023, the related consolidated statements of income, comprehensive income (loss), stockholders' equity and cash flows for each of the three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February 27, 2025, expressed an unqualified opinion on the effectiveness of the Company's internal control over financial reporting.</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1"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2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1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89" w:name="page90"/>
    <w:bookmarkEnd w:id="8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Allowance for Credit Losses on Loans—Adjustments to Historical Loss Factors</w:t>
      </w:r>
    </w:p>
    <w:p>
      <w:pPr>
        <w:spacing w:after="0" w:line="21" w:lineRule="exact"/>
        <w:rPr>
          <w:sz w:val="20"/>
          <w:szCs w:val="20"/>
          <w:color w:val="auto"/>
        </w:rPr>
      </w:pPr>
    </w:p>
    <w:p>
      <w:pPr>
        <w:ind w:right="60"/>
        <w:spacing w:after="0" w:line="170" w:lineRule="exact"/>
        <w:rPr>
          <w:sz w:val="20"/>
          <w:szCs w:val="20"/>
          <w:color w:val="auto"/>
        </w:rPr>
      </w:pPr>
      <w:r>
        <w:rPr>
          <w:rFonts w:ascii="Arial" w:cs="Arial" w:eastAsia="Arial" w:hAnsi="Arial"/>
          <w:sz w:val="14"/>
          <w:szCs w:val="14"/>
          <w:color w:val="auto"/>
        </w:rPr>
        <w:t>As described in Notes 1 and 4 to the financial statements, the Company’s allowance for credit losses totaled $83.4 million, which consists of a reserve on loans collectively evaluated for impairment (a/k/a general reserve) of $81.6 million and a reserve on loans individually evaluated (a/k/a specific reserve) of $1.8 million at December 31, 2024. The allowance for credit losses is measured on a collective loan pool basis when similar risk characteristics exist. On a case</w:t>
      </w:r>
      <w:r>
        <w:rPr>
          <w:rFonts w:ascii="MS PGothic" w:cs="MS PGothic" w:eastAsia="MS PGothic" w:hAnsi="MS PGothic"/>
          <w:sz w:val="14"/>
          <w:szCs w:val="14"/>
          <w:color w:val="auto"/>
        </w:rPr>
        <w:t>‑</w:t>
      </w:r>
      <w:r>
        <w:rPr>
          <w:rFonts w:ascii="Arial" w:cs="Arial" w:eastAsia="Arial" w:hAnsi="Arial"/>
          <w:sz w:val="14"/>
          <w:szCs w:val="14"/>
          <w:color w:val="auto"/>
        </w:rPr>
        <w:t>by</w:t>
      </w:r>
      <w:r>
        <w:rPr>
          <w:rFonts w:ascii="MS PGothic" w:cs="MS PGothic" w:eastAsia="MS PGothic" w:hAnsi="MS PGothic"/>
          <w:sz w:val="14"/>
          <w:szCs w:val="14"/>
          <w:color w:val="auto"/>
        </w:rPr>
        <w:t>‑</w:t>
      </w:r>
      <w:r>
        <w:rPr>
          <w:rFonts w:ascii="Arial" w:cs="Arial" w:eastAsia="Arial" w:hAnsi="Arial"/>
          <w:sz w:val="14"/>
          <w:szCs w:val="14"/>
          <w:color w:val="auto"/>
        </w:rPr>
        <w:t xml:space="preserve"> case basis, a loan may be evaluated on an individual basis based on disparate risk characteristics. The measurement of expected credit losses on collectively evaluated loans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w:t>
      </w:r>
      <w:r>
        <w:rPr>
          <w:rFonts w:ascii="MS PGothic" w:cs="MS PGothic" w:eastAsia="MS PGothic" w:hAnsi="MS PGothic"/>
          <w:sz w:val="14"/>
          <w:szCs w:val="14"/>
          <w:color w:val="auto"/>
        </w:rPr>
        <w:t>‑</w:t>
      </w:r>
      <w:r>
        <w:rPr>
          <w:rFonts w:ascii="Arial" w:cs="Arial" w:eastAsia="Arial" w:hAnsi="Arial"/>
          <w:sz w:val="14"/>
          <w:szCs w:val="14"/>
          <w:color w:val="auto"/>
        </w:rPr>
        <w:t>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w:t>
      </w:r>
    </w:p>
    <w:p>
      <w:pPr>
        <w:spacing w:after="0" w:line="177"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We identified the adjustments to historical loss factors component of the allowance for credit losses as a critical audit matter, as auditing the underlying adjustments required significant auditor judgment as amounts determined by management rely on analysis that is highly subjective and includes significant estimation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adjustments to historical factors within the allowance for credit losses include the following, among others:</w:t>
      </w:r>
    </w:p>
    <w:p>
      <w:pPr>
        <w:spacing w:after="0" w:line="157" w:lineRule="exact"/>
        <w:rPr>
          <w:sz w:val="20"/>
          <w:szCs w:val="20"/>
          <w:color w:val="auto"/>
        </w:rPr>
      </w:pPr>
    </w:p>
    <w:p>
      <w:pPr>
        <w:ind w:left="520" w:right="28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obtained an understanding of the relevant controls related to the adjustments to historical factors in the calculation of the allowance for credit losses and tested such controls for design and operating effectiveness.</w:t>
      </w:r>
    </w:p>
    <w:p>
      <w:pPr>
        <w:spacing w:after="0" w:line="88" w:lineRule="exact"/>
        <w:rPr>
          <w:rFonts w:ascii="Arial" w:cs="Arial" w:eastAsia="Arial" w:hAnsi="Arial"/>
          <w:sz w:val="14"/>
          <w:szCs w:val="14"/>
          <w:color w:val="auto"/>
        </w:rPr>
      </w:pPr>
    </w:p>
    <w:p>
      <w:pPr>
        <w:ind w:left="520" w:right="50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tested the completeness and accuracy of data used by management in determining adjustments to historical loss factors including testing the supporting data for agreement to internal or external source data.</w:t>
      </w:r>
    </w:p>
    <w:p>
      <w:pPr>
        <w:spacing w:after="0" w:line="88" w:lineRule="exact"/>
        <w:rPr>
          <w:rFonts w:ascii="Arial" w:cs="Arial" w:eastAsia="Arial" w:hAnsi="Arial"/>
          <w:sz w:val="14"/>
          <w:szCs w:val="14"/>
          <w:color w:val="auto"/>
        </w:rPr>
      </w:pPr>
    </w:p>
    <w:p>
      <w:pPr>
        <w:ind w:left="520" w:right="10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tested management’s conclusions regarding the appropriateness of the adjustments, including magnitude and directional consistency, to historical loss factors included in the allowance for credit losses calculation.</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or our predecessor firms have served as the Company’s auditor since at least 1980; however, an earlier year could not be established.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2025</w:t>
      </w:r>
    </w:p>
    <w:p>
      <w:pPr>
        <w:spacing w:after="0" w:line="33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0" w:name="page91"/>
    <w:bookmarkEnd w:id="9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1"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CONSOLIDATED FINANCIAL STATEMENTS</w:t>
      </w:r>
    </w:p>
    <w:p>
      <w:pPr>
        <w:jc w:val="center"/>
        <w:spacing w:after="0"/>
        <w:rPr>
          <w:sz w:val="20"/>
          <w:szCs w:val="20"/>
          <w:color w:val="auto"/>
        </w:rPr>
      </w:pPr>
      <w:r>
        <w:rPr>
          <w:rFonts w:ascii="Verdana" w:cs="Verdana" w:eastAsia="Verdana" w:hAnsi="Verdana"/>
          <w:sz w:val="14"/>
          <w:szCs w:val="14"/>
          <w:b w:val="1"/>
          <w:bCs w:val="1"/>
          <w:color w:val="auto"/>
        </w:rPr>
        <w:t>CONSOLIDATED BALANCE SHEETS</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11"/>
              <w:spacing w:after="0"/>
              <w:rPr>
                <w:sz w:val="20"/>
                <w:szCs w:val="20"/>
                <w:color w:val="auto"/>
              </w:rPr>
            </w:pPr>
            <w:r>
              <w:rPr>
                <w:rFonts w:ascii="Verdana" w:cs="Verdana" w:eastAsia="Verdana" w:hAnsi="Verdana"/>
                <w:sz w:val="10"/>
                <w:szCs w:val="10"/>
                <w:b w:val="1"/>
                <w:bCs w:val="1"/>
                <w:color w:val="auto"/>
              </w:rPr>
              <w:t>As of December 31,</w:t>
            </w:r>
          </w:p>
        </w:tc>
        <w:tc>
          <w:tcPr>
            <w:tcW w:w="940" w:type="dxa"/>
            <w:vAlign w:val="bottom"/>
            <w:tcBorders>
              <w:bottom w:val="single" w:sz="8" w:color="auto"/>
            </w:tcBorders>
          </w:tcPr>
          <w:p>
            <w:pPr>
              <w:spacing w:after="0"/>
              <w:rPr>
                <w:sz w:val="11"/>
                <w:szCs w:val="11"/>
                <w:color w:val="auto"/>
              </w:rPr>
            </w:pPr>
          </w:p>
        </w:tc>
      </w:tr>
      <w:tr>
        <w:trPr>
          <w:trHeight w:val="131"/>
        </w:trPr>
        <w:tc>
          <w:tcPr>
            <w:tcW w:w="3300" w:type="dxa"/>
            <w:vAlign w:val="bottom"/>
            <w:tcBorders>
              <w:bottom w:val="single" w:sz="8" w:color="E0E7ED"/>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240" w:type="dxa"/>
            <w:vAlign w:val="bottom"/>
            <w:tcBorders>
              <w:bottom w:val="single" w:sz="8" w:color="E0E7ED"/>
            </w:tcBorders>
          </w:tcPr>
          <w:p>
            <w:pPr>
              <w:spacing w:after="0"/>
              <w:rPr>
                <w:sz w:val="11"/>
                <w:szCs w:val="11"/>
                <w:color w:val="auto"/>
              </w:rPr>
            </w:pPr>
          </w:p>
        </w:tc>
        <w:tc>
          <w:tcPr>
            <w:tcW w:w="120" w:type="dxa"/>
            <w:vAlign w:val="bottom"/>
            <w:tcBorders>
              <w:bottom w:val="single" w:sz="8" w:color="E0E7ED"/>
            </w:tcBorders>
          </w:tcPr>
          <w:p>
            <w:pPr>
              <w:spacing w:after="0"/>
              <w:rPr>
                <w:sz w:val="11"/>
                <w:szCs w:val="11"/>
                <w:color w:val="auto"/>
              </w:rPr>
            </w:pPr>
          </w:p>
        </w:tc>
        <w:tc>
          <w:tcPr>
            <w:tcW w:w="43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r>
      <w:tr>
        <w:trPr>
          <w:trHeight w:val="123"/>
        </w:trPr>
        <w:tc>
          <w:tcPr>
            <w:tcW w:w="8120" w:type="dxa"/>
            <w:vAlign w:val="bottom"/>
            <w:gridSpan w:val="5"/>
            <w:shd w:val="clear" w:color="auto" w:fill="E0E7ED"/>
          </w:tcPr>
          <w:p>
            <w:pPr>
              <w:ind w:left="20"/>
              <w:spacing w:after="0" w:line="113" w:lineRule="exact"/>
              <w:rPr>
                <w:sz w:val="20"/>
                <w:szCs w:val="20"/>
                <w:color w:val="auto"/>
              </w:rPr>
            </w:pPr>
            <w:r>
              <w:rPr>
                <w:rFonts w:ascii="Verdana" w:cs="Verdana" w:eastAsia="Verdana" w:hAnsi="Verdana"/>
                <w:sz w:val="10"/>
                <w:szCs w:val="10"/>
                <w:b w:val="1"/>
                <w:bCs w:val="1"/>
                <w:color w:val="auto"/>
              </w:rPr>
              <w:t>Assets</w:t>
            </w: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5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Cash and cash equivalents: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Cash and due from banks</w:t>
            </w:r>
          </w:p>
        </w:tc>
        <w:tc>
          <w:tcPr>
            <w:tcW w:w="340" w:type="dxa"/>
            <w:vAlign w:val="bottom"/>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129,444</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431"/>
              <w:spacing w:after="0"/>
              <w:rPr>
                <w:sz w:val="20"/>
                <w:szCs w:val="20"/>
                <w:color w:val="auto"/>
              </w:rPr>
            </w:pPr>
            <w:r>
              <w:rPr>
                <w:rFonts w:ascii="Verdana" w:cs="Verdana" w:eastAsia="Verdana" w:hAnsi="Verdana"/>
                <w:sz w:val="10"/>
                <w:szCs w:val="10"/>
                <w:color w:val="auto"/>
                <w:w w:val="92"/>
              </w:rPr>
              <w:t>$</w:t>
            </w: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134,680</w:t>
            </w:r>
          </w:p>
        </w:tc>
      </w:tr>
      <w:tr>
        <w:trPr>
          <w:trHeight w:val="133"/>
        </w:trPr>
        <w:tc>
          <w:tcPr>
            <w:tcW w:w="8120" w:type="dxa"/>
            <w:vAlign w:val="bottom"/>
            <w:tcBorders>
              <w:bottom w:val="single" w:sz="8" w:color="E0E7ED"/>
            </w:tcBorders>
            <w:gridSpan w:val="5"/>
          </w:tcPr>
          <w:p>
            <w:pPr>
              <w:ind w:left="260"/>
              <w:spacing w:after="0"/>
              <w:rPr>
                <w:sz w:val="20"/>
                <w:szCs w:val="20"/>
                <w:color w:val="auto"/>
              </w:rPr>
            </w:pPr>
            <w:r>
              <w:rPr>
                <w:rFonts w:ascii="Verdana" w:cs="Verdana" w:eastAsia="Verdana" w:hAnsi="Verdana"/>
                <w:sz w:val="10"/>
                <w:szCs w:val="10"/>
                <w:color w:val="auto"/>
              </w:rPr>
              <w:t>Interest-bearing deposits</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568,215</w:t>
            </w:r>
          </w:p>
        </w:tc>
        <w:tc>
          <w:tcPr>
            <w:tcW w:w="8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584,901</w:t>
            </w:r>
          </w:p>
        </w:tc>
      </w:tr>
      <w:tr>
        <w:trPr>
          <w:trHeight w:val="134"/>
        </w:trPr>
        <w:tc>
          <w:tcPr>
            <w:tcW w:w="8120" w:type="dxa"/>
            <w:vAlign w:val="bottom"/>
            <w:gridSpan w:val="5"/>
            <w:shd w:val="clear" w:color="auto" w:fill="E0E7ED"/>
          </w:tcPr>
          <w:p>
            <w:pPr>
              <w:ind w:left="140"/>
              <w:spacing w:after="0" w:line="119" w:lineRule="exact"/>
              <w:rPr>
                <w:sz w:val="20"/>
                <w:szCs w:val="20"/>
                <w:color w:val="auto"/>
              </w:rPr>
            </w:pPr>
            <w:r>
              <w:rPr>
                <w:rFonts w:ascii="Verdana" w:cs="Verdana" w:eastAsia="Verdana" w:hAnsi="Verdana"/>
                <w:sz w:val="10"/>
                <w:szCs w:val="10"/>
                <w:color w:val="auto"/>
              </w:rPr>
              <w:t>Total cash and cash equivalents</w:t>
            </w: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697,659</w:t>
            </w:r>
          </w:p>
        </w:tc>
        <w:tc>
          <w:tcPr>
            <w:tcW w:w="8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719,581</w:t>
            </w:r>
          </w:p>
        </w:tc>
      </w:tr>
      <w:tr>
        <w:trPr>
          <w:trHeight w:val="138"/>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8"/>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Debt securities available for sale</w:t>
            </w: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1,810,221</w:t>
            </w:r>
          </w:p>
        </w:tc>
        <w:tc>
          <w:tcPr>
            <w:tcW w:w="8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2,087,571</w:t>
            </w: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Debt securities held to maturity</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826,630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872,628</w:t>
            </w:r>
          </w:p>
        </w:tc>
      </w:tr>
      <w:tr>
        <w:trPr>
          <w:trHeight w:val="143"/>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Equity securities</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15,862</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9,812</w:t>
            </w: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Loans held for sale</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3,657</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2,379</w:t>
            </w:r>
          </w:p>
        </w:tc>
      </w:tr>
      <w:tr>
        <w:trPr>
          <w:trHeight w:val="143"/>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Portfolio loans (net of ACL of $83,404 at December 31, 2024; $91,740 at December 31, 2023)</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7,613,683</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7,559,294</w:t>
            </w: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Restricted bank stock</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49,930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6,000</w:t>
            </w:r>
          </w:p>
        </w:tc>
      </w:tr>
      <w:tr>
        <w:trPr>
          <w:trHeight w:val="143"/>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Premises and equipment, net</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118,820</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122,594</w:t>
            </w: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Right of use assets</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10,608</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11,027</w:t>
            </w:r>
          </w:p>
        </w:tc>
      </w:tr>
      <w:tr>
        <w:trPr>
          <w:trHeight w:val="143"/>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Goodwill</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333,695</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317,873</w:t>
            </w: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Other intangible assets, net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32,280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35,991</w:t>
            </w:r>
          </w:p>
        </w:tc>
      </w:tr>
      <w:tr>
        <w:trPr>
          <w:trHeight w:val="143"/>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Cash surrender value of bank owned life insurance</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185,087</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182,975</w:t>
            </w:r>
          </w:p>
        </w:tc>
      </w:tr>
      <w:tr>
        <w:trPr>
          <w:trHeight w:val="133"/>
        </w:trPr>
        <w:tc>
          <w:tcPr>
            <w:tcW w:w="8120" w:type="dxa"/>
            <w:vAlign w:val="bottom"/>
            <w:tcBorders>
              <w:bottom w:val="single" w:sz="8" w:color="E0E7ED"/>
            </w:tcBorders>
            <w:gridSpan w:val="5"/>
          </w:tcPr>
          <w:p>
            <w:pPr>
              <w:ind w:left="140"/>
              <w:spacing w:after="0"/>
              <w:rPr>
                <w:sz w:val="20"/>
                <w:szCs w:val="20"/>
                <w:color w:val="auto"/>
              </w:rPr>
            </w:pPr>
            <w:r>
              <w:rPr>
                <w:rFonts w:ascii="Verdana" w:cs="Verdana" w:eastAsia="Verdana" w:hAnsi="Verdana"/>
                <w:sz w:val="10"/>
                <w:szCs w:val="10"/>
                <w:color w:val="auto"/>
              </w:rPr>
              <w:t>Other assets</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348,590</w:t>
            </w:r>
          </w:p>
        </w:tc>
        <w:tc>
          <w:tcPr>
            <w:tcW w:w="8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355,690</w:t>
            </w:r>
          </w:p>
        </w:tc>
      </w:tr>
      <w:tr>
        <w:trPr>
          <w:trHeight w:val="159"/>
        </w:trPr>
        <w:tc>
          <w:tcPr>
            <w:tcW w:w="8120" w:type="dxa"/>
            <w:vAlign w:val="bottom"/>
            <w:tcBorders>
              <w:bottom w:val="single" w:sz="8" w:color="E0E7ED"/>
            </w:tcBorders>
            <w:gridSpan w:val="5"/>
            <w:shd w:val="clear" w:color="auto" w:fill="E0E7ED"/>
          </w:tcPr>
          <w:p>
            <w:pPr>
              <w:ind w:left="20"/>
              <w:spacing w:after="0"/>
              <w:rPr>
                <w:sz w:val="20"/>
                <w:szCs w:val="20"/>
                <w:color w:val="auto"/>
              </w:rPr>
            </w:pPr>
            <w:r>
              <w:rPr>
                <w:rFonts w:ascii="Verdana" w:cs="Verdana" w:eastAsia="Verdana" w:hAnsi="Verdana"/>
                <w:sz w:val="10"/>
                <w:szCs w:val="10"/>
                <w:color w:val="auto"/>
              </w:rPr>
              <w:t>Total assets</w:t>
            </w: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12,046,722</w:t>
            </w:r>
          </w:p>
        </w:tc>
        <w:tc>
          <w:tcPr>
            <w:tcW w:w="80" w:type="dxa"/>
            <w:vAlign w:val="bottom"/>
            <w:tcBorders>
              <w:bottom w:val="single" w:sz="8" w:color="E0E7ED"/>
            </w:tcBorders>
            <w:shd w:val="clear" w:color="auto" w:fill="E0E7ED"/>
          </w:tcPr>
          <w:p>
            <w:pPr>
              <w:spacing w:after="0"/>
              <w:rPr>
                <w:sz w:val="13"/>
                <w:szCs w:val="13"/>
                <w:color w:val="auto"/>
              </w:rPr>
            </w:pPr>
          </w:p>
        </w:tc>
        <w:tc>
          <w:tcPr>
            <w:tcW w:w="560" w:type="dxa"/>
            <w:vAlign w:val="bottom"/>
            <w:tcBorders>
              <w:bottom w:val="single" w:sz="8" w:color="auto"/>
            </w:tcBorders>
            <w:shd w:val="clear" w:color="auto" w:fill="E0E7ED"/>
          </w:tcPr>
          <w:p>
            <w:pPr>
              <w:jc w:val="right"/>
              <w:ind w:right="431"/>
              <w:spacing w:after="0"/>
              <w:rPr>
                <w:sz w:val="20"/>
                <w:szCs w:val="20"/>
                <w:color w:val="auto"/>
              </w:rPr>
            </w:pPr>
            <w:r>
              <w:rPr>
                <w:rFonts w:ascii="Verdana" w:cs="Verdana" w:eastAsia="Verdana" w:hAnsi="Verdana"/>
                <w:sz w:val="10"/>
                <w:szCs w:val="10"/>
                <w:color w:val="auto"/>
                <w:w w:val="92"/>
              </w:rPr>
              <w:t>$</w:t>
            </w:r>
          </w:p>
        </w:tc>
        <w:tc>
          <w:tcPr>
            <w:tcW w:w="9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12,283,415</w:t>
            </w:r>
          </w:p>
        </w:tc>
      </w:tr>
      <w:tr>
        <w:trPr>
          <w:trHeight w:val="20"/>
        </w:trPr>
        <w:tc>
          <w:tcPr>
            <w:tcW w:w="33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43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r>
      <w:tr>
        <w:trPr>
          <w:trHeight w:val="79"/>
        </w:trPr>
        <w:tc>
          <w:tcPr>
            <w:tcW w:w="3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38"/>
        </w:trPr>
        <w:tc>
          <w:tcPr>
            <w:tcW w:w="8120" w:type="dxa"/>
            <w:vAlign w:val="bottom"/>
            <w:gridSpan w:val="5"/>
            <w:shd w:val="clear" w:color="auto" w:fill="E0E7ED"/>
          </w:tcPr>
          <w:p>
            <w:pPr>
              <w:ind w:left="20"/>
              <w:spacing w:after="0"/>
              <w:rPr>
                <w:sz w:val="20"/>
                <w:szCs w:val="20"/>
                <w:color w:val="auto"/>
              </w:rPr>
            </w:pPr>
            <w:r>
              <w:rPr>
                <w:rFonts w:ascii="Verdana" w:cs="Verdana" w:eastAsia="Verdana" w:hAnsi="Verdana"/>
                <w:sz w:val="10"/>
                <w:szCs w:val="10"/>
                <w:b w:val="1"/>
                <w:bCs w:val="1"/>
                <w:color w:val="auto"/>
              </w:rPr>
              <w:t>Liabilities and stockholders’ equity</w:t>
            </w: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b w:val="1"/>
                <w:bCs w:val="1"/>
                <w:color w:val="auto"/>
              </w:rPr>
              <w:t>Liabilities</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Deposits:</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r>
      <w:tr>
        <w:trPr>
          <w:trHeight w:val="133"/>
        </w:trPr>
        <w:tc>
          <w:tcPr>
            <w:tcW w:w="8120" w:type="dxa"/>
            <w:vAlign w:val="bottom"/>
            <w:gridSpan w:val="5"/>
          </w:tcPr>
          <w:p>
            <w:pPr>
              <w:ind w:left="400"/>
              <w:spacing w:after="0"/>
              <w:rPr>
                <w:sz w:val="20"/>
                <w:szCs w:val="20"/>
                <w:color w:val="auto"/>
              </w:rPr>
            </w:pPr>
            <w:r>
              <w:rPr>
                <w:rFonts w:ascii="Verdana" w:cs="Verdana" w:eastAsia="Verdana" w:hAnsi="Verdana"/>
                <w:sz w:val="10"/>
                <w:szCs w:val="10"/>
                <w:color w:val="auto"/>
              </w:rPr>
              <w:t>Noninterest-bearing</w:t>
            </w: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2,719,907</w:t>
            </w:r>
          </w:p>
        </w:tc>
        <w:tc>
          <w:tcPr>
            <w:tcW w:w="80" w:type="dxa"/>
            <w:vAlign w:val="bottom"/>
          </w:tcPr>
          <w:p>
            <w:pPr>
              <w:spacing w:after="0"/>
              <w:rPr>
                <w:sz w:val="11"/>
                <w:szCs w:val="11"/>
                <w:color w:val="auto"/>
              </w:rPr>
            </w:pPr>
          </w:p>
        </w:tc>
        <w:tc>
          <w:tcPr>
            <w:tcW w:w="560" w:type="dxa"/>
            <w:vAlign w:val="bottom"/>
          </w:tcPr>
          <w:p>
            <w:pPr>
              <w:jc w:val="right"/>
              <w:ind w:right="431"/>
              <w:spacing w:after="0"/>
              <w:rPr>
                <w:sz w:val="20"/>
                <w:szCs w:val="20"/>
                <w:color w:val="auto"/>
              </w:rPr>
            </w:pPr>
            <w:r>
              <w:rPr>
                <w:rFonts w:ascii="Verdana" w:cs="Verdana" w:eastAsia="Verdana" w:hAnsi="Verdana"/>
                <w:sz w:val="10"/>
                <w:szCs w:val="10"/>
                <w:color w:val="auto"/>
                <w:w w:val="92"/>
              </w:rPr>
              <w:t>$</w:t>
            </w: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2,834,655</w:t>
            </w:r>
          </w:p>
        </w:tc>
      </w:tr>
      <w:tr>
        <w:trPr>
          <w:trHeight w:val="143"/>
        </w:trPr>
        <w:tc>
          <w:tcPr>
            <w:tcW w:w="8120" w:type="dxa"/>
            <w:vAlign w:val="bottom"/>
            <w:gridSpan w:val="5"/>
            <w:shd w:val="clear" w:color="auto" w:fill="E0E7ED"/>
          </w:tcPr>
          <w:p>
            <w:pPr>
              <w:ind w:left="400"/>
              <w:spacing w:after="0"/>
              <w:rPr>
                <w:sz w:val="20"/>
                <w:szCs w:val="20"/>
                <w:color w:val="auto"/>
              </w:rPr>
            </w:pPr>
            <w:r>
              <w:rPr>
                <w:rFonts w:ascii="Verdana" w:cs="Verdana" w:eastAsia="Verdana" w:hAnsi="Verdana"/>
                <w:sz w:val="10"/>
                <w:szCs w:val="10"/>
                <w:color w:val="auto"/>
              </w:rPr>
              <w:t>Interest-bearing</w:t>
            </w: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7,262,583</w:t>
            </w:r>
          </w:p>
        </w:tc>
        <w:tc>
          <w:tcPr>
            <w:tcW w:w="80" w:type="dxa"/>
            <w:vAlign w:val="bottom"/>
            <w:shd w:val="clear" w:color="auto" w:fill="E0E7ED"/>
          </w:tcPr>
          <w:p>
            <w:pPr>
              <w:spacing w:after="0"/>
              <w:rPr>
                <w:sz w:val="12"/>
                <w:szCs w:val="12"/>
                <w:color w:val="auto"/>
              </w:rPr>
            </w:pPr>
          </w:p>
        </w:tc>
        <w:tc>
          <w:tcPr>
            <w:tcW w:w="560" w:type="dxa"/>
            <w:vAlign w:val="bottom"/>
            <w:tcBorders>
              <w:bottom w:val="single" w:sz="8" w:color="auto"/>
            </w:tcBorders>
            <w:shd w:val="clear" w:color="auto" w:fill="E0E7ED"/>
          </w:tcPr>
          <w:p>
            <w:pPr>
              <w:spacing w:after="0"/>
              <w:rPr>
                <w:sz w:val="12"/>
                <w:szCs w:val="12"/>
                <w:color w:val="auto"/>
              </w:rPr>
            </w:pPr>
          </w:p>
        </w:tc>
        <w:tc>
          <w:tcPr>
            <w:tcW w:w="9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7,456,501</w:t>
            </w:r>
          </w:p>
        </w:tc>
      </w:tr>
      <w:tr>
        <w:trPr>
          <w:trHeight w:val="123"/>
        </w:trPr>
        <w:tc>
          <w:tcPr>
            <w:tcW w:w="8120" w:type="dxa"/>
            <w:vAlign w:val="bottom"/>
            <w:gridSpan w:val="5"/>
          </w:tcPr>
          <w:p>
            <w:pPr>
              <w:ind w:left="260"/>
              <w:spacing w:after="0" w:line="114" w:lineRule="exact"/>
              <w:rPr>
                <w:sz w:val="20"/>
                <w:szCs w:val="20"/>
                <w:color w:val="auto"/>
              </w:rPr>
            </w:pPr>
            <w:r>
              <w:rPr>
                <w:rFonts w:ascii="Verdana" w:cs="Verdana" w:eastAsia="Verdana" w:hAnsi="Verdana"/>
                <w:sz w:val="10"/>
                <w:szCs w:val="10"/>
                <w:color w:val="auto"/>
              </w:rPr>
              <w:t>Total deposits</w:t>
            </w:r>
          </w:p>
        </w:tc>
        <w:tc>
          <w:tcPr>
            <w:tcW w:w="340" w:type="dxa"/>
            <w:vAlign w:val="bottom"/>
          </w:tcPr>
          <w:p>
            <w:pPr>
              <w:spacing w:after="0"/>
              <w:rPr>
                <w:sz w:val="10"/>
                <w:szCs w:val="10"/>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9,982,490</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10,291,156</w:t>
            </w:r>
          </w:p>
        </w:tc>
      </w:tr>
      <w:tr>
        <w:trPr>
          <w:trHeight w:val="143"/>
        </w:trPr>
        <w:tc>
          <w:tcPr>
            <w:tcW w:w="33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4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43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r>
      <w:tr>
        <w:trPr>
          <w:trHeight w:val="133"/>
        </w:trPr>
        <w:tc>
          <w:tcPr>
            <w:tcW w:w="8120" w:type="dxa"/>
            <w:vAlign w:val="bottom"/>
            <w:gridSpan w:val="5"/>
          </w:tcPr>
          <w:p>
            <w:pPr>
              <w:ind w:left="260"/>
              <w:spacing w:after="0"/>
              <w:rPr>
                <w:sz w:val="20"/>
                <w:szCs w:val="20"/>
                <w:color w:val="auto"/>
              </w:rPr>
            </w:pPr>
            <w:r>
              <w:rPr>
                <w:rFonts w:ascii="Verdana" w:cs="Verdana" w:eastAsia="Verdana" w:hAnsi="Verdana"/>
                <w:sz w:val="10"/>
                <w:szCs w:val="10"/>
                <w:color w:val="auto"/>
              </w:rPr>
              <w:t>Securities sold under agreements to repurchase</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155,610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187,396</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Short-term borrowings</w:t>
            </w:r>
          </w:p>
        </w:tc>
        <w:tc>
          <w:tcPr>
            <w:tcW w:w="340" w:type="dxa"/>
            <w:vAlign w:val="bottom"/>
            <w:shd w:val="clear" w:color="auto" w:fill="E0E7ED"/>
          </w:tcPr>
          <w:p>
            <w:pPr>
              <w:spacing w:after="0"/>
              <w:rPr>
                <w:sz w:val="12"/>
                <w:szCs w:val="12"/>
                <w:color w:val="auto"/>
              </w:rPr>
            </w:pPr>
          </w:p>
        </w:tc>
        <w:tc>
          <w:tcPr>
            <w:tcW w:w="12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0"/>
                <w:szCs w:val="10"/>
                <w:color w:val="auto"/>
              </w:rPr>
              <w:t>—</w:t>
            </w: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12,000</w:t>
            </w:r>
          </w:p>
        </w:tc>
      </w:tr>
      <w:tr>
        <w:trPr>
          <w:trHeight w:val="133"/>
        </w:trPr>
        <w:tc>
          <w:tcPr>
            <w:tcW w:w="8120" w:type="dxa"/>
            <w:vAlign w:val="bottom"/>
            <w:gridSpan w:val="5"/>
          </w:tcPr>
          <w:p>
            <w:pPr>
              <w:ind w:left="260"/>
              <w:spacing w:after="0"/>
              <w:rPr>
                <w:sz w:val="20"/>
                <w:szCs w:val="20"/>
                <w:color w:val="auto"/>
              </w:rPr>
            </w:pPr>
            <w:r>
              <w:rPr>
                <w:rFonts w:ascii="Verdana" w:cs="Verdana" w:eastAsia="Verdana" w:hAnsi="Verdana"/>
                <w:sz w:val="10"/>
                <w:szCs w:val="10"/>
                <w:color w:val="auto"/>
              </w:rPr>
              <w:t>Long-term debt</w:t>
            </w:r>
          </w:p>
        </w:tc>
        <w:tc>
          <w:tcPr>
            <w:tcW w:w="34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18,000</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Subordinated notes, net of unamortized issuance costs</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227,723</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222,882</w:t>
            </w:r>
          </w:p>
        </w:tc>
      </w:tr>
      <w:tr>
        <w:trPr>
          <w:trHeight w:val="133"/>
        </w:trPr>
        <w:tc>
          <w:tcPr>
            <w:tcW w:w="8120" w:type="dxa"/>
            <w:vAlign w:val="bottom"/>
            <w:gridSpan w:val="5"/>
          </w:tcPr>
          <w:p>
            <w:pPr>
              <w:ind w:left="260"/>
              <w:spacing w:after="0"/>
              <w:rPr>
                <w:sz w:val="20"/>
                <w:szCs w:val="20"/>
                <w:color w:val="auto"/>
              </w:rPr>
            </w:pPr>
            <w:r>
              <w:rPr>
                <w:rFonts w:ascii="Verdana" w:cs="Verdana" w:eastAsia="Verdana" w:hAnsi="Verdana"/>
                <w:sz w:val="10"/>
                <w:szCs w:val="10"/>
                <w:color w:val="auto"/>
              </w:rPr>
              <w:t>Junior subordinated debt owed to unconsolidated trusts</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74,815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71,993</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Lease liabilities</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11,040</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11,308</w:t>
            </w:r>
          </w:p>
        </w:tc>
      </w:tr>
      <w:tr>
        <w:trPr>
          <w:trHeight w:val="133"/>
        </w:trPr>
        <w:tc>
          <w:tcPr>
            <w:tcW w:w="8120" w:type="dxa"/>
            <w:vAlign w:val="bottom"/>
            <w:tcBorders>
              <w:bottom w:val="single" w:sz="8" w:color="E0E7ED"/>
            </w:tcBorders>
            <w:gridSpan w:val="5"/>
          </w:tcPr>
          <w:p>
            <w:pPr>
              <w:ind w:left="260"/>
              <w:spacing w:after="0"/>
              <w:rPr>
                <w:sz w:val="20"/>
                <w:szCs w:val="20"/>
                <w:color w:val="auto"/>
              </w:rPr>
            </w:pPr>
            <w:r>
              <w:rPr>
                <w:rFonts w:ascii="Verdana" w:cs="Verdana" w:eastAsia="Verdana" w:hAnsi="Verdana"/>
                <w:sz w:val="10"/>
                <w:szCs w:val="10"/>
                <w:color w:val="auto"/>
              </w:rPr>
              <w:t>Other liabilities</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211,775</w:t>
            </w:r>
          </w:p>
        </w:tc>
        <w:tc>
          <w:tcPr>
            <w:tcW w:w="8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196,699</w:t>
            </w:r>
          </w:p>
        </w:tc>
      </w:tr>
      <w:tr>
        <w:trPr>
          <w:trHeight w:val="129"/>
        </w:trPr>
        <w:tc>
          <w:tcPr>
            <w:tcW w:w="8120" w:type="dxa"/>
            <w:vAlign w:val="bottom"/>
            <w:gridSpan w:val="5"/>
            <w:shd w:val="clear" w:color="auto" w:fill="E0E7ED"/>
          </w:tcPr>
          <w:p>
            <w:pPr>
              <w:ind w:left="140"/>
              <w:spacing w:after="0" w:line="119" w:lineRule="exact"/>
              <w:rPr>
                <w:sz w:val="20"/>
                <w:szCs w:val="20"/>
                <w:color w:val="auto"/>
              </w:rPr>
            </w:pPr>
            <w:r>
              <w:rPr>
                <w:rFonts w:ascii="Verdana" w:cs="Verdana" w:eastAsia="Verdana" w:hAnsi="Verdana"/>
                <w:sz w:val="10"/>
                <w:szCs w:val="10"/>
                <w:color w:val="auto"/>
              </w:rPr>
              <w:t>Total liabilities</w:t>
            </w:r>
          </w:p>
        </w:tc>
        <w:tc>
          <w:tcPr>
            <w:tcW w:w="340" w:type="dxa"/>
            <w:vAlign w:val="bottom"/>
            <w:tcBorders>
              <w:bottom w:val="single" w:sz="8" w:color="auto"/>
            </w:tcBorders>
            <w:shd w:val="clear" w:color="auto" w:fill="E0E7ED"/>
          </w:tcPr>
          <w:p>
            <w:pPr>
              <w:spacing w:after="0"/>
              <w:rPr>
                <w:sz w:val="11"/>
                <w:szCs w:val="11"/>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10,663,453</w:t>
            </w:r>
          </w:p>
        </w:tc>
        <w:tc>
          <w:tcPr>
            <w:tcW w:w="80" w:type="dxa"/>
            <w:vAlign w:val="bottom"/>
            <w:shd w:val="clear" w:color="auto" w:fill="E0E7ED"/>
          </w:tcPr>
          <w:p>
            <w:pPr>
              <w:spacing w:after="0"/>
              <w:rPr>
                <w:sz w:val="11"/>
                <w:szCs w:val="11"/>
                <w:color w:val="auto"/>
              </w:rPr>
            </w:pPr>
          </w:p>
        </w:tc>
        <w:tc>
          <w:tcPr>
            <w:tcW w:w="560" w:type="dxa"/>
            <w:vAlign w:val="bottom"/>
            <w:tcBorders>
              <w:bottom w:val="single" w:sz="8" w:color="auto"/>
            </w:tcBorders>
            <w:shd w:val="clear" w:color="auto" w:fill="E0E7ED"/>
          </w:tcPr>
          <w:p>
            <w:pPr>
              <w:spacing w:after="0"/>
              <w:rPr>
                <w:sz w:val="11"/>
                <w:szCs w:val="11"/>
                <w:color w:val="auto"/>
              </w:rPr>
            </w:pPr>
          </w:p>
        </w:tc>
        <w:tc>
          <w:tcPr>
            <w:tcW w:w="9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11,011,434</w:t>
            </w:r>
          </w:p>
        </w:tc>
      </w:tr>
      <w:tr>
        <w:trPr>
          <w:trHeight w:val="123"/>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18"/>
        </w:trPr>
        <w:tc>
          <w:tcPr>
            <w:tcW w:w="8120" w:type="dxa"/>
            <w:vAlign w:val="bottom"/>
            <w:gridSpan w:val="5"/>
            <w:shd w:val="clear" w:color="auto" w:fill="E0E7ED"/>
          </w:tcPr>
          <w:p>
            <w:pPr>
              <w:ind w:left="140"/>
              <w:spacing w:after="0" w:line="106" w:lineRule="exact"/>
              <w:rPr>
                <w:sz w:val="20"/>
                <w:szCs w:val="20"/>
                <w:color w:val="auto"/>
              </w:rPr>
            </w:pPr>
            <w:r>
              <w:rPr>
                <w:rFonts w:ascii="Verdana" w:cs="Verdana" w:eastAsia="Verdana" w:hAnsi="Verdana"/>
                <w:sz w:val="10"/>
                <w:szCs w:val="10"/>
                <w:color w:val="auto"/>
              </w:rPr>
              <w:t xml:space="preserve">Outstanding commitments and contingent liabilities (see Notes </w:t>
            </w:r>
            <w:r>
              <w:rPr>
                <w:rFonts w:ascii="Verdana" w:cs="Verdana" w:eastAsia="Verdana" w:hAnsi="Verdana"/>
                <w:sz w:val="10"/>
                <w:szCs w:val="10"/>
                <w:color w:val="0000FF"/>
              </w:rPr>
              <w:t>7</w:t>
            </w:r>
            <w:r>
              <w:rPr>
                <w:rFonts w:ascii="Verdana" w:cs="Verdana" w:eastAsia="Verdana" w:hAnsi="Verdana"/>
                <w:sz w:val="10"/>
                <w:szCs w:val="10"/>
                <w:color w:val="auto"/>
              </w:rPr>
              <w:t xml:space="preserve"> and </w:t>
            </w:r>
            <w:r>
              <w:rPr>
                <w:rFonts w:ascii="Verdana" w:cs="Verdana" w:eastAsia="Verdana" w:hAnsi="Verdana"/>
                <w:sz w:val="10"/>
                <w:szCs w:val="10"/>
                <w:color w:val="0000FF"/>
              </w:rPr>
              <w:t>18</w:t>
            </w:r>
            <w:r>
              <w:rPr>
                <w:rFonts w:ascii="Verdana" w:cs="Verdana" w:eastAsia="Verdana" w:hAnsi="Verdana"/>
                <w:sz w:val="10"/>
                <w:szCs w:val="10"/>
                <w:color w:val="auto"/>
              </w:rPr>
              <w:t>)</w:t>
            </w: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5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r>
      <w:tr>
        <w:trPr>
          <w:trHeight w:val="138"/>
        </w:trPr>
        <w:tc>
          <w:tcPr>
            <w:tcW w:w="3300" w:type="dxa"/>
            <w:vAlign w:val="bottom"/>
            <w:tcBorders>
              <w:top w:val="single" w:sz="8" w:color="E0E7ED"/>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40" w:type="dxa"/>
            <w:vAlign w:val="bottom"/>
            <w:tcBorders>
              <w:top w:val="single" w:sz="8" w:color="E0E7ED"/>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380" w:type="dxa"/>
            <w:vAlign w:val="bottom"/>
            <w:tcBorders>
              <w:top w:val="single" w:sz="8" w:color="E0E7ED"/>
            </w:tcBorders>
          </w:tcPr>
          <w:p>
            <w:pPr>
              <w:spacing w:after="0"/>
              <w:rPr>
                <w:sz w:val="11"/>
                <w:szCs w:val="11"/>
                <w:color w:val="auto"/>
              </w:rPr>
            </w:pPr>
          </w:p>
        </w:tc>
        <w:tc>
          <w:tcPr>
            <w:tcW w:w="340" w:type="dxa"/>
            <w:vAlign w:val="bottom"/>
            <w:tcBorders>
              <w:top w:val="single" w:sz="8" w:color="E0E7ED"/>
            </w:tcBorders>
          </w:tcPr>
          <w:p>
            <w:pPr>
              <w:spacing w:after="0"/>
              <w:rPr>
                <w:sz w:val="11"/>
                <w:szCs w:val="11"/>
                <w:color w:val="auto"/>
              </w:rPr>
            </w:pPr>
          </w:p>
        </w:tc>
        <w:tc>
          <w:tcPr>
            <w:tcW w:w="1140" w:type="dxa"/>
            <w:vAlign w:val="bottom"/>
            <w:tcBorders>
              <w:top w:val="single" w:sz="8" w:color="E0E7ED"/>
            </w:tcBorders>
          </w:tcPr>
          <w:p>
            <w:pPr>
              <w:spacing w:after="0"/>
              <w:rPr>
                <w:sz w:val="11"/>
                <w:szCs w:val="11"/>
                <w:color w:val="auto"/>
              </w:rPr>
            </w:pPr>
          </w:p>
        </w:tc>
        <w:tc>
          <w:tcPr>
            <w:tcW w:w="80" w:type="dxa"/>
            <w:vAlign w:val="bottom"/>
            <w:tcBorders>
              <w:top w:val="single" w:sz="8" w:color="E0E7ED"/>
            </w:tcBorders>
          </w:tcPr>
          <w:p>
            <w:pPr>
              <w:spacing w:after="0"/>
              <w:rPr>
                <w:sz w:val="11"/>
                <w:szCs w:val="11"/>
                <w:color w:val="auto"/>
              </w:rPr>
            </w:pPr>
          </w:p>
        </w:tc>
        <w:tc>
          <w:tcPr>
            <w:tcW w:w="560" w:type="dxa"/>
            <w:vAlign w:val="bottom"/>
            <w:tcBorders>
              <w:top w:val="single" w:sz="8" w:color="E0E7ED"/>
            </w:tcBorders>
          </w:tcPr>
          <w:p>
            <w:pPr>
              <w:spacing w:after="0"/>
              <w:rPr>
                <w:sz w:val="11"/>
                <w:szCs w:val="11"/>
                <w:color w:val="auto"/>
              </w:rPr>
            </w:pPr>
          </w:p>
        </w:tc>
        <w:tc>
          <w:tcPr>
            <w:tcW w:w="940" w:type="dxa"/>
            <w:vAlign w:val="bottom"/>
            <w:tcBorders>
              <w:top w:val="single" w:sz="8" w:color="E0E7ED"/>
            </w:tcBorders>
          </w:tcPr>
          <w:p>
            <w:pPr>
              <w:spacing w:after="0"/>
              <w:rPr>
                <w:sz w:val="11"/>
                <w:szCs w:val="11"/>
                <w:color w:val="auto"/>
              </w:rPr>
            </w:pPr>
          </w:p>
        </w:tc>
      </w:tr>
      <w:tr>
        <w:trPr>
          <w:trHeight w:val="138"/>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b w:val="1"/>
                <w:bCs w:val="1"/>
                <w:color w:val="auto"/>
              </w:rPr>
              <w:t>Stockholders’ equity</w:t>
            </w: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r>
      <w:tr>
        <w:trPr>
          <w:trHeight w:val="133"/>
        </w:trPr>
        <w:tc>
          <w:tcPr>
            <w:tcW w:w="8120" w:type="dxa"/>
            <w:vAlign w:val="bottom"/>
            <w:gridSpan w:val="5"/>
          </w:tcPr>
          <w:p>
            <w:pPr>
              <w:ind w:left="260"/>
              <w:spacing w:after="0"/>
              <w:rPr>
                <w:sz w:val="20"/>
                <w:szCs w:val="20"/>
                <w:color w:val="auto"/>
              </w:rPr>
            </w:pPr>
            <w:r>
              <w:rPr>
                <w:rFonts w:ascii="Verdana" w:cs="Verdana" w:eastAsia="Verdana" w:hAnsi="Verdana"/>
                <w:sz w:val="10"/>
                <w:szCs w:val="10"/>
                <w:color w:val="auto"/>
              </w:rPr>
              <w:t>Common stock, ($0.001 par value; 100,000,000 shares authorized)</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60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58</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Additional paid-in capital</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1,360,530</w:t>
            </w:r>
          </w:p>
        </w:tc>
        <w:tc>
          <w:tcPr>
            <w:tcW w:w="8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9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1,323,595</w:t>
            </w:r>
          </w:p>
        </w:tc>
      </w:tr>
      <w:tr>
        <w:trPr>
          <w:trHeight w:val="133"/>
        </w:trPr>
        <w:tc>
          <w:tcPr>
            <w:tcW w:w="8120" w:type="dxa"/>
            <w:vAlign w:val="bottom"/>
            <w:gridSpan w:val="5"/>
          </w:tcPr>
          <w:p>
            <w:pPr>
              <w:ind w:left="260"/>
              <w:spacing w:after="0"/>
              <w:rPr>
                <w:sz w:val="20"/>
                <w:szCs w:val="20"/>
                <w:color w:val="auto"/>
              </w:rPr>
            </w:pPr>
            <w:r>
              <w:rPr>
                <w:rFonts w:ascii="Verdana" w:cs="Verdana" w:eastAsia="Verdana" w:hAnsi="Verdana"/>
                <w:sz w:val="10"/>
                <w:szCs w:val="10"/>
                <w:color w:val="auto"/>
              </w:rPr>
              <w:t>Retained earnings</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294,054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237,197</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AOCI</w:t>
            </w: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(207,039)</w:t>
            </w:r>
          </w:p>
        </w:tc>
        <w:tc>
          <w:tcPr>
            <w:tcW w:w="80" w:type="dxa"/>
            <w:vAlign w:val="bottom"/>
            <w:shd w:val="clear" w:color="auto" w:fill="E0E7ED"/>
          </w:tcPr>
          <w:p>
            <w:pPr>
              <w:spacing w:after="0"/>
              <w:rPr>
                <w:sz w:val="12"/>
                <w:szCs w:val="12"/>
                <w:color w:val="auto"/>
              </w:rPr>
            </w:pPr>
          </w:p>
        </w:tc>
        <w:tc>
          <w:tcPr>
            <w:tcW w:w="560" w:type="dxa"/>
            <w:vAlign w:val="bottom"/>
            <w:tcBorders>
              <w:bottom w:val="single" w:sz="8" w:color="auto"/>
            </w:tcBorders>
            <w:shd w:val="clear" w:color="auto" w:fill="E0E7ED"/>
          </w:tcPr>
          <w:p>
            <w:pPr>
              <w:spacing w:after="0"/>
              <w:rPr>
                <w:sz w:val="12"/>
                <w:szCs w:val="12"/>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(218,803)</w:t>
            </w:r>
          </w:p>
        </w:tc>
      </w:tr>
      <w:tr>
        <w:trPr>
          <w:trHeight w:val="123"/>
        </w:trPr>
        <w:tc>
          <w:tcPr>
            <w:tcW w:w="8120" w:type="dxa"/>
            <w:vAlign w:val="bottom"/>
            <w:gridSpan w:val="5"/>
          </w:tcPr>
          <w:p>
            <w:pPr>
              <w:ind w:left="260"/>
              <w:spacing w:after="0" w:line="114" w:lineRule="exact"/>
              <w:rPr>
                <w:sz w:val="20"/>
                <w:szCs w:val="20"/>
                <w:color w:val="auto"/>
              </w:rPr>
            </w:pPr>
            <w:r>
              <w:rPr>
                <w:rFonts w:ascii="Verdana" w:cs="Verdana" w:eastAsia="Verdana" w:hAnsi="Verdana"/>
                <w:sz w:val="10"/>
                <w:szCs w:val="10"/>
                <w:color w:val="auto"/>
              </w:rPr>
              <w:t>Total stockholders’ equity before treasury stock</w:t>
            </w:r>
          </w:p>
        </w:tc>
        <w:tc>
          <w:tcPr>
            <w:tcW w:w="340" w:type="dxa"/>
            <w:vAlign w:val="bottom"/>
          </w:tcPr>
          <w:p>
            <w:pPr>
              <w:spacing w:after="0"/>
              <w:rPr>
                <w:sz w:val="10"/>
                <w:szCs w:val="10"/>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1,447,605</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jc w:val="right"/>
              <w:ind w:right="11"/>
              <w:spacing w:after="0"/>
              <w:rPr>
                <w:sz w:val="20"/>
                <w:szCs w:val="20"/>
                <w:color w:val="auto"/>
              </w:rPr>
            </w:pPr>
            <w:r>
              <w:rPr>
                <w:rFonts w:ascii="Verdana" w:cs="Verdana" w:eastAsia="Verdana" w:hAnsi="Verdana"/>
                <w:sz w:val="10"/>
                <w:szCs w:val="10"/>
                <w:color w:val="auto"/>
              </w:rPr>
              <w:t>1,342,047</w:t>
            </w:r>
          </w:p>
        </w:tc>
      </w:tr>
      <w:tr>
        <w:trPr>
          <w:trHeight w:val="143"/>
        </w:trPr>
        <w:tc>
          <w:tcPr>
            <w:tcW w:w="8120" w:type="dxa"/>
            <w:vAlign w:val="bottom"/>
            <w:gridSpan w:val="5"/>
            <w:shd w:val="clear" w:color="auto" w:fill="E0E7ED"/>
          </w:tcPr>
          <w:p>
            <w:pPr>
              <w:ind w:left="260"/>
              <w:spacing w:after="0"/>
              <w:rPr>
                <w:sz w:val="20"/>
                <w:szCs w:val="20"/>
                <w:color w:val="auto"/>
              </w:rPr>
            </w:pPr>
            <w:r>
              <w:rPr>
                <w:rFonts w:ascii="Verdana" w:cs="Verdana" w:eastAsia="Verdana" w:hAnsi="Verdana"/>
                <w:sz w:val="10"/>
                <w:szCs w:val="10"/>
                <w:color w:val="auto"/>
              </w:rPr>
              <w:t>Treasury stock at cost</w:t>
            </w: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(64,336)</w:t>
            </w:r>
          </w:p>
        </w:tc>
        <w:tc>
          <w:tcPr>
            <w:tcW w:w="80" w:type="dxa"/>
            <w:vAlign w:val="bottom"/>
            <w:shd w:val="clear" w:color="auto" w:fill="E0E7ED"/>
          </w:tcPr>
          <w:p>
            <w:pPr>
              <w:spacing w:after="0"/>
              <w:rPr>
                <w:sz w:val="12"/>
                <w:szCs w:val="12"/>
                <w:color w:val="auto"/>
              </w:rPr>
            </w:pPr>
          </w:p>
        </w:tc>
        <w:tc>
          <w:tcPr>
            <w:tcW w:w="560" w:type="dxa"/>
            <w:vAlign w:val="bottom"/>
            <w:tcBorders>
              <w:bottom w:val="single" w:sz="8" w:color="auto"/>
            </w:tcBorders>
            <w:shd w:val="clear" w:color="auto" w:fill="E0E7ED"/>
          </w:tcPr>
          <w:p>
            <w:pPr>
              <w:spacing w:after="0"/>
              <w:rPr>
                <w:sz w:val="12"/>
                <w:szCs w:val="12"/>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(70,066)</w:t>
            </w:r>
          </w:p>
        </w:tc>
      </w:tr>
      <w:tr>
        <w:trPr>
          <w:trHeight w:val="123"/>
        </w:trPr>
        <w:tc>
          <w:tcPr>
            <w:tcW w:w="8120" w:type="dxa"/>
            <w:vAlign w:val="bottom"/>
            <w:tcBorders>
              <w:bottom w:val="single" w:sz="8" w:color="E0E7ED"/>
            </w:tcBorders>
            <w:gridSpan w:val="5"/>
          </w:tcPr>
          <w:p>
            <w:pPr>
              <w:ind w:left="140"/>
              <w:spacing w:after="0" w:line="114" w:lineRule="exact"/>
              <w:rPr>
                <w:sz w:val="20"/>
                <w:szCs w:val="20"/>
                <w:color w:val="auto"/>
              </w:rPr>
            </w:pPr>
            <w:r>
              <w:rPr>
                <w:rFonts w:ascii="Verdana" w:cs="Verdana" w:eastAsia="Verdana" w:hAnsi="Verdana"/>
                <w:sz w:val="10"/>
                <w:szCs w:val="10"/>
                <w:color w:val="auto"/>
              </w:rPr>
              <w:t>Total stockholders’ equity</w:t>
            </w: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1,383,269</w:t>
            </w:r>
          </w:p>
        </w:tc>
        <w:tc>
          <w:tcPr>
            <w:tcW w:w="80" w:type="dxa"/>
            <w:vAlign w:val="bottom"/>
            <w:tcBorders>
              <w:bottom w:val="single" w:sz="8" w:color="E0E7ED"/>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1,271,981</w:t>
            </w:r>
          </w:p>
        </w:tc>
      </w:tr>
      <w:tr>
        <w:trPr>
          <w:trHeight w:val="159"/>
        </w:trPr>
        <w:tc>
          <w:tcPr>
            <w:tcW w:w="8120" w:type="dxa"/>
            <w:vAlign w:val="bottom"/>
            <w:tcBorders>
              <w:bottom w:val="single" w:sz="8" w:color="E0E7ED"/>
            </w:tcBorders>
            <w:gridSpan w:val="5"/>
            <w:shd w:val="clear" w:color="auto" w:fill="E0E7ED"/>
          </w:tcPr>
          <w:p>
            <w:pPr>
              <w:ind w:left="20"/>
              <w:spacing w:after="0"/>
              <w:rPr>
                <w:sz w:val="20"/>
                <w:szCs w:val="20"/>
                <w:color w:val="auto"/>
              </w:rPr>
            </w:pPr>
            <w:r>
              <w:rPr>
                <w:rFonts w:ascii="Verdana" w:cs="Verdana" w:eastAsia="Verdana" w:hAnsi="Verdana"/>
                <w:sz w:val="10"/>
                <w:szCs w:val="10"/>
                <w:color w:val="auto"/>
              </w:rPr>
              <w:t>Total liabilities and stockholders’ equity</w:t>
            </w: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12,046,722</w:t>
            </w:r>
          </w:p>
        </w:tc>
        <w:tc>
          <w:tcPr>
            <w:tcW w:w="80" w:type="dxa"/>
            <w:vAlign w:val="bottom"/>
            <w:tcBorders>
              <w:bottom w:val="single" w:sz="8" w:color="E0E7ED"/>
            </w:tcBorders>
            <w:shd w:val="clear" w:color="auto" w:fill="E0E7ED"/>
          </w:tcPr>
          <w:p>
            <w:pPr>
              <w:spacing w:after="0"/>
              <w:rPr>
                <w:sz w:val="13"/>
                <w:szCs w:val="13"/>
                <w:color w:val="auto"/>
              </w:rPr>
            </w:pPr>
          </w:p>
        </w:tc>
        <w:tc>
          <w:tcPr>
            <w:tcW w:w="560" w:type="dxa"/>
            <w:vAlign w:val="bottom"/>
            <w:tcBorders>
              <w:bottom w:val="single" w:sz="8" w:color="auto"/>
            </w:tcBorders>
            <w:shd w:val="clear" w:color="auto" w:fill="E0E7ED"/>
          </w:tcPr>
          <w:p>
            <w:pPr>
              <w:jc w:val="right"/>
              <w:ind w:right="431"/>
              <w:spacing w:after="0"/>
              <w:rPr>
                <w:sz w:val="20"/>
                <w:szCs w:val="20"/>
                <w:color w:val="auto"/>
              </w:rPr>
            </w:pPr>
            <w:r>
              <w:rPr>
                <w:rFonts w:ascii="Verdana" w:cs="Verdana" w:eastAsia="Verdana" w:hAnsi="Verdana"/>
                <w:sz w:val="10"/>
                <w:szCs w:val="10"/>
                <w:color w:val="auto"/>
                <w:w w:val="92"/>
              </w:rPr>
              <w:t>$</w:t>
            </w:r>
          </w:p>
        </w:tc>
        <w:tc>
          <w:tcPr>
            <w:tcW w:w="9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12,283,415</w:t>
            </w:r>
          </w:p>
        </w:tc>
      </w:tr>
      <w:tr>
        <w:trPr>
          <w:trHeight w:val="20"/>
        </w:trPr>
        <w:tc>
          <w:tcPr>
            <w:tcW w:w="33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43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r>
      <w:tr>
        <w:trPr>
          <w:trHeight w:val="79"/>
        </w:trPr>
        <w:tc>
          <w:tcPr>
            <w:tcW w:w="3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138"/>
        </w:trPr>
        <w:tc>
          <w:tcPr>
            <w:tcW w:w="8120" w:type="dxa"/>
            <w:vAlign w:val="bottom"/>
            <w:gridSpan w:val="5"/>
            <w:shd w:val="clear" w:color="auto" w:fill="E0E7ED"/>
          </w:tcPr>
          <w:p>
            <w:pPr>
              <w:ind w:left="20"/>
              <w:spacing w:after="0"/>
              <w:rPr>
                <w:sz w:val="20"/>
                <w:szCs w:val="20"/>
                <w:color w:val="auto"/>
              </w:rPr>
            </w:pPr>
            <w:r>
              <w:rPr>
                <w:rFonts w:ascii="Verdana" w:cs="Verdana" w:eastAsia="Verdana" w:hAnsi="Verdana"/>
                <w:sz w:val="10"/>
                <w:szCs w:val="10"/>
                <w:b w:val="1"/>
                <w:bCs w:val="1"/>
                <w:color w:val="auto"/>
              </w:rPr>
              <w:t>Shares</w:t>
            </w: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r>
      <w:tr>
        <w:trPr>
          <w:trHeight w:val="133"/>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Common shares issued</w:t>
            </w: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59,546,273</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Verdana" w:cs="Verdana" w:eastAsia="Verdana" w:hAnsi="Verdana"/>
                <w:sz w:val="10"/>
                <w:szCs w:val="10"/>
                <w:color w:val="auto"/>
              </w:rPr>
              <w:t>58,116,969</w:t>
            </w:r>
          </w:p>
        </w:tc>
      </w:tr>
      <w:tr>
        <w:trPr>
          <w:trHeight w:val="138"/>
        </w:trPr>
        <w:tc>
          <w:tcPr>
            <w:tcW w:w="8120" w:type="dxa"/>
            <w:vAlign w:val="bottom"/>
            <w:gridSpan w:val="5"/>
            <w:shd w:val="clear" w:color="auto" w:fill="E0E7ED"/>
          </w:tcPr>
          <w:p>
            <w:pPr>
              <w:ind w:left="140"/>
              <w:spacing w:after="0"/>
              <w:rPr>
                <w:sz w:val="20"/>
                <w:szCs w:val="20"/>
                <w:color w:val="auto"/>
              </w:rPr>
            </w:pPr>
            <w:r>
              <w:rPr>
                <w:rFonts w:ascii="Verdana" w:cs="Verdana" w:eastAsia="Verdana" w:hAnsi="Verdana"/>
                <w:sz w:val="10"/>
                <w:szCs w:val="10"/>
                <w:color w:val="auto"/>
              </w:rPr>
              <w:t>Less: Treasury shares</w:t>
            </w:r>
          </w:p>
        </w:tc>
        <w:tc>
          <w:tcPr>
            <w:tcW w:w="340" w:type="dxa"/>
            <w:vAlign w:val="bottom"/>
            <w:tcBorders>
              <w:bottom w:val="single" w:sz="8" w:color="auto"/>
            </w:tcBorders>
            <w:shd w:val="clear" w:color="auto" w:fill="E0E7ED"/>
          </w:tcPr>
          <w:p>
            <w:pPr>
              <w:spacing w:after="0"/>
              <w:rPr>
                <w:sz w:val="11"/>
                <w:szCs w:val="1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(2,650,292)</w:t>
            </w:r>
          </w:p>
        </w:tc>
        <w:tc>
          <w:tcPr>
            <w:tcW w:w="80" w:type="dxa"/>
            <w:vAlign w:val="bottom"/>
            <w:shd w:val="clear" w:color="auto" w:fill="E0E7ED"/>
          </w:tcPr>
          <w:p>
            <w:pPr>
              <w:spacing w:after="0"/>
              <w:rPr>
                <w:sz w:val="11"/>
                <w:szCs w:val="11"/>
                <w:color w:val="auto"/>
              </w:rPr>
            </w:pPr>
          </w:p>
        </w:tc>
        <w:tc>
          <w:tcPr>
            <w:tcW w:w="560" w:type="dxa"/>
            <w:vAlign w:val="bottom"/>
            <w:tcBorders>
              <w:bottom w:val="single" w:sz="8" w:color="auto"/>
            </w:tcBorders>
            <w:shd w:val="clear" w:color="auto" w:fill="E0E7ED"/>
          </w:tcPr>
          <w:p>
            <w:pPr>
              <w:spacing w:after="0"/>
              <w:rPr>
                <w:sz w:val="11"/>
                <w:szCs w:val="1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(2,872,850)</w:t>
            </w:r>
          </w:p>
        </w:tc>
      </w:tr>
      <w:tr>
        <w:trPr>
          <w:trHeight w:val="134"/>
        </w:trPr>
        <w:tc>
          <w:tcPr>
            <w:tcW w:w="8120" w:type="dxa"/>
            <w:vAlign w:val="bottom"/>
            <w:gridSpan w:val="5"/>
          </w:tcPr>
          <w:p>
            <w:pPr>
              <w:ind w:left="140"/>
              <w:spacing w:after="0"/>
              <w:rPr>
                <w:sz w:val="20"/>
                <w:szCs w:val="20"/>
                <w:color w:val="auto"/>
              </w:rPr>
            </w:pPr>
            <w:r>
              <w:rPr>
                <w:rFonts w:ascii="Verdana" w:cs="Verdana" w:eastAsia="Verdana" w:hAnsi="Verdana"/>
                <w:sz w:val="10"/>
                <w:szCs w:val="10"/>
                <w:color w:val="auto"/>
              </w:rPr>
              <w:t>Common shares outstanding</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56,895,981</w:t>
            </w: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55,244,119</w:t>
            </w:r>
          </w:p>
        </w:tc>
      </w:tr>
      <w:tr>
        <w:trPr>
          <w:trHeight w:val="20"/>
        </w:trPr>
        <w:tc>
          <w:tcPr>
            <w:tcW w:w="3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See accompanying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1" w:name="page92"/>
    <w:bookmarkEnd w:id="9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CONSOLIDATED STATEMENTS OF INCOME</w:t>
      </w:r>
    </w:p>
    <w:p>
      <w:pPr>
        <w:jc w:val="center"/>
        <w:spacing w:after="0"/>
        <w:rPr>
          <w:sz w:val="20"/>
          <w:szCs w:val="20"/>
          <w:color w:val="auto"/>
        </w:rPr>
      </w:pPr>
      <w:r>
        <w:rPr>
          <w:rFonts w:ascii="Verdana" w:cs="Verdana" w:eastAsia="Verdana" w:hAnsi="Verdana"/>
          <w:sz w:val="14"/>
          <w:szCs w:val="14"/>
          <w:i w:val="1"/>
          <w:iCs w:val="1"/>
          <w:color w:val="auto"/>
        </w:rPr>
        <w:t>(dollars in thousands, except per share amounts)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1"/>
        </w:trPr>
        <w:tc>
          <w:tcPr>
            <w:tcW w:w="666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2022</w:t>
            </w:r>
          </w:p>
        </w:tc>
      </w:tr>
      <w:tr>
        <w:trPr>
          <w:trHeight w:val="123"/>
        </w:trPr>
        <w:tc>
          <w:tcPr>
            <w:tcW w:w="6660" w:type="dxa"/>
            <w:vAlign w:val="bottom"/>
            <w:shd w:val="clear" w:color="auto" w:fill="E0E7ED"/>
          </w:tcPr>
          <w:p>
            <w:pPr>
              <w:ind w:left="20"/>
              <w:spacing w:after="0" w:line="113" w:lineRule="exact"/>
              <w:rPr>
                <w:sz w:val="20"/>
                <w:szCs w:val="20"/>
                <w:color w:val="auto"/>
              </w:rPr>
            </w:pPr>
            <w:r>
              <w:rPr>
                <w:rFonts w:ascii="Verdana" w:cs="Verdana" w:eastAsia="Verdana" w:hAnsi="Verdana"/>
                <w:sz w:val="10"/>
                <w:szCs w:val="10"/>
                <w:b w:val="1"/>
                <w:bCs w:val="1"/>
                <w:color w:val="auto"/>
              </w:rPr>
              <w:t>Interest income</w:t>
            </w: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Interest and fees on loans</w:t>
            </w:r>
          </w:p>
        </w:tc>
        <w:tc>
          <w:tcPr>
            <w:tcW w:w="940" w:type="dxa"/>
            <w:vAlign w:val="bottom"/>
          </w:tcPr>
          <w:p>
            <w:pPr>
              <w:jc w:val="right"/>
              <w:ind w:right="811"/>
              <w:spacing w:after="0"/>
              <w:rPr>
                <w:sz w:val="20"/>
                <w:szCs w:val="20"/>
                <w:color w:val="auto"/>
              </w:rPr>
            </w:pPr>
            <w:r>
              <w:rPr>
                <w:rFonts w:ascii="Verdana" w:cs="Verdana" w:eastAsia="Verdana" w:hAnsi="Verdana"/>
                <w:sz w:val="10"/>
                <w:szCs w:val="10"/>
                <w:color w:val="auto"/>
                <w:w w:val="92"/>
              </w:rPr>
              <w:t>$</w:t>
            </w: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426,422</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385,848</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287,477</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Interest and dividends on investment securities: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Taxable interest income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72,794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80,316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66,140</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Non-taxable interest income</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1,176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2,678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3,272</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Dividend income on bank stock</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848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1,170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190</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Other interest income</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22,441</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10,531</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3,097</w:t>
            </w:r>
          </w:p>
        </w:tc>
      </w:tr>
      <w:tr>
        <w:trPr>
          <w:trHeight w:val="123"/>
        </w:trPr>
        <w:tc>
          <w:tcPr>
            <w:tcW w:w="6660" w:type="dxa"/>
            <w:vAlign w:val="bottom"/>
            <w:tcBorders>
              <w:bottom w:val="single" w:sz="8" w:color="E0E7ED"/>
            </w:tcBorders>
          </w:tcPr>
          <w:p>
            <w:pPr>
              <w:ind w:left="20"/>
              <w:spacing w:after="0" w:line="114" w:lineRule="exact"/>
              <w:rPr>
                <w:sz w:val="20"/>
                <w:szCs w:val="20"/>
                <w:color w:val="auto"/>
              </w:rPr>
            </w:pPr>
            <w:r>
              <w:rPr>
                <w:rFonts w:ascii="Verdana" w:cs="Verdana" w:eastAsia="Verdana" w:hAnsi="Verdana"/>
                <w:sz w:val="10"/>
                <w:szCs w:val="10"/>
                <w:color w:val="auto"/>
              </w:rPr>
              <w:t>Total interest income</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523,681</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480,543</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360,176</w:t>
            </w:r>
          </w:p>
        </w:tc>
      </w:tr>
      <w:tr>
        <w:trPr>
          <w:trHeight w:val="123"/>
        </w:trPr>
        <w:tc>
          <w:tcPr>
            <w:tcW w:w="66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Interest expense</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Deposits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178,463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123,985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16,112</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Federal funds purchased and securities sold under agreements to repurchase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4,308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5,203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1,475</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Short-term borrowings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701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12,775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1,647</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Long-term debt</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300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1,700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1,310</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Senior notes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637</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Subordinated notes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12,650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12,406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12,338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Junior subordinated debt owed to unconsolidated trusts</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4,648</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3,853</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3,029</w:t>
            </w:r>
          </w:p>
        </w:tc>
      </w:tr>
      <w:tr>
        <w:trPr>
          <w:trHeight w:val="123"/>
        </w:trPr>
        <w:tc>
          <w:tcPr>
            <w:tcW w:w="6660" w:type="dxa"/>
            <w:vAlign w:val="bottom"/>
            <w:tcBorders>
              <w:bottom w:val="single" w:sz="8" w:color="E0E7ED"/>
            </w:tcBorders>
          </w:tcPr>
          <w:p>
            <w:pPr>
              <w:ind w:left="20"/>
              <w:spacing w:after="0" w:line="114" w:lineRule="exact"/>
              <w:rPr>
                <w:sz w:val="20"/>
                <w:szCs w:val="20"/>
                <w:color w:val="auto"/>
              </w:rPr>
            </w:pPr>
            <w:r>
              <w:rPr>
                <w:rFonts w:ascii="Verdana" w:cs="Verdana" w:eastAsia="Verdana" w:hAnsi="Verdana"/>
                <w:sz w:val="10"/>
                <w:szCs w:val="10"/>
                <w:color w:val="auto"/>
              </w:rPr>
              <w:t>Total interest expense</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201,070</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159,922</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36,548</w:t>
            </w:r>
          </w:p>
        </w:tc>
      </w:tr>
      <w:tr>
        <w:trPr>
          <w:trHeight w:val="123"/>
        </w:trPr>
        <w:tc>
          <w:tcPr>
            <w:tcW w:w="66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color w:val="auto"/>
              </w:rPr>
              <w:t>Net interest income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322,611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320,621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323,628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Provision for credit losses</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8,590</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2,399</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4,623</w:t>
            </w:r>
          </w:p>
        </w:tc>
      </w:tr>
      <w:tr>
        <w:trPr>
          <w:trHeight w:val="123"/>
        </w:trPr>
        <w:tc>
          <w:tcPr>
            <w:tcW w:w="6660" w:type="dxa"/>
            <w:vAlign w:val="bottom"/>
            <w:tcBorders>
              <w:bottom w:val="single" w:sz="8" w:color="E0E7ED"/>
            </w:tcBorders>
          </w:tcPr>
          <w:p>
            <w:pPr>
              <w:ind w:left="20"/>
              <w:spacing w:after="0" w:line="114" w:lineRule="exact"/>
              <w:rPr>
                <w:sz w:val="20"/>
                <w:szCs w:val="20"/>
                <w:color w:val="auto"/>
              </w:rPr>
            </w:pPr>
            <w:r>
              <w:rPr>
                <w:rFonts w:ascii="Verdana" w:cs="Verdana" w:eastAsia="Verdana" w:hAnsi="Verdana"/>
                <w:sz w:val="10"/>
                <w:szCs w:val="10"/>
                <w:color w:val="auto"/>
              </w:rPr>
              <w:t>Net interest income after provision for credit losses</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314,021</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318,222</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319,005</w:t>
            </w:r>
          </w:p>
        </w:tc>
      </w:tr>
      <w:tr>
        <w:trPr>
          <w:trHeight w:val="123"/>
        </w:trPr>
        <w:tc>
          <w:tcPr>
            <w:tcW w:w="66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Noninterest income</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Wealth management fees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63,630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57,309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55,378</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Fees for customer services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30,933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29,044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33,111</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Payment technology solutions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21,983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21,192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20,067</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Mortgage revenue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2,075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1,089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1,895</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Income on bank owned life insurance</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5,130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4,701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3,663</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Realized net gains (losses) on the sale of mortgage servicing rights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7,724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Realized net gains (losses) on securities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(7,033)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50</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Unrealized net gains (losses) recognized on equity securities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931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(2,171)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(2,183)</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Other noninterest income</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14,309</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10,078</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14,632</w:t>
            </w:r>
          </w:p>
        </w:tc>
      </w:tr>
      <w:tr>
        <w:trPr>
          <w:trHeight w:val="123"/>
        </w:trPr>
        <w:tc>
          <w:tcPr>
            <w:tcW w:w="6660" w:type="dxa"/>
            <w:vAlign w:val="bottom"/>
            <w:tcBorders>
              <w:bottom w:val="single" w:sz="8" w:color="E0E7ED"/>
            </w:tcBorders>
          </w:tcPr>
          <w:p>
            <w:pPr>
              <w:ind w:left="20"/>
              <w:spacing w:after="0" w:line="114" w:lineRule="exact"/>
              <w:rPr>
                <w:sz w:val="20"/>
                <w:szCs w:val="20"/>
                <w:color w:val="auto"/>
              </w:rPr>
            </w:pPr>
            <w:r>
              <w:rPr>
                <w:rFonts w:ascii="Verdana" w:cs="Verdana" w:eastAsia="Verdana" w:hAnsi="Verdana"/>
                <w:sz w:val="10"/>
                <w:szCs w:val="10"/>
                <w:color w:val="auto"/>
              </w:rPr>
              <w:t>Total noninterest income</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139,682</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121,214</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126,613</w:t>
            </w:r>
          </w:p>
        </w:tc>
      </w:tr>
      <w:tr>
        <w:trPr>
          <w:trHeight w:val="123"/>
        </w:trPr>
        <w:tc>
          <w:tcPr>
            <w:tcW w:w="66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Noninterest expense</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Salaries, wages, and employee benefits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175,619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162,597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159,016</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Data processing</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27,124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23,708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21,648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occupancy expense of premises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18,737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18,214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19,130</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Furniture and equipment expenses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6,805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6,759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7,645</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Professional fees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12,804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7,147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6,125</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Amortization of intangible assets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10,057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10,432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11,628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Interchange expense</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6,001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6,864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6,298</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FDIC insurance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5,603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5,650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4,058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Other noninterest expense</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37,649</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44,161</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48,333</w:t>
            </w:r>
          </w:p>
        </w:tc>
      </w:tr>
      <w:tr>
        <w:trPr>
          <w:trHeight w:val="123"/>
        </w:trPr>
        <w:tc>
          <w:tcPr>
            <w:tcW w:w="6660" w:type="dxa"/>
            <w:vAlign w:val="bottom"/>
            <w:tcBorders>
              <w:bottom w:val="single" w:sz="8" w:color="E0E7ED"/>
            </w:tcBorders>
          </w:tcPr>
          <w:p>
            <w:pPr>
              <w:ind w:left="20"/>
              <w:spacing w:after="0" w:line="114" w:lineRule="exact"/>
              <w:rPr>
                <w:sz w:val="20"/>
                <w:szCs w:val="20"/>
                <w:color w:val="auto"/>
              </w:rPr>
            </w:pPr>
            <w:r>
              <w:rPr>
                <w:rFonts w:ascii="Verdana" w:cs="Verdana" w:eastAsia="Verdana" w:hAnsi="Verdana"/>
                <w:sz w:val="10"/>
                <w:szCs w:val="10"/>
                <w:color w:val="auto"/>
              </w:rPr>
              <w:t>Total noninterest expense</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300,399</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285,532</w:t>
            </w:r>
          </w:p>
        </w:tc>
        <w:tc>
          <w:tcPr>
            <w:tcW w:w="80" w:type="dxa"/>
            <w:vAlign w:val="bottom"/>
            <w:tcBorders>
              <w:bottom w:val="single" w:sz="8" w:color="E0E7ED"/>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283,881</w:t>
            </w:r>
          </w:p>
        </w:tc>
      </w:tr>
      <w:tr>
        <w:trPr>
          <w:trHeight w:val="123"/>
        </w:trPr>
        <w:tc>
          <w:tcPr>
            <w:tcW w:w="6660" w:type="dxa"/>
            <w:vAlign w:val="bottom"/>
            <w:shd w:val="clear" w:color="auto" w:fill="E0E7ED"/>
          </w:tcPr>
          <w:p>
            <w:pPr>
              <w:spacing w:after="0"/>
              <w:rPr>
                <w:sz w:val="10"/>
                <w:szCs w:val="10"/>
                <w:color w:val="auto"/>
              </w:rPr>
            </w:pPr>
          </w:p>
        </w:tc>
        <w:tc>
          <w:tcPr>
            <w:tcW w:w="940" w:type="dxa"/>
            <w:vAlign w:val="bottom"/>
            <w:shd w:val="clear" w:color="auto" w:fill="E0E7ED"/>
          </w:tcPr>
          <w:p>
            <w:pPr>
              <w:spacing w:after="0"/>
              <w:rPr>
                <w:sz w:val="10"/>
                <w:szCs w:val="10"/>
                <w:color w:val="auto"/>
              </w:rPr>
            </w:pPr>
          </w:p>
        </w:tc>
        <w:tc>
          <w:tcPr>
            <w:tcW w:w="5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color w:val="auto"/>
              </w:rPr>
              <w:t>Income before income taxes</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153,304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153,904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161,737</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Income taxes</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39,613</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31,339</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33,426</w:t>
            </w:r>
          </w:p>
        </w:tc>
      </w:tr>
      <w:tr>
        <w:trPr>
          <w:trHeight w:val="129"/>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Net income</w:t>
            </w:r>
          </w:p>
        </w:tc>
        <w:tc>
          <w:tcPr>
            <w:tcW w:w="940" w:type="dxa"/>
            <w:vAlign w:val="bottom"/>
            <w:tcBorders>
              <w:bottom w:val="single" w:sz="8" w:color="auto"/>
            </w:tcBorders>
          </w:tcPr>
          <w:p>
            <w:pPr>
              <w:jc w:val="right"/>
              <w:ind w:right="811"/>
              <w:spacing w:after="0"/>
              <w:rPr>
                <w:sz w:val="20"/>
                <w:szCs w:val="20"/>
                <w:color w:val="auto"/>
              </w:rPr>
            </w:pPr>
            <w:r>
              <w:rPr>
                <w:rFonts w:ascii="Verdana" w:cs="Verdana" w:eastAsia="Verdana" w:hAnsi="Verdana"/>
                <w:sz w:val="10"/>
                <w:szCs w:val="10"/>
                <w:color w:val="auto"/>
                <w:w w:val="92"/>
              </w:rPr>
              <w:t>$</w:t>
            </w: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113,691</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122,565</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128,311</w:t>
            </w:r>
          </w:p>
        </w:tc>
      </w:tr>
      <w:tr>
        <w:trPr>
          <w:trHeight w:val="20"/>
        </w:trPr>
        <w:tc>
          <w:tcPr>
            <w:tcW w:w="666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99"/>
        </w:trPr>
        <w:tc>
          <w:tcPr>
            <w:tcW w:w="6660" w:type="dxa"/>
            <w:vAlign w:val="bottom"/>
            <w:shd w:val="clear" w:color="auto" w:fill="E0E7ED"/>
          </w:tcPr>
          <w:p>
            <w:pPr>
              <w:spacing w:after="0"/>
              <w:rPr>
                <w:sz w:val="8"/>
                <w:szCs w:val="8"/>
                <w:color w:val="auto"/>
              </w:rPr>
            </w:pPr>
          </w:p>
        </w:tc>
        <w:tc>
          <w:tcPr>
            <w:tcW w:w="940" w:type="dxa"/>
            <w:vAlign w:val="bottom"/>
            <w:shd w:val="clear" w:color="auto" w:fill="E0E7ED"/>
          </w:tcPr>
          <w:p>
            <w:pPr>
              <w:spacing w:after="0"/>
              <w:rPr>
                <w:sz w:val="8"/>
                <w:szCs w:val="8"/>
                <w:color w:val="auto"/>
              </w:rPr>
            </w:pPr>
          </w:p>
        </w:tc>
        <w:tc>
          <w:tcPr>
            <w:tcW w:w="540" w:type="dxa"/>
            <w:vAlign w:val="bottom"/>
            <w:shd w:val="clear" w:color="auto" w:fill="E0E7ED"/>
          </w:tcPr>
          <w:p>
            <w:pPr>
              <w:spacing w:after="0"/>
              <w:rPr>
                <w:sz w:val="8"/>
                <w:szCs w:val="8"/>
                <w:color w:val="auto"/>
              </w:rPr>
            </w:pPr>
          </w:p>
        </w:tc>
        <w:tc>
          <w:tcPr>
            <w:tcW w:w="80" w:type="dxa"/>
            <w:vAlign w:val="bottom"/>
            <w:shd w:val="clear" w:color="auto" w:fill="E0E7ED"/>
          </w:tcPr>
          <w:p>
            <w:pPr>
              <w:spacing w:after="0"/>
              <w:rPr>
                <w:sz w:val="8"/>
                <w:szCs w:val="8"/>
                <w:color w:val="auto"/>
              </w:rPr>
            </w:pPr>
          </w:p>
        </w:tc>
        <w:tc>
          <w:tcPr>
            <w:tcW w:w="340" w:type="dxa"/>
            <w:vAlign w:val="bottom"/>
            <w:shd w:val="clear" w:color="auto" w:fill="E0E7ED"/>
          </w:tcPr>
          <w:p>
            <w:pPr>
              <w:spacing w:after="0"/>
              <w:rPr>
                <w:sz w:val="8"/>
                <w:szCs w:val="8"/>
                <w:color w:val="auto"/>
              </w:rPr>
            </w:pPr>
          </w:p>
        </w:tc>
        <w:tc>
          <w:tcPr>
            <w:tcW w:w="1160" w:type="dxa"/>
            <w:vAlign w:val="bottom"/>
            <w:shd w:val="clear" w:color="auto" w:fill="E0E7ED"/>
          </w:tcPr>
          <w:p>
            <w:pPr>
              <w:spacing w:after="0"/>
              <w:rPr>
                <w:sz w:val="8"/>
                <w:szCs w:val="8"/>
                <w:color w:val="auto"/>
              </w:rPr>
            </w:pPr>
          </w:p>
        </w:tc>
        <w:tc>
          <w:tcPr>
            <w:tcW w:w="80" w:type="dxa"/>
            <w:vAlign w:val="bottom"/>
            <w:shd w:val="clear" w:color="auto" w:fill="E0E7ED"/>
          </w:tcPr>
          <w:p>
            <w:pPr>
              <w:spacing w:after="0"/>
              <w:rPr>
                <w:sz w:val="8"/>
                <w:szCs w:val="8"/>
                <w:color w:val="auto"/>
              </w:rPr>
            </w:pPr>
          </w:p>
        </w:tc>
        <w:tc>
          <w:tcPr>
            <w:tcW w:w="340" w:type="dxa"/>
            <w:vAlign w:val="bottom"/>
            <w:shd w:val="clear" w:color="auto" w:fill="E0E7ED"/>
          </w:tcPr>
          <w:p>
            <w:pPr>
              <w:spacing w:after="0"/>
              <w:rPr>
                <w:sz w:val="8"/>
                <w:szCs w:val="8"/>
                <w:color w:val="auto"/>
              </w:rPr>
            </w:pPr>
          </w:p>
        </w:tc>
        <w:tc>
          <w:tcPr>
            <w:tcW w:w="1140" w:type="dxa"/>
            <w:vAlign w:val="bottom"/>
            <w:shd w:val="clear" w:color="auto" w:fill="E0E7ED"/>
          </w:tcPr>
          <w:p>
            <w:pPr>
              <w:spacing w:after="0"/>
              <w:rPr>
                <w:sz w:val="8"/>
                <w:szCs w:val="8"/>
                <w:color w:val="auto"/>
              </w:rPr>
            </w:pP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Basic earnings per common share</w:t>
            </w:r>
          </w:p>
        </w:tc>
        <w:tc>
          <w:tcPr>
            <w:tcW w:w="940" w:type="dxa"/>
            <w:vAlign w:val="bottom"/>
          </w:tcPr>
          <w:p>
            <w:pPr>
              <w:jc w:val="right"/>
              <w:ind w:right="811"/>
              <w:spacing w:after="0"/>
              <w:rPr>
                <w:sz w:val="20"/>
                <w:szCs w:val="20"/>
                <w:color w:val="auto"/>
              </w:rPr>
            </w:pPr>
            <w:r>
              <w:rPr>
                <w:rFonts w:ascii="Verdana" w:cs="Verdana" w:eastAsia="Verdana" w:hAnsi="Verdana"/>
                <w:sz w:val="10"/>
                <w:szCs w:val="10"/>
                <w:color w:val="auto"/>
                <w:w w:val="92"/>
              </w:rPr>
              <w:t>$</w:t>
            </w: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2.01</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2.21</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2.32</w:t>
            </w:r>
          </w:p>
        </w:tc>
      </w:tr>
      <w:tr>
        <w:trPr>
          <w:trHeight w:val="143"/>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Diluted earnings per common share</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1.98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2.29</w:t>
            </w:r>
          </w:p>
        </w:tc>
      </w:tr>
      <w:tr>
        <w:trPr>
          <w:trHeight w:val="127"/>
        </w:trPr>
        <w:tc>
          <w:tcPr>
            <w:tcW w:w="6660" w:type="dxa"/>
            <w:vAlign w:val="bottom"/>
          </w:tcPr>
          <w:p>
            <w:pPr>
              <w:ind w:left="20"/>
              <w:spacing w:after="0"/>
              <w:rPr>
                <w:sz w:val="20"/>
                <w:szCs w:val="20"/>
                <w:color w:val="auto"/>
              </w:rPr>
            </w:pPr>
            <w:r>
              <w:rPr>
                <w:rFonts w:ascii="Verdana" w:cs="Verdana" w:eastAsia="Verdana" w:hAnsi="Verdana"/>
                <w:sz w:val="10"/>
                <w:szCs w:val="10"/>
                <w:b w:val="1"/>
                <w:bCs w:val="1"/>
                <w:color w:val="auto"/>
              </w:rPr>
              <w:t>Dividends declared per share of common stock</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0.96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0.96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0.92</w:t>
            </w:r>
          </w:p>
        </w:tc>
      </w:tr>
    </w:tbl>
    <w:p>
      <w:pPr>
        <w:spacing w:after="0" w:line="21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See accompanying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2" w:name="page93"/>
    <w:bookmarkEnd w:id="9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CONSOLIDATED STATEMENTS OF COMPREHENSIVE INCOME (LOSS)</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1"/>
        </w:trPr>
        <w:tc>
          <w:tcPr>
            <w:tcW w:w="666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2022</w:t>
            </w:r>
          </w:p>
        </w:tc>
      </w:tr>
      <w:tr>
        <w:trPr>
          <w:trHeight w:val="134"/>
        </w:trPr>
        <w:tc>
          <w:tcPr>
            <w:tcW w:w="6660" w:type="dxa"/>
            <w:vAlign w:val="bottom"/>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Net income</w:t>
            </w:r>
          </w:p>
        </w:tc>
        <w:tc>
          <w:tcPr>
            <w:tcW w:w="940" w:type="dxa"/>
            <w:vAlign w:val="bottom"/>
            <w:shd w:val="clear" w:color="auto" w:fill="E0E7ED"/>
          </w:tcPr>
          <w:p>
            <w:pPr>
              <w:jc w:val="right"/>
              <w:ind w:right="811"/>
              <w:spacing w:after="0"/>
              <w:rPr>
                <w:sz w:val="20"/>
                <w:szCs w:val="20"/>
                <w:color w:val="auto"/>
              </w:rPr>
            </w:pPr>
            <w:r>
              <w:rPr>
                <w:rFonts w:ascii="Verdana" w:cs="Verdana" w:eastAsia="Verdana" w:hAnsi="Verdana"/>
                <w:sz w:val="10"/>
                <w:szCs w:val="10"/>
                <w:color w:val="auto"/>
                <w:w w:val="92"/>
              </w:rPr>
              <w:t>$</w:t>
            </w: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113,691</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122,565</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128,311</w:t>
            </w:r>
          </w:p>
        </w:tc>
      </w:tr>
      <w:tr>
        <w:trPr>
          <w:trHeight w:val="133"/>
        </w:trPr>
        <w:tc>
          <w:tcPr>
            <w:tcW w:w="6660" w:type="dxa"/>
            <w:vAlign w:val="bottom"/>
          </w:tcPr>
          <w:p>
            <w:pPr>
              <w:ind w:left="20"/>
              <w:spacing w:after="0"/>
              <w:rPr>
                <w:sz w:val="20"/>
                <w:szCs w:val="20"/>
                <w:color w:val="auto"/>
              </w:rPr>
            </w:pPr>
            <w:r>
              <w:rPr>
                <w:rFonts w:ascii="Verdana" w:cs="Verdana" w:eastAsia="Verdana" w:hAnsi="Verdana"/>
                <w:sz w:val="10"/>
                <w:szCs w:val="10"/>
                <w:color w:val="auto"/>
              </w:rPr>
              <w:t>OCI:</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Unrealized/Unrecognized gains (losses) on debt securities: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Net unrealized holding gains (losses) on debt securities available for sale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10,295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58,498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(278,762)</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Net unrecognized gains (losses) on debt securities transferred to held to maturity from available for sale</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(48,456)</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Reclassification adjustment for realized (gains) losses on debt securities available for sale included in net income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7,033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5,503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(26)</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Amortization of unrecognized losses on securities transferred to held to maturity</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5,481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6,189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6,638</w:t>
            </w:r>
          </w:p>
        </w:tc>
      </w:tr>
      <w:tr>
        <w:trPr>
          <w:trHeight w:val="133"/>
        </w:trPr>
        <w:tc>
          <w:tcPr>
            <w:tcW w:w="6660" w:type="dxa"/>
            <w:vAlign w:val="bottom"/>
            <w:tcBorders>
              <w:bottom w:val="single" w:sz="8" w:color="E0E7ED"/>
            </w:tcBorders>
          </w:tcPr>
          <w:p>
            <w:pPr>
              <w:ind w:left="280"/>
              <w:spacing w:after="0"/>
              <w:rPr>
                <w:sz w:val="20"/>
                <w:szCs w:val="20"/>
                <w:color w:val="auto"/>
              </w:rPr>
            </w:pPr>
            <w:r>
              <w:rPr>
                <w:rFonts w:ascii="Verdana" w:cs="Verdana" w:eastAsia="Verdana" w:hAnsi="Verdana"/>
                <w:sz w:val="10"/>
                <w:szCs w:val="10"/>
                <w:color w:val="auto"/>
              </w:rPr>
              <w:t>Tax effect</w:t>
            </w:r>
          </w:p>
        </w:tc>
        <w:tc>
          <w:tcPr>
            <w:tcW w:w="9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(7,934)</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(20,006)</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91,386</w:t>
            </w:r>
          </w:p>
        </w:tc>
      </w:tr>
      <w:tr>
        <w:trPr>
          <w:trHeight w:val="134"/>
        </w:trPr>
        <w:tc>
          <w:tcPr>
            <w:tcW w:w="6660" w:type="dxa"/>
            <w:vAlign w:val="bottom"/>
            <w:shd w:val="clear" w:color="auto" w:fill="E0E7ED"/>
          </w:tcPr>
          <w:p>
            <w:pPr>
              <w:ind w:left="140"/>
              <w:spacing w:after="0" w:line="119" w:lineRule="exact"/>
              <w:rPr>
                <w:sz w:val="20"/>
                <w:szCs w:val="20"/>
                <w:color w:val="auto"/>
              </w:rPr>
            </w:pPr>
            <w:r>
              <w:rPr>
                <w:rFonts w:ascii="Verdana" w:cs="Verdana" w:eastAsia="Verdana" w:hAnsi="Verdana"/>
                <w:sz w:val="10"/>
                <w:szCs w:val="10"/>
                <w:color w:val="auto"/>
              </w:rPr>
              <w:t>Net change in unrealized/unrecognized gains (losses) on debt securities</w:t>
            </w:r>
          </w:p>
        </w:tc>
        <w:tc>
          <w:tcPr>
            <w:tcW w:w="940" w:type="dxa"/>
            <w:vAlign w:val="bottom"/>
            <w:shd w:val="clear" w:color="auto" w:fill="E0E7ED"/>
          </w:tcPr>
          <w:p>
            <w:pPr>
              <w:spacing w:after="0"/>
              <w:rPr>
                <w:sz w:val="11"/>
                <w:szCs w:val="11"/>
                <w:color w:val="auto"/>
              </w:rPr>
            </w:pPr>
          </w:p>
        </w:tc>
        <w:tc>
          <w:tcPr>
            <w:tcW w:w="5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14,875</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50,184</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(229,220)</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Unrealized gains (losses) on cash flow hedges: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Net unrealized holding gains (losses) on cash flow hedges</w:t>
            </w:r>
          </w:p>
        </w:tc>
        <w:tc>
          <w:tcPr>
            <w:tcW w:w="940" w:type="dxa"/>
            <w:vAlign w:val="bottom"/>
            <w:shd w:val="clear" w:color="auto" w:fill="E0E7ED"/>
          </w:tcPr>
          <w:p>
            <w:pPr>
              <w:spacing w:after="0"/>
              <w:rPr>
                <w:sz w:val="12"/>
                <w:szCs w:val="12"/>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(13,055)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(2,567)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(28,975)</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Reclassification adjustment for realized (gains) losses on cash flow hedges included in net income</w:t>
            </w:r>
          </w:p>
        </w:tc>
        <w:tc>
          <w:tcPr>
            <w:tcW w:w="94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Verdana" w:cs="Verdana" w:eastAsia="Verdana" w:hAnsi="Verdana"/>
                <w:sz w:val="10"/>
                <w:szCs w:val="10"/>
                <w:color w:val="auto"/>
              </w:rPr>
              <w:t>9,291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8,569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583</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Tax effect</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653</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(1,711)</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8,092</w:t>
            </w:r>
          </w:p>
        </w:tc>
      </w:tr>
      <w:tr>
        <w:trPr>
          <w:trHeight w:val="123"/>
        </w:trPr>
        <w:tc>
          <w:tcPr>
            <w:tcW w:w="6660" w:type="dxa"/>
            <w:vAlign w:val="bottom"/>
          </w:tcPr>
          <w:p>
            <w:pPr>
              <w:ind w:left="140"/>
              <w:spacing w:after="0" w:line="114" w:lineRule="exact"/>
              <w:rPr>
                <w:sz w:val="20"/>
                <w:szCs w:val="20"/>
                <w:color w:val="auto"/>
              </w:rPr>
            </w:pPr>
            <w:r>
              <w:rPr>
                <w:rFonts w:ascii="Verdana" w:cs="Verdana" w:eastAsia="Verdana" w:hAnsi="Verdana"/>
                <w:sz w:val="10"/>
                <w:szCs w:val="10"/>
                <w:color w:val="auto"/>
              </w:rPr>
              <w:t>Net change in unrealized gains (losses) on cash flow hedges</w:t>
            </w:r>
          </w:p>
        </w:tc>
        <w:tc>
          <w:tcPr>
            <w:tcW w:w="9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Verdana" w:cs="Verdana" w:eastAsia="Verdana" w:hAnsi="Verdana"/>
                <w:sz w:val="10"/>
                <w:szCs w:val="10"/>
                <w:color w:val="auto"/>
              </w:rPr>
              <w:t>(3,111)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4,291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(20,300)</w:t>
            </w:r>
          </w:p>
        </w:tc>
      </w:tr>
      <w:tr>
        <w:trPr>
          <w:trHeight w:val="143"/>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color w:val="auto"/>
              </w:rPr>
              <w:t>OCI</w:t>
            </w:r>
          </w:p>
        </w:tc>
        <w:tc>
          <w:tcPr>
            <w:tcW w:w="940" w:type="dxa"/>
            <w:vAlign w:val="bottom"/>
            <w:tcBorders>
              <w:bottom w:val="single" w:sz="8" w:color="auto"/>
            </w:tcBorders>
            <w:shd w:val="clear" w:color="auto" w:fill="E0E7ED"/>
          </w:tcPr>
          <w:p>
            <w:pPr>
              <w:spacing w:after="0"/>
              <w:rPr>
                <w:sz w:val="12"/>
                <w:szCs w:val="12"/>
                <w:color w:val="auto"/>
              </w:rPr>
            </w:pPr>
          </w:p>
        </w:tc>
        <w:tc>
          <w:tcPr>
            <w:tcW w:w="5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11,764</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54,475</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(249,520)</w:t>
            </w:r>
          </w:p>
        </w:tc>
      </w:tr>
      <w:tr>
        <w:trPr>
          <w:trHeight w:val="129"/>
        </w:trPr>
        <w:tc>
          <w:tcPr>
            <w:tcW w:w="6660" w:type="dxa"/>
            <w:vAlign w:val="bottom"/>
          </w:tcPr>
          <w:p>
            <w:pPr>
              <w:ind w:left="20"/>
              <w:spacing w:after="0"/>
              <w:rPr>
                <w:sz w:val="20"/>
                <w:szCs w:val="20"/>
                <w:color w:val="auto"/>
              </w:rPr>
            </w:pPr>
            <w:r>
              <w:rPr>
                <w:rFonts w:ascii="Verdana" w:cs="Verdana" w:eastAsia="Verdana" w:hAnsi="Verdana"/>
                <w:sz w:val="10"/>
                <w:szCs w:val="10"/>
                <w:color w:val="auto"/>
              </w:rPr>
              <w:t>Total comprehensive income (loss)</w:t>
            </w:r>
          </w:p>
        </w:tc>
        <w:tc>
          <w:tcPr>
            <w:tcW w:w="940" w:type="dxa"/>
            <w:vAlign w:val="bottom"/>
            <w:tcBorders>
              <w:bottom w:val="single" w:sz="8" w:color="auto"/>
            </w:tcBorders>
          </w:tcPr>
          <w:p>
            <w:pPr>
              <w:jc w:val="right"/>
              <w:ind w:right="811"/>
              <w:spacing w:after="0"/>
              <w:rPr>
                <w:sz w:val="20"/>
                <w:szCs w:val="20"/>
                <w:color w:val="auto"/>
              </w:rPr>
            </w:pPr>
            <w:r>
              <w:rPr>
                <w:rFonts w:ascii="Verdana" w:cs="Verdana" w:eastAsia="Verdana" w:hAnsi="Verdana"/>
                <w:sz w:val="10"/>
                <w:szCs w:val="10"/>
                <w:color w:val="auto"/>
                <w:w w:val="92"/>
              </w:rPr>
              <w:t>$</w:t>
            </w:r>
          </w:p>
        </w:tc>
        <w:tc>
          <w:tcPr>
            <w:tcW w:w="5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125,455</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177,040</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(121,209)</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See accompanying Notes to Consolidated Financial Statements.</w:t>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3" w:name="page94"/>
    <w:bookmarkEnd w:id="9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CONSOLIDATED STATEMENTS OF STOCKHOLDERS’ EQUITY</w:t>
      </w:r>
    </w:p>
    <w:p>
      <w:pPr>
        <w:jc w:val="center"/>
        <w:spacing w:after="0"/>
        <w:rPr>
          <w:sz w:val="20"/>
          <w:szCs w:val="20"/>
          <w:color w:val="auto"/>
        </w:rPr>
      </w:pPr>
      <w:r>
        <w:rPr>
          <w:rFonts w:ascii="Verdana" w:cs="Verdana" w:eastAsia="Verdana" w:hAnsi="Verdana"/>
          <w:sz w:val="14"/>
          <w:szCs w:val="14"/>
          <w:i w:val="1"/>
          <w:iCs w:val="1"/>
          <w:color w:val="auto"/>
        </w:rPr>
        <w:t>(dollars in thousands, except per share amounts)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Verdana" w:cs="Verdana" w:eastAsia="Verdana" w:hAnsi="Verdana"/>
                <w:sz w:val="10"/>
                <w:szCs w:val="10"/>
                <w:b w:val="1"/>
                <w:bCs w:val="1"/>
                <w:color w:val="auto"/>
              </w:rPr>
              <w:t>Common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7"/>
              </w:rPr>
              <w:t>Additional</w:t>
            </w:r>
          </w:p>
        </w:tc>
        <w:tc>
          <w:tcPr>
            <w:tcW w:w="16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Verdana" w:cs="Verdana" w:eastAsia="Verdana" w:hAnsi="Verdana"/>
                <w:sz w:val="10"/>
                <w:szCs w:val="10"/>
                <w:b w:val="1"/>
                <w:bCs w:val="1"/>
                <w:color w:val="auto"/>
              </w:rPr>
              <w:t>Retained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91"/>
              <w:spacing w:after="0"/>
              <w:rPr>
                <w:sz w:val="20"/>
                <w:szCs w:val="20"/>
                <w:color w:val="auto"/>
              </w:rPr>
            </w:pPr>
            <w:r>
              <w:rPr>
                <w:rFonts w:ascii="Verdana" w:cs="Verdana" w:eastAsia="Verdana" w:hAnsi="Verdana"/>
                <w:sz w:val="10"/>
                <w:szCs w:val="10"/>
                <w:b w:val="1"/>
                <w:bCs w:val="1"/>
                <w:color w:val="auto"/>
                <w:w w:val="98"/>
              </w:rPr>
              <w:t>Total</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060" w:type="dxa"/>
            <w:vAlign w:val="bottom"/>
            <w:gridSpan w:val="2"/>
            <w:vMerge w:val="restart"/>
          </w:tcPr>
          <w:p>
            <w:pPr>
              <w:ind w:left="300"/>
              <w:spacing w:after="0"/>
              <w:rPr>
                <w:sz w:val="20"/>
                <w:szCs w:val="20"/>
                <w:color w:val="auto"/>
              </w:rPr>
            </w:pPr>
            <w:r>
              <w:rPr>
                <w:rFonts w:ascii="Verdana" w:cs="Verdana" w:eastAsia="Verdana" w:hAnsi="Verdana"/>
                <w:sz w:val="10"/>
                <w:szCs w:val="10"/>
                <w:b w:val="1"/>
                <w:bCs w:val="1"/>
                <w:color w:val="auto"/>
              </w:rPr>
              <w:t>Shares</w:t>
            </w: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200"/>
              <w:spacing w:after="0" w:line="96" w:lineRule="exact"/>
              <w:rPr>
                <w:sz w:val="20"/>
                <w:szCs w:val="20"/>
                <w:color w:val="auto"/>
              </w:rPr>
            </w:pPr>
            <w:r>
              <w:rPr>
                <w:rFonts w:ascii="Verdana" w:cs="Verdana" w:eastAsia="Verdana" w:hAnsi="Verdana"/>
                <w:sz w:val="10"/>
                <w:szCs w:val="10"/>
                <w:b w:val="1"/>
                <w:bCs w:val="1"/>
                <w:color w:val="auto"/>
              </w:rPr>
              <w:t>Paid-in</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Verdana" w:cs="Verdana" w:eastAsia="Verdana" w:hAnsi="Verdana"/>
                <w:sz w:val="10"/>
                <w:szCs w:val="10"/>
                <w:b w:val="1"/>
                <w:bCs w:val="1"/>
                <w:color w:val="auto"/>
              </w:rPr>
              <w:t>AOCI</w:t>
            </w:r>
          </w:p>
        </w:tc>
        <w:tc>
          <w:tcPr>
            <w:tcW w:w="80" w:type="dxa"/>
            <w:vAlign w:val="bottom"/>
          </w:tcPr>
          <w:p>
            <w:pPr>
              <w:spacing w:after="0"/>
              <w:rPr>
                <w:sz w:val="8"/>
                <w:szCs w:val="8"/>
                <w:color w:val="auto"/>
              </w:rPr>
            </w:pPr>
          </w:p>
        </w:tc>
        <w:tc>
          <w:tcPr>
            <w:tcW w:w="980" w:type="dxa"/>
            <w:vAlign w:val="bottom"/>
            <w:gridSpan w:val="2"/>
            <w:vMerge w:val="restart"/>
          </w:tcPr>
          <w:p>
            <w:pPr>
              <w:spacing w:after="0"/>
              <w:rPr>
                <w:sz w:val="20"/>
                <w:szCs w:val="20"/>
                <w:color w:val="auto"/>
              </w:rPr>
            </w:pPr>
            <w:r>
              <w:rPr>
                <w:rFonts w:ascii="Verdana" w:cs="Verdana" w:eastAsia="Verdana" w:hAnsi="Verdana"/>
                <w:sz w:val="10"/>
                <w:szCs w:val="10"/>
                <w:b w:val="1"/>
                <w:bCs w:val="1"/>
                <w:color w:val="auto"/>
              </w:rPr>
              <w:t>Treasury Stock</w:t>
            </w:r>
          </w:p>
        </w:tc>
        <w:tc>
          <w:tcPr>
            <w:tcW w:w="100" w:type="dxa"/>
            <w:vAlign w:val="bottom"/>
          </w:tcPr>
          <w:p>
            <w:pPr>
              <w:spacing w:after="0"/>
              <w:rPr>
                <w:sz w:val="8"/>
                <w:szCs w:val="8"/>
                <w:color w:val="auto"/>
              </w:rPr>
            </w:pPr>
          </w:p>
        </w:tc>
        <w:tc>
          <w:tcPr>
            <w:tcW w:w="900" w:type="dxa"/>
            <w:vAlign w:val="bottom"/>
          </w:tcPr>
          <w:p>
            <w:pPr>
              <w:jc w:val="center"/>
              <w:ind w:right="51"/>
              <w:spacing w:after="0" w:line="96" w:lineRule="exact"/>
              <w:rPr>
                <w:sz w:val="20"/>
                <w:szCs w:val="20"/>
                <w:color w:val="auto"/>
              </w:rPr>
            </w:pPr>
            <w:r>
              <w:rPr>
                <w:rFonts w:ascii="Verdana" w:cs="Verdana" w:eastAsia="Verdana" w:hAnsi="Verdana"/>
                <w:sz w:val="10"/>
                <w:szCs w:val="10"/>
                <w:b w:val="1"/>
                <w:bCs w:val="1"/>
                <w:color w:val="auto"/>
                <w:w w:val="99"/>
              </w:rPr>
              <w:t>Stockholders'</w:t>
            </w: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80" w:type="dxa"/>
            <w:vAlign w:val="bottom"/>
          </w:tcPr>
          <w:p>
            <w:pPr>
              <w:jc w:val="right"/>
              <w:ind w:right="71"/>
              <w:spacing w:after="0"/>
              <w:rPr>
                <w:sz w:val="20"/>
                <w:szCs w:val="20"/>
                <w:color w:val="auto"/>
              </w:rPr>
            </w:pPr>
            <w:r>
              <w:rPr>
                <w:rFonts w:ascii="Verdana" w:cs="Verdana" w:eastAsia="Verdana" w:hAnsi="Verdana"/>
                <w:sz w:val="10"/>
                <w:szCs w:val="10"/>
                <w:b w:val="1"/>
                <w:bCs w:val="1"/>
                <w:color w:val="auto"/>
              </w:rPr>
              <w:t>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rPr>
              <w:t>Capital</w:t>
            </w:r>
          </w:p>
        </w:tc>
        <w:tc>
          <w:tcPr>
            <w:tcW w:w="160" w:type="dxa"/>
            <w:vAlign w:val="bottom"/>
          </w:tcPr>
          <w:p>
            <w:pPr>
              <w:spacing w:after="0"/>
              <w:rPr>
                <w:sz w:val="11"/>
                <w:szCs w:val="11"/>
                <w:color w:val="auto"/>
              </w:rPr>
            </w:pPr>
          </w:p>
        </w:tc>
        <w:tc>
          <w:tcPr>
            <w:tcW w:w="900" w:type="dxa"/>
            <w:vAlign w:val="bottom"/>
            <w:gridSpan w:val="2"/>
          </w:tcPr>
          <w:p>
            <w:pPr>
              <w:ind w:left="100"/>
              <w:spacing w:after="0"/>
              <w:rPr>
                <w:sz w:val="20"/>
                <w:szCs w:val="20"/>
                <w:color w:val="auto"/>
              </w:rPr>
            </w:pPr>
            <w:r>
              <w:rPr>
                <w:rFonts w:ascii="Verdana" w:cs="Verdana" w:eastAsia="Verdana" w:hAnsi="Verdana"/>
                <w:sz w:val="10"/>
                <w:szCs w:val="10"/>
                <w:b w:val="1"/>
                <w:bCs w:val="1"/>
                <w:color w:val="auto"/>
              </w:rPr>
              <w:t>Earnings</w:t>
            </w:r>
          </w:p>
        </w:tc>
        <w:tc>
          <w:tcPr>
            <w:tcW w:w="2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1"/>
              <w:spacing w:after="0"/>
              <w:rPr>
                <w:sz w:val="20"/>
                <w:szCs w:val="20"/>
                <w:color w:val="auto"/>
              </w:rPr>
            </w:pPr>
            <w:r>
              <w:rPr>
                <w:rFonts w:ascii="Verdana" w:cs="Verdana" w:eastAsia="Verdana" w:hAnsi="Verdana"/>
                <w:sz w:val="10"/>
                <w:szCs w:val="10"/>
                <w:b w:val="1"/>
                <w:bCs w:val="1"/>
                <w:color w:val="auto"/>
              </w:rPr>
              <w:t>Equity</w:t>
            </w:r>
          </w:p>
        </w:tc>
        <w:tc>
          <w:tcPr>
            <w:tcW w:w="0" w:type="dxa"/>
            <w:vAlign w:val="bottom"/>
          </w:tcPr>
          <w:p>
            <w:pPr>
              <w:spacing w:after="0"/>
              <w:rPr>
                <w:sz w:val="1"/>
                <w:szCs w:val="1"/>
                <w:color w:val="auto"/>
              </w:rPr>
            </w:pPr>
          </w:p>
        </w:tc>
      </w:tr>
      <w:tr>
        <w:trPr>
          <w:trHeight w:val="134"/>
        </w:trPr>
        <w:tc>
          <w:tcPr>
            <w:tcW w:w="3920" w:type="dxa"/>
            <w:vAlign w:val="bottom"/>
            <w:tcBorders>
              <w:top w:val="single" w:sz="8" w:color="E0E7ED"/>
            </w:tcBorders>
            <w:shd w:val="clear" w:color="auto" w:fill="E0E7ED"/>
          </w:tcPr>
          <w:p>
            <w:pPr>
              <w:ind w:left="20"/>
              <w:spacing w:after="0" w:line="119" w:lineRule="exact"/>
              <w:rPr>
                <w:sz w:val="20"/>
                <w:szCs w:val="20"/>
                <w:color w:val="auto"/>
              </w:rPr>
            </w:pPr>
            <w:r>
              <w:rPr>
                <w:rFonts w:ascii="Verdana" w:cs="Verdana" w:eastAsia="Verdana" w:hAnsi="Verdana"/>
                <w:sz w:val="10"/>
                <w:szCs w:val="10"/>
                <w:b w:val="1"/>
                <w:bCs w:val="1"/>
                <w:color w:val="auto"/>
              </w:rPr>
              <w:t>Balance, December 31, 2021</w:t>
            </w:r>
          </w:p>
        </w:tc>
        <w:tc>
          <w:tcPr>
            <w:tcW w:w="10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55,434,910</w:t>
            </w:r>
          </w:p>
        </w:tc>
        <w:tc>
          <w:tcPr>
            <w:tcW w:w="60" w:type="dxa"/>
            <w:vAlign w:val="bottom"/>
            <w:tcBorders>
              <w:top w:val="single" w:sz="8" w:color="E0E7ED"/>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jc w:val="right"/>
              <w:ind w:right="651"/>
              <w:spacing w:after="0"/>
              <w:rPr>
                <w:sz w:val="20"/>
                <w:szCs w:val="20"/>
                <w:color w:val="auto"/>
              </w:rPr>
            </w:pPr>
            <w:r>
              <w:rPr>
                <w:rFonts w:ascii="Verdana" w:cs="Verdana" w:eastAsia="Verdana" w:hAnsi="Verdana"/>
                <w:sz w:val="10"/>
                <w:szCs w:val="10"/>
                <w:color w:val="auto"/>
                <w:w w:val="92"/>
              </w:rPr>
              <w:t>$</w:t>
            </w:r>
          </w:p>
        </w:tc>
        <w:tc>
          <w:tcPr>
            <w:tcW w:w="2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58</w:t>
            </w:r>
          </w:p>
        </w:tc>
        <w:tc>
          <w:tcPr>
            <w:tcW w:w="60" w:type="dxa"/>
            <w:vAlign w:val="bottom"/>
            <w:tcBorders>
              <w:top w:val="single" w:sz="8" w:color="E0E7ED"/>
            </w:tcBorders>
            <w:shd w:val="clear" w:color="auto" w:fill="E0E7ED"/>
          </w:tcPr>
          <w:p>
            <w:pPr>
              <w:spacing w:after="0"/>
              <w:rPr>
                <w:sz w:val="11"/>
                <w:szCs w:val="11"/>
                <w:color w:val="auto"/>
              </w:rPr>
            </w:pPr>
          </w:p>
        </w:tc>
        <w:tc>
          <w:tcPr>
            <w:tcW w:w="14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w w:val="92"/>
              </w:rPr>
              <w:t>$</w:t>
            </w:r>
          </w:p>
        </w:tc>
        <w:tc>
          <w:tcPr>
            <w:tcW w:w="86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1,316,984</w:t>
            </w:r>
          </w:p>
        </w:tc>
        <w:tc>
          <w:tcPr>
            <w:tcW w:w="60" w:type="dxa"/>
            <w:vAlign w:val="bottom"/>
            <w:tcBorders>
              <w:top w:val="single" w:sz="8" w:color="E0E7ED"/>
            </w:tcBorders>
            <w:shd w:val="clear" w:color="auto" w:fill="E0E7ED"/>
          </w:tcPr>
          <w:p>
            <w:pPr>
              <w:spacing w:after="0"/>
              <w:rPr>
                <w:sz w:val="11"/>
                <w:szCs w:val="11"/>
                <w:color w:val="auto"/>
              </w:rPr>
            </w:pPr>
          </w:p>
        </w:tc>
        <w:tc>
          <w:tcPr>
            <w:tcW w:w="160" w:type="dxa"/>
            <w:vAlign w:val="bottom"/>
            <w:tcBorders>
              <w:top w:val="single" w:sz="8" w:color="auto"/>
            </w:tcBorders>
            <w:shd w:val="clear" w:color="auto" w:fill="E0E7ED"/>
          </w:tcPr>
          <w:p>
            <w:pPr>
              <w:jc w:val="right"/>
              <w:ind w:right="31"/>
              <w:spacing w:after="0"/>
              <w:rPr>
                <w:sz w:val="20"/>
                <w:szCs w:val="20"/>
                <w:color w:val="auto"/>
              </w:rPr>
            </w:pPr>
            <w:r>
              <w:rPr>
                <w:rFonts w:ascii="Verdana" w:cs="Verdana" w:eastAsia="Verdana" w:hAnsi="Verdana"/>
                <w:sz w:val="10"/>
                <w:szCs w:val="10"/>
                <w:color w:val="auto"/>
                <w:w w:val="92"/>
              </w:rPr>
              <w:t>$</w:t>
            </w:r>
          </w:p>
        </w:tc>
        <w:tc>
          <w:tcPr>
            <w:tcW w:w="84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92,463</w:t>
            </w:r>
          </w:p>
        </w:tc>
        <w:tc>
          <w:tcPr>
            <w:tcW w:w="60" w:type="dxa"/>
            <w:vAlign w:val="bottom"/>
            <w:tcBorders>
              <w:top w:val="single" w:sz="8" w:color="E0E7ED"/>
            </w:tcBorders>
            <w:shd w:val="clear" w:color="auto" w:fill="E0E7ED"/>
          </w:tcPr>
          <w:p>
            <w:pPr>
              <w:spacing w:after="0"/>
              <w:rPr>
                <w:sz w:val="11"/>
                <w:szCs w:val="11"/>
                <w:color w:val="auto"/>
              </w:rPr>
            </w:pPr>
          </w:p>
        </w:tc>
        <w:tc>
          <w:tcPr>
            <w:tcW w:w="220" w:type="dxa"/>
            <w:vAlign w:val="bottom"/>
            <w:tcBorders>
              <w:top w:val="single" w:sz="8" w:color="auto"/>
            </w:tcBorders>
            <w:shd w:val="clear" w:color="auto" w:fill="E0E7ED"/>
          </w:tcPr>
          <w:p>
            <w:pPr>
              <w:jc w:val="right"/>
              <w:ind w:right="91"/>
              <w:spacing w:after="0"/>
              <w:rPr>
                <w:sz w:val="20"/>
                <w:szCs w:val="20"/>
                <w:color w:val="auto"/>
              </w:rPr>
            </w:pPr>
            <w:r>
              <w:rPr>
                <w:rFonts w:ascii="Verdana" w:cs="Verdana" w:eastAsia="Verdana" w:hAnsi="Verdana"/>
                <w:sz w:val="10"/>
                <w:szCs w:val="10"/>
                <w:color w:val="auto"/>
                <w:w w:val="92"/>
              </w:rPr>
              <w:t>$</w:t>
            </w:r>
          </w:p>
        </w:tc>
        <w:tc>
          <w:tcPr>
            <w:tcW w:w="7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(23,758)</w:t>
            </w:r>
          </w:p>
        </w:tc>
        <w:tc>
          <w:tcPr>
            <w:tcW w:w="60" w:type="dxa"/>
            <w:vAlign w:val="bottom"/>
            <w:tcBorders>
              <w:top w:val="single" w:sz="8" w:color="E0E7ED"/>
            </w:tcBorders>
            <w:shd w:val="clear" w:color="auto" w:fill="E0E7ED"/>
          </w:tcPr>
          <w:p>
            <w:pPr>
              <w:spacing w:after="0"/>
              <w:rPr>
                <w:sz w:val="11"/>
                <w:szCs w:val="11"/>
                <w:color w:val="auto"/>
              </w:rPr>
            </w:pPr>
          </w:p>
        </w:tc>
        <w:tc>
          <w:tcPr>
            <w:tcW w:w="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(66,635)</w:t>
            </w:r>
          </w:p>
        </w:tc>
        <w:tc>
          <w:tcPr>
            <w:tcW w:w="60" w:type="dxa"/>
            <w:vAlign w:val="bottom"/>
            <w:tcBorders>
              <w:top w:val="single" w:sz="8" w:color="E0E7ED"/>
            </w:tcBorders>
            <w:shd w:val="clear" w:color="auto" w:fill="E0E7ED"/>
          </w:tcPr>
          <w:p>
            <w:pPr>
              <w:spacing w:after="0"/>
              <w:rPr>
                <w:sz w:val="11"/>
                <w:szCs w:val="11"/>
                <w:color w:val="auto"/>
              </w:rPr>
            </w:pPr>
          </w:p>
        </w:tc>
        <w:tc>
          <w:tcPr>
            <w:tcW w:w="1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9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1,319,112</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Net income</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Verdana" w:cs="Verdana" w:eastAsia="Verdana" w:hAnsi="Verdana"/>
                <w:sz w:val="10"/>
                <w:szCs w:val="10"/>
                <w:color w:val="auto"/>
              </w:rPr>
              <w:t>128,311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128,311</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OCI, net of tax</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9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(249,520)</w:t>
            </w:r>
          </w:p>
        </w:tc>
        <w:tc>
          <w:tcPr>
            <w:tcW w:w="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(249,520)</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Repurchase of stock</w:t>
            </w:r>
          </w:p>
        </w:tc>
        <w:tc>
          <w:tcPr>
            <w:tcW w:w="1000" w:type="dxa"/>
            <w:vAlign w:val="bottom"/>
          </w:tcPr>
          <w:p>
            <w:pPr>
              <w:jc w:val="right"/>
              <w:spacing w:after="0"/>
              <w:rPr>
                <w:sz w:val="20"/>
                <w:szCs w:val="20"/>
                <w:color w:val="auto"/>
              </w:rPr>
            </w:pPr>
            <w:r>
              <w:rPr>
                <w:rFonts w:ascii="Verdana" w:cs="Verdana" w:eastAsia="Verdana" w:hAnsi="Verdana"/>
                <w:sz w:val="10"/>
                <w:szCs w:val="10"/>
                <w:color w:val="auto"/>
              </w:rPr>
              <w:t>(388,614)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Verdana" w:cs="Verdana" w:eastAsia="Verdana" w:hAnsi="Verdana"/>
                <w:sz w:val="10"/>
                <w:szCs w:val="10"/>
                <w:color w:val="auto"/>
              </w:rPr>
              <w:t>(9,912)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(9,912)</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Issuance of treasury stock for ESPP</w:t>
            </w: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57,385</w:t>
            </w:r>
          </w:p>
        </w:tc>
        <w:tc>
          <w:tcPr>
            <w:tcW w:w="6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(320)</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1,477</w:t>
            </w:r>
          </w:p>
        </w:tc>
        <w:tc>
          <w:tcPr>
            <w:tcW w:w="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1,157</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Net issuance of treasury stock for RSU/PSU/DSU vesting and related tax</w:t>
            </w:r>
          </w:p>
        </w:tc>
        <w:tc>
          <w:tcPr>
            <w:tcW w:w="1000" w:type="dxa"/>
            <w:vAlign w:val="bottom"/>
          </w:tcPr>
          <w:p>
            <w:pPr>
              <w:jc w:val="right"/>
              <w:ind w:right="11"/>
              <w:spacing w:after="0"/>
              <w:rPr>
                <w:sz w:val="20"/>
                <w:szCs w:val="20"/>
                <w:color w:val="auto"/>
              </w:rPr>
            </w:pPr>
            <w:r>
              <w:rPr>
                <w:rFonts w:ascii="Verdana" w:cs="Verdana" w:eastAsia="Verdana" w:hAnsi="Verdana"/>
                <w:sz w:val="10"/>
                <w:szCs w:val="10"/>
                <w:color w:val="auto"/>
              </w:rPr>
              <w:t>175,225</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(5,789)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4,513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(1,276)</w:t>
            </w:r>
          </w:p>
        </w:tc>
        <w:tc>
          <w:tcPr>
            <w:tcW w:w="0" w:type="dxa"/>
            <w:vAlign w:val="bottom"/>
          </w:tcPr>
          <w:p>
            <w:pPr>
              <w:spacing w:after="0"/>
              <w:rPr>
                <w:sz w:val="1"/>
                <w:szCs w:val="1"/>
                <w:color w:val="auto"/>
              </w:rPr>
            </w:pPr>
          </w:p>
        </w:tc>
      </w:tr>
      <w:tr>
        <w:trPr>
          <w:trHeight w:val="101"/>
        </w:trPr>
        <w:tc>
          <w:tcPr>
            <w:tcW w:w="3920" w:type="dxa"/>
            <w:vAlign w:val="bottom"/>
            <w:shd w:val="clear" w:color="auto" w:fill="E0E7ED"/>
          </w:tcPr>
          <w:p>
            <w:pPr>
              <w:ind w:left="140"/>
              <w:spacing w:after="0" w:line="101" w:lineRule="exact"/>
              <w:rPr>
                <w:sz w:val="20"/>
                <w:szCs w:val="20"/>
                <w:color w:val="auto"/>
              </w:rPr>
            </w:pPr>
            <w:r>
              <w:rPr>
                <w:rFonts w:ascii="Verdana" w:cs="Verdana" w:eastAsia="Verdana" w:hAnsi="Verdana"/>
                <w:sz w:val="10"/>
                <w:szCs w:val="10"/>
                <w:color w:val="auto"/>
              </w:rPr>
              <w:t>Issuance of treasury stock for stock options exercised, net of shares</w:t>
            </w:r>
          </w:p>
        </w:tc>
        <w:tc>
          <w:tcPr>
            <w:tcW w:w="1000" w:type="dxa"/>
            <w:vAlign w:val="bottom"/>
            <w:vMerge w:val="restart"/>
            <w:shd w:val="clear" w:color="auto" w:fill="E0E7ED"/>
          </w:tcPr>
          <w:p>
            <w:pPr>
              <w:jc w:val="right"/>
              <w:ind w:right="11"/>
              <w:spacing w:after="0"/>
              <w:rPr>
                <w:sz w:val="20"/>
                <w:szCs w:val="20"/>
                <w:color w:val="auto"/>
              </w:rPr>
            </w:pPr>
            <w:r>
              <w:rPr>
                <w:rFonts w:ascii="Verdana" w:cs="Verdana" w:eastAsia="Verdana" w:hAnsi="Verdana"/>
                <w:sz w:val="10"/>
                <w:szCs w:val="10"/>
                <w:color w:val="auto"/>
              </w:rPr>
              <w:t>218</w:t>
            </w:r>
          </w:p>
        </w:tc>
        <w:tc>
          <w:tcPr>
            <w:tcW w:w="60" w:type="dxa"/>
            <w:vAlign w:val="bottom"/>
            <w:shd w:val="clear" w:color="auto" w:fill="E0E7ED"/>
          </w:tcPr>
          <w:p>
            <w:pPr>
              <w:spacing w:after="0"/>
              <w:rPr>
                <w:sz w:val="8"/>
                <w:szCs w:val="8"/>
                <w:color w:val="auto"/>
              </w:rPr>
            </w:pPr>
          </w:p>
        </w:tc>
        <w:tc>
          <w:tcPr>
            <w:tcW w:w="780" w:type="dxa"/>
            <w:vAlign w:val="bottom"/>
            <w:shd w:val="clear" w:color="auto" w:fill="E0E7ED"/>
          </w:tcPr>
          <w:p>
            <w:pPr>
              <w:spacing w:after="0"/>
              <w:rPr>
                <w:sz w:val="8"/>
                <w:szCs w:val="8"/>
                <w:color w:val="auto"/>
              </w:rPr>
            </w:pPr>
          </w:p>
        </w:tc>
        <w:tc>
          <w:tcPr>
            <w:tcW w:w="28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8"/>
                <w:szCs w:val="8"/>
                <w:color w:val="auto"/>
              </w:rPr>
            </w:pPr>
          </w:p>
        </w:tc>
        <w:tc>
          <w:tcPr>
            <w:tcW w:w="860" w:type="dxa"/>
            <w:vAlign w:val="bottom"/>
            <w:vMerge w:val="restart"/>
            <w:shd w:val="clear" w:color="auto" w:fill="E0E7ED"/>
          </w:tcPr>
          <w:p>
            <w:pPr>
              <w:jc w:val="right"/>
              <w:spacing w:after="0"/>
              <w:rPr>
                <w:sz w:val="20"/>
                <w:szCs w:val="20"/>
                <w:color w:val="auto"/>
              </w:rPr>
            </w:pPr>
            <w:r>
              <w:rPr>
                <w:rFonts w:ascii="Verdana" w:cs="Verdana" w:eastAsia="Verdana" w:hAnsi="Verdana"/>
                <w:sz w:val="10"/>
                <w:szCs w:val="10"/>
                <w:color w:val="auto"/>
              </w:rPr>
              <w:t>(5)</w:t>
            </w:r>
          </w:p>
        </w:tc>
        <w:tc>
          <w:tcPr>
            <w:tcW w:w="60" w:type="dxa"/>
            <w:vAlign w:val="bottom"/>
            <w:shd w:val="clear" w:color="auto" w:fill="E0E7ED"/>
          </w:tcPr>
          <w:p>
            <w:pPr>
              <w:spacing w:after="0"/>
              <w:rPr>
                <w:sz w:val="8"/>
                <w:szCs w:val="8"/>
                <w:color w:val="auto"/>
              </w:rPr>
            </w:pPr>
          </w:p>
        </w:tc>
        <w:tc>
          <w:tcPr>
            <w:tcW w:w="160" w:type="dxa"/>
            <w:vAlign w:val="bottom"/>
            <w:shd w:val="clear" w:color="auto" w:fill="E0E7ED"/>
          </w:tcPr>
          <w:p>
            <w:pPr>
              <w:spacing w:after="0"/>
              <w:rPr>
                <w:sz w:val="8"/>
                <w:szCs w:val="8"/>
                <w:color w:val="auto"/>
              </w:rPr>
            </w:pPr>
          </w:p>
        </w:tc>
        <w:tc>
          <w:tcPr>
            <w:tcW w:w="90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8"/>
                <w:szCs w:val="8"/>
                <w:color w:val="auto"/>
              </w:rPr>
            </w:pPr>
          </w:p>
        </w:tc>
        <w:tc>
          <w:tcPr>
            <w:tcW w:w="84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8"/>
                <w:szCs w:val="8"/>
                <w:color w:val="auto"/>
              </w:rPr>
            </w:pPr>
          </w:p>
        </w:tc>
        <w:tc>
          <w:tcPr>
            <w:tcW w:w="920" w:type="dxa"/>
            <w:vAlign w:val="bottom"/>
            <w:vMerge w:val="restart"/>
            <w:shd w:val="clear" w:color="auto" w:fill="E0E7ED"/>
          </w:tcPr>
          <w:p>
            <w:pPr>
              <w:jc w:val="right"/>
              <w:ind w:right="11"/>
              <w:spacing w:after="0"/>
              <w:rPr>
                <w:sz w:val="20"/>
                <w:szCs w:val="20"/>
                <w:color w:val="auto"/>
              </w:rPr>
            </w:pPr>
            <w:r>
              <w:rPr>
                <w:rFonts w:ascii="Verdana" w:cs="Verdana" w:eastAsia="Verdana" w:hAnsi="Verdana"/>
                <w:sz w:val="10"/>
                <w:szCs w:val="10"/>
                <w:color w:val="auto"/>
              </w:rPr>
              <w:t>5</w:t>
            </w:r>
          </w:p>
        </w:tc>
        <w:tc>
          <w:tcPr>
            <w:tcW w:w="60" w:type="dxa"/>
            <w:vAlign w:val="bottom"/>
            <w:shd w:val="clear" w:color="auto" w:fill="E0E7ED"/>
          </w:tcPr>
          <w:p>
            <w:pPr>
              <w:spacing w:after="0"/>
              <w:rPr>
                <w:sz w:val="8"/>
                <w:szCs w:val="8"/>
                <w:color w:val="auto"/>
              </w:rPr>
            </w:pPr>
          </w:p>
        </w:tc>
        <w:tc>
          <w:tcPr>
            <w:tcW w:w="100" w:type="dxa"/>
            <w:vAlign w:val="bottom"/>
            <w:shd w:val="clear" w:color="auto" w:fill="E0E7ED"/>
          </w:tcPr>
          <w:p>
            <w:pPr>
              <w:spacing w:after="0"/>
              <w:rPr>
                <w:sz w:val="8"/>
                <w:szCs w:val="8"/>
                <w:color w:val="auto"/>
              </w:rPr>
            </w:pPr>
          </w:p>
        </w:tc>
        <w:tc>
          <w:tcPr>
            <w:tcW w:w="900" w:type="dxa"/>
            <w:vAlign w:val="bottom"/>
            <w:vMerge w:val="restart"/>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0" w:type="dxa"/>
            <w:vAlign w:val="bottom"/>
          </w:tcPr>
          <w:p>
            <w:pPr>
              <w:spacing w:after="0"/>
              <w:rPr>
                <w:sz w:val="1"/>
                <w:szCs w:val="1"/>
                <w:color w:val="auto"/>
              </w:rPr>
            </w:pPr>
          </w:p>
        </w:tc>
      </w:tr>
      <w:tr>
        <w:trPr>
          <w:trHeight w:val="138"/>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redeemed and related tax</w:t>
            </w:r>
          </w:p>
        </w:tc>
        <w:tc>
          <w:tcPr>
            <w:tcW w:w="100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280" w:type="dxa"/>
            <w:vAlign w:val="bottom"/>
            <w:gridSpan w:val="2"/>
            <w:vMerge w:val="continue"/>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86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00" w:type="dxa"/>
            <w:vAlign w:val="bottom"/>
            <w:gridSpan w:val="2"/>
            <w:vMerge w:val="continue"/>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40" w:type="dxa"/>
            <w:vAlign w:val="bottom"/>
            <w:gridSpan w:val="2"/>
            <w:vMerge w:val="continue"/>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920" w:type="dxa"/>
            <w:vAlign w:val="bottom"/>
            <w:vMerge w:val="continue"/>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900" w:type="dxa"/>
            <w:vAlign w:val="bottom"/>
            <w:vMerge w:val="continue"/>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Cash dividends common stock at $0.92 per share</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Verdana" w:cs="Verdana" w:eastAsia="Verdana" w:hAnsi="Verdana"/>
                <w:sz w:val="10"/>
                <w:szCs w:val="10"/>
                <w:color w:val="auto"/>
              </w:rPr>
              <w:t>(50,863)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(50,863)</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Stock dividend equivalents on RSUs/PSUs/DSUs</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1,142</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(1,142)</w:t>
            </w: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Stock-based compensation</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8,968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8,968</w:t>
            </w:r>
          </w:p>
        </w:tc>
        <w:tc>
          <w:tcPr>
            <w:tcW w:w="0" w:type="dxa"/>
            <w:vAlign w:val="bottom"/>
          </w:tcPr>
          <w:p>
            <w:pPr>
              <w:spacing w:after="0"/>
              <w:rPr>
                <w:sz w:val="1"/>
                <w:szCs w:val="1"/>
                <w:color w:val="auto"/>
              </w:rPr>
            </w:pPr>
          </w:p>
        </w:tc>
      </w:tr>
      <w:tr>
        <w:trPr>
          <w:trHeight w:val="134"/>
        </w:trPr>
        <w:tc>
          <w:tcPr>
            <w:tcW w:w="3920" w:type="dxa"/>
            <w:vAlign w:val="bottom"/>
            <w:tcBorders>
              <w:top w:val="single" w:sz="8" w:color="E0E7ED"/>
            </w:tcBorders>
            <w:shd w:val="clear" w:color="auto" w:fill="E0E7ED"/>
          </w:tcPr>
          <w:p>
            <w:pPr>
              <w:ind w:left="20"/>
              <w:spacing w:after="0" w:line="119" w:lineRule="exact"/>
              <w:rPr>
                <w:sz w:val="20"/>
                <w:szCs w:val="20"/>
                <w:color w:val="auto"/>
              </w:rPr>
            </w:pPr>
            <w:r>
              <w:rPr>
                <w:rFonts w:ascii="Verdana" w:cs="Verdana" w:eastAsia="Verdana" w:hAnsi="Verdana"/>
                <w:sz w:val="10"/>
                <w:szCs w:val="10"/>
                <w:b w:val="1"/>
                <w:bCs w:val="1"/>
                <w:color w:val="auto"/>
              </w:rPr>
              <w:t>Balance, December 31, 2022</w:t>
            </w:r>
          </w:p>
        </w:tc>
        <w:tc>
          <w:tcPr>
            <w:tcW w:w="10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55,279,124</w:t>
            </w:r>
          </w:p>
        </w:tc>
        <w:tc>
          <w:tcPr>
            <w:tcW w:w="60" w:type="dxa"/>
            <w:vAlign w:val="bottom"/>
            <w:tcBorders>
              <w:top w:val="single" w:sz="8" w:color="E0E7ED"/>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spacing w:after="0"/>
              <w:rPr>
                <w:sz w:val="11"/>
                <w:szCs w:val="11"/>
                <w:color w:val="auto"/>
              </w:rPr>
            </w:pPr>
          </w:p>
        </w:tc>
        <w:tc>
          <w:tcPr>
            <w:tcW w:w="2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58</w:t>
            </w:r>
          </w:p>
        </w:tc>
        <w:tc>
          <w:tcPr>
            <w:tcW w:w="60" w:type="dxa"/>
            <w:vAlign w:val="bottom"/>
            <w:tcBorders>
              <w:top w:val="single" w:sz="8" w:color="E0E7ED"/>
            </w:tcBorders>
            <w:shd w:val="clear" w:color="auto" w:fill="E0E7ED"/>
          </w:tcPr>
          <w:p>
            <w:pPr>
              <w:spacing w:after="0"/>
              <w:rPr>
                <w:sz w:val="11"/>
                <w:szCs w:val="11"/>
                <w:color w:val="auto"/>
              </w:rPr>
            </w:pPr>
          </w:p>
        </w:tc>
        <w:tc>
          <w:tcPr>
            <w:tcW w:w="140" w:type="dxa"/>
            <w:vAlign w:val="bottom"/>
            <w:tcBorders>
              <w:top w:val="single" w:sz="8" w:color="auto"/>
            </w:tcBorders>
            <w:shd w:val="clear" w:color="auto" w:fill="E0E7ED"/>
          </w:tcPr>
          <w:p>
            <w:pPr>
              <w:spacing w:after="0"/>
              <w:rPr>
                <w:sz w:val="11"/>
                <w:szCs w:val="11"/>
                <w:color w:val="auto"/>
              </w:rPr>
            </w:pPr>
          </w:p>
        </w:tc>
        <w:tc>
          <w:tcPr>
            <w:tcW w:w="86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1,320,980</w:t>
            </w:r>
          </w:p>
        </w:tc>
        <w:tc>
          <w:tcPr>
            <w:tcW w:w="60" w:type="dxa"/>
            <w:vAlign w:val="bottom"/>
            <w:tcBorders>
              <w:top w:val="single" w:sz="8" w:color="E0E7ED"/>
            </w:tcBorders>
            <w:shd w:val="clear" w:color="auto" w:fill="E0E7ED"/>
          </w:tcPr>
          <w:p>
            <w:pPr>
              <w:spacing w:after="0"/>
              <w:rPr>
                <w:sz w:val="11"/>
                <w:szCs w:val="11"/>
                <w:color w:val="auto"/>
              </w:rPr>
            </w:pPr>
          </w:p>
        </w:tc>
        <w:tc>
          <w:tcPr>
            <w:tcW w:w="160" w:type="dxa"/>
            <w:vAlign w:val="bottom"/>
            <w:tcBorders>
              <w:top w:val="single" w:sz="8" w:color="auto"/>
            </w:tcBorders>
            <w:shd w:val="clear" w:color="auto" w:fill="E0E7ED"/>
          </w:tcPr>
          <w:p>
            <w:pPr>
              <w:spacing w:after="0"/>
              <w:rPr>
                <w:sz w:val="11"/>
                <w:szCs w:val="11"/>
                <w:color w:val="auto"/>
              </w:rPr>
            </w:pPr>
          </w:p>
        </w:tc>
        <w:tc>
          <w:tcPr>
            <w:tcW w:w="84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168,769</w:t>
            </w:r>
          </w:p>
        </w:tc>
        <w:tc>
          <w:tcPr>
            <w:tcW w:w="60" w:type="dxa"/>
            <w:vAlign w:val="bottom"/>
            <w:tcBorders>
              <w:top w:val="single" w:sz="8" w:color="E0E7ED"/>
            </w:tcBorders>
            <w:shd w:val="clear" w:color="auto" w:fill="E0E7ED"/>
          </w:tcPr>
          <w:p>
            <w:pPr>
              <w:spacing w:after="0"/>
              <w:rPr>
                <w:sz w:val="11"/>
                <w:szCs w:val="11"/>
                <w:color w:val="auto"/>
              </w:rPr>
            </w:pPr>
          </w:p>
        </w:tc>
        <w:tc>
          <w:tcPr>
            <w:tcW w:w="220" w:type="dxa"/>
            <w:vAlign w:val="bottom"/>
            <w:tcBorders>
              <w:top w:val="single" w:sz="8" w:color="auto"/>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(273,278)</w:t>
            </w:r>
          </w:p>
        </w:tc>
        <w:tc>
          <w:tcPr>
            <w:tcW w:w="60" w:type="dxa"/>
            <w:vAlign w:val="bottom"/>
            <w:tcBorders>
              <w:top w:val="single" w:sz="8" w:color="E0E7ED"/>
            </w:tcBorders>
            <w:shd w:val="clear" w:color="auto" w:fill="E0E7ED"/>
          </w:tcPr>
          <w:p>
            <w:pPr>
              <w:spacing w:after="0"/>
              <w:rPr>
                <w:sz w:val="11"/>
                <w:szCs w:val="11"/>
                <w:color w:val="auto"/>
              </w:rPr>
            </w:pPr>
          </w:p>
        </w:tc>
        <w:tc>
          <w:tcPr>
            <w:tcW w:w="80" w:type="dxa"/>
            <w:vAlign w:val="bottom"/>
            <w:tcBorders>
              <w:top w:val="single" w:sz="8" w:color="auto"/>
            </w:tcBorders>
            <w:shd w:val="clear" w:color="auto" w:fill="E0E7ED"/>
          </w:tcPr>
          <w:p>
            <w:pPr>
              <w:spacing w:after="0"/>
              <w:rPr>
                <w:sz w:val="11"/>
                <w:szCs w:val="11"/>
                <w:color w:val="auto"/>
              </w:rPr>
            </w:pP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(70,552)</w:t>
            </w:r>
          </w:p>
        </w:tc>
        <w:tc>
          <w:tcPr>
            <w:tcW w:w="60" w:type="dxa"/>
            <w:vAlign w:val="bottom"/>
            <w:tcBorders>
              <w:top w:val="single" w:sz="8" w:color="E0E7ED"/>
            </w:tcBorders>
            <w:shd w:val="clear" w:color="auto" w:fill="E0E7ED"/>
          </w:tcPr>
          <w:p>
            <w:pPr>
              <w:spacing w:after="0"/>
              <w:rPr>
                <w:sz w:val="11"/>
                <w:szCs w:val="11"/>
                <w:color w:val="auto"/>
              </w:rPr>
            </w:pPr>
          </w:p>
        </w:tc>
        <w:tc>
          <w:tcPr>
            <w:tcW w:w="100" w:type="dxa"/>
            <w:vAlign w:val="bottom"/>
            <w:tcBorders>
              <w:top w:val="single" w:sz="8" w:color="auto"/>
            </w:tcBorders>
            <w:shd w:val="clear" w:color="auto" w:fill="E0E7ED"/>
          </w:tcPr>
          <w:p>
            <w:pPr>
              <w:spacing w:after="0"/>
              <w:rPr>
                <w:sz w:val="11"/>
                <w:szCs w:val="11"/>
                <w:color w:val="auto"/>
              </w:rPr>
            </w:pPr>
          </w:p>
        </w:tc>
        <w:tc>
          <w:tcPr>
            <w:tcW w:w="9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1,145,977</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Net income</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Verdana" w:cs="Verdana" w:eastAsia="Verdana" w:hAnsi="Verdana"/>
                <w:sz w:val="10"/>
                <w:szCs w:val="10"/>
                <w:color w:val="auto"/>
              </w:rPr>
              <w:t>122,565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122,565</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OCI, net of tax</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9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78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54,475</w:t>
            </w:r>
          </w:p>
        </w:tc>
        <w:tc>
          <w:tcPr>
            <w:tcW w:w="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54,475</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Repurchase of stock</w:t>
            </w:r>
          </w:p>
        </w:tc>
        <w:tc>
          <w:tcPr>
            <w:tcW w:w="1000" w:type="dxa"/>
            <w:vAlign w:val="bottom"/>
          </w:tcPr>
          <w:p>
            <w:pPr>
              <w:jc w:val="right"/>
              <w:spacing w:after="0"/>
              <w:rPr>
                <w:sz w:val="20"/>
                <w:szCs w:val="20"/>
                <w:color w:val="auto"/>
              </w:rPr>
            </w:pPr>
            <w:r>
              <w:rPr>
                <w:rFonts w:ascii="Verdana" w:cs="Verdana" w:eastAsia="Verdana" w:hAnsi="Verdana"/>
                <w:sz w:val="10"/>
                <w:szCs w:val="10"/>
                <w:color w:val="auto"/>
              </w:rPr>
              <w:t>(227,935)</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Verdana" w:cs="Verdana" w:eastAsia="Verdana" w:hAnsi="Verdana"/>
                <w:sz w:val="10"/>
                <w:szCs w:val="10"/>
                <w:color w:val="auto"/>
              </w:rPr>
              <w:t>(4,482)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(4,482)</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Issuance of treasury stock for ESPP</w:t>
            </w: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59,845</w:t>
            </w:r>
          </w:p>
        </w:tc>
        <w:tc>
          <w:tcPr>
            <w:tcW w:w="6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(530)</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1,541</w:t>
            </w:r>
          </w:p>
        </w:tc>
        <w:tc>
          <w:tcPr>
            <w:tcW w:w="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1,011</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Net issuance of treasury stock for RSU/PSU/DSU vesting and related tax</w:t>
            </w:r>
          </w:p>
        </w:tc>
        <w:tc>
          <w:tcPr>
            <w:tcW w:w="1000" w:type="dxa"/>
            <w:vAlign w:val="bottom"/>
          </w:tcPr>
          <w:p>
            <w:pPr>
              <w:jc w:val="right"/>
              <w:ind w:right="11"/>
              <w:spacing w:after="0"/>
              <w:rPr>
                <w:sz w:val="20"/>
                <w:szCs w:val="20"/>
                <w:color w:val="auto"/>
              </w:rPr>
            </w:pPr>
            <w:r>
              <w:rPr>
                <w:rFonts w:ascii="Verdana" w:cs="Verdana" w:eastAsia="Verdana" w:hAnsi="Verdana"/>
                <w:sz w:val="10"/>
                <w:szCs w:val="10"/>
                <w:color w:val="auto"/>
              </w:rPr>
              <w:t>132,091</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(4,494)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3,401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(1,093)</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issuance of treasury stock for warrants exercised</w:t>
            </w: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994</w:t>
            </w:r>
          </w:p>
        </w:tc>
        <w:tc>
          <w:tcPr>
            <w:tcW w:w="6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26</w:t>
            </w:r>
          </w:p>
        </w:tc>
        <w:tc>
          <w:tcPr>
            <w:tcW w:w="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Cash dividends common stock at $0.96 per share</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Verdana" w:cs="Verdana" w:eastAsia="Verdana" w:hAnsi="Verdana"/>
                <w:sz w:val="10"/>
                <w:szCs w:val="10"/>
                <w:color w:val="auto"/>
              </w:rPr>
              <w:t>(53,076)</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(53,076)</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Stock dividend equivalents on RSUs/PSUs/DSUs</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1,061</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(1,061)</w:t>
            </w: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Stock-based compensation</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6,595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6,595</w:t>
            </w:r>
          </w:p>
        </w:tc>
        <w:tc>
          <w:tcPr>
            <w:tcW w:w="0" w:type="dxa"/>
            <w:vAlign w:val="bottom"/>
          </w:tcPr>
          <w:p>
            <w:pPr>
              <w:spacing w:after="0"/>
              <w:rPr>
                <w:sz w:val="1"/>
                <w:szCs w:val="1"/>
                <w:color w:val="auto"/>
              </w:rPr>
            </w:pPr>
          </w:p>
        </w:tc>
      </w:tr>
      <w:tr>
        <w:trPr>
          <w:trHeight w:val="134"/>
        </w:trPr>
        <w:tc>
          <w:tcPr>
            <w:tcW w:w="3920" w:type="dxa"/>
            <w:vAlign w:val="bottom"/>
            <w:tcBorders>
              <w:top w:val="single" w:sz="8" w:color="E0E7ED"/>
            </w:tcBorders>
            <w:shd w:val="clear" w:color="auto" w:fill="E0E7ED"/>
          </w:tcPr>
          <w:p>
            <w:pPr>
              <w:ind w:left="20"/>
              <w:spacing w:after="0" w:line="119" w:lineRule="exact"/>
              <w:rPr>
                <w:sz w:val="20"/>
                <w:szCs w:val="20"/>
                <w:color w:val="auto"/>
              </w:rPr>
            </w:pPr>
            <w:r>
              <w:rPr>
                <w:rFonts w:ascii="Verdana" w:cs="Verdana" w:eastAsia="Verdana" w:hAnsi="Verdana"/>
                <w:sz w:val="10"/>
                <w:szCs w:val="10"/>
                <w:b w:val="1"/>
                <w:bCs w:val="1"/>
                <w:color w:val="auto"/>
              </w:rPr>
              <w:t>Balance, December 31, 2023</w:t>
            </w:r>
          </w:p>
        </w:tc>
        <w:tc>
          <w:tcPr>
            <w:tcW w:w="10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55,244,119</w:t>
            </w:r>
          </w:p>
        </w:tc>
        <w:tc>
          <w:tcPr>
            <w:tcW w:w="60" w:type="dxa"/>
            <w:vAlign w:val="bottom"/>
            <w:tcBorders>
              <w:top w:val="single" w:sz="8" w:color="E0E7ED"/>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spacing w:after="0"/>
              <w:rPr>
                <w:sz w:val="11"/>
                <w:szCs w:val="11"/>
                <w:color w:val="auto"/>
              </w:rPr>
            </w:pPr>
          </w:p>
        </w:tc>
        <w:tc>
          <w:tcPr>
            <w:tcW w:w="2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58</w:t>
            </w:r>
          </w:p>
        </w:tc>
        <w:tc>
          <w:tcPr>
            <w:tcW w:w="60" w:type="dxa"/>
            <w:vAlign w:val="bottom"/>
            <w:tcBorders>
              <w:top w:val="single" w:sz="8" w:color="E0E7ED"/>
            </w:tcBorders>
            <w:shd w:val="clear" w:color="auto" w:fill="E0E7ED"/>
          </w:tcPr>
          <w:p>
            <w:pPr>
              <w:spacing w:after="0"/>
              <w:rPr>
                <w:sz w:val="11"/>
                <w:szCs w:val="11"/>
                <w:color w:val="auto"/>
              </w:rPr>
            </w:pPr>
          </w:p>
        </w:tc>
        <w:tc>
          <w:tcPr>
            <w:tcW w:w="140" w:type="dxa"/>
            <w:vAlign w:val="bottom"/>
            <w:tcBorders>
              <w:top w:val="single" w:sz="8" w:color="auto"/>
            </w:tcBorders>
            <w:shd w:val="clear" w:color="auto" w:fill="E0E7ED"/>
          </w:tcPr>
          <w:p>
            <w:pPr>
              <w:spacing w:after="0"/>
              <w:rPr>
                <w:sz w:val="11"/>
                <w:szCs w:val="11"/>
                <w:color w:val="auto"/>
              </w:rPr>
            </w:pPr>
          </w:p>
        </w:tc>
        <w:tc>
          <w:tcPr>
            <w:tcW w:w="86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1,323,595</w:t>
            </w:r>
          </w:p>
        </w:tc>
        <w:tc>
          <w:tcPr>
            <w:tcW w:w="60" w:type="dxa"/>
            <w:vAlign w:val="bottom"/>
            <w:tcBorders>
              <w:top w:val="single" w:sz="8" w:color="E0E7ED"/>
            </w:tcBorders>
            <w:shd w:val="clear" w:color="auto" w:fill="E0E7ED"/>
          </w:tcPr>
          <w:p>
            <w:pPr>
              <w:spacing w:after="0"/>
              <w:rPr>
                <w:sz w:val="11"/>
                <w:szCs w:val="11"/>
                <w:color w:val="auto"/>
              </w:rPr>
            </w:pPr>
          </w:p>
        </w:tc>
        <w:tc>
          <w:tcPr>
            <w:tcW w:w="160" w:type="dxa"/>
            <w:vAlign w:val="bottom"/>
            <w:tcBorders>
              <w:top w:val="single" w:sz="8" w:color="auto"/>
            </w:tcBorders>
            <w:shd w:val="clear" w:color="auto" w:fill="E0E7ED"/>
          </w:tcPr>
          <w:p>
            <w:pPr>
              <w:spacing w:after="0"/>
              <w:rPr>
                <w:sz w:val="11"/>
                <w:szCs w:val="11"/>
                <w:color w:val="auto"/>
              </w:rPr>
            </w:pPr>
          </w:p>
        </w:tc>
        <w:tc>
          <w:tcPr>
            <w:tcW w:w="84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237,197</w:t>
            </w:r>
          </w:p>
        </w:tc>
        <w:tc>
          <w:tcPr>
            <w:tcW w:w="60" w:type="dxa"/>
            <w:vAlign w:val="bottom"/>
            <w:tcBorders>
              <w:top w:val="single" w:sz="8" w:color="E0E7ED"/>
            </w:tcBorders>
            <w:shd w:val="clear" w:color="auto" w:fill="E0E7ED"/>
          </w:tcPr>
          <w:p>
            <w:pPr>
              <w:spacing w:after="0"/>
              <w:rPr>
                <w:sz w:val="11"/>
                <w:szCs w:val="11"/>
                <w:color w:val="auto"/>
              </w:rPr>
            </w:pPr>
          </w:p>
        </w:tc>
        <w:tc>
          <w:tcPr>
            <w:tcW w:w="220" w:type="dxa"/>
            <w:vAlign w:val="bottom"/>
            <w:tcBorders>
              <w:top w:val="single" w:sz="8" w:color="auto"/>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(218,803)</w:t>
            </w:r>
          </w:p>
        </w:tc>
        <w:tc>
          <w:tcPr>
            <w:tcW w:w="60" w:type="dxa"/>
            <w:vAlign w:val="bottom"/>
            <w:tcBorders>
              <w:top w:val="single" w:sz="8" w:color="E0E7ED"/>
            </w:tcBorders>
            <w:shd w:val="clear" w:color="auto" w:fill="E0E7ED"/>
          </w:tcPr>
          <w:p>
            <w:pPr>
              <w:spacing w:after="0"/>
              <w:rPr>
                <w:sz w:val="11"/>
                <w:szCs w:val="11"/>
                <w:color w:val="auto"/>
              </w:rPr>
            </w:pPr>
          </w:p>
        </w:tc>
        <w:tc>
          <w:tcPr>
            <w:tcW w:w="80" w:type="dxa"/>
            <w:vAlign w:val="bottom"/>
            <w:tcBorders>
              <w:top w:val="single" w:sz="8" w:color="auto"/>
            </w:tcBorders>
            <w:shd w:val="clear" w:color="auto" w:fill="E0E7ED"/>
          </w:tcPr>
          <w:p>
            <w:pPr>
              <w:spacing w:after="0"/>
              <w:rPr>
                <w:sz w:val="11"/>
                <w:szCs w:val="11"/>
                <w:color w:val="auto"/>
              </w:rPr>
            </w:pP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(70,066)</w:t>
            </w:r>
          </w:p>
        </w:tc>
        <w:tc>
          <w:tcPr>
            <w:tcW w:w="60" w:type="dxa"/>
            <w:vAlign w:val="bottom"/>
            <w:tcBorders>
              <w:top w:val="single" w:sz="8" w:color="E0E7ED"/>
            </w:tcBorders>
            <w:shd w:val="clear" w:color="auto" w:fill="E0E7ED"/>
          </w:tcPr>
          <w:p>
            <w:pPr>
              <w:spacing w:after="0"/>
              <w:rPr>
                <w:sz w:val="11"/>
                <w:szCs w:val="11"/>
                <w:color w:val="auto"/>
              </w:rPr>
            </w:pPr>
          </w:p>
        </w:tc>
        <w:tc>
          <w:tcPr>
            <w:tcW w:w="100" w:type="dxa"/>
            <w:vAlign w:val="bottom"/>
            <w:tcBorders>
              <w:top w:val="single" w:sz="8" w:color="auto"/>
            </w:tcBorders>
            <w:shd w:val="clear" w:color="auto" w:fill="E0E7ED"/>
          </w:tcPr>
          <w:p>
            <w:pPr>
              <w:spacing w:after="0"/>
              <w:rPr>
                <w:sz w:val="11"/>
                <w:szCs w:val="11"/>
                <w:color w:val="auto"/>
              </w:rPr>
            </w:pPr>
          </w:p>
        </w:tc>
        <w:tc>
          <w:tcPr>
            <w:tcW w:w="9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1,271,981</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Cumulative effect of change in accounting principal (ASU 2023-02)</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Verdana" w:cs="Verdana" w:eastAsia="Verdana" w:hAnsi="Verdana"/>
                <w:sz w:val="10"/>
                <w:szCs w:val="10"/>
                <w:color w:val="auto"/>
              </w:rPr>
              <w:t>(1,391)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(1,391)</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income</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9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shd w:val="clear" w:color="auto" w:fill="E0E7ED"/>
          </w:tcPr>
          <w:p>
            <w:pPr>
              <w:spacing w:after="0"/>
              <w:rPr>
                <w:sz w:val="12"/>
                <w:szCs w:val="12"/>
                <w:color w:val="auto"/>
              </w:rPr>
            </w:pPr>
          </w:p>
        </w:tc>
        <w:tc>
          <w:tcPr>
            <w:tcW w:w="8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113,691</w:t>
            </w: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113,691</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OCI, net of tax</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Verdana" w:cs="Verdana" w:eastAsia="Verdana" w:hAnsi="Verdana"/>
                <w:sz w:val="10"/>
                <w:szCs w:val="10"/>
                <w:color w:val="auto"/>
              </w:rPr>
              <w:t>11,764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11,764</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Stock issued in acquisition, net of stock issuance costs</w:t>
            </w: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1,429,304</w:t>
            </w:r>
          </w:p>
        </w:tc>
        <w:tc>
          <w:tcPr>
            <w:tcW w:w="6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2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w:t>
            </w:r>
          </w:p>
        </w:tc>
        <w:tc>
          <w:tcPr>
            <w:tcW w:w="6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34,232</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34,234</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Issuance of treasury stock for ESPP</w:t>
            </w:r>
          </w:p>
        </w:tc>
        <w:tc>
          <w:tcPr>
            <w:tcW w:w="1000" w:type="dxa"/>
            <w:vAlign w:val="bottom"/>
          </w:tcPr>
          <w:p>
            <w:pPr>
              <w:jc w:val="right"/>
              <w:ind w:right="11"/>
              <w:spacing w:after="0"/>
              <w:rPr>
                <w:sz w:val="20"/>
                <w:szCs w:val="20"/>
                <w:color w:val="auto"/>
              </w:rPr>
            </w:pPr>
            <w:r>
              <w:rPr>
                <w:rFonts w:ascii="Verdana" w:cs="Verdana" w:eastAsia="Verdana" w:hAnsi="Verdana"/>
                <w:sz w:val="10"/>
                <w:szCs w:val="10"/>
                <w:color w:val="auto"/>
              </w:rPr>
              <w:t>58,843</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(325)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1,515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1,190</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issuance of treasury stock for RSU/PSU/DSU vesting and related tax</w:t>
            </w: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163,387</w:t>
            </w:r>
          </w:p>
        </w:tc>
        <w:tc>
          <w:tcPr>
            <w:tcW w:w="6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(5,961)</w:t>
            </w:r>
          </w:p>
        </w:tc>
        <w:tc>
          <w:tcPr>
            <w:tcW w:w="60" w:type="dxa"/>
            <w:vAlign w:val="bottom"/>
            <w:shd w:val="clear" w:color="auto" w:fill="E0E7ED"/>
          </w:tcPr>
          <w:p>
            <w:pPr>
              <w:spacing w:after="0"/>
              <w:rPr>
                <w:sz w:val="12"/>
                <w:szCs w:val="12"/>
                <w:color w:val="auto"/>
              </w:rPr>
            </w:pPr>
          </w:p>
        </w:tc>
        <w:tc>
          <w:tcPr>
            <w:tcW w:w="160" w:type="dxa"/>
            <w:vAlign w:val="bottom"/>
            <w:shd w:val="clear" w:color="auto" w:fill="E0E7ED"/>
          </w:tcPr>
          <w:p>
            <w:pPr>
              <w:spacing w:after="0"/>
              <w:rPr>
                <w:sz w:val="12"/>
                <w:szCs w:val="12"/>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4,207</w:t>
            </w:r>
          </w:p>
        </w:tc>
        <w:tc>
          <w:tcPr>
            <w:tcW w:w="6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(1,754)</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Net issuance of treasury stock for warrants exercised</w:t>
            </w:r>
          </w:p>
        </w:tc>
        <w:tc>
          <w:tcPr>
            <w:tcW w:w="1000" w:type="dxa"/>
            <w:vAlign w:val="bottom"/>
          </w:tcPr>
          <w:p>
            <w:pPr>
              <w:jc w:val="right"/>
              <w:ind w:right="11"/>
              <w:spacing w:after="0"/>
              <w:rPr>
                <w:sz w:val="20"/>
                <w:szCs w:val="20"/>
                <w:color w:val="auto"/>
              </w:rPr>
            </w:pPr>
            <w:r>
              <w:rPr>
                <w:rFonts w:ascii="Verdana" w:cs="Verdana" w:eastAsia="Verdana" w:hAnsi="Verdana"/>
                <w:sz w:val="10"/>
                <w:szCs w:val="10"/>
                <w:color w:val="auto"/>
              </w:rPr>
              <w:t>328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Verdana" w:cs="Verdana" w:eastAsia="Verdana" w:hAnsi="Verdana"/>
                <w:sz w:val="10"/>
                <w:szCs w:val="10"/>
                <w:color w:val="auto"/>
              </w:rPr>
              <w:t>(11)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Verdana" w:cs="Verdana" w:eastAsia="Verdana" w:hAnsi="Verdana"/>
                <w:sz w:val="10"/>
                <w:szCs w:val="10"/>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Verdana" w:cs="Verdana" w:eastAsia="Verdana" w:hAnsi="Verdana"/>
                <w:sz w:val="10"/>
                <w:szCs w:val="10"/>
                <w:color w:val="auto"/>
              </w:rPr>
              <w:t>(3)</w:t>
            </w:r>
          </w:p>
        </w:tc>
        <w:tc>
          <w:tcPr>
            <w:tcW w:w="0" w:type="dxa"/>
            <w:vAlign w:val="bottom"/>
          </w:tcPr>
          <w:p>
            <w:pPr>
              <w:spacing w:after="0"/>
              <w:rPr>
                <w:sz w:val="1"/>
                <w:szCs w:val="1"/>
                <w:color w:val="auto"/>
              </w:rPr>
            </w:pPr>
          </w:p>
        </w:tc>
      </w:tr>
      <w:tr>
        <w:trPr>
          <w:trHeight w:val="143"/>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Cash dividends common stock at $0.96 per share</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2"/>
                <w:szCs w:val="12"/>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2"/>
                <w:szCs w:val="12"/>
                <w:color w:val="auto"/>
              </w:rPr>
            </w:pPr>
          </w:p>
        </w:tc>
        <w:tc>
          <w:tcPr>
            <w:tcW w:w="9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60" w:type="dxa"/>
            <w:vAlign w:val="bottom"/>
            <w:shd w:val="clear" w:color="auto" w:fill="E0E7ED"/>
          </w:tcPr>
          <w:p>
            <w:pPr>
              <w:spacing w:after="0"/>
              <w:rPr>
                <w:sz w:val="12"/>
                <w:szCs w:val="12"/>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(54,169)</w:t>
            </w:r>
          </w:p>
        </w:tc>
        <w:tc>
          <w:tcPr>
            <w:tcW w:w="60" w:type="dxa"/>
            <w:vAlign w:val="bottom"/>
            <w:shd w:val="clear" w:color="auto" w:fill="E0E7ED"/>
          </w:tcPr>
          <w:p>
            <w:pPr>
              <w:spacing w:after="0"/>
              <w:rPr>
                <w:sz w:val="12"/>
                <w:szCs w:val="12"/>
                <w:color w:val="auto"/>
              </w:rPr>
            </w:pPr>
          </w:p>
        </w:tc>
        <w:tc>
          <w:tcPr>
            <w:tcW w:w="220" w:type="dxa"/>
            <w:vAlign w:val="bottom"/>
            <w:shd w:val="clear" w:color="auto" w:fill="E0E7ED"/>
          </w:tcPr>
          <w:p>
            <w:pPr>
              <w:spacing w:after="0"/>
              <w:rPr>
                <w:sz w:val="12"/>
                <w:szCs w:val="12"/>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2"/>
                <w:szCs w:val="12"/>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(54,169)</w:t>
            </w:r>
          </w:p>
        </w:tc>
        <w:tc>
          <w:tcPr>
            <w:tcW w:w="0" w:type="dxa"/>
            <w:vAlign w:val="bottom"/>
          </w:tcPr>
          <w:p>
            <w:pPr>
              <w:spacing w:after="0"/>
              <w:rPr>
                <w:sz w:val="1"/>
                <w:szCs w:val="1"/>
                <w:color w:val="auto"/>
              </w:rPr>
            </w:pPr>
          </w:p>
        </w:tc>
      </w:tr>
      <w:tr>
        <w:trPr>
          <w:trHeight w:val="133"/>
        </w:trPr>
        <w:tc>
          <w:tcPr>
            <w:tcW w:w="3920" w:type="dxa"/>
            <w:vAlign w:val="bottom"/>
          </w:tcPr>
          <w:p>
            <w:pPr>
              <w:ind w:left="140"/>
              <w:spacing w:after="0"/>
              <w:rPr>
                <w:sz w:val="20"/>
                <w:szCs w:val="20"/>
                <w:color w:val="auto"/>
              </w:rPr>
            </w:pPr>
            <w:r>
              <w:rPr>
                <w:rFonts w:ascii="Verdana" w:cs="Verdana" w:eastAsia="Verdana" w:hAnsi="Verdana"/>
                <w:sz w:val="10"/>
                <w:szCs w:val="10"/>
                <w:color w:val="auto"/>
              </w:rPr>
              <w:t>Stock dividend equivalents on RSUs/PSUs/DSUs</w:t>
            </w:r>
          </w:p>
        </w:tc>
        <w:tc>
          <w:tcPr>
            <w:tcW w:w="10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ind w:right="11"/>
              <w:spacing w:after="0"/>
              <w:rPr>
                <w:sz w:val="20"/>
                <w:szCs w:val="20"/>
                <w:color w:val="auto"/>
              </w:rPr>
            </w:pPr>
            <w:r>
              <w:rPr>
                <w:rFonts w:ascii="Verdana" w:cs="Verdana" w:eastAsia="Verdana" w:hAnsi="Verdana"/>
                <w:sz w:val="10"/>
                <w:szCs w:val="10"/>
                <w:color w:val="auto"/>
              </w:rPr>
              <w:t>1,274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Verdana" w:cs="Verdana" w:eastAsia="Verdana" w:hAnsi="Verdana"/>
                <w:sz w:val="10"/>
                <w:szCs w:val="10"/>
                <w:color w:val="auto"/>
              </w:rPr>
              <w:t>(1,274)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0" w:type="dxa"/>
            <w:vAlign w:val="bottom"/>
          </w:tcPr>
          <w:p>
            <w:pPr>
              <w:spacing w:after="0"/>
              <w:rPr>
                <w:sz w:val="1"/>
                <w:szCs w:val="1"/>
                <w:color w:val="auto"/>
              </w:rPr>
            </w:pPr>
          </w:p>
        </w:tc>
      </w:tr>
      <w:tr>
        <w:trPr>
          <w:trHeight w:val="138"/>
        </w:trPr>
        <w:tc>
          <w:tcPr>
            <w:tcW w:w="392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Stock-based compensation</w:t>
            </w:r>
          </w:p>
        </w:tc>
        <w:tc>
          <w:tcPr>
            <w:tcW w:w="10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780" w:type="dxa"/>
            <w:vAlign w:val="bottom"/>
            <w:shd w:val="clear" w:color="auto" w:fill="E0E7ED"/>
          </w:tcPr>
          <w:p>
            <w:pPr>
              <w:spacing w:after="0"/>
              <w:rPr>
                <w:sz w:val="11"/>
                <w:szCs w:val="11"/>
                <w:color w:val="auto"/>
              </w:rPr>
            </w:pPr>
          </w:p>
        </w:tc>
        <w:tc>
          <w:tcPr>
            <w:tcW w:w="2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40" w:type="dxa"/>
            <w:vAlign w:val="bottom"/>
            <w:shd w:val="clear" w:color="auto" w:fill="E0E7ED"/>
          </w:tcPr>
          <w:p>
            <w:pPr>
              <w:spacing w:after="0"/>
              <w:rPr>
                <w:sz w:val="11"/>
                <w:szCs w:val="11"/>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7,726</w:t>
            </w:r>
          </w:p>
        </w:tc>
        <w:tc>
          <w:tcPr>
            <w:tcW w:w="6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20" w:type="dxa"/>
            <w:vAlign w:val="bottom"/>
            <w:shd w:val="clear" w:color="auto" w:fill="E0E7ED"/>
          </w:tcPr>
          <w:p>
            <w:pPr>
              <w:spacing w:after="0"/>
              <w:rPr>
                <w:sz w:val="11"/>
                <w:szCs w:val="11"/>
                <w:color w:val="auto"/>
              </w:rPr>
            </w:pPr>
          </w:p>
        </w:tc>
        <w:tc>
          <w:tcPr>
            <w:tcW w:w="8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9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00" w:type="dxa"/>
            <w:vAlign w:val="bottom"/>
            <w:shd w:val="clear" w:color="auto" w:fill="E0E7ED"/>
          </w:tcPr>
          <w:p>
            <w:pPr>
              <w:spacing w:after="0"/>
              <w:rPr>
                <w:sz w:val="11"/>
                <w:szCs w:val="11"/>
                <w:color w:val="auto"/>
              </w:rPr>
            </w:pPr>
          </w:p>
        </w:tc>
        <w:tc>
          <w:tcPr>
            <w:tcW w:w="90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7,726</w:t>
            </w:r>
          </w:p>
        </w:tc>
        <w:tc>
          <w:tcPr>
            <w:tcW w:w="0" w:type="dxa"/>
            <w:vAlign w:val="bottom"/>
          </w:tcPr>
          <w:p>
            <w:pPr>
              <w:spacing w:after="0"/>
              <w:rPr>
                <w:sz w:val="1"/>
                <w:szCs w:val="1"/>
                <w:color w:val="auto"/>
              </w:rPr>
            </w:pPr>
          </w:p>
        </w:tc>
      </w:tr>
      <w:tr>
        <w:trPr>
          <w:trHeight w:val="134"/>
        </w:trPr>
        <w:tc>
          <w:tcPr>
            <w:tcW w:w="3920" w:type="dxa"/>
            <w:vAlign w:val="bottom"/>
          </w:tcPr>
          <w:p>
            <w:pPr>
              <w:ind w:left="20"/>
              <w:spacing w:after="0"/>
              <w:rPr>
                <w:sz w:val="20"/>
                <w:szCs w:val="20"/>
                <w:color w:val="auto"/>
              </w:rPr>
            </w:pPr>
            <w:r>
              <w:rPr>
                <w:rFonts w:ascii="Verdana" w:cs="Verdana" w:eastAsia="Verdana" w:hAnsi="Verdana"/>
                <w:sz w:val="10"/>
                <w:szCs w:val="10"/>
                <w:b w:val="1"/>
                <w:bCs w:val="1"/>
                <w:color w:val="auto"/>
              </w:rPr>
              <w:t>Balance, December 31, 2024</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56,895,981</w:t>
            </w:r>
          </w:p>
        </w:tc>
        <w:tc>
          <w:tcPr>
            <w:tcW w:w="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651"/>
              <w:spacing w:after="0"/>
              <w:rPr>
                <w:sz w:val="20"/>
                <w:szCs w:val="20"/>
                <w:color w:val="auto"/>
              </w:rPr>
            </w:pPr>
            <w:r>
              <w:rPr>
                <w:rFonts w:ascii="Verdana" w:cs="Verdana" w:eastAsia="Verdana" w:hAnsi="Verdana"/>
                <w:sz w:val="10"/>
                <w:szCs w:val="10"/>
                <w:color w:val="auto"/>
                <w:w w:val="92"/>
              </w:rPr>
              <w:t>$</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60</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w w:val="92"/>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1,360,530</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Verdana" w:cs="Verdana" w:eastAsia="Verdana" w:hAnsi="Verdana"/>
                <w:sz w:val="10"/>
                <w:szCs w:val="10"/>
                <w:color w:val="auto"/>
                <w:w w:val="92"/>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294,054</w:t>
            </w:r>
          </w:p>
        </w:tc>
        <w:tc>
          <w:tcPr>
            <w:tcW w:w="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Verdana" w:cs="Verdana" w:eastAsia="Verdana" w:hAnsi="Verdana"/>
                <w:sz w:val="10"/>
                <w:szCs w:val="10"/>
                <w:color w:val="auto"/>
                <w:w w:val="9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(207,039)</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(64,336)</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1,383,269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See accompanying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4" w:name="page95"/>
    <w:bookmarkEnd w:id="9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CONSOLIDATED STATEMENTS OF CASH FLOWS</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1"/>
        </w:trPr>
        <w:tc>
          <w:tcPr>
            <w:tcW w:w="6660" w:type="dxa"/>
            <w:vAlign w:val="bottom"/>
            <w:tcBorders>
              <w:bottom w:val="single" w:sz="8" w:color="E0E7ED"/>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2022</w:t>
            </w:r>
          </w:p>
        </w:tc>
      </w:tr>
      <w:tr>
        <w:trPr>
          <w:trHeight w:val="123"/>
        </w:trPr>
        <w:tc>
          <w:tcPr>
            <w:tcW w:w="6660" w:type="dxa"/>
            <w:vAlign w:val="bottom"/>
            <w:shd w:val="clear" w:color="auto" w:fill="E0E7ED"/>
          </w:tcPr>
          <w:p>
            <w:pPr>
              <w:ind w:left="20"/>
              <w:spacing w:after="0" w:line="113" w:lineRule="exact"/>
              <w:rPr>
                <w:sz w:val="20"/>
                <w:szCs w:val="20"/>
                <w:color w:val="auto"/>
              </w:rPr>
            </w:pPr>
            <w:r>
              <w:rPr>
                <w:rFonts w:ascii="Verdana" w:cs="Verdana" w:eastAsia="Verdana" w:hAnsi="Verdana"/>
                <w:sz w:val="10"/>
                <w:szCs w:val="10"/>
                <w:b w:val="1"/>
                <w:bCs w:val="1"/>
                <w:color w:val="auto"/>
              </w:rPr>
              <w:t>Cash flows provided by (used in) operating activities</w:t>
            </w:r>
          </w:p>
        </w:tc>
        <w:tc>
          <w:tcPr>
            <w:tcW w:w="920" w:type="dxa"/>
            <w:vAlign w:val="bottom"/>
            <w:shd w:val="clear" w:color="auto" w:fill="E0E7ED"/>
          </w:tcPr>
          <w:p>
            <w:pPr>
              <w:spacing w:after="0"/>
              <w:rPr>
                <w:sz w:val="10"/>
                <w:szCs w:val="10"/>
                <w:color w:val="auto"/>
              </w:rPr>
            </w:pPr>
          </w:p>
        </w:tc>
        <w:tc>
          <w:tcPr>
            <w:tcW w:w="5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Net income</w:t>
            </w:r>
          </w:p>
        </w:tc>
        <w:tc>
          <w:tcPr>
            <w:tcW w:w="920" w:type="dxa"/>
            <w:vAlign w:val="bottom"/>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113,691</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122,565</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128,311</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Adjustments to reconcile net income to net cash provided by (used in) operating activities: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Provision for credit losses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8,590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2,399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4,623</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Amortization of intangible assets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10,057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10,432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11,628</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Amortization of mortgage servicing rights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997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2,785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3,540</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Amortization of New Markets Tax Credit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8,999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6,333</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Depreciation and amortization of premises and equipment</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9,503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9,488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10,482</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Net amortization (accretion) on portfolio loans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4,372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6,971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3,932</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Net amortization (accretion) of premium (discount) on investment securities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8,857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14,406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20,799</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Net amortization (accretion) of premium (discount) on time deposits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(270)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(403)</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Net amortization (accretion) of premium (discount) on FHLB advances and other borrowings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1,158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1,027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1,400</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Impairment of OREO and other repossessed assets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611</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Impairment of fixed assets held for sale</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637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427</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Impairment of mortgage servicing rights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(8)</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Impairment of leases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84</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Unrealized (gains) losses recognized on equity securities, net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(931)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2,171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2,183</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(Gain) loss on sales of equity securities, net</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(5,475)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(24)</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(Gain) loss on sales of debt securities, net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7,033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5,503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(26)</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(Gain) loss on sales of mortgage servicing rights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(7,724)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(Gain) loss on sales of loans, net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(1,761)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(733)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(1,944)</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(Gain) loss on sales of OREO and other repossessed assets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(585)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(46)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(54)</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(Gain) loss on sales of premises and equipment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(138)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(450)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(825)</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(Gain) loss on life insurance proceeds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(895)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(759)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(Increase) decrease in cash surrender value of bank owned life insurance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(4,235)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(3,942)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(3,663)</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Provision for deferred income taxes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1,384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(2,920)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(1,272)</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Stock-based compensation</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7,726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6,595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8,968</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Proceeds from the sale of mortgage servicing rights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9,796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Mortgage loans originated for sale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(104,176)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(35,413)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(70,953)</w:t>
            </w:r>
          </w:p>
        </w:tc>
      </w:tr>
      <w:tr>
        <w:trPr>
          <w:trHeight w:val="133"/>
        </w:trPr>
        <w:tc>
          <w:tcPr>
            <w:tcW w:w="6660" w:type="dxa"/>
            <w:vAlign w:val="bottom"/>
          </w:tcPr>
          <w:p>
            <w:pPr>
              <w:ind w:left="280"/>
              <w:spacing w:after="0"/>
              <w:rPr>
                <w:sz w:val="20"/>
                <w:szCs w:val="20"/>
                <w:color w:val="auto"/>
              </w:rPr>
            </w:pPr>
            <w:r>
              <w:rPr>
                <w:rFonts w:ascii="Verdana" w:cs="Verdana" w:eastAsia="Verdana" w:hAnsi="Verdana"/>
                <w:sz w:val="10"/>
                <w:szCs w:val="10"/>
                <w:color w:val="auto"/>
              </w:rPr>
              <w:t>Proceeds from sales of mortgage loans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104,670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35,018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95,289</w:t>
            </w:r>
          </w:p>
        </w:tc>
      </w:tr>
      <w:tr>
        <w:trPr>
          <w:trHeight w:val="143"/>
        </w:trPr>
        <w:tc>
          <w:tcPr>
            <w:tcW w:w="6660" w:type="dxa"/>
            <w:vAlign w:val="bottom"/>
            <w:shd w:val="clear" w:color="auto" w:fill="E0E7ED"/>
          </w:tcPr>
          <w:p>
            <w:pPr>
              <w:ind w:left="280"/>
              <w:spacing w:after="0"/>
              <w:rPr>
                <w:sz w:val="20"/>
                <w:szCs w:val="20"/>
                <w:color w:val="auto"/>
              </w:rPr>
            </w:pPr>
            <w:r>
              <w:rPr>
                <w:rFonts w:ascii="Verdana" w:cs="Verdana" w:eastAsia="Verdana" w:hAnsi="Verdana"/>
                <w:sz w:val="10"/>
                <w:szCs w:val="10"/>
                <w:color w:val="auto"/>
              </w:rPr>
              <w:t>(Increase) decrease in other assets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19,752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(17,888)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(56,284)</w:t>
            </w:r>
          </w:p>
        </w:tc>
      </w:tr>
      <w:tr>
        <w:trPr>
          <w:trHeight w:val="133"/>
        </w:trPr>
        <w:tc>
          <w:tcPr>
            <w:tcW w:w="6660" w:type="dxa"/>
            <w:vAlign w:val="bottom"/>
            <w:tcBorders>
              <w:bottom w:val="single" w:sz="8" w:color="E0E7ED"/>
            </w:tcBorders>
          </w:tcPr>
          <w:p>
            <w:pPr>
              <w:ind w:left="280"/>
              <w:spacing w:after="0"/>
              <w:rPr>
                <w:sz w:val="20"/>
                <w:szCs w:val="20"/>
                <w:color w:val="auto"/>
              </w:rPr>
            </w:pPr>
            <w:r>
              <w:rPr>
                <w:rFonts w:ascii="Verdana" w:cs="Verdana" w:eastAsia="Verdana" w:hAnsi="Verdana"/>
                <w:sz w:val="10"/>
                <w:szCs w:val="10"/>
                <w:color w:val="auto"/>
              </w:rPr>
              <w:t>Increase (decrease) in other liabilities</w:t>
            </w: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(9,612)</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12,826</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2,633</w:t>
            </w:r>
          </w:p>
        </w:tc>
      </w:tr>
      <w:tr>
        <w:trPr>
          <w:trHeight w:val="159"/>
        </w:trPr>
        <w:tc>
          <w:tcPr>
            <w:tcW w:w="6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0"/>
                <w:szCs w:val="10"/>
                <w:color w:val="auto"/>
              </w:rPr>
              <w:t>Net cash provided by (used in) operating activities</w:t>
            </w:r>
          </w:p>
        </w:tc>
        <w:tc>
          <w:tcPr>
            <w:tcW w:w="920" w:type="dxa"/>
            <w:vAlign w:val="bottom"/>
            <w:tcBorders>
              <w:bottom w:val="single" w:sz="8" w:color="auto"/>
            </w:tcBorders>
            <w:shd w:val="clear" w:color="auto" w:fill="E0E7ED"/>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178,267</w:t>
            </w:r>
          </w:p>
        </w:tc>
        <w:tc>
          <w:tcPr>
            <w:tcW w:w="80" w:type="dxa"/>
            <w:vAlign w:val="bottom"/>
            <w:tcBorders>
              <w:bottom w:val="single" w:sz="8" w:color="E0E7ED"/>
            </w:tcBorders>
            <w:shd w:val="clear" w:color="auto" w:fill="E0E7ED"/>
          </w:tcPr>
          <w:p>
            <w:pPr>
              <w:spacing w:after="0"/>
              <w:rPr>
                <w:sz w:val="13"/>
                <w:szCs w:val="13"/>
                <w:color w:val="auto"/>
              </w:rPr>
            </w:pP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173,390</w:t>
            </w:r>
          </w:p>
        </w:tc>
        <w:tc>
          <w:tcPr>
            <w:tcW w:w="80" w:type="dxa"/>
            <w:vAlign w:val="bottom"/>
            <w:tcBorders>
              <w:bottom w:val="single" w:sz="8" w:color="E0E7ED"/>
            </w:tcBorders>
            <w:shd w:val="clear" w:color="auto" w:fill="E0E7ED"/>
          </w:tcPr>
          <w:p>
            <w:pPr>
              <w:spacing w:after="0"/>
              <w:rPr>
                <w:sz w:val="13"/>
                <w:szCs w:val="13"/>
                <w:color w:val="auto"/>
              </w:rPr>
            </w:pP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165,787</w:t>
            </w:r>
          </w:p>
        </w:tc>
      </w:tr>
      <w:tr>
        <w:trPr>
          <w:trHeight w:val="20"/>
        </w:trPr>
        <w:tc>
          <w:tcPr>
            <w:tcW w:w="666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79"/>
        </w:trPr>
        <w:tc>
          <w:tcPr>
            <w:tcW w:w="6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38"/>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Cash flows provided by (used in) investing activities</w:t>
            </w:r>
          </w:p>
        </w:tc>
        <w:tc>
          <w:tcPr>
            <w:tcW w:w="92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Purchases of equity securities</w:t>
            </w:r>
          </w:p>
        </w:tc>
        <w:tc>
          <w:tcPr>
            <w:tcW w:w="920" w:type="dxa"/>
            <w:vAlign w:val="bottom"/>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Pr>
          <w:p>
            <w:pPr>
              <w:jc w:val="right"/>
              <w:spacing w:after="0"/>
              <w:rPr>
                <w:sz w:val="20"/>
                <w:szCs w:val="20"/>
                <w:color w:val="auto"/>
              </w:rPr>
            </w:pPr>
            <w:r>
              <w:rPr>
                <w:rFonts w:ascii="Verdana" w:cs="Verdana" w:eastAsia="Verdana" w:hAnsi="Verdana"/>
                <w:sz w:val="10"/>
                <w:szCs w:val="10"/>
                <w:color w:val="auto"/>
              </w:rPr>
              <w:t>(30,422)</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spacing w:after="0"/>
              <w:rPr>
                <w:sz w:val="20"/>
                <w:szCs w:val="20"/>
                <w:color w:val="auto"/>
              </w:rPr>
            </w:pPr>
            <w:r>
              <w:rPr>
                <w:rFonts w:ascii="Verdana" w:cs="Verdana" w:eastAsia="Verdana" w:hAnsi="Verdana"/>
                <w:sz w:val="10"/>
                <w:szCs w:val="10"/>
                <w:color w:val="auto"/>
              </w:rPr>
              <w:t>(6,617)</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spacing w:after="0"/>
              <w:rPr>
                <w:sz w:val="20"/>
                <w:szCs w:val="20"/>
                <w:color w:val="auto"/>
              </w:rPr>
            </w:pPr>
            <w:r>
              <w:rPr>
                <w:rFonts w:ascii="Verdana" w:cs="Verdana" w:eastAsia="Verdana" w:hAnsi="Verdana"/>
                <w:sz w:val="10"/>
                <w:szCs w:val="10"/>
                <w:color w:val="auto"/>
              </w:rPr>
              <w:t>(14,820)</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Purchases of debt securities available for sale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(182,603)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(10,436)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(280,083)</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Proceeds from sales of equity securities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25,303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11,644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15,418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sales of debt securities available for sale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101,361</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105,044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Proceeds from paydowns and maturities of debt securities held to maturity</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48,822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48,927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70,116</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paydowns and maturities of debt securities available for sale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370,774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326,252</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470,134</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Purchases of restricted bank stock</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(43,954)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(30,957)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(12,969)</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the redemption of restricted bank stock</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884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43,926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225</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Purchases of loans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(14,602)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(increase) decrease in loans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364,455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65,240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(541,713)</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Net cash received in (paid for) acquisitions</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18,377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Cash paid for premiums on bank-owned life insurance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(74)</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(80)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(106)</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Proceeds from life insurance</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3,092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2,292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219</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Purchases of premises and equipment</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(6,430)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(9,533)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(4,989)</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Proceeds from disposition of premises and equipment</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2,247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4,425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4,528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sales of OREO and other repossessed assets, including cash payments collected</w:t>
            </w:r>
          </w:p>
        </w:tc>
        <w:tc>
          <w:tcPr>
            <w:tcW w:w="920" w:type="dxa"/>
            <w:vAlign w:val="bottom"/>
            <w:tcBorders>
              <w:bottom w:val="single" w:sz="8" w:color="auto"/>
            </w:tcBorders>
            <w:shd w:val="clear" w:color="auto" w:fill="E0E7ED"/>
          </w:tcPr>
          <w:p>
            <w:pPr>
              <w:spacing w:after="0"/>
              <w:rPr>
                <w:sz w:val="12"/>
                <w:szCs w:val="12"/>
                <w:color w:val="auto"/>
              </w:rPr>
            </w:pPr>
          </w:p>
        </w:tc>
        <w:tc>
          <w:tcPr>
            <w:tcW w:w="5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673</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860</w:t>
            </w:r>
          </w:p>
        </w:tc>
        <w:tc>
          <w:tcPr>
            <w:tcW w:w="80" w:type="dxa"/>
            <w:vAlign w:val="bottom"/>
            <w:shd w:val="clear" w:color="auto" w:fill="E0E7ED"/>
          </w:tcPr>
          <w:p>
            <w:pPr>
              <w:spacing w:after="0"/>
              <w:rPr>
                <w:sz w:val="12"/>
                <w:szCs w:val="12"/>
                <w:color w:val="auto"/>
              </w:rPr>
            </w:pPr>
          </w:p>
        </w:tc>
        <w:tc>
          <w:tcPr>
            <w:tcW w:w="340" w:type="dxa"/>
            <w:vAlign w:val="bottom"/>
            <w:tcBorders>
              <w:bottom w:val="single" w:sz="8" w:color="auto"/>
            </w:tcBorders>
            <w:shd w:val="clear" w:color="auto" w:fill="E0E7ED"/>
          </w:tcPr>
          <w:p>
            <w:pPr>
              <w:spacing w:after="0"/>
              <w:rPr>
                <w:sz w:val="12"/>
                <w:szCs w:val="12"/>
                <w:color w:val="auto"/>
              </w:rPr>
            </w:pP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3,184</w:t>
            </w:r>
          </w:p>
        </w:tc>
      </w:tr>
      <w:tr>
        <w:trPr>
          <w:trHeight w:val="118"/>
        </w:trPr>
        <w:tc>
          <w:tcPr>
            <w:tcW w:w="6660" w:type="dxa"/>
            <w:vAlign w:val="bottom"/>
          </w:tcPr>
          <w:p>
            <w:pPr>
              <w:ind w:left="20"/>
              <w:spacing w:after="0" w:line="114" w:lineRule="exact"/>
              <w:rPr>
                <w:sz w:val="20"/>
                <w:szCs w:val="20"/>
                <w:color w:val="auto"/>
              </w:rPr>
            </w:pPr>
            <w:r>
              <w:rPr>
                <w:rFonts w:ascii="Verdana" w:cs="Verdana" w:eastAsia="Verdana" w:hAnsi="Verdana"/>
                <w:sz w:val="10"/>
                <w:szCs w:val="10"/>
                <w:color w:val="auto"/>
              </w:rPr>
              <w:t>Net cash provided by (used in) investing activities</w:t>
            </w:r>
          </w:p>
        </w:tc>
        <w:tc>
          <w:tcPr>
            <w:tcW w:w="920" w:type="dxa"/>
            <w:vAlign w:val="bottom"/>
          </w:tcPr>
          <w:p>
            <w:pPr>
              <w:jc w:val="right"/>
              <w:ind w:right="791"/>
              <w:spacing w:after="0" w:line="118" w:lineRule="exact"/>
              <w:rPr>
                <w:sz w:val="20"/>
                <w:szCs w:val="20"/>
                <w:color w:val="auto"/>
              </w:rPr>
            </w:pPr>
            <w:r>
              <w:rPr>
                <w:rFonts w:ascii="Verdana" w:cs="Verdana" w:eastAsia="Verdana" w:hAnsi="Verdana"/>
                <w:sz w:val="10"/>
                <w:szCs w:val="10"/>
                <w:color w:val="auto"/>
                <w:w w:val="92"/>
              </w:rPr>
              <w:t>$</w:t>
            </w:r>
          </w:p>
        </w:tc>
        <w:tc>
          <w:tcPr>
            <w:tcW w:w="560" w:type="dxa"/>
            <w:vAlign w:val="bottom"/>
          </w:tcPr>
          <w:p>
            <w:pPr>
              <w:jc w:val="right"/>
              <w:ind w:right="11"/>
              <w:spacing w:after="0" w:line="118" w:lineRule="exact"/>
              <w:rPr>
                <w:sz w:val="20"/>
                <w:szCs w:val="20"/>
                <w:color w:val="auto"/>
              </w:rPr>
            </w:pPr>
            <w:r>
              <w:rPr>
                <w:rFonts w:ascii="Verdana" w:cs="Verdana" w:eastAsia="Verdana" w:hAnsi="Verdana"/>
                <w:sz w:val="10"/>
                <w:szCs w:val="10"/>
                <w:color w:val="auto"/>
              </w:rPr>
              <w:t>657,903</w:t>
            </w:r>
          </w:p>
        </w:tc>
        <w:tc>
          <w:tcPr>
            <w:tcW w:w="80" w:type="dxa"/>
            <w:vAlign w:val="bottom"/>
          </w:tcPr>
          <w:p>
            <w:pPr>
              <w:spacing w:after="0"/>
              <w:rPr>
                <w:sz w:val="10"/>
                <w:szCs w:val="10"/>
                <w:color w:val="auto"/>
              </w:rPr>
            </w:pPr>
          </w:p>
        </w:tc>
        <w:tc>
          <w:tcPr>
            <w:tcW w:w="340" w:type="dxa"/>
            <w:vAlign w:val="bottom"/>
          </w:tcPr>
          <w:p>
            <w:pPr>
              <w:jc w:val="right"/>
              <w:ind w:right="211"/>
              <w:spacing w:after="0" w:line="118" w:lineRule="exact"/>
              <w:rPr>
                <w:sz w:val="20"/>
                <w:szCs w:val="20"/>
                <w:color w:val="auto"/>
              </w:rPr>
            </w:pPr>
            <w:r>
              <w:rPr>
                <w:rFonts w:ascii="Verdana" w:cs="Verdana" w:eastAsia="Verdana" w:hAnsi="Verdana"/>
                <w:sz w:val="10"/>
                <w:szCs w:val="10"/>
                <w:color w:val="auto"/>
                <w:w w:val="92"/>
              </w:rPr>
              <w:t>$</w:t>
            </w:r>
          </w:p>
        </w:tc>
        <w:tc>
          <w:tcPr>
            <w:tcW w:w="1160" w:type="dxa"/>
            <w:vAlign w:val="bottom"/>
          </w:tcPr>
          <w:p>
            <w:pPr>
              <w:jc w:val="right"/>
              <w:ind w:right="11"/>
              <w:spacing w:after="0" w:line="118" w:lineRule="exact"/>
              <w:rPr>
                <w:sz w:val="20"/>
                <w:szCs w:val="20"/>
                <w:color w:val="auto"/>
              </w:rPr>
            </w:pPr>
            <w:r>
              <w:rPr>
                <w:rFonts w:ascii="Verdana" w:cs="Verdana" w:eastAsia="Verdana" w:hAnsi="Verdana"/>
                <w:sz w:val="10"/>
                <w:szCs w:val="10"/>
                <w:color w:val="auto"/>
              </w:rPr>
              <w:t>550,987</w:t>
            </w:r>
          </w:p>
        </w:tc>
        <w:tc>
          <w:tcPr>
            <w:tcW w:w="80" w:type="dxa"/>
            <w:vAlign w:val="bottom"/>
          </w:tcPr>
          <w:p>
            <w:pPr>
              <w:spacing w:after="0"/>
              <w:rPr>
                <w:sz w:val="10"/>
                <w:szCs w:val="10"/>
                <w:color w:val="auto"/>
              </w:rPr>
            </w:pPr>
          </w:p>
        </w:tc>
        <w:tc>
          <w:tcPr>
            <w:tcW w:w="340" w:type="dxa"/>
            <w:vAlign w:val="bottom"/>
          </w:tcPr>
          <w:p>
            <w:pPr>
              <w:jc w:val="right"/>
              <w:ind w:right="211"/>
              <w:spacing w:after="0" w:line="118" w:lineRule="exact"/>
              <w:rPr>
                <w:sz w:val="20"/>
                <w:szCs w:val="20"/>
                <w:color w:val="auto"/>
              </w:rPr>
            </w:pPr>
            <w:r>
              <w:rPr>
                <w:rFonts w:ascii="Verdana" w:cs="Verdana" w:eastAsia="Verdana" w:hAnsi="Verdana"/>
                <w:sz w:val="10"/>
                <w:szCs w:val="10"/>
                <w:color w:val="auto"/>
                <w:w w:val="92"/>
              </w:rPr>
              <w:t>$</w:t>
            </w:r>
          </w:p>
        </w:tc>
        <w:tc>
          <w:tcPr>
            <w:tcW w:w="1140" w:type="dxa"/>
            <w:vAlign w:val="bottom"/>
          </w:tcPr>
          <w:p>
            <w:pPr>
              <w:jc w:val="right"/>
              <w:spacing w:after="0" w:line="118" w:lineRule="exact"/>
              <w:rPr>
                <w:sz w:val="20"/>
                <w:szCs w:val="20"/>
                <w:color w:val="auto"/>
              </w:rPr>
            </w:pPr>
            <w:r>
              <w:rPr>
                <w:rFonts w:ascii="Verdana" w:cs="Verdana" w:eastAsia="Verdana" w:hAnsi="Verdana"/>
                <w:sz w:val="10"/>
                <w:szCs w:val="10"/>
                <w:color w:val="auto"/>
              </w:rPr>
              <w:t>(290,856)</w:t>
            </w:r>
          </w:p>
        </w:tc>
      </w:tr>
    </w:tbl>
    <w:p>
      <w:pPr>
        <w:spacing w:after="0" w:line="293"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(continued)</w:t>
      </w:r>
    </w:p>
    <w:p>
      <w:pPr>
        <w:spacing w:after="0" w:line="13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5" w:name="page96"/>
    <w:bookmarkEnd w:id="9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CONSOLIDATED STATEMENTS OF CASH FLOWS (Continued)</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1"/>
        </w:trPr>
        <w:tc>
          <w:tcPr>
            <w:tcW w:w="666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0"/>
                <w:szCs w:val="10"/>
                <w:b w:val="1"/>
                <w:bCs w:val="1"/>
                <w:color w:val="auto"/>
              </w:rPr>
              <w:t>2022</w:t>
            </w:r>
          </w:p>
        </w:tc>
      </w:tr>
      <w:tr>
        <w:trPr>
          <w:trHeight w:val="20"/>
        </w:trPr>
        <w:tc>
          <w:tcPr>
            <w:tcW w:w="666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04"/>
        </w:trPr>
        <w:tc>
          <w:tcPr>
            <w:tcW w:w="6660" w:type="dxa"/>
            <w:vAlign w:val="bottom"/>
            <w:shd w:val="clear" w:color="auto" w:fill="E0E7ED"/>
          </w:tcPr>
          <w:p>
            <w:pPr>
              <w:ind w:left="20"/>
              <w:spacing w:after="0" w:line="105" w:lineRule="exact"/>
              <w:rPr>
                <w:sz w:val="20"/>
                <w:szCs w:val="20"/>
                <w:color w:val="auto"/>
              </w:rPr>
            </w:pPr>
            <w:r>
              <w:rPr>
                <w:rFonts w:ascii="Verdana" w:cs="Verdana" w:eastAsia="Verdana" w:hAnsi="Verdana"/>
                <w:sz w:val="10"/>
                <w:szCs w:val="10"/>
                <w:b w:val="1"/>
                <w:bCs w:val="1"/>
                <w:color w:val="auto"/>
              </w:rPr>
              <w:t>Cash flows provided by (used in) financing activities</w:t>
            </w:r>
          </w:p>
        </w:tc>
        <w:tc>
          <w:tcPr>
            <w:tcW w:w="920" w:type="dxa"/>
            <w:vAlign w:val="bottom"/>
            <w:shd w:val="clear" w:color="auto" w:fill="E0E7ED"/>
          </w:tcPr>
          <w:p>
            <w:pPr>
              <w:spacing w:after="0"/>
              <w:rPr>
                <w:sz w:val="9"/>
                <w:szCs w:val="9"/>
                <w:color w:val="auto"/>
              </w:rPr>
            </w:pPr>
          </w:p>
        </w:tc>
        <w:tc>
          <w:tcPr>
            <w:tcW w:w="560" w:type="dxa"/>
            <w:vAlign w:val="bottom"/>
            <w:shd w:val="clear" w:color="auto" w:fill="E0E7ED"/>
          </w:tcPr>
          <w:p>
            <w:pPr>
              <w:spacing w:after="0"/>
              <w:rPr>
                <w:sz w:val="9"/>
                <w:szCs w:val="9"/>
                <w:color w:val="auto"/>
              </w:rPr>
            </w:pPr>
          </w:p>
        </w:tc>
        <w:tc>
          <w:tcPr>
            <w:tcW w:w="80" w:type="dxa"/>
            <w:vAlign w:val="bottom"/>
            <w:shd w:val="clear" w:color="auto" w:fill="E0E7ED"/>
          </w:tcPr>
          <w:p>
            <w:pPr>
              <w:spacing w:after="0"/>
              <w:rPr>
                <w:sz w:val="9"/>
                <w:szCs w:val="9"/>
                <w:color w:val="auto"/>
              </w:rPr>
            </w:pPr>
          </w:p>
        </w:tc>
        <w:tc>
          <w:tcPr>
            <w:tcW w:w="340" w:type="dxa"/>
            <w:vAlign w:val="bottom"/>
            <w:shd w:val="clear" w:color="auto" w:fill="E0E7ED"/>
          </w:tcPr>
          <w:p>
            <w:pPr>
              <w:spacing w:after="0"/>
              <w:rPr>
                <w:sz w:val="9"/>
                <w:szCs w:val="9"/>
                <w:color w:val="auto"/>
              </w:rPr>
            </w:pPr>
          </w:p>
        </w:tc>
        <w:tc>
          <w:tcPr>
            <w:tcW w:w="1160" w:type="dxa"/>
            <w:vAlign w:val="bottom"/>
            <w:shd w:val="clear" w:color="auto" w:fill="E0E7ED"/>
          </w:tcPr>
          <w:p>
            <w:pPr>
              <w:spacing w:after="0"/>
              <w:rPr>
                <w:sz w:val="9"/>
                <w:szCs w:val="9"/>
                <w:color w:val="auto"/>
              </w:rPr>
            </w:pPr>
          </w:p>
        </w:tc>
        <w:tc>
          <w:tcPr>
            <w:tcW w:w="80" w:type="dxa"/>
            <w:vAlign w:val="bottom"/>
            <w:shd w:val="clear" w:color="auto" w:fill="E0E7ED"/>
          </w:tcPr>
          <w:p>
            <w:pPr>
              <w:spacing w:after="0"/>
              <w:rPr>
                <w:sz w:val="9"/>
                <w:szCs w:val="9"/>
                <w:color w:val="auto"/>
              </w:rPr>
            </w:pPr>
          </w:p>
        </w:tc>
        <w:tc>
          <w:tcPr>
            <w:tcW w:w="340" w:type="dxa"/>
            <w:vAlign w:val="bottom"/>
            <w:shd w:val="clear" w:color="auto" w:fill="E0E7ED"/>
          </w:tcPr>
          <w:p>
            <w:pPr>
              <w:spacing w:after="0"/>
              <w:rPr>
                <w:sz w:val="9"/>
                <w:szCs w:val="9"/>
                <w:color w:val="auto"/>
              </w:rPr>
            </w:pPr>
          </w:p>
        </w:tc>
        <w:tc>
          <w:tcPr>
            <w:tcW w:w="1140" w:type="dxa"/>
            <w:vAlign w:val="bottom"/>
            <w:shd w:val="clear" w:color="auto" w:fill="E0E7ED"/>
          </w:tcPr>
          <w:p>
            <w:pPr>
              <w:spacing w:after="0"/>
              <w:rPr>
                <w:sz w:val="9"/>
                <w:szCs w:val="9"/>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Net increase (decrease) in deposits</w:t>
            </w:r>
          </w:p>
        </w:tc>
        <w:tc>
          <w:tcPr>
            <w:tcW w:w="920" w:type="dxa"/>
            <w:vAlign w:val="bottom"/>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Pr>
          <w:p>
            <w:pPr>
              <w:jc w:val="right"/>
              <w:spacing w:after="0"/>
              <w:rPr>
                <w:sz w:val="20"/>
                <w:szCs w:val="20"/>
                <w:color w:val="auto"/>
              </w:rPr>
            </w:pPr>
            <w:r>
              <w:rPr>
                <w:rFonts w:ascii="Verdana" w:cs="Verdana" w:eastAsia="Verdana" w:hAnsi="Verdana"/>
                <w:sz w:val="10"/>
                <w:szCs w:val="10"/>
                <w:color w:val="auto"/>
              </w:rPr>
              <w:t>(701,605)</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220,146</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spacing w:after="0"/>
              <w:rPr>
                <w:sz w:val="20"/>
                <w:szCs w:val="20"/>
                <w:color w:val="auto"/>
              </w:rPr>
            </w:pPr>
            <w:r>
              <w:rPr>
                <w:rFonts w:ascii="Verdana" w:cs="Verdana" w:eastAsia="Verdana" w:hAnsi="Verdana"/>
                <w:sz w:val="10"/>
                <w:szCs w:val="10"/>
                <w:color w:val="auto"/>
              </w:rPr>
              <w:t>(696,894)</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Net increase (decrease) in federal funds purchased and securities sold under agreements to repurchase</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(32,969)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(42,410)</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(40,333)</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Net increase (decrease) in short-term borrowings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(36,000)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(335,000)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330,000</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other borrowings, net of debt issuance costs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98,094</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Repayment of other borrowings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(31,450)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(16,054)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(112,678)</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Cash dividends paid</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(54,169)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(53,076)</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(50,863)</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Purchase of treasury stock</w:t>
            </w:r>
          </w:p>
        </w:tc>
        <w:tc>
          <w:tcPr>
            <w:tcW w:w="9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Verdana" w:cs="Verdana" w:eastAsia="Verdana" w:hAnsi="Verdana"/>
                <w:sz w:val="10"/>
                <w:szCs w:val="10"/>
                <w:color w:val="auto"/>
              </w:rPr>
              <w:t>(4,482)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Verdana" w:cs="Verdana" w:eastAsia="Verdana" w:hAnsi="Verdana"/>
                <w:sz w:val="10"/>
                <w:szCs w:val="10"/>
                <w:color w:val="auto"/>
              </w:rPr>
              <w:t>(9,912)</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Cash paid for withholding taxes on stock-based payments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(1,755)</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(1,093)</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(1,276)</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Proceeds from stock options exercised</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Proceeds from stock warrants exercised</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Common stock issuance costs</w:t>
            </w:r>
          </w:p>
        </w:tc>
        <w:tc>
          <w:tcPr>
            <w:tcW w:w="9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Verdana" w:cs="Verdana" w:eastAsia="Verdana" w:hAnsi="Verdana"/>
                <w:sz w:val="10"/>
                <w:szCs w:val="10"/>
                <w:color w:val="auto"/>
              </w:rPr>
              <w:t>(141)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tcPr>
          <w:p>
            <w:pPr>
              <w:spacing w:after="0"/>
              <w:rPr>
                <w:sz w:val="11"/>
                <w:szCs w:val="11"/>
                <w:color w:val="auto"/>
              </w:rPr>
            </w:pP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w:t>
            </w:r>
          </w:p>
        </w:tc>
      </w:tr>
      <w:tr>
        <w:trPr>
          <w:trHeight w:val="159"/>
        </w:trPr>
        <w:tc>
          <w:tcPr>
            <w:tcW w:w="66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0"/>
                <w:szCs w:val="10"/>
                <w:color w:val="auto"/>
              </w:rPr>
              <w:t>Net cash provided by (used in) financing activities</w:t>
            </w:r>
          </w:p>
        </w:tc>
        <w:tc>
          <w:tcPr>
            <w:tcW w:w="920" w:type="dxa"/>
            <w:vAlign w:val="bottom"/>
            <w:tcBorders>
              <w:top w:val="single" w:sz="8" w:color="auto"/>
              <w:bottom w:val="single" w:sz="8" w:color="auto"/>
            </w:tcBorders>
            <w:shd w:val="clear" w:color="auto" w:fill="E0E7ED"/>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(858,092)</w:t>
            </w:r>
          </w:p>
        </w:tc>
        <w:tc>
          <w:tcPr>
            <w:tcW w:w="80" w:type="dxa"/>
            <w:vAlign w:val="bottom"/>
            <w:tcBorders>
              <w:top w:val="single" w:sz="8" w:color="E0E7ED"/>
              <w:bottom w:val="single" w:sz="8" w:color="E0E7ED"/>
            </w:tcBorders>
            <w:shd w:val="clear" w:color="auto" w:fill="E0E7ED"/>
          </w:tcPr>
          <w:p>
            <w:pPr>
              <w:spacing w:after="0"/>
              <w:rPr>
                <w:sz w:val="13"/>
                <w:szCs w:val="13"/>
                <w:color w:val="auto"/>
              </w:rPr>
            </w:pPr>
          </w:p>
        </w:tc>
        <w:tc>
          <w:tcPr>
            <w:tcW w:w="340" w:type="dxa"/>
            <w:vAlign w:val="bottom"/>
            <w:tcBorders>
              <w:top w:val="single" w:sz="8" w:color="auto"/>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(231,960)</w:t>
            </w:r>
          </w:p>
        </w:tc>
        <w:tc>
          <w:tcPr>
            <w:tcW w:w="80" w:type="dxa"/>
            <w:vAlign w:val="bottom"/>
            <w:tcBorders>
              <w:top w:val="single" w:sz="8" w:color="E0E7ED"/>
              <w:bottom w:val="single" w:sz="8" w:color="E0E7ED"/>
            </w:tcBorders>
            <w:shd w:val="clear" w:color="auto" w:fill="E0E7ED"/>
          </w:tcPr>
          <w:p>
            <w:pPr>
              <w:spacing w:after="0"/>
              <w:rPr>
                <w:sz w:val="13"/>
                <w:szCs w:val="13"/>
                <w:color w:val="auto"/>
              </w:rPr>
            </w:pPr>
          </w:p>
        </w:tc>
        <w:tc>
          <w:tcPr>
            <w:tcW w:w="340" w:type="dxa"/>
            <w:vAlign w:val="bottom"/>
            <w:tcBorders>
              <w:top w:val="single" w:sz="8" w:color="auto"/>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(483,862)</w:t>
            </w:r>
          </w:p>
        </w:tc>
      </w:tr>
      <w:tr>
        <w:trPr>
          <w:trHeight w:val="20"/>
        </w:trPr>
        <w:tc>
          <w:tcPr>
            <w:tcW w:w="666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79"/>
        </w:trPr>
        <w:tc>
          <w:tcPr>
            <w:tcW w:w="6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38"/>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Net increase (decrease) in cash and cash equivalents</w:t>
            </w:r>
          </w:p>
        </w:tc>
        <w:tc>
          <w:tcPr>
            <w:tcW w:w="920" w:type="dxa"/>
            <w:vAlign w:val="bottom"/>
            <w:shd w:val="clear" w:color="auto" w:fill="E0E7ED"/>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(21,922)</w:t>
            </w:r>
          </w:p>
        </w:tc>
        <w:tc>
          <w:tcPr>
            <w:tcW w:w="420" w:type="dxa"/>
            <w:vAlign w:val="bottom"/>
            <w:gridSpan w:val="2"/>
            <w:shd w:val="clear" w:color="auto" w:fill="E0E7ED"/>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492,417</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(608,931)</w:t>
            </w:r>
          </w:p>
        </w:tc>
      </w:tr>
      <w:tr>
        <w:trPr>
          <w:trHeight w:val="133"/>
        </w:trPr>
        <w:tc>
          <w:tcPr>
            <w:tcW w:w="6660" w:type="dxa"/>
            <w:vAlign w:val="bottom"/>
            <w:tcBorders>
              <w:bottom w:val="single" w:sz="8" w:color="E0E7ED"/>
            </w:tcBorders>
          </w:tcPr>
          <w:p>
            <w:pPr>
              <w:ind w:left="20"/>
              <w:spacing w:after="0"/>
              <w:rPr>
                <w:sz w:val="20"/>
                <w:szCs w:val="20"/>
                <w:color w:val="auto"/>
              </w:rPr>
            </w:pPr>
            <w:r>
              <w:rPr>
                <w:rFonts w:ascii="Verdana" w:cs="Verdana" w:eastAsia="Verdana" w:hAnsi="Verdana"/>
                <w:sz w:val="10"/>
                <w:szCs w:val="10"/>
                <w:b w:val="1"/>
                <w:bCs w:val="1"/>
                <w:color w:val="auto"/>
              </w:rPr>
              <w:t>Cash and cash equivalents, beginning of period</w:t>
            </w:r>
          </w:p>
        </w:tc>
        <w:tc>
          <w:tcPr>
            <w:tcW w:w="9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719,581</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227,164</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836,095</w:t>
            </w:r>
          </w:p>
        </w:tc>
      </w:tr>
      <w:tr>
        <w:trPr>
          <w:trHeight w:val="159"/>
        </w:trPr>
        <w:tc>
          <w:tcPr>
            <w:tcW w:w="6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0"/>
                <w:szCs w:val="10"/>
                <w:b w:val="1"/>
                <w:bCs w:val="1"/>
                <w:color w:val="auto"/>
              </w:rPr>
              <w:t>Cash and cash equivalents, ending of period</w:t>
            </w:r>
          </w:p>
        </w:tc>
        <w:tc>
          <w:tcPr>
            <w:tcW w:w="920" w:type="dxa"/>
            <w:vAlign w:val="bottom"/>
            <w:tcBorders>
              <w:bottom w:val="single" w:sz="8" w:color="auto"/>
            </w:tcBorders>
            <w:shd w:val="clear" w:color="auto" w:fill="E0E7ED"/>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697,659</w:t>
            </w:r>
          </w:p>
        </w:tc>
        <w:tc>
          <w:tcPr>
            <w:tcW w:w="80" w:type="dxa"/>
            <w:vAlign w:val="bottom"/>
            <w:tcBorders>
              <w:bottom w:val="single" w:sz="8" w:color="E0E7ED"/>
            </w:tcBorders>
            <w:shd w:val="clear" w:color="auto" w:fill="E0E7ED"/>
          </w:tcPr>
          <w:p>
            <w:pPr>
              <w:spacing w:after="0"/>
              <w:rPr>
                <w:sz w:val="13"/>
                <w:szCs w:val="13"/>
                <w:color w:val="auto"/>
              </w:rPr>
            </w:pP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719,581</w:t>
            </w:r>
          </w:p>
        </w:tc>
        <w:tc>
          <w:tcPr>
            <w:tcW w:w="80" w:type="dxa"/>
            <w:vAlign w:val="bottom"/>
            <w:tcBorders>
              <w:bottom w:val="single" w:sz="8" w:color="E0E7ED"/>
            </w:tcBorders>
            <w:shd w:val="clear" w:color="auto" w:fill="E0E7ED"/>
          </w:tcPr>
          <w:p>
            <w:pPr>
              <w:spacing w:after="0"/>
              <w:rPr>
                <w:sz w:val="13"/>
                <w:szCs w:val="13"/>
                <w:color w:val="auto"/>
              </w:rPr>
            </w:pPr>
          </w:p>
        </w:tc>
        <w:tc>
          <w:tcPr>
            <w:tcW w:w="340" w:type="dxa"/>
            <w:vAlign w:val="bottom"/>
            <w:tcBorders>
              <w:bottom w:val="single" w:sz="8" w:color="auto"/>
            </w:tcBorders>
            <w:shd w:val="clear" w:color="auto" w:fill="E0E7ED"/>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227,164</w:t>
            </w:r>
          </w:p>
        </w:tc>
      </w:tr>
      <w:tr>
        <w:trPr>
          <w:trHeight w:val="20"/>
        </w:trPr>
        <w:tc>
          <w:tcPr>
            <w:tcW w:w="666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79"/>
        </w:trPr>
        <w:tc>
          <w:tcPr>
            <w:tcW w:w="6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38"/>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SUPPLEMENTAL DISCLOSURES OF CASH FLOW INFORMATION</w:t>
            </w:r>
          </w:p>
        </w:tc>
        <w:tc>
          <w:tcPr>
            <w:tcW w:w="92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r>
      <w:tr>
        <w:trPr>
          <w:trHeight w:val="138"/>
        </w:trPr>
        <w:tc>
          <w:tcPr>
            <w:tcW w:w="6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Cash payments for:</w:t>
            </w:r>
          </w:p>
        </w:tc>
        <w:tc>
          <w:tcPr>
            <w:tcW w:w="92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Interest</w:t>
            </w:r>
          </w:p>
        </w:tc>
        <w:tc>
          <w:tcPr>
            <w:tcW w:w="920" w:type="dxa"/>
            <w:vAlign w:val="bottom"/>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208,359</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135,482</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35,297</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Income taxes</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12,907</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25,408</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30,676</w:t>
            </w:r>
          </w:p>
        </w:tc>
      </w:tr>
      <w:tr>
        <w:trPr>
          <w:trHeight w:val="212"/>
        </w:trPr>
        <w:tc>
          <w:tcPr>
            <w:tcW w:w="6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38"/>
        </w:trPr>
        <w:tc>
          <w:tcPr>
            <w:tcW w:w="6660" w:type="dxa"/>
            <w:vAlign w:val="bottom"/>
            <w:shd w:val="clear" w:color="auto" w:fill="E0E7ED"/>
          </w:tcPr>
          <w:p>
            <w:pPr>
              <w:ind w:left="20"/>
              <w:spacing w:after="0"/>
              <w:rPr>
                <w:sz w:val="20"/>
                <w:szCs w:val="20"/>
                <w:color w:val="auto"/>
              </w:rPr>
            </w:pPr>
            <w:r>
              <w:rPr>
                <w:rFonts w:ascii="Verdana" w:cs="Verdana" w:eastAsia="Verdana" w:hAnsi="Verdana"/>
                <w:sz w:val="10"/>
                <w:szCs w:val="10"/>
                <w:b w:val="1"/>
                <w:bCs w:val="1"/>
                <w:color w:val="auto"/>
              </w:rPr>
              <w:t>Non-cash investing and financing activities:</w:t>
            </w:r>
          </w:p>
        </w:tc>
        <w:tc>
          <w:tcPr>
            <w:tcW w:w="920" w:type="dxa"/>
            <w:vAlign w:val="bottom"/>
            <w:shd w:val="clear" w:color="auto" w:fill="E0E7ED"/>
          </w:tcPr>
          <w:p>
            <w:pPr>
              <w:spacing w:after="0"/>
              <w:rPr>
                <w:sz w:val="11"/>
                <w:szCs w:val="11"/>
                <w:color w:val="auto"/>
              </w:rPr>
            </w:pPr>
          </w:p>
        </w:tc>
        <w:tc>
          <w:tcPr>
            <w:tcW w:w="5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r>
      <w:tr>
        <w:trPr>
          <w:trHeight w:val="133"/>
        </w:trPr>
        <w:tc>
          <w:tcPr>
            <w:tcW w:w="6660" w:type="dxa"/>
            <w:vAlign w:val="bottom"/>
          </w:tcPr>
          <w:p>
            <w:pPr>
              <w:ind w:left="140"/>
              <w:spacing w:after="0"/>
              <w:rPr>
                <w:sz w:val="20"/>
                <w:szCs w:val="20"/>
                <w:color w:val="auto"/>
              </w:rPr>
            </w:pPr>
            <w:r>
              <w:rPr>
                <w:rFonts w:ascii="Verdana" w:cs="Verdana" w:eastAsia="Verdana" w:hAnsi="Verdana"/>
                <w:sz w:val="10"/>
                <w:szCs w:val="10"/>
                <w:color w:val="auto"/>
              </w:rPr>
              <w:t>OREO acquired in settlement of loans</w:t>
            </w:r>
          </w:p>
        </w:tc>
        <w:tc>
          <w:tcPr>
            <w:tcW w:w="920" w:type="dxa"/>
            <w:vAlign w:val="bottom"/>
          </w:tcPr>
          <w:p>
            <w:pPr>
              <w:jc w:val="right"/>
              <w:ind w:right="791"/>
              <w:spacing w:after="0"/>
              <w:rPr>
                <w:sz w:val="20"/>
                <w:szCs w:val="20"/>
                <w:color w:val="auto"/>
              </w:rPr>
            </w:pPr>
            <w:r>
              <w:rPr>
                <w:rFonts w:ascii="Verdana" w:cs="Verdana" w:eastAsia="Verdana" w:hAnsi="Verdana"/>
                <w:sz w:val="10"/>
                <w:szCs w:val="10"/>
                <w:color w:val="auto"/>
                <w:w w:val="92"/>
              </w:rPr>
              <w:t>$</w:t>
            </w:r>
          </w:p>
        </w:tc>
        <w:tc>
          <w:tcPr>
            <w:tcW w:w="560" w:type="dxa"/>
            <w:vAlign w:val="bottom"/>
          </w:tcPr>
          <w:p>
            <w:pPr>
              <w:jc w:val="right"/>
              <w:ind w:right="11"/>
              <w:spacing w:after="0"/>
              <w:rPr>
                <w:sz w:val="20"/>
                <w:szCs w:val="20"/>
                <w:color w:val="auto"/>
              </w:rPr>
            </w:pPr>
            <w:r>
              <w:rPr>
                <w:rFonts w:ascii="Verdana" w:cs="Verdana" w:eastAsia="Verdana" w:hAnsi="Verdana"/>
                <w:sz w:val="10"/>
                <w:szCs w:val="10"/>
                <w:color w:val="auto"/>
              </w:rPr>
              <w:t>26</w:t>
            </w:r>
          </w:p>
        </w:tc>
        <w:tc>
          <w:tcPr>
            <w:tcW w:w="420" w:type="dxa"/>
            <w:vAlign w:val="bottom"/>
            <w:gridSpan w:val="2"/>
          </w:tcPr>
          <w:p>
            <w:pPr>
              <w:jc w:val="right"/>
              <w:ind w:right="211"/>
              <w:spacing w:after="0"/>
              <w:rPr>
                <w:sz w:val="20"/>
                <w:szCs w:val="20"/>
                <w:color w:val="auto"/>
              </w:rPr>
            </w:pPr>
            <w:r>
              <w:rPr>
                <w:rFonts w:ascii="Verdana" w:cs="Verdana" w:eastAsia="Verdana" w:hAnsi="Verdana"/>
                <w:sz w:val="10"/>
                <w:szCs w:val="10"/>
                <w:color w:val="auto"/>
              </w:rPr>
              <w:t>$</w:t>
            </w:r>
          </w:p>
        </w:tc>
        <w:tc>
          <w:tcPr>
            <w:tcW w:w="1160" w:type="dxa"/>
            <w:vAlign w:val="bottom"/>
          </w:tcPr>
          <w:p>
            <w:pPr>
              <w:jc w:val="right"/>
              <w:ind w:right="11"/>
              <w:spacing w:after="0"/>
              <w:rPr>
                <w:sz w:val="20"/>
                <w:szCs w:val="20"/>
                <w:color w:val="auto"/>
              </w:rPr>
            </w:pPr>
            <w:r>
              <w:rPr>
                <w:rFonts w:ascii="Verdana" w:cs="Verdana" w:eastAsia="Verdana" w:hAnsi="Verdana"/>
                <w:sz w:val="10"/>
                <w:szCs w:val="10"/>
                <w:color w:val="auto"/>
              </w:rPr>
              <w:t>189</w:t>
            </w:r>
          </w:p>
        </w:tc>
        <w:tc>
          <w:tcPr>
            <w:tcW w:w="80" w:type="dxa"/>
            <w:vAlign w:val="bottom"/>
          </w:tcPr>
          <w:p>
            <w:pPr>
              <w:spacing w:after="0"/>
              <w:rPr>
                <w:sz w:val="11"/>
                <w:szCs w:val="11"/>
                <w:color w:val="auto"/>
              </w:rPr>
            </w:pPr>
          </w:p>
        </w:tc>
        <w:tc>
          <w:tcPr>
            <w:tcW w:w="340" w:type="dxa"/>
            <w:vAlign w:val="bottom"/>
          </w:tcPr>
          <w:p>
            <w:pPr>
              <w:jc w:val="right"/>
              <w:ind w:right="211"/>
              <w:spacing w:after="0"/>
              <w:rPr>
                <w:sz w:val="20"/>
                <w:szCs w:val="20"/>
                <w:color w:val="auto"/>
              </w:rPr>
            </w:pPr>
            <w:r>
              <w:rPr>
                <w:rFonts w:ascii="Verdana" w:cs="Verdana" w:eastAsia="Verdana" w:hAnsi="Verdana"/>
                <w:sz w:val="10"/>
                <w:szCs w:val="10"/>
                <w:color w:val="auto"/>
                <w:w w:val="92"/>
              </w:rPr>
              <w:t>$</w:t>
            </w:r>
          </w:p>
        </w:tc>
        <w:tc>
          <w:tcPr>
            <w:tcW w:w="1140" w:type="dxa"/>
            <w:vAlign w:val="bottom"/>
          </w:tcPr>
          <w:p>
            <w:pPr>
              <w:jc w:val="right"/>
              <w:ind w:right="11"/>
              <w:spacing w:after="0"/>
              <w:rPr>
                <w:sz w:val="20"/>
                <w:szCs w:val="20"/>
                <w:color w:val="auto"/>
              </w:rPr>
            </w:pPr>
            <w:r>
              <w:rPr>
                <w:rFonts w:ascii="Verdana" w:cs="Verdana" w:eastAsia="Verdana" w:hAnsi="Verdana"/>
                <w:sz w:val="10"/>
                <w:szCs w:val="10"/>
                <w:color w:val="auto"/>
              </w:rPr>
              <w:t>175</w:t>
            </w:r>
          </w:p>
        </w:tc>
      </w:tr>
      <w:tr>
        <w:trPr>
          <w:trHeight w:val="143"/>
        </w:trPr>
        <w:tc>
          <w:tcPr>
            <w:tcW w:w="6660" w:type="dxa"/>
            <w:vAlign w:val="bottom"/>
            <w:shd w:val="clear" w:color="auto" w:fill="E0E7ED"/>
          </w:tcPr>
          <w:p>
            <w:pPr>
              <w:ind w:left="140"/>
              <w:spacing w:after="0"/>
              <w:rPr>
                <w:sz w:val="20"/>
                <w:szCs w:val="20"/>
                <w:color w:val="auto"/>
              </w:rPr>
            </w:pPr>
            <w:r>
              <w:rPr>
                <w:rFonts w:ascii="Verdana" w:cs="Verdana" w:eastAsia="Verdana" w:hAnsi="Verdana"/>
                <w:sz w:val="10"/>
                <w:szCs w:val="10"/>
                <w:color w:val="auto"/>
              </w:rPr>
              <w:t>Transfer of debt securities available for sale to held to maturity</w:t>
            </w:r>
          </w:p>
        </w:tc>
        <w:tc>
          <w:tcPr>
            <w:tcW w:w="920" w:type="dxa"/>
            <w:vAlign w:val="bottom"/>
            <w:shd w:val="clear" w:color="auto" w:fill="E0E7ED"/>
          </w:tcPr>
          <w:p>
            <w:pPr>
              <w:spacing w:after="0"/>
              <w:rPr>
                <w:sz w:val="12"/>
                <w:szCs w:val="12"/>
                <w:color w:val="auto"/>
              </w:rPr>
            </w:pPr>
          </w:p>
        </w:tc>
        <w:tc>
          <w:tcPr>
            <w:tcW w:w="56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0"/>
                <w:szCs w:val="10"/>
                <w:color w:val="auto"/>
              </w:rPr>
              <w:t>—</w:t>
            </w: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985,199</w:t>
            </w:r>
          </w:p>
        </w:tc>
      </w:tr>
    </w:tbl>
    <w:p>
      <w:pPr>
        <w:spacing w:after="0" w:line="20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See accompanying Notes to Consolidated Financial Statements.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6" w:name="page97"/>
    <w:bookmarkEnd w:id="9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spacing w:after="0" w:line="201" w:lineRule="exact"/>
        <w:rPr>
          <w:sz w:val="20"/>
          <w:szCs w:val="20"/>
          <w:color w:val="auto"/>
        </w:rPr>
      </w:pPr>
    </w:p>
    <w:p>
      <w:pPr>
        <w:ind w:left="3560"/>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 SIGNIFICANT ACCOUNTING POLICIES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Organization and Nature of Operations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First Busey Corporation is a financial holding company organized under the laws of Nevada. First Busey Corporation’s subsidiaries provide retail and commercial banking services and payment technology solutions, and offer a full range of financial products and services including depository, lending, security brokerage, investment management, and fiduciary services, to individual, corporate, institutional, and governmental customers through their locations in Illinois, Missouri, southwest Florida and Indianapolis, Indiana. First Busey Corporation and its subsidiaries are subject to the regulations of certain regulatory agencies and undergo periodic examinations by those regulatory agencies.</w:t>
      </w:r>
    </w:p>
    <w:p>
      <w:pPr>
        <w:spacing w:after="0" w:line="13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Busey’s accounting and reporting policies conform to GAAP.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include the accounts of First Busey Corporation and its subsidiaries, which include Deed of Trust Services Corporation, and Busey Bank, including Busey Bank’s wholly-owned subsidiaries FirsTech, Pulaski Service Corporation, and Busey Capital Management, Inc. Further, until its dissolution on December 18, 2023, First Busey Risk Management was a subsidiary of First Busey Corporation and included in the Company’s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Operating results generated from acquired businesses are included with Busey’s results of operations starting from each date of acquisition. First Busey Corporation and its subsidiaries maintain various limited liability companies that hold specific assets for risk mitigation purposes and are consolidated into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Intercompany balances and transactions have been eliminated in consolidation.</w:t>
      </w:r>
    </w:p>
    <w:p>
      <w:pPr>
        <w:spacing w:after="0" w:line="12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Because Busey is not the primary beneficiary,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exclude the following wholly-owned variable interest entities: First Busey Statutory Trust II, First Busey Statutory Trust III, First Busey Statutory Trust IV, Pulaski Financial Statutory Trust I, Pulaski Financial Statutory Trust II, and Merchants and Manufacturers Bank Statutory Trust I.</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Use of Estimates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In preparing the accompanying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in conformity with GAAP, Busey’s management is required to make estimates and assumptions that affect the amounts reported on the Consolidated Financial Statements and the disclosures provided. Actual results could differ from those estimates. Material estimates which are particularly susceptible to significant change in the near-term relate to the fair value of assets acquired and liabilities assumed in business combinations, goodwill, income taxes, and the determination of the ACL.</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Trust Assets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Assets held for customers in a fiduciary or agency capacity, other than trust cash on deposit at Busey Bank, are not Busey’s assets and, accordingly, are not included in the accompanying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Busey had assets under care of $13.83 billion at December 31, 2024, and $12.14 billion at December 31, 2023.</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Cash and Cash Equivalents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Cash and cash equivalents include cash on hand, cash items in process of collection, amounts due from other banks, interest-bearing deposits held with other financial institutions, and federal funds sold. The carrying amount of these instruments is considered a reasonable estimate of fair value.</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maintains its cash in deposit accounts, the balance of which, at times, may exceed federally insured limits. Busey has not experienced any losses in such accounts. Management believes Busey is not exposed to any significant credit risk on cash and cash equivalents.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7" w:name="page98"/>
    <w:bookmarkEnd w:id="9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Business Combinations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Business combinations are accounted for under ASC Topic 805 </w:t>
      </w:r>
      <w:r>
        <w:rPr>
          <w:rFonts w:ascii="Verdana" w:cs="Verdana" w:eastAsia="Verdana" w:hAnsi="Verdana"/>
          <w:sz w:val="14"/>
          <w:szCs w:val="14"/>
          <w:i w:val="1"/>
          <w:iCs w:val="1"/>
          <w:color w:val="auto"/>
        </w:rPr>
        <w:t>“Business Combinations”</w:t>
      </w:r>
      <w:r>
        <w:rPr>
          <w:rFonts w:ascii="Verdana" w:cs="Verdana" w:eastAsia="Verdana" w:hAnsi="Verdana"/>
          <w:sz w:val="14"/>
          <w:szCs w:val="14"/>
          <w:color w:val="auto"/>
        </w:rPr>
        <w:t xml:space="preserve"> using the acquisition method of accounting. The acquisition method of accounting requires that the assets acquired and the liabilities assumed are recognized, measured at their estimated fair values, as of the date Busey obtains control of the acquiree (the acquisition date). To estimate fair values of assets acquired and liabilities assumed, Busey may utilize third-party valuations, such as appraisals, or internal valuations based on discounted cash flow analyses or other valuation techniques. Further, management assumptions require consideration of future growth rates, future attrition, discount rates, multiples of earnings or other relevant factors.</w:t>
      </w:r>
    </w:p>
    <w:p>
      <w:pPr>
        <w:spacing w:after="0" w:line="122"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Operating results generated from acquired businesses are included with Busey’s results of operations starting from each acquisition date. Acquisition related costs are costs that Busey incurs to effect a business combination, and may include legal, accounting, valuation, other professional or consulting fees, system conversions, and marketing costs. Busey accounts for acquisition related costs by recording them as expenses in the periods in which the costs are incurred and the services are received. Costs that Busey expects, but is not obligated to incur in the future, to effect its plan to exit an activity of an acquiree or to terminate the employment of an acquiree’s employees are not liabilities at the acquisition date. Instead, Busey recognizes these costs in its post-combination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0000FF"/>
        </w:rPr>
        <w:t xml:space="preserve"> </w:t>
      </w:r>
      <w:r>
        <w:rPr>
          <w:rFonts w:ascii="Verdana" w:cs="Verdana" w:eastAsia="Verdana" w:hAnsi="Verdana"/>
          <w:sz w:val="14"/>
          <w:szCs w:val="14"/>
          <w:color w:val="000000"/>
        </w:rPr>
        <w:t>in accordance with other applicable accounting guidance.</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Securities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Debt Securities Available for Sale</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Debt securities classified as available for sale are those debt securities that Busey intends to hold for an indefinite period of time, but not necessarily to maturity. Any decision to sell a security classified as available for sale would be based on factors including significant movements in interest rates, changes in the maturity mix of Busey's assets and liabilities, liquidity needs, regulatory capital considerations, and other similar factors. Debt securities available for sale are carried at fair value, with unrealized gains and losses reported in OCI, net of taxes.</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Purchase premiums and discounts are recognized in interest income using the interest method over the terms of the securities. The amortization period for certain callable debt securities held at a premium are amortized to the earliest call date, while discounts on debt securities are amortized to maturity. Gains and losses on the sale of debt securities available for sale are recorded on the trade date and are determined using the specific identification method.</w:t>
      </w:r>
    </w:p>
    <w:p>
      <w:pPr>
        <w:spacing w:after="0" w:line="11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 xml:space="preserve">Debt securities available for sale are not within the scope of the current expected credit losses methodology, however, the accounting for credit losses on these securities is affected by ASC Subtopic 326-30 </w:t>
      </w:r>
      <w:r>
        <w:rPr>
          <w:rFonts w:ascii="Verdana" w:cs="Verdana" w:eastAsia="Verdana" w:hAnsi="Verdana"/>
          <w:sz w:val="14"/>
          <w:szCs w:val="14"/>
          <w:i w:val="1"/>
          <w:iCs w:val="1"/>
          <w:color w:val="auto"/>
        </w:rPr>
        <w:t>“Financial Instruments-Credit Losses—Available-for-Sale Debt Securities.”</w:t>
      </w:r>
      <w:r>
        <w:rPr>
          <w:rFonts w:ascii="Verdana" w:cs="Verdana" w:eastAsia="Verdana" w:hAnsi="Verdana"/>
          <w:sz w:val="14"/>
          <w:szCs w:val="14"/>
          <w:color w:val="auto"/>
        </w:rPr>
        <w:t xml:space="preserve"> A debt security available for sale is impaired if the fair value of the security declines below its amortized cost basis. To determine the appropriate accounting, Busey must first determine if it intends to sell the security or if it is more likely than not that it will be required to sell the security before the fair value increases to at least the amortized cost basis. If either of those selling events is expected, Busey will write down the amortized cost basis of the security to its fair value. This is achieved by writing off any previously recorded allowance, if applicable, and recognizing any incremental impairment through earnings. If Busey neither intends to sell the security nor believes it is more likely than not that the Company will be required to sell the security before the fair value recovers to the amortized cost basis, Busey must determine whether any of the decline in fair value has resulted from a credit loss, or if it is entirely the result of noncredit factors.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8" w:name="page99"/>
    <w:bookmarkEnd w:id="9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color w:val="auto"/>
        </w:rPr>
        <w:t>Busey considers the following factors in assessing whether the decline is due to a credit loss:</w:t>
      </w:r>
    </w:p>
    <w:p>
      <w:pPr>
        <w:spacing w:after="0" w:line="138" w:lineRule="exact"/>
        <w:rPr>
          <w:sz w:val="20"/>
          <w:szCs w:val="20"/>
          <w:color w:val="auto"/>
        </w:rPr>
      </w:pPr>
    </w:p>
    <w:p>
      <w:pPr>
        <w:ind w:left="500" w:hanging="240"/>
        <w:spacing w:after="0"/>
        <w:tabs>
          <w:tab w:leader="none" w:pos="500" w:val="left"/>
        </w:tabs>
        <w:numPr>
          <w:ilvl w:val="0"/>
          <w:numId w:val="32"/>
        </w:numPr>
        <w:rPr>
          <w:rFonts w:ascii="Verdana" w:cs="Verdana" w:eastAsia="Verdana" w:hAnsi="Verdana"/>
          <w:sz w:val="14"/>
          <w:szCs w:val="14"/>
          <w:color w:val="auto"/>
        </w:rPr>
      </w:pPr>
      <w:r>
        <w:rPr>
          <w:rFonts w:ascii="Verdana" w:cs="Verdana" w:eastAsia="Verdana" w:hAnsi="Verdana"/>
          <w:sz w:val="14"/>
          <w:szCs w:val="14"/>
          <w:color w:val="auto"/>
        </w:rPr>
        <w:t>Extent to which the fair value is less than the amortized cost basis;</w:t>
      </w:r>
    </w:p>
    <w:p>
      <w:pPr>
        <w:spacing w:after="0" w:line="137"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32"/>
        </w:numPr>
        <w:rPr>
          <w:rFonts w:ascii="Verdana" w:cs="Verdana" w:eastAsia="Verdana" w:hAnsi="Verdana"/>
          <w:sz w:val="14"/>
          <w:szCs w:val="14"/>
          <w:color w:val="auto"/>
        </w:rPr>
      </w:pPr>
      <w:r>
        <w:rPr>
          <w:rFonts w:ascii="Verdana" w:cs="Verdana" w:eastAsia="Verdana" w:hAnsi="Verdana"/>
          <w:sz w:val="14"/>
          <w:szCs w:val="14"/>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20" w:lineRule="exact"/>
        <w:rPr>
          <w:rFonts w:ascii="Verdana" w:cs="Verdana" w:eastAsia="Verdana" w:hAnsi="Verdana"/>
          <w:sz w:val="14"/>
          <w:szCs w:val="14"/>
          <w:color w:val="auto"/>
        </w:rPr>
      </w:pPr>
    </w:p>
    <w:p>
      <w:pPr>
        <w:ind w:left="500" w:hanging="240"/>
        <w:spacing w:after="0"/>
        <w:tabs>
          <w:tab w:leader="none" w:pos="500" w:val="left"/>
        </w:tabs>
        <w:numPr>
          <w:ilvl w:val="0"/>
          <w:numId w:val="32"/>
        </w:numPr>
        <w:rPr>
          <w:rFonts w:ascii="Verdana" w:cs="Verdana" w:eastAsia="Verdana" w:hAnsi="Verdana"/>
          <w:sz w:val="14"/>
          <w:szCs w:val="14"/>
          <w:color w:val="auto"/>
        </w:rPr>
      </w:pPr>
      <w:r>
        <w:rPr>
          <w:rFonts w:ascii="Verdana" w:cs="Verdana" w:eastAsia="Verdana" w:hAnsi="Verdana"/>
          <w:sz w:val="14"/>
          <w:szCs w:val="14"/>
          <w:color w:val="auto"/>
        </w:rPr>
        <w:t>Payment structure of the debt security and the likelihood of the issuer being able to make payments that increase in the future;</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32"/>
        </w:numPr>
        <w:rPr>
          <w:rFonts w:ascii="Verdana" w:cs="Verdana" w:eastAsia="Verdana" w:hAnsi="Verdana"/>
          <w:sz w:val="14"/>
          <w:szCs w:val="14"/>
          <w:color w:val="auto"/>
        </w:rPr>
      </w:pPr>
      <w:r>
        <w:rPr>
          <w:rFonts w:ascii="Verdana" w:cs="Verdana" w:eastAsia="Verdana" w:hAnsi="Verdana"/>
          <w:sz w:val="14"/>
          <w:szCs w:val="14"/>
          <w:color w:val="auto"/>
        </w:rPr>
        <w:t>Failure of the issuer of the security to make scheduled interest or principal payments; and</w:t>
      </w:r>
    </w:p>
    <w:p>
      <w:pPr>
        <w:spacing w:after="0" w:line="137" w:lineRule="exact"/>
        <w:rPr>
          <w:rFonts w:ascii="Verdana" w:cs="Verdana" w:eastAsia="Verdana" w:hAnsi="Verdana"/>
          <w:sz w:val="14"/>
          <w:szCs w:val="14"/>
          <w:color w:val="auto"/>
        </w:rPr>
      </w:pPr>
    </w:p>
    <w:p>
      <w:pPr>
        <w:ind w:left="500" w:hanging="240"/>
        <w:spacing w:after="0"/>
        <w:tabs>
          <w:tab w:leader="none" w:pos="500" w:val="left"/>
        </w:tabs>
        <w:numPr>
          <w:ilvl w:val="0"/>
          <w:numId w:val="32"/>
        </w:numPr>
        <w:rPr>
          <w:rFonts w:ascii="Verdana" w:cs="Verdana" w:eastAsia="Verdana" w:hAnsi="Verdana"/>
          <w:sz w:val="14"/>
          <w:szCs w:val="14"/>
          <w:color w:val="auto"/>
        </w:rPr>
      </w:pPr>
      <w:r>
        <w:rPr>
          <w:rFonts w:ascii="Verdana" w:cs="Verdana" w:eastAsia="Verdana" w:hAnsi="Verdana"/>
          <w:sz w:val="14"/>
          <w:szCs w:val="14"/>
          <w:color w:val="auto"/>
        </w:rPr>
        <w:t>Any changes to the rating of the security by a rating agency.</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 Busey did not recognize any credit impairment on debt securities available for sale in 2024, 2023, or 2022.</w:t>
      </w:r>
    </w:p>
    <w:p>
      <w:pPr>
        <w:spacing w:after="0" w:line="294"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Debt Securities Held to Maturity</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Debt securities classified as held to maturity are those debt securities that Busey has the intent and ability to hold to maturity and are carried at amortized cost. In 2022, Busey elected to transfer a portion of the agency mortgage-backed securities portfolio from available for sale to held to maturity. While held to maturity securities are within the scope of CECL, the standard allows for an assumption of zero credit losses when the expectation of non-payment is zero. The risk of credit loss related to mortgage-backed securities issued and/or guaranteed by U.S. government agencies or U.S. government-sponsored enterprises is considered zero, therefore requiring no allowance to be recorded.</w:t>
      </w:r>
    </w:p>
    <w:p>
      <w:pPr>
        <w:spacing w:after="0" w:line="132"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Accrued interest receivable for both debt securities available for sale and debt securities held to maturity totaled $10.5 million at December 31, 2024, and is excluded from the estimate of credit losses. Accrued interest receivable is reported in other assets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Equity Securities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Equity securities are carried at fair value with changes in fair value recognized in earnings.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Loans Held for Sale</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Loans held for sale include mortgage loans which Busey intends to sell to investors and/or the secondary mortgage market.</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accounts for loans held for sale at LOCOM. Loans held for sale are carried at amortized historical cost less loan write-offs and downward fair value adjustments, as may be applicable. Net unrealized losses, if any, are recognized through a valuation allowance by charges to income. Gains and losses on sales of loans are recognized at settlement dates and are determined by the difference between the sales proceeds and the carrying amount, net of the value of any servicing assets for loans that were sold with servicing rights retained.</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9" w:name="page100"/>
    <w:bookmarkEnd w:id="9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 Servicing</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Servicing assets are recognized when servicing rights are acquired or retained through the sale of mortgage and government-guaranteed commercial loans. The unpaid principal balances of loans serviced by Busey for the benefit of others totaled $582.5 million as of December 31, 2024, and $1.49 billion as of December 31, 2023, and are not included in the accompanying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During the first quarter of 2024, Busey sold the mortgage servicing rights on approximately $923.5 million of one- to four-family mortgage loans for an estimated pre-tax gain of $7.5 million, which enabled Busey to sell available-for-sale debt securities with a book value of approximately $108.2 million for a pre-tax loss of $6.8 million.</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Servicing rights are initially recorded at estimated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 servicing rights is included in other income.</w:t>
      </w:r>
    </w:p>
    <w:p>
      <w:pPr>
        <w:spacing w:after="0" w:line="130"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Servicing rights are periodically evaluated for impairment based on the fair value of those rights as compared to the carrying amount. Fair values are estimated using discounted cash flows based on expected prepayment rates and other inputs. For purposes of measuring impairment, servicing rights are stratified by one or more predominant characteristics of the underlying loans. A valuation allowance is recognized in the amount by which the amortized cost of the rights for each stratum exceeds its fair value, if any. If Busey later determines that all or a portion of the impairment no longer exists for a particular group of loans, a reversal of the allowance may be recorded in current period earnings. Busey had an immaterial amount of impairment recorded at December 31, 2024 and 2023.</w:t>
      </w:r>
    </w:p>
    <w:p>
      <w:pPr>
        <w:spacing w:after="0" w:line="123"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Servicing fee income is recorded for fees earned for servicing loans. The fees are based on a contractual percentage of the outstanding principal and are recorded as income when earned.</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Portfolio Loans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Loans that management has the intent and ability to hold for the foreseeable future, or until maturity or pay-off, are reported at the principal balance outstanding, net of purchase premiums and discounts, deferred origination fees and costs, charge-offs, and the ACL.</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color w:val="auto"/>
        </w:rPr>
        <w:t>Loan origination fees, net of certain direct loan origination costs, are deferred and the net amount is amortized as an adjustment of the related loan’s yield.</w:t>
      </w:r>
    </w:p>
    <w:p>
      <w:pPr>
        <w:spacing w:after="0"/>
        <w:rPr>
          <w:sz w:val="20"/>
          <w:szCs w:val="20"/>
          <w:color w:val="auto"/>
        </w:rPr>
      </w:pPr>
      <w:r>
        <w:rPr>
          <w:rFonts w:ascii="Verdana" w:cs="Verdana" w:eastAsia="Verdana" w:hAnsi="Verdana"/>
          <w:sz w:val="14"/>
          <w:szCs w:val="14"/>
          <w:color w:val="auto"/>
        </w:rPr>
        <w:t>Busey amortizes the net amount over the contractual life of the related loan.</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2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Interest accrued but not collected for loans that are charged-off or placed on non-accrual status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0" w:name="page101"/>
    <w:bookmarkEnd w:id="10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 Modifications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Busey’s loan portfolio includes certain loans that have been modified in accordance with loan refinancing and restructuring guidance in ASC Subtopic 310-20-35-9 through 35-11 </w:t>
      </w:r>
      <w:r>
        <w:rPr>
          <w:rFonts w:ascii="Verdana" w:cs="Verdana" w:eastAsia="Verdana" w:hAnsi="Verdana"/>
          <w:sz w:val="14"/>
          <w:szCs w:val="14"/>
          <w:i w:val="1"/>
          <w:iCs w:val="1"/>
          <w:color w:val="auto"/>
        </w:rPr>
        <w:t>“Receivables—Nonrefundable Fees and Other Costs—Subsequent Measurement—Loan Refinancing or Restructuring”</w:t>
      </w:r>
      <w:r>
        <w:rPr>
          <w:rFonts w:ascii="Verdana" w:cs="Verdana" w:eastAsia="Verdana" w:hAnsi="Verdana"/>
          <w:sz w:val="14"/>
          <w:szCs w:val="14"/>
          <w:color w:val="auto"/>
        </w:rPr>
        <w:t xml:space="preserve"> for borrowers experiencing financial difficulty. For additional information about loan modifications for borrowers experiencing financial difficulty, see “</w:t>
      </w:r>
      <w:r>
        <w:rPr>
          <w:rFonts w:ascii="Verdana" w:cs="Verdana" w:eastAsia="Verdana" w:hAnsi="Verdana"/>
          <w:sz w:val="14"/>
          <w:szCs w:val="14"/>
          <w:i w:val="1"/>
          <w:iCs w:val="1"/>
          <w:u w:val="single" w:color="auto"/>
          <w:color w:val="0000FF"/>
        </w:rPr>
        <w:t>Note 4. Portfolio</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Loans</w:t>
      </w:r>
      <w:r>
        <w:rPr>
          <w:rFonts w:ascii="Verdana" w:cs="Verdana" w:eastAsia="Verdana" w:hAnsi="Verdana"/>
          <w:sz w:val="14"/>
          <w:szCs w:val="14"/>
          <w:i w:val="1"/>
          <w:iCs w:val="1"/>
          <w:color w:val="000000"/>
        </w:rPr>
        <w:t>.”</w:t>
      </w:r>
    </w:p>
    <w:p>
      <w:pPr>
        <w:spacing w:after="0" w:line="294"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Allowance for Credit Losses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The ACL is a significant estimate on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affecting both earnings and capital. The ACL is a valuation account that is deducted from the portfolio loans’ amortized cost bases to present the net amount expected to be collected on the portfolio loans. Portfolio loans are charged off against the ACL when management believes the loan balance is uncollectible. Recoveries will be recognized up to the aggregate amount of previously charged-off balances. The ACL is established through the provision for credit loss charged to income.</w:t>
      </w:r>
    </w:p>
    <w:p>
      <w:pPr>
        <w:spacing w:after="0" w:line="119" w:lineRule="exact"/>
        <w:rPr>
          <w:sz w:val="20"/>
          <w:szCs w:val="20"/>
          <w:color w:val="auto"/>
        </w:rPr>
      </w:pPr>
    </w:p>
    <w:p>
      <w:pPr>
        <w:jc w:val="both"/>
        <w:spacing w:after="0" w:line="232" w:lineRule="auto"/>
        <w:rPr>
          <w:sz w:val="20"/>
          <w:szCs w:val="20"/>
          <w:color w:val="auto"/>
        </w:rPr>
      </w:pPr>
      <w:r>
        <w:rPr>
          <w:rFonts w:ascii="Verdana" w:cs="Verdana" w:eastAsia="Verdana" w:hAnsi="Verdana"/>
          <w:sz w:val="14"/>
          <w:szCs w:val="14"/>
          <w:color w:val="auto"/>
        </w:rPr>
        <w:t>A loan’s amortized cost basis is comprised of the unpaid principal balance of the loan net of charge-offs, accrued interest receivable, purchase premiums or discounts, and net deferred origination fees or costs. Busey has estimated its allowance on the amortized cost basis, exclusive of government guaranteed loans and accrued interest receivable. Further, as permitted under the practical expedient provided within ASC 326-20-35-6, Busey did not record an ACL for its Life Equity Loan</w:t>
      </w:r>
      <w:r>
        <w:rPr>
          <w:rFonts w:ascii="Verdana" w:cs="Verdana" w:eastAsia="Verdana" w:hAnsi="Verdana"/>
          <w:sz w:val="18"/>
          <w:szCs w:val="18"/>
          <w:color w:val="auto"/>
          <w:vertAlign w:val="superscript"/>
        </w:rPr>
        <w:t>®</w:t>
      </w:r>
      <w:r>
        <w:rPr>
          <w:rFonts w:ascii="Verdana" w:cs="Verdana" w:eastAsia="Verdana" w:hAnsi="Verdana"/>
          <w:sz w:val="14"/>
          <w:szCs w:val="14"/>
          <w:color w:val="auto"/>
        </w:rPr>
        <w:t xml:space="preserve"> portfolio due to no expected credit loss at default. Busey writes-off uncollectible accrued interest receivable in a timely manner and has elected to not measure an allowance for accrued interest receivable. Busey presents the aggregate amount of accrued interest receivable for all financial instruments in other assets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and the balance of accrued interest receivable is disclosed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20. Fair Value</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Measurements.</w:t>
      </w:r>
      <w:r>
        <w:rPr>
          <w:rFonts w:ascii="Verdana" w:cs="Verdana" w:eastAsia="Verdana" w:hAnsi="Verdana"/>
          <w:sz w:val="14"/>
          <w:szCs w:val="14"/>
          <w:i w:val="1"/>
          <w:iCs w:val="1"/>
          <w:color w:val="000000"/>
        </w:rPr>
        <w:t>”</w:t>
      </w:r>
    </w:p>
    <w:p>
      <w:pPr>
        <w:spacing w:after="0" w:line="12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Busey’s methodology influences, and is influenced by, Busey’s overall credit risk management processes. The ACL is managed in accordance with GAAP to provide an adequate reserve for expected credit losses that is reflective of management’s best estimate of what is expected to be collected. The ACL must be determined on a collective (pool) basis when similar risk characteristics exist. On a case-by-case basis, Busey may conclude that a loan should be evaluated on an individual basis based on disparate risk characteristics.</w:t>
      </w:r>
    </w:p>
    <w:p>
      <w:pPr>
        <w:spacing w:after="0" w:line="130"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Busey may not be able to make or obtain such forecasts for the entire life of the financial assets and requires a reversion to historical credit loss information.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2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Ongoing impacts of CECL will be dependent upon changes in economic conditions and forecasts, originated and acquired loan portfolio composition, prepayment speeds, credit performance trends, portfolio duration, and other factors.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1" w:name="page102"/>
    <w:bookmarkEnd w:id="10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Assets Purchased with Credit Deterioration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Acquired loans are separated into two categories based on the credit risk characteristics of the underlying borrowers: (1) PCD, for loans which have experienced more than insignificant credit deterioration since origination, or (2) all other loans.</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For PCD loans, an ACL is determined at the date of acquisition using the same methodology as other loans held for investment. This initial ACL, when determined on a collective basis, is allocated to the individual loans, and the sum of each loan’s purchase price and ACL becomes its initial amortized cost basis. The difference between the initial amortized cost basis and the par value of the loan is a noncredit discount or premium, which is amortized into interest income over the life of the loan. The ACL on PCD loans is recorded in the acquisition accounting and no provision for credit losses is recognized at the acquisition date. Subsequent changes to the ACL are recorded as a charge to the provision for credit losses.</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color w:val="auto"/>
        </w:rPr>
        <w:t>For all other loans, an ACL is established immediately after the acquisition through a charge to the provision for credit losses.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Upon adoption of ASC Topic 326 </w:t>
      </w:r>
      <w:r>
        <w:rPr>
          <w:rFonts w:ascii="Verdana" w:cs="Verdana" w:eastAsia="Verdana" w:hAnsi="Verdana"/>
          <w:sz w:val="14"/>
          <w:szCs w:val="14"/>
          <w:i w:val="1"/>
          <w:iCs w:val="1"/>
          <w:color w:val="auto"/>
        </w:rPr>
        <w:t>“Financial Instruments-Credit Losses”</w:t>
      </w:r>
      <w:r>
        <w:rPr>
          <w:rFonts w:ascii="Verdana" w:cs="Verdana" w:eastAsia="Verdana" w:hAnsi="Verdana"/>
          <w:sz w:val="14"/>
          <w:szCs w:val="14"/>
          <w:color w:val="auto"/>
        </w:rPr>
        <w:t xml:space="preserve"> Busey applied the prospective transition approach for financial assets considered PCD that were previously classified as PCI and accounted for under ASC Subtopic 310-30 </w:t>
      </w:r>
      <w:r>
        <w:rPr>
          <w:rFonts w:ascii="Verdana" w:cs="Verdana" w:eastAsia="Verdana" w:hAnsi="Verdana"/>
          <w:sz w:val="14"/>
          <w:szCs w:val="14"/>
          <w:i w:val="1"/>
          <w:iCs w:val="1"/>
          <w:color w:val="auto"/>
        </w:rPr>
        <w:t>“Receivables—Loans and Debt Securities Acquired with Deteriorated</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 xml:space="preserve">Credit Quality.” </w:t>
      </w:r>
      <w:r>
        <w:rPr>
          <w:rFonts w:ascii="Verdana" w:cs="Verdana" w:eastAsia="Verdana" w:hAnsi="Verdana"/>
          <w:sz w:val="14"/>
          <w:szCs w:val="14"/>
          <w:color w:val="auto"/>
        </w:rPr>
        <w:t>In accordance with the standard, management did not reassess whether PCI assets met the criteria of PCD assets as of the date of adoption.</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The amortized cost basis of these PCD assets was adjusted to reflect an ACL for any remaining credit discount. The noncredit discount is being accreted into interest income using the January 1, 2020, effective interest rate. Subsequent changes in expected cash flows will be adjusted through the ACL.</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Other Real Estate Owned and Other Repossessed Assets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OREO and other repossessed assets represent properties and other assets acquired through foreclosure or other proceedings in settlement of loans. OREO and other repossessed assets are recorded at the fair value of the property or asset, less estimated costs of disposal, which establishes a new cost basis. Any adjustment to fair value at the time of transfer to OREO or other repossessed assets is charged to the ACL. OREO property and other repossessed assets are evaluated regularly to ensure the recorded amount is supported by its current fair value; write downs or valuation allowances to reduce the carrying amount to fair value less estimated costs to dispose are recorded, as necessary. OREO and other repossessed assets are included in other assets on the </w:t>
      </w:r>
      <w:r>
        <w:rPr>
          <w:rFonts w:ascii="Verdana" w:cs="Verdana" w:eastAsia="Verdana" w:hAnsi="Verdana"/>
          <w:sz w:val="14"/>
          <w:szCs w:val="14"/>
          <w:u w:val="single" w:color="auto"/>
          <w:color w:val="0000FF"/>
        </w:rPr>
        <w:t>Consolidated</w:t>
      </w:r>
      <w:r>
        <w:rPr>
          <w:rFonts w:ascii="Verdana" w:cs="Verdana" w:eastAsia="Verdana" w:hAnsi="Verdana"/>
          <w:sz w:val="14"/>
          <w:szCs w:val="14"/>
          <w:color w:val="auto"/>
        </w:rPr>
        <w:t xml:space="preserve"> </w:t>
      </w:r>
      <w:r>
        <w:rPr>
          <w:rFonts w:ascii="Verdana" w:cs="Verdana" w:eastAsia="Verdana" w:hAnsi="Verdana"/>
          <w:sz w:val="14"/>
          <w:szCs w:val="14"/>
          <w:u w:val="single" w:color="auto"/>
          <w:color w:val="0000FF"/>
        </w:rPr>
        <w:t>Balance Sheets</w:t>
      </w:r>
      <w:r>
        <w:rPr>
          <w:rFonts w:ascii="Verdana" w:cs="Verdana" w:eastAsia="Verdana" w:hAnsi="Verdana"/>
          <w:sz w:val="14"/>
          <w:szCs w:val="14"/>
          <w:color w:val="000000"/>
        </w:rPr>
        <w:t>. Revenue, expense, gains, and losses from the operations of foreclosed assets are included in earnings.</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Long-Lived Assets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Long-lived assets, including premises and equipment, right of use assets,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Cash flows used for this analysis are those directly associated with, and that are expected to arise as a direct result of, the use and eventual disposition of the asset. Any impairment loss is measured as the amount by which the carrying value of the asset exceeds its fair value.</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2" w:name="page103"/>
    <w:bookmarkEnd w:id="10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Premises and Equipment</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360" w:type="dxa"/>
            <w:vAlign w:val="bottom"/>
            <w:tcBorders>
              <w:bottom w:val="single" w:sz="8" w:color="auto"/>
            </w:tcBorders>
          </w:tcPr>
          <w:p>
            <w:pPr>
              <w:ind w:left="20"/>
              <w:spacing w:after="0"/>
              <w:rPr>
                <w:sz w:val="20"/>
                <w:szCs w:val="20"/>
                <w:color w:val="auto"/>
              </w:rPr>
            </w:pPr>
            <w:r>
              <w:rPr>
                <w:rFonts w:ascii="Verdana" w:cs="Verdana" w:eastAsia="Verdana" w:hAnsi="Verdana"/>
                <w:sz w:val="10"/>
                <w:szCs w:val="10"/>
                <w:b w:val="1"/>
                <w:bCs w:val="1"/>
                <w:color w:val="auto"/>
              </w:rPr>
              <w:t>Asset Description</w:t>
            </w:r>
          </w:p>
        </w:tc>
        <w:tc>
          <w:tcPr>
            <w:tcW w:w="100" w:type="dxa"/>
            <w:vAlign w:val="bottom"/>
            <w:tcBorders>
              <w:bottom w:val="single" w:sz="8" w:color="E0E7ED"/>
            </w:tcBorders>
          </w:tcPr>
          <w:p>
            <w:pPr>
              <w:spacing w:after="0"/>
              <w:rPr>
                <w:sz w:val="11"/>
                <w:szCs w:val="11"/>
                <w:color w:val="auto"/>
              </w:rPr>
            </w:pPr>
          </w:p>
        </w:tc>
        <w:tc>
          <w:tcPr>
            <w:tcW w:w="182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8"/>
              </w:rPr>
              <w:t>Estimated Useful Life</w:t>
            </w:r>
          </w:p>
        </w:tc>
      </w:tr>
      <w:tr>
        <w:trPr>
          <w:trHeight w:val="210"/>
        </w:trPr>
        <w:tc>
          <w:tcPr>
            <w:tcW w:w="94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Buildings and improvements</w:t>
            </w:r>
          </w:p>
        </w:tc>
        <w:tc>
          <w:tcPr>
            <w:tcW w:w="18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3 — 40 years</w:t>
            </w:r>
          </w:p>
        </w:tc>
      </w:tr>
      <w:tr>
        <w:trPr>
          <w:trHeight w:val="201"/>
        </w:trPr>
        <w:tc>
          <w:tcPr>
            <w:tcW w:w="9460" w:type="dxa"/>
            <w:vAlign w:val="bottom"/>
            <w:gridSpan w:val="2"/>
          </w:tcPr>
          <w:p>
            <w:pPr>
              <w:ind w:left="20"/>
              <w:spacing w:after="0"/>
              <w:rPr>
                <w:sz w:val="20"/>
                <w:szCs w:val="20"/>
                <w:color w:val="auto"/>
              </w:rPr>
            </w:pPr>
            <w:r>
              <w:rPr>
                <w:rFonts w:ascii="Verdana" w:cs="Verdana" w:eastAsia="Verdana" w:hAnsi="Verdana"/>
                <w:sz w:val="14"/>
                <w:szCs w:val="14"/>
                <w:color w:val="auto"/>
              </w:rPr>
              <w:t>Furniture and equipment</w:t>
            </w:r>
          </w:p>
        </w:tc>
        <w:tc>
          <w:tcPr>
            <w:tcW w:w="1820" w:type="dxa"/>
            <w:vAlign w:val="bottom"/>
          </w:tcPr>
          <w:p>
            <w:pPr>
              <w:jc w:val="center"/>
              <w:spacing w:after="0"/>
              <w:rPr>
                <w:sz w:val="20"/>
                <w:szCs w:val="20"/>
                <w:color w:val="auto"/>
              </w:rPr>
            </w:pPr>
            <w:r>
              <w:rPr>
                <w:rFonts w:ascii="Verdana" w:cs="Verdana" w:eastAsia="Verdana" w:hAnsi="Verdana"/>
                <w:sz w:val="14"/>
                <w:szCs w:val="14"/>
                <w:color w:val="auto"/>
              </w:rPr>
              <w:t>3 — 10 years</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color w:val="auto"/>
        </w:rPr>
        <w:t>Premises and equipment are reviewed for impairment in accordance with Busey’s policies regarding long-lived assets.</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Bank property held for sale, included in premises and equipment, represents certain banking center office buildings which Busey had closed and consolidated with other existing banking centers. Bank property held for sale is measured at the lower of amortized cost or estimated fair value less estimated costs to sell, and depreciation has been stopped.</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Leases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A determination is made at inception if an arrangement contains a lease. For arrangements containing leases, Busey recognizes leases on the </w:t>
      </w:r>
      <w:r>
        <w:rPr>
          <w:rFonts w:ascii="Verdana" w:cs="Verdana" w:eastAsia="Verdana" w:hAnsi="Verdana"/>
          <w:sz w:val="14"/>
          <w:szCs w:val="14"/>
          <w:u w:val="single" w:color="auto"/>
          <w:color w:val="0000FF"/>
        </w:rPr>
        <w:t>Consolidated</w:t>
      </w:r>
      <w:r>
        <w:rPr>
          <w:rFonts w:ascii="Verdana" w:cs="Verdana" w:eastAsia="Verdana" w:hAnsi="Verdana"/>
          <w:sz w:val="14"/>
          <w:szCs w:val="14"/>
          <w:color w:val="auto"/>
        </w:rPr>
        <w:t xml:space="preserve"> </w:t>
      </w:r>
      <w:r>
        <w:rPr>
          <w:rFonts w:ascii="Verdana" w:cs="Verdana" w:eastAsia="Verdana" w:hAnsi="Verdana"/>
          <w:sz w:val="14"/>
          <w:szCs w:val="14"/>
          <w:u w:val="single" w:color="auto"/>
          <w:color w:val="0000FF"/>
        </w:rPr>
        <w:t>Balance Sheets</w:t>
      </w:r>
      <w:r>
        <w:rPr>
          <w:rFonts w:ascii="Verdana" w:cs="Verdana" w:eastAsia="Verdana" w:hAnsi="Verdana"/>
          <w:sz w:val="14"/>
          <w:szCs w:val="14"/>
          <w:color w:val="0000FF"/>
        </w:rPr>
        <w:t xml:space="preserve"> </w:t>
      </w:r>
      <w:r>
        <w:rPr>
          <w:rFonts w:ascii="Verdana" w:cs="Verdana" w:eastAsia="Verdana" w:hAnsi="Verdana"/>
          <w:sz w:val="14"/>
          <w:szCs w:val="14"/>
          <w:color w:val="000000"/>
        </w:rPr>
        <w:t>as right of use assets and corresponding lease liabilities. Lease-related assets, or right of use assets, are recognized on the lease</w:t>
      </w:r>
      <w:r>
        <w:rPr>
          <w:rFonts w:ascii="Verdana" w:cs="Verdana" w:eastAsia="Verdana" w:hAnsi="Verdana"/>
          <w:sz w:val="14"/>
          <w:szCs w:val="14"/>
          <w:color w:val="0000FF"/>
        </w:rPr>
        <w:t xml:space="preserve"> </w:t>
      </w:r>
      <w:r>
        <w:rPr>
          <w:rFonts w:ascii="Verdana" w:cs="Verdana" w:eastAsia="Verdana" w:hAnsi="Verdana"/>
          <w:sz w:val="14"/>
          <w:szCs w:val="14"/>
          <w:color w:val="000000"/>
        </w:rPr>
        <w:t>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the rate implicit in the lease or Busey’s incremental borrowing rate.</w:t>
      </w:r>
    </w:p>
    <w:p>
      <w:pPr>
        <w:spacing w:after="0" w:line="13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ASC Topic 842 </w:t>
      </w:r>
      <w:r>
        <w:rPr>
          <w:rFonts w:ascii="Verdana" w:cs="Verdana" w:eastAsia="Verdana" w:hAnsi="Verdana"/>
          <w:sz w:val="14"/>
          <w:szCs w:val="14"/>
          <w:i w:val="1"/>
          <w:iCs w:val="1"/>
          <w:color w:val="auto"/>
        </w:rPr>
        <w:t>“Leases”</w:t>
      </w:r>
      <w:r>
        <w:rPr>
          <w:rFonts w:ascii="Verdana" w:cs="Verdana" w:eastAsia="Verdana" w:hAnsi="Verdana"/>
          <w:sz w:val="14"/>
          <w:szCs w:val="14"/>
          <w:color w:val="auto"/>
        </w:rPr>
        <w:t xml:space="preserve"> requires the use of the rate implicit in the lease whenever this rate is readily determinable. If not readily determinable, Busey uses its incremental borrowing rate at lease inception, on a collateralized basis, over a similar term. For operating leases existing prior to Busey’s adoption of ASC Topic 842 on January 1, 2019, Busey used a borrowing rate that corresponded to the lease term remaining as of the date of adoption of ASC Topic 842.</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Busey’s lease agreements often include one or more options to renew at Busey’s discretion. When Busey considers the exercise of a renewal option to be reasonably certain, that renewal term is included in the calculation of the right of use asset and lease liability.</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Operating lease expense is recognized on a straight-line basis over the lease term, including any renewal terms available through options to renew that Busey is reasonably certain to exercise. Variable lease payments are expensed as incurred.</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color w:val="auto"/>
        </w:rPr>
        <w:t>Right of use assets are reviewed for impairment in accordance with Busey’s policies regarding long-lived assets.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3" w:name="page104"/>
    <w:bookmarkEnd w:id="10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Goodwill and Other Intangibles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Goodwill represents the excess of consideration transferred in a business combination over the fair value of the net assets acquired. Goodwill is not amortized but is subject to at least annual impairment assessments. A separate goodwill impairment assessment is performed for each reporting unit on the goodwill that has been allocated to it. A reporting unit is a component of an operating segment that constitutes a business for which discrete financial information is available, and segment management regularly reviews the operating results of that component. Busey’s reporting units are the same as its operating segments. Busey has established December 31 as the annual impairment assessment date for each of its reporting units. As part of this assessment, each reporting unit's carrying value is compared to its fair value.</w:t>
      </w:r>
    </w:p>
    <w:p>
      <w:pPr>
        <w:spacing w:after="0" w:line="12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estimates the fair value of its reporting units as of the measurement date utilizing valuation methodologies including comparable company analysis and precedent transaction analysis. Goodwill is considered impaired if the carrying value of the reporting unit exceeds its fair value. There was no impairment as of December 31, 2024 or 2023.</w:t>
      </w:r>
    </w:p>
    <w:p>
      <w:pPr>
        <w:spacing w:after="0" w:line="12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Other intangible assets consist of core deposit and acquired customer relationship intangible assets arising from acquisitions. Other intangible assets are amortized over their estimated useful lives, and are reviewed for impairment in accordance with Busey’s policies regarding long-lived assets.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color w:val="auto"/>
        </w:rPr>
        <w:t>See “</w:t>
      </w:r>
      <w:r>
        <w:rPr>
          <w:rFonts w:ascii="Verdana" w:cs="Verdana" w:eastAsia="Verdana" w:hAnsi="Verdana"/>
          <w:sz w:val="14"/>
          <w:szCs w:val="14"/>
          <w:i w:val="1"/>
          <w:iCs w:val="1"/>
          <w:u w:val="single" w:color="auto"/>
          <w:color w:val="0000FF"/>
        </w:rPr>
        <w:t>Note 8. Goodwill and Other Intangible Assets</w:t>
      </w:r>
      <w:r>
        <w:rPr>
          <w:rFonts w:ascii="Verdana" w:cs="Verdana" w:eastAsia="Verdana" w:hAnsi="Verdana"/>
          <w:sz w:val="14"/>
          <w:szCs w:val="14"/>
          <w:color w:val="auto"/>
        </w:rPr>
        <w:t>” for additional information.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Cash Surrender Value of Bank Owned Life Insurance</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has purchased, or acquired through acquisitions, life insurance policies on certain executives and senior officers. Life insurance is recorded at its cash surrender value, which approximates its fair value.</w:t>
      </w:r>
    </w:p>
    <w:p>
      <w:pPr>
        <w:spacing w:after="0" w:line="110"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 maintains a liability for post-employment benefits related to split-dollar life insurance arrangements. In an endorsement split-dollar life insurance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is accrued over the employee’s active service period. Similarly, if the employer agrees to provide the employee with a death benefit, the present value of the death benefit is accrued over the employee’s active service period. Busey accrued liabilities for these arrangements totaling $5.7 million as of December 31, 2024, and $5.6 million as of December 31, 2023. Liabilities for post-employment benefits are included in other liabilities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000000"/>
        </w:rPr>
        <w:t>.</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Restricted Bank Stock</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During the fourth quarter of 2024 Busey Bank became a member of the Federal Reserve System. Federal Reserve member banks are required to own a certain amount of Federal Reserve Bank stock. Busey's investment in Federal Reserve Bank stock was $43.9 million as of December 31, 2024. Busey’s investment in Federal Reserve Bank stock represents approximately half of the total required subscription, and the remaining half is unpaid and remains subject to call by the Federal Reserve Bank. As such, Busey reserved cash of $43.9 million as of December 31, 2024.</w:t>
      </w:r>
    </w:p>
    <w:p>
      <w:pPr>
        <w:spacing w:after="0" w:line="1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Bank is a member of the FHLB system. FHLB members are required to own a certain amount of FHLB stock based on the level of borrowings and other factors, and may invest in additional amounts. Busey's investment in FHLB stock was $6.0 million as of both December 31, 2024 and 2023.</w:t>
      </w:r>
    </w:p>
    <w:p>
      <w:pPr>
        <w:spacing w:after="0" w:line="200" w:lineRule="exact"/>
        <w:rPr>
          <w:sz w:val="20"/>
          <w:szCs w:val="20"/>
          <w:color w:val="auto"/>
        </w:rPr>
      </w:pPr>
    </w:p>
    <w:p>
      <w:pPr>
        <w:spacing w:after="0" w:line="239"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4" w:name="page105"/>
    <w:bookmarkEnd w:id="10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Federal Reserve Bank stock and FHLB stock are carried at cost in restricted bank stock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Cash reserves are included in interest-bearing deposits as part of Busey’s total cash and cash equivalents balances reported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Dividends are reported as interest income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Dividend income is accrued on Federal Reserve Bank stock and is recognized when declared on FHLB stock.</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Transfers of Financial Assets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Transfers of financial assets are accounted for as sales only when control over the assets has been surrendered. Control over transferred assets is deemed to be surrendered when: (1) the assets have been isolated from Busey’s assets, (2) the transferee obtains the right to pledge or exchange the assets it receives, and no condition both constrains the transferee from taking advantage of its right to pledge or exchange and provides more than a trivial benefit to the transferor, and (3) Busey does not maintain effective control over the transferred assets through an agreement to repurchase them before their maturity or the ability to unilaterally cause the holder to return specific assets. When transfers of financial assets fail to meet these criteria, those transfers are accounted for as secured borrowings.</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Income Taxes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is subject to income taxes in U.S. federal and various state jurisdictions. First Busey Corporation and its subsidiaries file consolidated federal and state income tax returns with each subsidiary computing its taxes on a separate entity basis. Tax regulations within each jurisdiction are subject to the interpretation of the related tax laws and regulations, which requires significant judgment. Busey is no longer subject to U.S. federal, state, or local income tax examinations by tax authorities for the years before 2021.</w:t>
      </w:r>
    </w:p>
    <w:p>
      <w:pPr>
        <w:spacing w:after="0" w:line="1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current and future economic and business conditions.</w:t>
      </w:r>
    </w:p>
    <w:p>
      <w:pPr>
        <w:spacing w:after="0" w:line="13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In 2024, Busey recorded a one-time deferred tax valuation adjustment of $1.4 million resulting from a change to the Illinois apportionment rate due to recently enacted regulations. These new regulations are expected to lower Busey’s ongoing tax obligation in future periods, but created a negative adjustment to the carrying value of Busey’s deferred tax asset in 2024. Management believes that it is more likely than not that the deferred tax assets included in the accompanying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will be fully realized. Busey determined that no valuation allowance was required as of December 31, 2024, or 2023.</w:t>
      </w:r>
    </w:p>
    <w:p>
      <w:pPr>
        <w:spacing w:after="0" w:line="122"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Positions taken in tax returns may be subject to challenge upon examination by the taxing authorities. Uncertain tax positions are initially recognized on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0000FF"/>
        </w:rPr>
        <w:t xml:space="preserve"> </w:t>
      </w:r>
      <w:r>
        <w:rPr>
          <w:rFonts w:ascii="Verdana" w:cs="Verdana" w:eastAsia="Verdana" w:hAnsi="Verdana"/>
          <w:sz w:val="14"/>
          <w:szCs w:val="14"/>
          <w:color w:val="000000"/>
        </w:rPr>
        <w:t>when it is more likely than not the position will not be sustained upon examination by the tax authorities. Such tax</w:t>
      </w:r>
      <w:r>
        <w:rPr>
          <w:rFonts w:ascii="Verdana" w:cs="Verdana" w:eastAsia="Verdana" w:hAnsi="Verdana"/>
          <w:sz w:val="14"/>
          <w:szCs w:val="14"/>
          <w:color w:val="0000FF"/>
        </w:rPr>
        <w:t xml:space="preserve"> </w:t>
      </w:r>
      <w:r>
        <w:rPr>
          <w:rFonts w:ascii="Verdana" w:cs="Verdana" w:eastAsia="Verdana" w:hAnsi="Verdana"/>
          <w:sz w:val="14"/>
          <w:szCs w:val="14"/>
          <w:color w:val="000000"/>
        </w:rPr>
        <w:t>positions are both initially and subsequently measured as the largest amount of tax benefit that has a greater than 50% likelihood of being realized upon settlement with the tax authority, assuming full knowledge of the position and all relevant facts. When applicable, Busey recognizes interest accrued related to unrecognized tax benefits and penalties in operating expenses.</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At December 31, 2024, Busey Bank was under examination by the Florida Department of Revenue for its 2020 to 2022 corporate income tax filings. Busey Bank accrued $0.1 million related to potential assessment adjustments and interest. Other than this, Busey had no accruals for payments of interest and penalties related to uncertain tax positions at December 31, 2024, or 2023. Further, in February of 2025, Busey received notice of audit initiation from the Illinois Department of Revenue for M&amp;M’s tax filings for the tax years 2022 and 2023.</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5" w:name="page106"/>
    <w:bookmarkEnd w:id="10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Tax Credit and Other Investments in Unconsolidated Entities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cost, or proportional amortization practical expedient methods, as appropriate. These investments involve significant management judgments, including a determination of which entities have the power to direct activities, and whether these entities are variable interest entities. Busey is required to evaluate whether to consolidate a variable interest entity at both inception and on an ongoing basis.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 In addition, Busey has private equity investments, which are primarily in funds that invest in small businesses across diverse sectors including, but not limited to, financial technology, business services, manufacturing, agribusiness, healthcare, software as a service, and environmental, or supporting the preservation of affordable housing.</w:t>
      </w:r>
    </w:p>
    <w:p>
      <w:pPr>
        <w:spacing w:after="0" w:line="125"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Upon adoption of ASU 2023-02 on January 1, 2024, Busey elected to apply the proportional amortization method in accounting for investments in tax-advantaged projects. Income tax credits and other tax benefits, net of investment amortization, were included as a component of Busey’s estimated annual effective tax rate used for the calculation of income taxes presented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color w:val="auto"/>
        </w:rPr>
        <w:t>For additional information regarding these investments, see “</w:t>
      </w:r>
      <w:r>
        <w:rPr>
          <w:rFonts w:ascii="Verdana" w:cs="Verdana" w:eastAsia="Verdana" w:hAnsi="Verdana"/>
          <w:sz w:val="14"/>
          <w:szCs w:val="14"/>
          <w:i w:val="1"/>
          <w:iCs w:val="1"/>
          <w:u w:val="single" w:color="auto"/>
          <w:color w:val="0000FF"/>
        </w:rPr>
        <w:t>Note 14. Tax Credit and Other Investments in Unconsolidated Entities</w:t>
      </w:r>
      <w:r>
        <w:rPr>
          <w:rFonts w:ascii="Verdana" w:cs="Verdana" w:eastAsia="Verdana" w:hAnsi="Verdana"/>
          <w:sz w:val="14"/>
          <w:szCs w:val="14"/>
          <w:color w:val="auto"/>
        </w:rPr>
        <w:t>.”</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Treasury Stock</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Treasury stock acquired is recorded at cost. Treasury stock issued is valued based on the “first-in, first-out” method. Gains and losses on issuance are recorded as increases or decreases to additional paid-in capital.</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Stock-Based Employee Compensation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Busey’s equity incentive plans are designed to encourage ownership of its common stock by its employees and directors, to provide additional incentive for them to promote the success of Busey’s business, and to attract and retain talented personnel.</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2020 Equity Plan</w:t>
      </w:r>
    </w:p>
    <w:p>
      <w:pPr>
        <w:spacing w:after="0" w:line="148" w:lineRule="exact"/>
        <w:rPr>
          <w:sz w:val="20"/>
          <w:szCs w:val="20"/>
          <w:color w:val="auto"/>
        </w:rPr>
      </w:pPr>
    </w:p>
    <w:p>
      <w:pPr>
        <w:jc w:val="both"/>
        <w:spacing w:after="0" w:line="244" w:lineRule="auto"/>
        <w:rPr>
          <w:rFonts w:ascii="Verdana" w:cs="Verdana" w:eastAsia="Verdana" w:hAnsi="Verdana"/>
          <w:sz w:val="14"/>
          <w:szCs w:val="14"/>
          <w:color w:val="auto"/>
        </w:rPr>
      </w:pPr>
      <w:r>
        <w:rPr>
          <w:rFonts w:ascii="Verdana" w:cs="Verdana" w:eastAsia="Verdana" w:hAnsi="Verdana"/>
          <w:sz w:val="14"/>
          <w:szCs w:val="14"/>
          <w:color w:val="auto"/>
        </w:rPr>
        <w:t xml:space="preserve">The 2020 Equity Plan was originally approved by stockholders at the 2020 Annual Meeting of Stockholders. A description of the 2020 Equity Plan, as originally approved, can be found in </w:t>
      </w:r>
      <w:hyperlink r:id="rId128">
        <w:r>
          <w:rPr>
            <w:rFonts w:ascii="Verdana" w:cs="Verdana" w:eastAsia="Verdana" w:hAnsi="Verdana"/>
            <w:sz w:val="14"/>
            <w:szCs w:val="14"/>
            <w:u w:val="single" w:color="auto"/>
            <w:color w:val="0000FF"/>
          </w:rPr>
          <w:t>Appendix A</w:t>
        </w:r>
        <w:r>
          <w:rPr>
            <w:rFonts w:ascii="Verdana" w:cs="Verdana" w:eastAsia="Verdana" w:hAnsi="Verdana"/>
            <w:sz w:val="14"/>
            <w:szCs w:val="14"/>
            <w:u w:val="single" w:color="auto"/>
            <w:color w:val="auto"/>
          </w:rPr>
          <w:t xml:space="preserve"> </w:t>
        </w:r>
      </w:hyperlink>
      <w:r>
        <w:rPr>
          <w:rFonts w:ascii="Verdana" w:cs="Verdana" w:eastAsia="Verdana" w:hAnsi="Verdana"/>
          <w:sz w:val="14"/>
          <w:szCs w:val="14"/>
          <w:color w:val="auto"/>
        </w:rPr>
        <w:t xml:space="preserve">within </w:t>
      </w:r>
      <w:hyperlink r:id="rId129">
        <w:r>
          <w:rPr>
            <w:rFonts w:ascii="Verdana" w:cs="Verdana" w:eastAsia="Verdana" w:hAnsi="Verdana"/>
            <w:sz w:val="14"/>
            <w:szCs w:val="14"/>
            <w:u w:val="single" w:color="auto"/>
            <w:color w:val="0000FF"/>
          </w:rPr>
          <w:t>Busey’s Proxy Statement for the 2020 Annual Meeting of Stockholders filed on April 9, 2020</w:t>
        </w:r>
      </w:hyperlink>
      <w:r>
        <w:rPr>
          <w:rFonts w:ascii="Verdana" w:cs="Verdana" w:eastAsia="Verdana" w:hAnsi="Verdana"/>
          <w:sz w:val="14"/>
          <w:szCs w:val="14"/>
          <w:color w:val="auto"/>
        </w:rPr>
        <w:t>. Upon the 2020 Equity Plan’s original approval, it replaced the 2010 Equity Incentive Plan and the First Community 2016 Equity Incentive Plan, which, from time to time, Busey used to grant equity awards to legacy employees of First Community. Under the terms of the 2020 Equity Plan, Busey has granted RSU, DSU, and PSU awards.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6" w:name="page107"/>
    <w:bookmarkEnd w:id="10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rFonts w:ascii="Verdana" w:cs="Verdana" w:eastAsia="Verdana" w:hAnsi="Verdana"/>
          <w:sz w:val="14"/>
          <w:szCs w:val="14"/>
          <w:color w:val="0000FF"/>
        </w:rPr>
      </w:pPr>
      <w:r>
        <w:rPr>
          <w:rFonts w:ascii="Verdana" w:cs="Verdana" w:eastAsia="Verdana" w:hAnsi="Verdana"/>
          <w:sz w:val="14"/>
          <w:szCs w:val="14"/>
          <w:color w:val="auto"/>
        </w:rPr>
        <w:t xml:space="preserve">An amendment to and restatement of the 2020 Equity Plan was approved by stockholders at the 2023 Annual Meeting of Stockholders. The terms of the amended and restated 2020 Equity Plan are substantially identical to those of the originally approved 2020 Equity Plan, other than a 1,350,000 increase in </w:t>
      </w:r>
      <w:hyperlink r:id="rId131">
        <w:r>
          <w:rPr>
            <w:rFonts w:ascii="Verdana" w:cs="Verdana" w:eastAsia="Verdana" w:hAnsi="Verdana"/>
            <w:sz w:val="14"/>
            <w:szCs w:val="14"/>
            <w:color w:val="auto"/>
          </w:rPr>
          <w:t xml:space="preserve">the number of shares authorized for issuance under the plan. More information can be found in </w:t>
        </w:r>
        <w:r>
          <w:rPr>
            <w:rFonts w:ascii="Verdana" w:cs="Verdana" w:eastAsia="Verdana" w:hAnsi="Verdana"/>
            <w:sz w:val="14"/>
            <w:szCs w:val="14"/>
            <w:u w:val="single" w:color="auto"/>
            <w:color w:val="0000FF"/>
          </w:rPr>
          <w:t>Appendix A</w:t>
        </w:r>
        <w:r>
          <w:rPr>
            <w:rFonts w:ascii="Verdana" w:cs="Verdana" w:eastAsia="Verdana" w:hAnsi="Verdana"/>
            <w:sz w:val="14"/>
            <w:szCs w:val="14"/>
            <w:color w:val="auto"/>
          </w:rPr>
          <w:t xml:space="preserve"> within </w:t>
        </w:r>
        <w:r>
          <w:rPr>
            <w:rFonts w:ascii="Verdana" w:cs="Verdana" w:eastAsia="Verdana" w:hAnsi="Verdana"/>
            <w:sz w:val="14"/>
            <w:szCs w:val="14"/>
            <w:u w:val="single" w:color="auto"/>
            <w:color w:val="0000FF"/>
          </w:rPr>
          <w:t>Busey’s Proxy Statement for the 2023</w:t>
        </w:r>
      </w:hyperlink>
      <w:r>
        <w:rPr>
          <w:rFonts w:ascii="Verdana" w:cs="Verdana" w:eastAsia="Verdana" w:hAnsi="Verdana"/>
          <w:sz w:val="14"/>
          <w:szCs w:val="14"/>
          <w:color w:val="auto"/>
        </w:rPr>
        <w:t xml:space="preserve"> </w:t>
      </w:r>
      <w:hyperlink r:id="rId131">
        <w:r>
          <w:rPr>
            <w:rFonts w:ascii="Verdana" w:cs="Verdana" w:eastAsia="Verdana" w:hAnsi="Verdana"/>
            <w:sz w:val="14"/>
            <w:szCs w:val="14"/>
            <w:u w:val="single" w:color="auto"/>
            <w:color w:val="0000FF"/>
          </w:rPr>
          <w:t>Annual Meeting of Stockholders filed on April 14, 2023</w:t>
        </w:r>
        <w:r>
          <w:rPr>
            <w:rFonts w:ascii="Verdana" w:cs="Verdana" w:eastAsia="Verdana" w:hAnsi="Verdana"/>
            <w:sz w:val="14"/>
            <w:szCs w:val="14"/>
            <w:color w:val="000000"/>
          </w:rPr>
          <w:t>.</w:t>
        </w:r>
      </w:hyperlink>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color w:val="auto"/>
        </w:rPr>
        <w:t>All of Busey’s employees and directors and those of its subsidiaries are eligible to receive awards under the plans.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RSU Awards</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29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PSU Awards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grants PSU awards to members of management periodically throughout the year. PSU awards are stock-based awards for which vesting is conditional upon meeting established performance criteria for the applicable performance period and remaining employed through the end of such performance period. Each PSU is equivalent to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each dividend date during the performance period.</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DSU Awards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grants DSU awards to its non-employee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Stock Options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Busey has outstanding stock options assumed from acquisitions. All stock options that remained outstanding as of December 31, 2024, were fully vested.</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Employee Stock Purchase Plan</w:t>
      </w:r>
    </w:p>
    <w:p>
      <w:pPr>
        <w:spacing w:after="0" w:line="138" w:lineRule="exact"/>
        <w:rPr>
          <w:sz w:val="20"/>
          <w:szCs w:val="20"/>
          <w:color w:val="auto"/>
        </w:rPr>
      </w:pPr>
    </w:p>
    <w:p>
      <w:pPr>
        <w:jc w:val="both"/>
        <w:spacing w:after="0" w:line="244" w:lineRule="auto"/>
        <w:rPr>
          <w:rFonts w:ascii="Verdana" w:cs="Verdana" w:eastAsia="Verdana" w:hAnsi="Verdana"/>
          <w:sz w:val="14"/>
          <w:szCs w:val="14"/>
          <w:color w:val="0000FF"/>
        </w:rPr>
      </w:pPr>
      <w:hyperlink r:id="rId132">
        <w:r>
          <w:rPr>
            <w:rFonts w:ascii="Verdana" w:cs="Verdana" w:eastAsia="Verdana" w:hAnsi="Verdana"/>
            <w:sz w:val="14"/>
            <w:szCs w:val="14"/>
            <w:color w:val="auto"/>
          </w:rPr>
          <w:t xml:space="preserve">The First Busey Corporation ESPP was approved at Busey’s 2021 Annual Meeting of Stockholders and details can be found in </w:t>
        </w:r>
        <w:r>
          <w:rPr>
            <w:rFonts w:ascii="Verdana" w:cs="Verdana" w:eastAsia="Verdana" w:hAnsi="Verdana"/>
            <w:sz w:val="14"/>
            <w:szCs w:val="14"/>
            <w:u w:val="single" w:color="auto"/>
            <w:color w:val="0000FF"/>
          </w:rPr>
          <w:t>Appendix A</w:t>
        </w:r>
        <w:r>
          <w:rPr>
            <w:rFonts w:ascii="Verdana" w:cs="Verdana" w:eastAsia="Verdana" w:hAnsi="Verdana"/>
            <w:sz w:val="14"/>
            <w:szCs w:val="14"/>
            <w:color w:val="auto"/>
          </w:rPr>
          <w:t xml:space="preserve"> within </w:t>
        </w:r>
        <w:r>
          <w:rPr>
            <w:rFonts w:ascii="Verdana" w:cs="Verdana" w:eastAsia="Verdana" w:hAnsi="Verdana"/>
            <w:sz w:val="14"/>
            <w:szCs w:val="14"/>
            <w:u w:val="single" w:color="auto"/>
            <w:color w:val="0000FF"/>
          </w:rPr>
          <w:t>First Busey’s</w:t>
        </w:r>
      </w:hyperlink>
      <w:r>
        <w:rPr>
          <w:rFonts w:ascii="Verdana" w:cs="Verdana" w:eastAsia="Verdana" w:hAnsi="Verdana"/>
          <w:sz w:val="14"/>
          <w:szCs w:val="14"/>
          <w:color w:val="auto"/>
        </w:rPr>
        <w:t xml:space="preserve"> </w:t>
      </w:r>
      <w:hyperlink r:id="rId132">
        <w:r>
          <w:rPr>
            <w:rFonts w:ascii="Verdana" w:cs="Verdana" w:eastAsia="Verdana" w:hAnsi="Verdana"/>
            <w:sz w:val="14"/>
            <w:szCs w:val="14"/>
            <w:u w:val="single" w:color="auto"/>
            <w:color w:val="0000FF"/>
          </w:rPr>
          <w:t>Definitive Proxy Statement filed with the SEC on April 8, 2021</w:t>
        </w:r>
        <w:r>
          <w:rPr>
            <w:rFonts w:ascii="Verdana" w:cs="Verdana" w:eastAsia="Verdana" w:hAnsi="Verdana"/>
            <w:sz w:val="14"/>
            <w:szCs w:val="14"/>
            <w:color w:val="000000"/>
          </w:rPr>
          <w:t>. The purpose of the ESPP is to provide a means through which Busey associates may acquire a</w:t>
        </w:r>
      </w:hyperlink>
      <w:r>
        <w:rPr>
          <w:rFonts w:ascii="Verdana" w:cs="Verdana" w:eastAsia="Verdana" w:hAnsi="Verdana"/>
          <w:sz w:val="14"/>
          <w:szCs w:val="14"/>
          <w:color w:val="0000FF"/>
        </w:rPr>
        <w:t xml:space="preserve"> </w:t>
      </w:r>
      <w:r>
        <w:rPr>
          <w:rFonts w:ascii="Verdana" w:cs="Verdana" w:eastAsia="Verdana" w:hAnsi="Verdana"/>
          <w:sz w:val="14"/>
          <w:szCs w:val="14"/>
          <w:color w:val="000000"/>
        </w:rPr>
        <w:t>proprietary interest in the Company by purchasing shares of its common stock at a discounted price through voluntary payroll deductions, to assist in retaining the services of current associates and securing and retaining the services of new associates, and to provide incentives for Busey associates to exert maximum efforts toward the Company’s success.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7" w:name="page108"/>
    <w:bookmarkEnd w:id="10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Because the ESPP provides opportunity for Busey associates to purchase Busey’s common stock at a 15% discount from the market price, the plan is considered to be a compensatory plan under current accounting guidance. Therefore, the entire amount of the discount is recognized in salaries, wages, and employee benefits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16. Stock-based Compensation</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for further discussion.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Off-Balance Sheet Arrangements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In the normal course of business, to meet the financing needs of its customers, Busey is a party to credit-related financial instruments with off-balance-sheet risk, including commitments to extend credit and standby letters of credit. These instruments involve, to varying degrees, elements of credit and interest rate risk in excess of the amount recognized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Busey’s exposure to credit loss is represented by the contractual amount of the commitments. Busey uses the same credit policies in making commitments and conditional obligations as it does for on-balance-sheet instruments.</w:t>
      </w:r>
    </w:p>
    <w:p>
      <w:pPr>
        <w:spacing w:after="0" w:line="119"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Commitments to extend credit are agreements to lend to a customer as long as no condition established in the contract has been violated. These commitments are generally at variable interest rates, they generally have fixed expiration dates or other termination clauses, and they may require the customer to pay a fee.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19"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Standby letters of credit are conditional commitments Busey has issued to guarantee the performance of a customer’s obligation to a third-party. Those guarantees are primarily issued to support public and private borrowing arrangements, including bond financing and similar transactions. The credit risk involved in issuing letters of credit is essentially the same as that involved in extending loan facilities to customers. Busey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Busey would be required to fund the commitment. If the commitment is funded, Busey would be entitled to seek recovery from the customer.</w:t>
      </w:r>
    </w:p>
    <w:p>
      <w:pPr>
        <w:spacing w:after="0" w:line="133"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 estimates expected credit losses for off-balance sheet arrangements over the contractual period during which it is exposed to credit risk via a present contractual obligation to extend credit, unless that obligation is unconditionally cancellable by the issuer. To be considered unconditionally cancellable for accounting purposes, Busey must have the ability to, at any time, with or without cause, refuse to extend credit under the commitment. Off-balance-sheet credit exposure segments share the same risk characteristics as portfolio loans. Busey incorporates a probability of funding and utilizes the ACL loss rates to calculate a reserve for off-balance-sheet credit exposure, which is carried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in other liabilities rather than as a component of the ACL. The reserve for off-balance-sheet credit exposure is adjusted as a provision for off-balance-sheet credit exposure and is reported as a component of noninterest expense in the accompanying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Liabilities recorded as reserves for Busey’s off-balance sheet credit exposure under these commitments totaled $6.0 million as of December 31, 2024, and $7.1 million as of December 31, 2023.</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Derivative Financial Instruments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8" w:name="page109"/>
    <w:bookmarkEnd w:id="10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Swaps Designated as Cash Flow Hedges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entered into derivative instruments designated as cash flow hedges. For a derivative instrument that qualifies and is designated as a cash flow hedge, the change in fair value of the derivative instrument is reported as a component of other comprehensive income (loss) and reclassified into earnings in the same period or periods during which the hedged transaction affects earnings. Changes in fair value of components excluded from the assessment of effectiveness are recognized in current earnings.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Swaps Not Designated as Hedges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may offer derivative contracts to its customers in connection with their risk management needs. Busey manages the risk associated with these contracts by entering into equal and offsetting derivatives with third-party dealers. Generally, these derivatives have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Lock Commitments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Interest rate lock commitments that meet the definition of derivative financial instruments under ASC Topic 815 </w:t>
      </w:r>
      <w:r>
        <w:rPr>
          <w:rFonts w:ascii="Verdana" w:cs="Verdana" w:eastAsia="Verdana" w:hAnsi="Verdana"/>
          <w:sz w:val="14"/>
          <w:szCs w:val="14"/>
          <w:i w:val="1"/>
          <w:iCs w:val="1"/>
          <w:color w:val="auto"/>
        </w:rPr>
        <w:t>“Derivatives and Hedging”</w:t>
      </w:r>
      <w:r>
        <w:rPr>
          <w:rFonts w:ascii="Verdana" w:cs="Verdana" w:eastAsia="Verdana" w:hAnsi="Verdana"/>
          <w:sz w:val="14"/>
          <w:szCs w:val="14"/>
          <w:color w:val="auto"/>
        </w:rPr>
        <w:t xml:space="preserve"> are carried at their fair values in other assets or other liabilities on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with changes in the fair values of the corresponding derivative financial assets or liabilities recorded as either a charge or credit to mortgage revenue during the period in which the changes occurred.</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Forward Sales Commitments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4"/>
          <w:szCs w:val="14"/>
          <w:i w:val="1"/>
          <w:iCs w:val="1"/>
          <w:color w:val="auto"/>
        </w:rPr>
        <w:t xml:space="preserve">“Derivatives and Hedging” </w:t>
      </w:r>
      <w:r>
        <w:rPr>
          <w:rFonts w:ascii="Verdana" w:cs="Verdana" w:eastAsia="Verdana" w:hAnsi="Verdana"/>
          <w:sz w:val="14"/>
          <w:szCs w:val="14"/>
          <w:color w:val="auto"/>
        </w:rPr>
        <w:t>are carried at their fair values in other assets or other liabilities on the</w:t>
      </w:r>
      <w:r>
        <w:rPr>
          <w:rFonts w:ascii="Verdana" w:cs="Verdana" w:eastAsia="Verdana" w:hAnsi="Verdana"/>
          <w:sz w:val="14"/>
          <w:szCs w:val="14"/>
          <w:i w:val="1"/>
          <w:iCs w:val="1"/>
          <w:color w:val="auto"/>
        </w:rPr>
        <w:t xml:space="preserv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While such forward</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mortgage revenue during the period in which the changes occurred.</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Risk Participation Agreements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has entered into risk participation agreements to manage the credit risk of its derivative position. These agreements transfer credit risk related to an interest rate swap to another financial institution. Risk participation agreements that Busey has entered into are structured as follows: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9" w:name="page110"/>
    <w:bookmarkEnd w:id="10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left="520" w:hanging="260"/>
        <w:spacing w:after="0" w:line="242" w:lineRule="auto"/>
        <w:tabs>
          <w:tab w:leader="none" w:pos="512" w:val="left"/>
        </w:tabs>
        <w:numPr>
          <w:ilvl w:val="0"/>
          <w:numId w:val="33"/>
        </w:numPr>
        <w:rPr>
          <w:rFonts w:ascii="Verdana" w:cs="Verdana" w:eastAsia="Verdana" w:hAnsi="Verdana"/>
          <w:sz w:val="14"/>
          <w:szCs w:val="14"/>
          <w:color w:val="auto"/>
        </w:rPr>
      </w:pPr>
      <w:r>
        <w:rPr>
          <w:rFonts w:ascii="Verdana" w:cs="Verdana" w:eastAsia="Verdana" w:hAnsi="Verdana"/>
          <w:sz w:val="14"/>
          <w:szCs w:val="14"/>
          <w:color w:val="auto"/>
        </w:rPr>
        <w:t>Busey has a swap agreement with a customer. Busey (purchaser) entered into a risk participation agreement with a counterparty (seller), under which the counterparty receives a fee to accept a portion of the credit risk. If Busey’s customer defaults on the swap contract, the counterparty to the risk participation agreement must reimburse Busey for the counterparty's percentage of the positive fair value (from the purchaser’s perspective) of the customer swap as of the default date. If the customer swap has a negative fair value (from the purchaser’s perspective), the counterparty has no reimbursement requirements. If Busey’s customer defaults on the swap contract and the counterparty (seller) fulfills its payment obligations under the risk participation agreement, the counterparty (seller) is entitled to a pro rata share of Busey’s claim against the customer under the terms of the swap agreement.</w:t>
      </w:r>
    </w:p>
    <w:p>
      <w:pPr>
        <w:spacing w:after="0" w:line="125" w:lineRule="exact"/>
        <w:rPr>
          <w:rFonts w:ascii="Verdana" w:cs="Verdana" w:eastAsia="Verdana" w:hAnsi="Verdana"/>
          <w:sz w:val="14"/>
          <w:szCs w:val="14"/>
          <w:color w:val="auto"/>
        </w:rPr>
      </w:pPr>
    </w:p>
    <w:p>
      <w:pPr>
        <w:jc w:val="both"/>
        <w:ind w:left="520" w:hanging="260"/>
        <w:spacing w:after="0" w:line="243" w:lineRule="auto"/>
        <w:tabs>
          <w:tab w:leader="none" w:pos="512" w:val="left"/>
        </w:tabs>
        <w:numPr>
          <w:ilvl w:val="0"/>
          <w:numId w:val="33"/>
        </w:numPr>
        <w:rPr>
          <w:rFonts w:ascii="Verdana" w:cs="Verdana" w:eastAsia="Verdana" w:hAnsi="Verdana"/>
          <w:sz w:val="14"/>
          <w:szCs w:val="14"/>
          <w:color w:val="auto"/>
        </w:rPr>
      </w:pPr>
      <w:r>
        <w:rPr>
          <w:rFonts w:ascii="Verdana" w:cs="Verdana" w:eastAsia="Verdana" w:hAnsi="Verdana"/>
          <w:sz w:val="14"/>
          <w:szCs w:val="14"/>
          <w:color w:val="auto"/>
        </w:rPr>
        <w:t>A counterparty has a swap agreement with a customer. Busey (seller) entered into a risk participation with a counterparty (purchaser), under which Busey receives a fee to accept a portion of the credit risk. If the counterparty’s customer defaults on the swap contract, Busey must reimburse the counterparty (purchaser) for Busey's percentage of the positive fair value (from the purchaser’s perspective) of the customer swap as of the default date. If the customer swap has a negative fair value (from the purchaser’s perspective), Busey has no reimbursement requirements. If the counterparty’s customer defaults on the swap contract and Busey (seller) fulfills its payment obligations under the risk participation agreement, Busey (seller) is entitled to a pro rata share of the counterparty’s claim against the customer under the terms of the swap agreement.</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Fair Value of Financial Instruments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Fair values of financial instruments are estimated using relevant market information and other assumptions, as more fully disclosed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20. Fair Value</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Measurements</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Fair value estimates involve uncertainties and matters of significant judgment regarding interest rates, credit risk, prepayments, and other</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factors, especially in the absence of broad markets for particular items. Changes in assumptions or in market conditions could significantly affect these estimates.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Comprehensive Income (Loss)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Accounting principles generally require that recognized revenue, expenses, gains, and losses be included in net income. Although certain changes in assets and liabilities, such as unrealized gains and losses on available for sale debt securities and unrealized gains and losses on cash flow hedges, are reported net of taxes as a separate component within the equity section of the balance sheet, such items, along with net income, are components of comprehensive income (loss).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0" w:name="page111"/>
    <w:bookmarkEnd w:id="11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Segment Disclosure</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Operating segments are components of a business that (1) engage in business activities from which the component may earn revenues and incur expenses;</w:t>
      </w:r>
    </w:p>
    <w:p>
      <w:pPr>
        <w:jc w:val="both"/>
        <w:ind w:firstLine="5"/>
        <w:spacing w:after="0" w:line="246" w:lineRule="auto"/>
        <w:tabs>
          <w:tab w:leader="none" w:pos="270" w:val="left"/>
        </w:tabs>
        <w:numPr>
          <w:ilvl w:val="0"/>
          <w:numId w:val="34"/>
        </w:numPr>
        <w:rPr>
          <w:rFonts w:ascii="Verdana" w:cs="Verdana" w:eastAsia="Verdana" w:hAnsi="Verdana"/>
          <w:sz w:val="14"/>
          <w:szCs w:val="14"/>
          <w:color w:val="auto"/>
        </w:rPr>
      </w:pPr>
      <w:r>
        <w:rPr>
          <w:rFonts w:ascii="Verdana" w:cs="Verdana" w:eastAsia="Verdana" w:hAnsi="Verdana"/>
          <w:sz w:val="14"/>
          <w:szCs w:val="14"/>
          <w:color w:val="auto"/>
        </w:rPr>
        <w:t xml:space="preserve">have operating results that are reviewed regularly by the entity’s chief operating decision maker to make decisions about resources to be allocated to the segments and assess their performance; and (3) for which discrete financial information is available. Busey’s chief executive officer is its chief operating decision maker. Busey’s has three reportable segments: Banking, Wealth Management, and FirsTech.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23. Operating Segments and Related</w:t>
      </w:r>
      <w:r>
        <w:rPr>
          <w:rFonts w:ascii="Verdana" w:cs="Verdana" w:eastAsia="Verdana" w:hAnsi="Verdana"/>
          <w:sz w:val="14"/>
          <w:szCs w:val="14"/>
          <w:color w:val="auto"/>
        </w:rPr>
        <w:t xml:space="preserve"> </w:t>
      </w:r>
      <w:r>
        <w:rPr>
          <w:rFonts w:ascii="Verdana" w:cs="Verdana" w:eastAsia="Verdana" w:hAnsi="Verdana"/>
          <w:sz w:val="14"/>
          <w:szCs w:val="14"/>
          <w:i w:val="1"/>
          <w:iCs w:val="1"/>
          <w:u w:val="single" w:color="auto"/>
          <w:color w:val="0000FF"/>
        </w:rPr>
        <w:t>Information</w:t>
      </w:r>
      <w:r>
        <w:rPr>
          <w:rFonts w:ascii="Verdana" w:cs="Verdana" w:eastAsia="Verdana" w:hAnsi="Verdana"/>
          <w:sz w:val="14"/>
          <w:szCs w:val="14"/>
          <w:i w:val="1"/>
          <w:iCs w:val="1"/>
          <w:color w:val="000000"/>
        </w:rPr>
        <w:t>”</w:t>
      </w:r>
      <w:r>
        <w:rPr>
          <w:rFonts w:ascii="Verdana" w:cs="Verdana" w:eastAsia="Verdana" w:hAnsi="Verdana"/>
          <w:sz w:val="14"/>
          <w:szCs w:val="14"/>
          <w:i w:val="1"/>
          <w:iCs w:val="1"/>
          <w:color w:val="0000FF"/>
        </w:rPr>
        <w:t xml:space="preserve"> </w:t>
      </w:r>
      <w:r>
        <w:rPr>
          <w:rFonts w:ascii="Verdana" w:cs="Verdana" w:eastAsia="Verdana" w:hAnsi="Verdana"/>
          <w:sz w:val="14"/>
          <w:szCs w:val="14"/>
          <w:color w:val="000000"/>
        </w:rPr>
        <w:t>for further discussion.</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Revenue</w:t>
      </w:r>
    </w:p>
    <w:p>
      <w:pPr>
        <w:spacing w:after="0" w:line="14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ASC Topic 606 </w:t>
      </w:r>
      <w:r>
        <w:rPr>
          <w:rFonts w:ascii="Verdana" w:cs="Verdana" w:eastAsia="Verdana" w:hAnsi="Verdana"/>
          <w:sz w:val="14"/>
          <w:szCs w:val="14"/>
          <w:i w:val="1"/>
          <w:iCs w:val="1"/>
          <w:color w:val="auto"/>
        </w:rPr>
        <w:t>“Revenue from Contracts with Customers”</w:t>
      </w:r>
      <w:r>
        <w:rPr>
          <w:rFonts w:ascii="Verdana" w:cs="Verdana" w:eastAsia="Verdana" w:hAnsi="Verdana"/>
          <w:sz w:val="14"/>
          <w:szCs w:val="14"/>
          <w:color w:val="auto"/>
        </w:rPr>
        <w:t xml:space="preserve"> outlines a single model for companies to use in accounting for revenue arising from contracts with customers and supersedes most prior revenue recognition guidance, including industry-specific guidance. ASC Topic 606 requires that companies recognize revenue based on the value of transferred goods or services as they occur in the contract and establishes additional disclosures. Busey’s revenue is comprised of net interest income, which is explicitly excluded from the scope of ASC Topic 606, and noninterest income. Busey has evaluated its noninterest income and the nature of its contracts with customers and determined that further disaggregation of revenue beyond what is presented in the accompanying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0000FF"/>
        </w:rPr>
        <w:t xml:space="preserve"> </w:t>
      </w:r>
      <w:r>
        <w:rPr>
          <w:rFonts w:ascii="Verdana" w:cs="Verdana" w:eastAsia="Verdana" w:hAnsi="Verdana"/>
          <w:sz w:val="14"/>
          <w:szCs w:val="14"/>
          <w:color w:val="000000"/>
        </w:rPr>
        <w:t>is not necessary. Busey satisfies its performance obligations on its contracts with customers as services are rendered, so</w:t>
      </w:r>
      <w:r>
        <w:rPr>
          <w:rFonts w:ascii="Verdana" w:cs="Verdana" w:eastAsia="Verdana" w:hAnsi="Verdana"/>
          <w:sz w:val="14"/>
          <w:szCs w:val="14"/>
          <w:color w:val="0000FF"/>
        </w:rPr>
        <w:t xml:space="preserve"> </w:t>
      </w:r>
      <w:r>
        <w:rPr>
          <w:rFonts w:ascii="Verdana" w:cs="Verdana" w:eastAsia="Verdana" w:hAnsi="Verdana"/>
          <w:sz w:val="14"/>
          <w:szCs w:val="14"/>
          <w:color w:val="000000"/>
        </w:rPr>
        <w:t>there is limited judgment involved in applying ASC Topic 606 that affects the determination of the timing and amount of revenue from contracts with customers.</w:t>
      </w:r>
    </w:p>
    <w:p>
      <w:pPr>
        <w:spacing w:after="0" w:line="295" w:lineRule="exact"/>
        <w:rPr>
          <w:sz w:val="20"/>
          <w:szCs w:val="20"/>
          <w:color w:val="auto"/>
        </w:rPr>
      </w:pPr>
    </w:p>
    <w:p>
      <w:pPr>
        <w:jc w:val="both"/>
        <w:spacing w:after="0" w:line="252" w:lineRule="auto"/>
        <w:rPr>
          <w:sz w:val="20"/>
          <w:szCs w:val="20"/>
          <w:color w:val="auto"/>
        </w:rPr>
      </w:pPr>
      <w:r>
        <w:rPr>
          <w:rFonts w:ascii="Verdana" w:cs="Verdana" w:eastAsia="Verdana" w:hAnsi="Verdana"/>
          <w:sz w:val="14"/>
          <w:szCs w:val="14"/>
          <w:color w:val="auto"/>
        </w:rPr>
        <w:t xml:space="preserve">Descriptions of Busey’s primary revenue generating activities that are within the scope of ASC Topic 606, and are presented in the accompanying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0000FF"/>
        </w:rPr>
        <w:t xml:space="preserve"> </w:t>
      </w:r>
      <w:r>
        <w:rPr>
          <w:rFonts w:ascii="Verdana" w:cs="Verdana" w:eastAsia="Verdana" w:hAnsi="Verdana"/>
          <w:sz w:val="14"/>
          <w:szCs w:val="14"/>
          <w:color w:val="000000"/>
        </w:rPr>
        <w:t>as components of noninterest income, include wealth management fees, payment technology solutions, and fees for</w:t>
      </w:r>
      <w:r>
        <w:rPr>
          <w:rFonts w:ascii="Verdana" w:cs="Verdana" w:eastAsia="Verdana" w:hAnsi="Verdana"/>
          <w:sz w:val="14"/>
          <w:szCs w:val="14"/>
          <w:color w:val="0000FF"/>
        </w:rPr>
        <w:t xml:space="preserve"> </w:t>
      </w:r>
      <w:r>
        <w:rPr>
          <w:rFonts w:ascii="Verdana" w:cs="Verdana" w:eastAsia="Verdana" w:hAnsi="Verdana"/>
          <w:sz w:val="14"/>
          <w:szCs w:val="14"/>
          <w:color w:val="000000"/>
        </w:rPr>
        <w:t>customer services.</w:t>
      </w:r>
    </w:p>
    <w:p>
      <w:pPr>
        <w:spacing w:after="0" w:line="290"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Wealth Management Fees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Wealth management fees represent fees due from wealth management customers as consideration for managing the customers' assets. Wealth management and trust services include custody of assets, investment management, fees for trust services, and other fiduciary activities. Also included are fees received from a third-party broker-dealer as part of a revenue sharing agreement for fees earned from customers that Busey refers to the third party. Revenue is recognized when the performance obligation is completed, which is generally monthly.</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Payment Technology Solutions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Payment technology solutions revenue represents transaction-based fees for technology-driven payment solutions primarily for walk-in, lockbox, interactive voice recognition, and online bill payments through Busey Bank’s subsidiary, FirsTech. Revenue is recognized when the performance obligation is completed, which is generally monthly.</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Fees for Customer Services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Fees for customer services consist of time-based revenue from service fees for account maintenance, item-based revenue from fee-based activity, and transaction-based fee revenue. Revenue is recognized when the performance obligation is completed, which is generally monthly for account maintenance services, or when a transaction has been completed. Payments for such performance obligations are generally received at the time the performance obligations are satisfied.</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1" w:name="page112"/>
    <w:bookmarkEnd w:id="11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Reclassifications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Reclassifications have been made to certain prior year account balances, with no effect on net income or stockholders’ equity, to be consistent with the classifications adopted as of and for the year ended December 31, 2024.</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Impact of Recently Adopted Accounting Standards</w:t>
      </w:r>
    </w:p>
    <w:p>
      <w:pPr>
        <w:spacing w:after="0" w:line="117" w:lineRule="exact"/>
        <w:rPr>
          <w:sz w:val="20"/>
          <w:szCs w:val="20"/>
          <w:color w:val="auto"/>
        </w:rPr>
      </w:pPr>
    </w:p>
    <w:p>
      <w:pPr>
        <w:jc w:val="both"/>
        <w:spacing w:after="0" w:line="181" w:lineRule="exact"/>
        <w:rPr>
          <w:sz w:val="20"/>
          <w:szCs w:val="20"/>
          <w:color w:val="auto"/>
        </w:rPr>
      </w:pPr>
      <w:r>
        <w:rPr>
          <w:rFonts w:ascii="Verdana" w:cs="Verdana" w:eastAsia="Verdana" w:hAnsi="Verdana"/>
          <w:sz w:val="14"/>
          <w:szCs w:val="14"/>
          <w:color w:val="auto"/>
        </w:rPr>
        <w:t>In November 2023, the FASB issued ASU 2023</w:t>
      </w:r>
      <w:r>
        <w:rPr>
          <w:rFonts w:ascii="MS PGothic" w:cs="MS PGothic" w:eastAsia="MS PGothic" w:hAnsi="MS PGothic"/>
          <w:sz w:val="14"/>
          <w:szCs w:val="14"/>
          <w:color w:val="auto"/>
        </w:rPr>
        <w:t>‑</w:t>
      </w:r>
      <w:r>
        <w:rPr>
          <w:rFonts w:ascii="Verdana" w:cs="Verdana" w:eastAsia="Verdana" w:hAnsi="Verdana"/>
          <w:sz w:val="14"/>
          <w:szCs w:val="14"/>
          <w:color w:val="auto"/>
        </w:rPr>
        <w:t>07 “</w:t>
      </w:r>
      <w:r>
        <w:rPr>
          <w:rFonts w:ascii="Verdana" w:cs="Verdana" w:eastAsia="Verdana" w:hAnsi="Verdana"/>
          <w:sz w:val="14"/>
          <w:szCs w:val="14"/>
          <w:i w:val="1"/>
          <w:iCs w:val="1"/>
          <w:color w:val="auto"/>
        </w:rPr>
        <w:t>Segment Reporting (Topic 820): Improvements to Reportable Segment Disclosures</w:t>
      </w:r>
      <w:r>
        <w:rPr>
          <w:rFonts w:ascii="Verdana" w:cs="Verdana" w:eastAsia="Verdana" w:hAnsi="Verdana"/>
          <w:sz w:val="14"/>
          <w:szCs w:val="14"/>
          <w:color w:val="auto"/>
        </w:rPr>
        <w:t>” requiring enhanced disclosures related to significant segment expenses. This standard was adopted on a retrospective basis beginning with the annual reporting period ending December 31, 2024. Adoption of this standard did not have a material impact on Busey’s financial position or results of operations, but resulted in enhanced disclosures.</w:t>
      </w:r>
    </w:p>
    <w:p>
      <w:pPr>
        <w:spacing w:after="0" w:line="94" w:lineRule="exact"/>
        <w:rPr>
          <w:sz w:val="20"/>
          <w:szCs w:val="20"/>
          <w:color w:val="auto"/>
        </w:rPr>
      </w:pPr>
    </w:p>
    <w:p>
      <w:pPr>
        <w:jc w:val="both"/>
        <w:spacing w:after="0" w:line="176" w:lineRule="exact"/>
        <w:rPr>
          <w:sz w:val="20"/>
          <w:szCs w:val="20"/>
          <w:color w:val="auto"/>
        </w:rPr>
      </w:pPr>
      <w:r>
        <w:rPr>
          <w:rFonts w:ascii="Verdana" w:cs="Verdana" w:eastAsia="Verdana" w:hAnsi="Verdana"/>
          <w:sz w:val="14"/>
          <w:szCs w:val="14"/>
          <w:color w:val="auto"/>
        </w:rPr>
        <w:t>In March 2023, the FASB issued ASU 2023</w:t>
      </w:r>
      <w:r>
        <w:rPr>
          <w:rFonts w:ascii="MS PGothic" w:cs="MS PGothic" w:eastAsia="MS PGothic" w:hAnsi="MS PGothic"/>
          <w:sz w:val="14"/>
          <w:szCs w:val="14"/>
          <w:color w:val="auto"/>
        </w:rPr>
        <w:t>‑</w:t>
      </w:r>
      <w:r>
        <w:rPr>
          <w:rFonts w:ascii="Verdana" w:cs="Verdana" w:eastAsia="Verdana" w:hAnsi="Verdana"/>
          <w:sz w:val="14"/>
          <w:szCs w:val="14"/>
          <w:color w:val="auto"/>
        </w:rPr>
        <w:t xml:space="preserve">02 </w:t>
      </w:r>
      <w:r>
        <w:rPr>
          <w:rFonts w:ascii="Verdana" w:cs="Verdana" w:eastAsia="Verdana" w:hAnsi="Verdana"/>
          <w:sz w:val="14"/>
          <w:szCs w:val="14"/>
          <w:i w:val="1"/>
          <w:iCs w:val="1"/>
          <w:color w:val="auto"/>
        </w:rPr>
        <w:t>“Investments—Equity Method and Joint Ventures (Topic 323),”</w:t>
      </w:r>
      <w:r>
        <w:rPr>
          <w:rFonts w:ascii="Verdana" w:cs="Verdana" w:eastAsia="Verdana" w:hAnsi="Verdana"/>
          <w:sz w:val="14"/>
          <w:szCs w:val="14"/>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Busey adopted this standard on a modified retrospective basis on January 1, 2024. Upon adoption, Busey recorded an after-tax decrease to retained earnings of $1.4 million for the cumulative effect of adopting ASU 2023</w:t>
      </w:r>
      <w:r>
        <w:rPr>
          <w:rFonts w:ascii="MS PGothic" w:cs="MS PGothic" w:eastAsia="MS PGothic" w:hAnsi="MS PGothic"/>
          <w:sz w:val="14"/>
          <w:szCs w:val="14"/>
          <w:color w:val="auto"/>
        </w:rPr>
        <w:t>‑</w:t>
      </w:r>
      <w:r>
        <w:rPr>
          <w:rFonts w:ascii="Verdana" w:cs="Verdana" w:eastAsia="Verdana" w:hAnsi="Verdana"/>
          <w:sz w:val="14"/>
          <w:szCs w:val="14"/>
          <w:color w:val="auto"/>
        </w:rPr>
        <w:t>02. This transition adjustment included a $2.4 million decrease in other assets, a $0.5 million decrease in other liabilities, and a $0.5 million increase in deferred tax assets.</w:t>
      </w:r>
    </w:p>
    <w:p>
      <w:pPr>
        <w:spacing w:after="0" w:line="95" w:lineRule="exact"/>
        <w:rPr>
          <w:sz w:val="20"/>
          <w:szCs w:val="20"/>
          <w:color w:val="auto"/>
        </w:rPr>
      </w:pPr>
    </w:p>
    <w:p>
      <w:pPr>
        <w:jc w:val="both"/>
        <w:spacing w:after="0" w:line="181" w:lineRule="exact"/>
        <w:rPr>
          <w:sz w:val="20"/>
          <w:szCs w:val="20"/>
          <w:color w:val="auto"/>
        </w:rPr>
      </w:pPr>
      <w:r>
        <w:rPr>
          <w:rFonts w:ascii="Verdana" w:cs="Verdana" w:eastAsia="Verdana" w:hAnsi="Verdana"/>
          <w:sz w:val="14"/>
          <w:szCs w:val="14"/>
          <w:color w:val="auto"/>
        </w:rPr>
        <w:t>In March 2023, the FASB issued ASU 2023</w:t>
      </w:r>
      <w:r>
        <w:rPr>
          <w:rFonts w:ascii="MS PGothic" w:cs="MS PGothic" w:eastAsia="MS PGothic" w:hAnsi="MS PGothic"/>
          <w:sz w:val="14"/>
          <w:szCs w:val="14"/>
          <w:color w:val="auto"/>
        </w:rPr>
        <w:t>‑</w:t>
      </w:r>
      <w:r>
        <w:rPr>
          <w:rFonts w:ascii="Verdana" w:cs="Verdana" w:eastAsia="Verdana" w:hAnsi="Verdana"/>
          <w:sz w:val="14"/>
          <w:szCs w:val="14"/>
          <w:color w:val="auto"/>
        </w:rPr>
        <w:t>01 “</w:t>
      </w:r>
      <w:r>
        <w:rPr>
          <w:rFonts w:ascii="Verdana" w:cs="Verdana" w:eastAsia="Verdana" w:hAnsi="Verdana"/>
          <w:sz w:val="14"/>
          <w:szCs w:val="14"/>
          <w:i w:val="1"/>
          <w:iCs w:val="1"/>
          <w:color w:val="auto"/>
        </w:rPr>
        <w:t>Leases (Topic 842): Common Control Arrangements</w:t>
      </w:r>
      <w:r>
        <w:rPr>
          <w:rFonts w:ascii="Verdana" w:cs="Verdana" w:eastAsia="Verdana" w:hAnsi="Verdana"/>
          <w:sz w:val="14"/>
          <w:szCs w:val="14"/>
          <w:color w:val="auto"/>
        </w:rPr>
        <w:t>,”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Busey adopted this standard on a prospective basis on January 1, 2024. Adoption of this standard did not have a material impact on Busey’s financial position or results of operations.</w:t>
      </w:r>
    </w:p>
    <w:p>
      <w:pPr>
        <w:spacing w:after="0" w:line="136"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In June 2022, the FASB issued ASU 2022-03 </w:t>
      </w:r>
      <w:r>
        <w:rPr>
          <w:rFonts w:ascii="Verdana" w:cs="Verdana" w:eastAsia="Verdana" w:hAnsi="Verdana"/>
          <w:sz w:val="14"/>
          <w:szCs w:val="14"/>
          <w:i w:val="1"/>
          <w:iCs w:val="1"/>
          <w:color w:val="auto"/>
        </w:rPr>
        <w:t>“Fair Value Measurements (Topic 820): Fair Value Measurement of Equity Securities Subject to Contractual Sale</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 xml:space="preserve">Restrictions,” </w:t>
      </w:r>
      <w:r>
        <w:rPr>
          <w:rFonts w:ascii="Verdana" w:cs="Verdana" w:eastAsia="Verdana" w:hAnsi="Verdana"/>
          <w:sz w:val="14"/>
          <w:szCs w:val="14"/>
          <w:color w:val="auto"/>
        </w:rPr>
        <w:t>which clarifies that contractual restrictions on the sale of equity securities are not considered in measuring the fair value of those equity</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securities, and further that contractual sale restrictions cannot be recognized and measured as a separate unit of account. Busey adopted this standard on a prospective basis on January 1, 2024. Adoption of this standard did not have a material impact on Busey’s financial position or results of operations.</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Recently Issued Accounting Standards Not Yet Adopted</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In November 2024, the FASB issued ASU 2024-04 “</w:t>
      </w:r>
      <w:r>
        <w:rPr>
          <w:rFonts w:ascii="Verdana" w:cs="Verdana" w:eastAsia="Verdana" w:hAnsi="Verdana"/>
          <w:sz w:val="14"/>
          <w:szCs w:val="14"/>
          <w:i w:val="1"/>
          <w:iCs w:val="1"/>
          <w:color w:val="auto"/>
        </w:rPr>
        <w:t>Debt—Debt with Conversion and Other Options (Subtopic 470-20): Induced Conversions of Convertible</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Debt Instruments</w:t>
      </w:r>
      <w:r>
        <w:rPr>
          <w:rFonts w:ascii="Verdana" w:cs="Verdana" w:eastAsia="Verdana" w:hAnsi="Verdana"/>
          <w:sz w:val="14"/>
          <w:szCs w:val="14"/>
          <w:color w:val="auto"/>
        </w:rPr>
        <w:t>” to clarify when certain settlements of convertible debt instruments should be accounted for as an induced conversion. The amendments in</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this update may be applied on either a prospective or retrospective basis and will be effective for Busey for annual and interim reporting periods beginning January 1, 2026. Because Busey does not currently have any convertible debt, the Company does not expect adoption of this ASU to have any impact on its financial position or results of operations.</w:t>
      </w:r>
    </w:p>
    <w:p>
      <w:pPr>
        <w:spacing w:after="0" w:line="200" w:lineRule="exact"/>
        <w:rPr>
          <w:sz w:val="20"/>
          <w:szCs w:val="20"/>
          <w:color w:val="auto"/>
        </w:rPr>
      </w:pPr>
    </w:p>
    <w:p>
      <w:pPr>
        <w:spacing w:after="0" w:line="251"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2" w:name="page113"/>
    <w:bookmarkEnd w:id="11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In March 2024, the FASB issued ASU 2024-01 “</w:t>
      </w:r>
      <w:r>
        <w:rPr>
          <w:rFonts w:ascii="Verdana" w:cs="Verdana" w:eastAsia="Verdana" w:hAnsi="Verdana"/>
          <w:sz w:val="14"/>
          <w:szCs w:val="14"/>
          <w:i w:val="1"/>
          <w:iCs w:val="1"/>
          <w:color w:val="auto"/>
        </w:rPr>
        <w:t>Compensation- Stock Compensation (Topic 718): Scope Application of Profits Interest and Similar Awards</w:t>
      </w:r>
      <w:r>
        <w:rPr>
          <w:rFonts w:ascii="Verdana" w:cs="Verdana" w:eastAsia="Verdana" w:hAnsi="Verdana"/>
          <w:sz w:val="14"/>
          <w:szCs w:val="14"/>
          <w:color w:val="auto"/>
        </w:rPr>
        <w:t>” to clarify that certain “profits interests” are within the scope of Topic 718 by amending the language and providing illustrative examples on how the scope guidance in paragraph 718-10-15-3 should be applied. This update is intended to improve clarity of the accounting standards codification, not to change the guidance. This update may be applied on a retrospective or prospective basis and will be effective for Busey for annual and interim reporting periods beginning January 1, 2025. Early adoption is permitted. Busey does not currently have any Profit Interest and Similar Awards, so does not expect adoption of this ASU to have any impact on its financial position and results of operations.</w:t>
      </w:r>
    </w:p>
    <w:p>
      <w:pPr>
        <w:spacing w:after="0" w:line="92" w:lineRule="exact"/>
        <w:rPr>
          <w:sz w:val="20"/>
          <w:szCs w:val="20"/>
          <w:color w:val="auto"/>
        </w:rPr>
      </w:pPr>
    </w:p>
    <w:p>
      <w:pPr>
        <w:jc w:val="both"/>
        <w:spacing w:after="0" w:line="179" w:lineRule="exact"/>
        <w:rPr>
          <w:sz w:val="20"/>
          <w:szCs w:val="20"/>
          <w:color w:val="auto"/>
        </w:rPr>
      </w:pPr>
      <w:r>
        <w:rPr>
          <w:rFonts w:ascii="Verdana" w:cs="Verdana" w:eastAsia="Verdana" w:hAnsi="Verdana"/>
          <w:sz w:val="14"/>
          <w:szCs w:val="14"/>
          <w:color w:val="auto"/>
        </w:rPr>
        <w:t>In December 2023, the FASB issued ASU 2023</w:t>
      </w:r>
      <w:r>
        <w:rPr>
          <w:rFonts w:ascii="MS PGothic" w:cs="MS PGothic" w:eastAsia="MS PGothic" w:hAnsi="MS PGothic"/>
          <w:sz w:val="14"/>
          <w:szCs w:val="14"/>
          <w:color w:val="auto"/>
        </w:rPr>
        <w:t>‑</w:t>
      </w:r>
      <w:r>
        <w:rPr>
          <w:rFonts w:ascii="Verdana" w:cs="Verdana" w:eastAsia="Verdana" w:hAnsi="Verdana"/>
          <w:sz w:val="14"/>
          <w:szCs w:val="14"/>
          <w:color w:val="auto"/>
        </w:rPr>
        <w:t>09 “</w:t>
      </w:r>
      <w:r>
        <w:rPr>
          <w:rFonts w:ascii="Verdana" w:cs="Verdana" w:eastAsia="Verdana" w:hAnsi="Verdana"/>
          <w:sz w:val="14"/>
          <w:szCs w:val="14"/>
          <w:i w:val="1"/>
          <w:iCs w:val="1"/>
          <w:color w:val="auto"/>
        </w:rPr>
        <w:t>Income Taxes (Topic 740): Improvements to Income Tax Disclosures</w:t>
      </w:r>
      <w:r>
        <w:rPr>
          <w:rFonts w:ascii="Verdana" w:cs="Verdana" w:eastAsia="Verdana" w:hAnsi="Verdana"/>
          <w:sz w:val="14"/>
          <w:szCs w:val="14"/>
          <w:color w:val="auto"/>
        </w:rPr>
        <w:t>,”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ASU to have a material impact on its financial position or results of operations.</w:t>
      </w:r>
    </w:p>
    <w:p>
      <w:pPr>
        <w:spacing w:after="0" w:line="93" w:lineRule="exact"/>
        <w:rPr>
          <w:sz w:val="20"/>
          <w:szCs w:val="20"/>
          <w:color w:val="auto"/>
        </w:rPr>
      </w:pPr>
    </w:p>
    <w:p>
      <w:pPr>
        <w:jc w:val="both"/>
        <w:spacing w:after="0" w:line="176" w:lineRule="exact"/>
        <w:rPr>
          <w:sz w:val="20"/>
          <w:szCs w:val="20"/>
          <w:color w:val="auto"/>
        </w:rPr>
      </w:pPr>
      <w:r>
        <w:rPr>
          <w:rFonts w:ascii="Verdana" w:cs="Verdana" w:eastAsia="Verdana" w:hAnsi="Verdana"/>
          <w:sz w:val="14"/>
          <w:szCs w:val="14"/>
          <w:color w:val="auto"/>
        </w:rPr>
        <w:t>In October 2023, the FASB issued ASU 2023</w:t>
      </w:r>
      <w:r>
        <w:rPr>
          <w:rFonts w:ascii="MS PGothic" w:cs="MS PGothic" w:eastAsia="MS PGothic" w:hAnsi="MS PGothic"/>
          <w:sz w:val="14"/>
          <w:szCs w:val="14"/>
          <w:color w:val="auto"/>
        </w:rPr>
        <w:t>‑</w:t>
      </w:r>
      <w:r>
        <w:rPr>
          <w:rFonts w:ascii="Verdana" w:cs="Verdana" w:eastAsia="Verdana" w:hAnsi="Verdana"/>
          <w:sz w:val="14"/>
          <w:szCs w:val="14"/>
          <w:color w:val="auto"/>
        </w:rPr>
        <w:t>06 “</w:t>
      </w:r>
      <w:r>
        <w:rPr>
          <w:rFonts w:ascii="Verdana" w:cs="Verdana" w:eastAsia="Verdana" w:hAnsi="Verdana"/>
          <w:sz w:val="14"/>
          <w:szCs w:val="14"/>
          <w:i w:val="1"/>
          <w:iCs w:val="1"/>
          <w:color w:val="auto"/>
        </w:rPr>
        <w:t>Disclosure Improvements: Codification Amendments in Response to the SEC’s Disclosure Update and</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Simplification Initiative</w:t>
      </w:r>
      <w:r>
        <w:rPr>
          <w:rFonts w:ascii="Verdana" w:cs="Verdana" w:eastAsia="Verdana" w:hAnsi="Verdana"/>
          <w:sz w:val="14"/>
          <w:szCs w:val="14"/>
          <w:color w:val="auto"/>
        </w:rPr>
        <w:t>” which aligns certain GAAP disclosure requirements with the SEC’s disclosure requirements, in order to better facilitate comparisons</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4"/>
          <w:szCs w:val="14"/>
          <w:color w:val="auto"/>
        </w:rPr>
        <w:t>‑</w:t>
      </w:r>
      <w:r>
        <w:rPr>
          <w:rFonts w:ascii="Verdana" w:cs="Verdana" w:eastAsia="Verdana" w:hAnsi="Verdana"/>
          <w:sz w:val="14"/>
          <w:szCs w:val="14"/>
          <w:color w:val="auto"/>
        </w:rPr>
        <w:t>X or Regulation S</w:t>
      </w:r>
      <w:r>
        <w:rPr>
          <w:rFonts w:ascii="MS PGothic" w:cs="MS PGothic" w:eastAsia="MS PGothic" w:hAnsi="MS PGothic"/>
          <w:sz w:val="14"/>
          <w:szCs w:val="14"/>
          <w:color w:val="auto"/>
        </w:rPr>
        <w:t>‑</w:t>
      </w:r>
      <w:r>
        <w:rPr>
          <w:rFonts w:ascii="Verdana" w:cs="Verdana" w:eastAsia="Verdana" w:hAnsi="Verdana"/>
          <w:sz w:val="14"/>
          <w:szCs w:val="14"/>
          <w:color w:val="auto"/>
        </w:rPr>
        <w:t>K. Early adoption is prohibited. If the SEC has not removed the related disclosures from Regulation S</w:t>
      </w:r>
      <w:r>
        <w:rPr>
          <w:rFonts w:ascii="MS PGothic" w:cs="MS PGothic" w:eastAsia="MS PGothic" w:hAnsi="MS PGothic"/>
          <w:sz w:val="14"/>
          <w:szCs w:val="14"/>
          <w:color w:val="auto"/>
        </w:rPr>
        <w:t>‑</w:t>
      </w:r>
      <w:r>
        <w:rPr>
          <w:rFonts w:ascii="Verdana" w:cs="Verdana" w:eastAsia="Verdana" w:hAnsi="Verdana"/>
          <w:sz w:val="14"/>
          <w:szCs w:val="14"/>
          <w:color w:val="auto"/>
        </w:rPr>
        <w:t>X or Regulation S</w:t>
      </w:r>
      <w:r>
        <w:rPr>
          <w:rFonts w:ascii="MS PGothic" w:cs="MS PGothic" w:eastAsia="MS PGothic" w:hAnsi="MS PGothic"/>
          <w:sz w:val="14"/>
          <w:szCs w:val="14"/>
          <w:color w:val="auto"/>
        </w:rPr>
        <w:t>‑</w:t>
      </w:r>
      <w:r>
        <w:rPr>
          <w:rFonts w:ascii="Verdana" w:cs="Verdana" w:eastAsia="Verdana" w:hAnsi="Verdana"/>
          <w:sz w:val="14"/>
          <w:szCs w:val="14"/>
          <w:color w:val="auto"/>
        </w:rPr>
        <w:t>K by June 30, 2027, the pending content of this update will be removed from the ASC and will not become effective for any entity. Busey does not expect adoption of this ASU to have a material impact on its financial position or results of operations.</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Subsequent Events</w:t>
      </w:r>
    </w:p>
    <w:p>
      <w:pPr>
        <w:spacing w:after="0" w:line="138" w:lineRule="exact"/>
        <w:rPr>
          <w:sz w:val="20"/>
          <w:szCs w:val="20"/>
          <w:color w:val="auto"/>
        </w:rPr>
      </w:pPr>
    </w:p>
    <w:p>
      <w:pPr>
        <w:jc w:val="both"/>
        <w:spacing w:after="0" w:line="173" w:lineRule="exact"/>
        <w:rPr>
          <w:rFonts w:ascii="Verdana" w:cs="Verdana" w:eastAsia="Verdana" w:hAnsi="Verdana"/>
          <w:sz w:val="14"/>
          <w:szCs w:val="14"/>
          <w:color w:val="auto"/>
        </w:rPr>
      </w:pPr>
      <w:r>
        <w:rPr>
          <w:rFonts w:ascii="Verdana" w:cs="Verdana" w:eastAsia="Verdana" w:hAnsi="Verdana"/>
          <w:sz w:val="14"/>
          <w:szCs w:val="14"/>
          <w:color w:val="auto"/>
        </w:rPr>
        <w:t xml:space="preserve">Busey has evaluated subsequent events for potential recognition and/or disclosure through the date the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included in this Annual Report on Form 10</w:t>
      </w:r>
      <w:r>
        <w:rPr>
          <w:rFonts w:ascii="MS PGothic" w:cs="MS PGothic" w:eastAsia="MS PGothic" w:hAnsi="MS PGothic"/>
          <w:sz w:val="14"/>
          <w:szCs w:val="14"/>
          <w:color w:val="auto"/>
        </w:rPr>
        <w:t>‑</w:t>
      </w:r>
      <w:r>
        <w:rPr>
          <w:rFonts w:ascii="Verdana" w:cs="Verdana" w:eastAsia="Verdana" w:hAnsi="Verdana"/>
          <w:sz w:val="14"/>
          <w:szCs w:val="14"/>
          <w:color w:val="auto"/>
        </w:rPr>
        <w:t xml:space="preserve">K were issued. Busey issued a </w:t>
      </w:r>
      <w:hyperlink r:id="rId139">
        <w:r>
          <w:rPr>
            <w:rFonts w:ascii="Verdana" w:cs="Verdana" w:eastAsia="Verdana" w:hAnsi="Verdana"/>
            <w:sz w:val="14"/>
            <w:szCs w:val="14"/>
            <w:u w:val="single" w:color="auto"/>
            <w:color w:val="0000FF"/>
          </w:rPr>
          <w:t>Form 8</w:t>
        </w:r>
        <w:r>
          <w:rPr>
            <w:rFonts w:ascii="MS PGothic" w:cs="MS PGothic" w:eastAsia="MS PGothic" w:hAnsi="MS PGothic"/>
            <w:sz w:val="14"/>
            <w:szCs w:val="14"/>
            <w:u w:val="single" w:color="auto"/>
            <w:color w:val="0000FF"/>
          </w:rPr>
          <w:t>‑</w:t>
        </w:r>
        <w:r>
          <w:rPr>
            <w:rFonts w:ascii="Verdana" w:cs="Verdana" w:eastAsia="Verdana" w:hAnsi="Verdana"/>
            <w:sz w:val="14"/>
            <w:szCs w:val="14"/>
            <w:u w:val="single" w:color="auto"/>
            <w:color w:val="0000FF"/>
          </w:rPr>
          <w:t xml:space="preserve">K </w:t>
        </w:r>
      </w:hyperlink>
      <w:r>
        <w:rPr>
          <w:rFonts w:ascii="Verdana" w:cs="Verdana" w:eastAsia="Verdana" w:hAnsi="Verdana"/>
          <w:sz w:val="14"/>
          <w:szCs w:val="14"/>
          <w:color w:val="auto"/>
        </w:rPr>
        <w:t xml:space="preserve">on </w:t>
      </w:r>
      <w:hyperlink r:id="rId139">
        <w:r>
          <w:rPr>
            <w:rFonts w:ascii="Verdana" w:cs="Verdana" w:eastAsia="Verdana" w:hAnsi="Verdana"/>
            <w:sz w:val="14"/>
            <w:szCs w:val="14"/>
            <w:u w:val="single" w:color="auto"/>
            <w:color w:val="0000FF"/>
          </w:rPr>
          <w:t>February 21, 2025</w:t>
        </w:r>
      </w:hyperlink>
      <w:r>
        <w:rPr>
          <w:rFonts w:ascii="Verdana" w:cs="Verdana" w:eastAsia="Verdana" w:hAnsi="Verdana"/>
          <w:sz w:val="14"/>
          <w:szCs w:val="14"/>
          <w:color w:val="auto"/>
        </w:rPr>
        <w:t xml:space="preserve">, regarding the departure of a named executive officer, and during the first quarter of 2025 expects to record related severance expenses according to Schedule 1 of the </w:t>
      </w:r>
      <w:hyperlink r:id="rId140">
        <w:r>
          <w:rPr>
            <w:rFonts w:ascii="Verdana" w:cs="Verdana" w:eastAsia="Verdana" w:hAnsi="Verdana"/>
            <w:sz w:val="14"/>
            <w:szCs w:val="14"/>
            <w:u w:val="single" w:color="auto"/>
            <w:color w:val="0000FF"/>
          </w:rPr>
          <w:t>Separation Letter that was filed as Exhibit 10.1</w:t>
        </w:r>
        <w:r>
          <w:rPr>
            <w:rFonts w:ascii="Verdana" w:cs="Verdana" w:eastAsia="Verdana" w:hAnsi="Verdana"/>
            <w:sz w:val="14"/>
            <w:szCs w:val="14"/>
            <w:u w:val="single" w:color="auto"/>
            <w:color w:val="auto"/>
          </w:rPr>
          <w:t xml:space="preserve"> </w:t>
        </w:r>
      </w:hyperlink>
      <w:r>
        <w:rPr>
          <w:rFonts w:ascii="Verdana" w:cs="Verdana" w:eastAsia="Verdana" w:hAnsi="Verdana"/>
          <w:sz w:val="14"/>
          <w:szCs w:val="14"/>
          <w:color w:val="auto"/>
        </w:rPr>
        <w:t>to the Form 8</w:t>
      </w:r>
      <w:r>
        <w:rPr>
          <w:rFonts w:ascii="MS PGothic" w:cs="MS PGothic" w:eastAsia="MS PGothic" w:hAnsi="MS PGothic"/>
          <w:sz w:val="14"/>
          <w:szCs w:val="14"/>
          <w:color w:val="auto"/>
        </w:rPr>
        <w:t>‑</w:t>
      </w:r>
      <w:r>
        <w:rPr>
          <w:rFonts w:ascii="Verdana" w:cs="Verdana" w:eastAsia="Verdana" w:hAnsi="Verdana"/>
          <w:sz w:val="14"/>
          <w:szCs w:val="14"/>
          <w:color w:val="auto"/>
        </w:rPr>
        <w:t xml:space="preserve">K. Other than this, there were no significant subsequent events for the year ended December 31, 2024, through the filing date of these </w:t>
      </w:r>
      <w:r>
        <w:rPr>
          <w:rFonts w:ascii="Verdana" w:cs="Verdana" w:eastAsia="Verdana" w:hAnsi="Verdana"/>
          <w:sz w:val="14"/>
          <w:szCs w:val="14"/>
          <w:u w:val="single" w:color="auto"/>
          <w:color w:val="0000FF"/>
        </w:rPr>
        <w:t>Consolidated</w:t>
      </w:r>
      <w:r>
        <w:rPr>
          <w:rFonts w:ascii="Verdana" w:cs="Verdana" w:eastAsia="Verdana" w:hAnsi="Verdana"/>
          <w:sz w:val="14"/>
          <w:szCs w:val="14"/>
          <w:color w:val="auto"/>
        </w:rPr>
        <w:t xml:space="preserve"> </w:t>
      </w:r>
      <w:r>
        <w:rPr>
          <w:rFonts w:ascii="Verdana" w:cs="Verdana" w:eastAsia="Verdana" w:hAnsi="Verdana"/>
          <w:sz w:val="14"/>
          <w:szCs w:val="14"/>
          <w:u w:val="single" w:color="auto"/>
          <w:color w:val="0000FF"/>
        </w:rPr>
        <w:t>Financial Statements</w:t>
      </w:r>
      <w:r>
        <w:rPr>
          <w:rFonts w:ascii="Verdana" w:cs="Verdana" w:eastAsia="Verdana" w:hAnsi="Verdana"/>
          <w:sz w:val="14"/>
          <w:szCs w:val="14"/>
          <w:color w:val="000000"/>
        </w:rPr>
        <w:t>.</w:t>
      </w:r>
    </w:p>
    <w:p>
      <w:pPr>
        <w:spacing w:after="0" w:line="125" w:lineRule="exact"/>
        <w:rPr>
          <w:rFonts w:ascii="Verdana" w:cs="Verdana" w:eastAsia="Verdana" w:hAnsi="Verdana"/>
          <w:sz w:val="14"/>
          <w:szCs w:val="14"/>
          <w:color w:val="auto"/>
        </w:rPr>
      </w:pPr>
    </w:p>
    <w:p>
      <w:pPr>
        <w:spacing w:after="0"/>
        <w:rPr>
          <w:sz w:val="20"/>
          <w:szCs w:val="20"/>
          <w:color w:val="auto"/>
        </w:rPr>
      </w:pPr>
      <w:r>
        <w:rPr>
          <w:rFonts w:ascii="Verdana" w:cs="Verdana" w:eastAsia="Verdana" w:hAnsi="Verdana"/>
          <w:sz w:val="14"/>
          <w:szCs w:val="14"/>
          <w:b w:val="1"/>
          <w:bCs w:val="1"/>
          <w:color w:val="auto"/>
        </w:rPr>
        <w:t>NOTE 2. MERGERS AND ACQUISITIONS</w:t>
      </w:r>
    </w:p>
    <w:p>
      <w:pPr>
        <w:spacing w:after="0" w:line="148" w:lineRule="exact"/>
        <w:rPr>
          <w:rFonts w:ascii="Verdana" w:cs="Verdana" w:eastAsia="Verdana" w:hAnsi="Verdana"/>
          <w:sz w:val="14"/>
          <w:szCs w:val="14"/>
          <w:color w:val="auto"/>
        </w:rPr>
      </w:pPr>
    </w:p>
    <w:p>
      <w:pPr>
        <w:spacing w:after="0"/>
        <w:rPr>
          <w:sz w:val="20"/>
          <w:szCs w:val="20"/>
          <w:color w:val="auto"/>
        </w:rPr>
      </w:pPr>
      <w:r>
        <w:rPr>
          <w:rFonts w:ascii="Verdana" w:cs="Verdana" w:eastAsia="Verdana" w:hAnsi="Verdana"/>
          <w:sz w:val="14"/>
          <w:szCs w:val="14"/>
          <w:b w:val="1"/>
          <w:bCs w:val="1"/>
          <w:i w:val="1"/>
          <w:iCs w:val="1"/>
          <w:color w:val="auto"/>
        </w:rPr>
        <w:t>CrossFirst Bankshares, Inc.</w:t>
      </w:r>
    </w:p>
    <w:p>
      <w:pPr>
        <w:spacing w:after="0" w:line="138" w:lineRule="exact"/>
        <w:rPr>
          <w:rFonts w:ascii="Verdana" w:cs="Verdana" w:eastAsia="Verdana" w:hAnsi="Verdana"/>
          <w:sz w:val="14"/>
          <w:szCs w:val="14"/>
          <w:color w:val="auto"/>
        </w:rPr>
      </w:pPr>
    </w:p>
    <w:p>
      <w:pPr>
        <w:jc w:val="both"/>
        <w:spacing w:after="0" w:line="244" w:lineRule="auto"/>
        <w:rPr>
          <w:sz w:val="20"/>
          <w:szCs w:val="20"/>
          <w:color w:val="auto"/>
        </w:rPr>
      </w:pPr>
      <w:r>
        <w:rPr>
          <w:rFonts w:ascii="Verdana" w:cs="Verdana" w:eastAsia="Verdana" w:hAnsi="Verdana"/>
          <w:sz w:val="14"/>
          <w:szCs w:val="14"/>
          <w:color w:val="auto"/>
        </w:rPr>
        <w:t>On August 26, 2024, First Busey Corporation and CrossFirst, a Kansas corporation, entered into a definitive agreement pursuant to which Busey will acquire CrossFirst and its wholly-owned subsidiary CrossFirst Bank, through a merger transaction. This partnership will create a premier commercial bank in the Midwest, Southwest, and Florida, with 77 full-service locations across 10 states—Arizona, Colorado, Florida, Illinois, Indiana, Kansas, Missouri, New Mexico, Oklahoma, and Texas—and approximately $20 billion in combined assets, $17 billion in total deposits, $14 billion in total loans, and $14 billion in wealth assets under care.</w:t>
      </w:r>
    </w:p>
    <w:p>
      <w:pPr>
        <w:spacing w:after="0" w:line="200" w:lineRule="exact"/>
        <w:rPr>
          <w:rFonts w:ascii="Verdana" w:cs="Verdana" w:eastAsia="Verdana" w:hAnsi="Verdana"/>
          <w:sz w:val="14"/>
          <w:szCs w:val="14"/>
          <w:color w:val="auto"/>
        </w:rPr>
      </w:pPr>
    </w:p>
    <w:p>
      <w:pPr>
        <w:spacing w:after="0" w:line="251" w:lineRule="exact"/>
        <w:rPr>
          <w:rFonts w:ascii="Verdana" w:cs="Verdana" w:eastAsia="Verdana" w:hAnsi="Verdana"/>
          <w:sz w:val="14"/>
          <w:szCs w:val="14"/>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113</w:t>
      </w:r>
    </w:p>
    <w:p>
      <w:pPr>
        <w:spacing w:after="0" w:line="20" w:lineRule="exact"/>
        <w:rPr>
          <w:rFonts w:ascii="Verdana" w:cs="Verdana" w:eastAsia="Verdana" w:hAnsi="Verdana"/>
          <w:sz w:val="14"/>
          <w:szCs w:val="14"/>
          <w:color w:val="auto"/>
        </w:rPr>
      </w:pPr>
      <w:r>
        <w:rPr>
          <w:rFonts w:ascii="Verdana" w:cs="Verdana" w:eastAsia="Verdana" w:hAnsi="Verdana"/>
          <w:sz w:val="14"/>
          <w:szCs w:val="14"/>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3" w:name="page114"/>
    <w:bookmarkEnd w:id="11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Under the terms of the merger agreement, CrossFirst stockholders will have the right to receive for each share of CrossFirst common stock 0.6675 of a share of Busey’s common stock with a cash payment in lieu of any fractional shares, and for each share of CrossFirst Series A Perpetual Preferred Stock one share of a newly created series of Busey preferred stock or, at the election of Busey, an amount of cash equal to the liquidation preference thereof, plus any unpaid dividends thereon through the effective time of the merger.</w:t>
      </w:r>
    </w:p>
    <w:p>
      <w:pPr>
        <w:spacing w:after="0" w:line="119"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On December 20, 2024, Busey and CrossFirst stockholders voted to approve the merger. On January 16, 2025, Busey received regulatory approval from the Board of Governors of the Federal Reserve System for the merger. The transaction has also been approved by the Illinois Department of Financial and Professional Regulation and the Kansas Office of the State Bank Commissioner. Busey and CrossFirst intend to close the merger on March 1, 2025, subject to the satisfaction of the remaining customary closing conditions. It is anticipated that CrossFirst Bank will merge with and into Busey Bank in mid-2025. At the time of the bank merger, CrossFirst Bank locations will become banking centers of Busey Bank.</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In connection with the CrossFirst merger, Busey incurred one-time pretax acquisition-related expenses of $3.9 million in 2024, which are reported as components of noninterest expense on the accompanying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Of this amount, $3.1 million represents legal, professional, and consulting fees incurred to consummate the acquisition, with the remainder of the expenses comprised primarily of marketing, consulting, and travel expenses.</w:t>
      </w:r>
    </w:p>
    <w:p>
      <w:pPr>
        <w:spacing w:after="0" w:line="130" w:lineRule="exact"/>
        <w:rPr>
          <w:sz w:val="20"/>
          <w:szCs w:val="20"/>
          <w:color w:val="auto"/>
        </w:rPr>
      </w:pPr>
    </w:p>
    <w:p>
      <w:pPr>
        <w:spacing w:after="0"/>
        <w:rPr>
          <w:rFonts w:ascii="Verdana" w:cs="Verdana" w:eastAsia="Verdana" w:hAnsi="Verdana"/>
          <w:sz w:val="14"/>
          <w:szCs w:val="14"/>
          <w:color w:val="auto"/>
        </w:rPr>
      </w:pPr>
      <w:r>
        <w:rPr>
          <w:rFonts w:ascii="Verdana" w:cs="Verdana" w:eastAsia="Verdana" w:hAnsi="Verdana"/>
          <w:sz w:val="14"/>
          <w:szCs w:val="14"/>
          <w:color w:val="auto"/>
        </w:rPr>
        <w:t xml:space="preserve">For further details on the merger, see the </w:t>
      </w:r>
      <w:hyperlink r:id="rId21">
        <w:r>
          <w:rPr>
            <w:rFonts w:ascii="Verdana" w:cs="Verdana" w:eastAsia="Verdana" w:hAnsi="Verdana"/>
            <w:sz w:val="14"/>
            <w:szCs w:val="14"/>
            <w:u w:val="single" w:color="auto"/>
            <w:color w:val="0000FF"/>
          </w:rPr>
          <w:t>8-K announcing the merger</w:t>
        </w:r>
        <w:r>
          <w:rPr>
            <w:rFonts w:ascii="Verdana" w:cs="Verdana" w:eastAsia="Verdana" w:hAnsi="Verdana"/>
            <w:sz w:val="14"/>
            <w:szCs w:val="14"/>
            <w:u w:val="single" w:color="auto"/>
            <w:color w:val="auto"/>
          </w:rPr>
          <w:t xml:space="preserve"> </w:t>
        </w:r>
      </w:hyperlink>
      <w:r>
        <w:rPr>
          <w:rFonts w:ascii="Verdana" w:cs="Verdana" w:eastAsia="Verdana" w:hAnsi="Verdana"/>
          <w:sz w:val="14"/>
          <w:szCs w:val="14"/>
          <w:color w:val="auto"/>
        </w:rPr>
        <w:t>filed with the SEC on August 27, 2024.</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Merchants and Manufacturers Bank Corporation</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On April 1, 2024, Busey completed its acquisition of M&amp;M and its wholly-owned subsidiary, M&amp;M Bank, through a merger transaction. This partnership added M&amp;M’s Life Equity Loan</w:t>
      </w:r>
      <w:r>
        <w:rPr>
          <w:rFonts w:ascii="Verdana" w:cs="Verdana" w:eastAsia="Verdana" w:hAnsi="Verdana"/>
          <w:sz w:val="9"/>
          <w:szCs w:val="9"/>
          <w:color w:val="auto"/>
        </w:rPr>
        <w:t>®</w:t>
      </w:r>
      <w:r>
        <w:rPr>
          <w:rFonts w:ascii="Verdana" w:cs="Verdana" w:eastAsia="Verdana" w:hAnsi="Verdana"/>
          <w:sz w:val="14"/>
          <w:szCs w:val="14"/>
          <w:color w:val="auto"/>
        </w:rPr>
        <w:t xml:space="preserve"> products to Busey’s existing suite of services and expanded Busey’s presence in the suburban Chicago market. M&amp;M’s results of operations were included in Busey’s results of operation beginning April 1, 2024.</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Merger of M&amp;M Bank into Busey Bank</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Merger Consideration</w:t>
      </w:r>
    </w:p>
    <w:p>
      <w:pPr>
        <w:spacing w:after="0" w:line="14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At the effective time of the Merger, each share of M&amp;M common stock converted to the right to receive, at the election of each stockholder and subject to proration and adjustment as provided in the Merger Agreement, either (1) $117.74 in cash (“Cash Election”), (2) 5.7294 shares of Busey common stock (“Share Election”), or (3) mixed consideration of $34.55 in cash and 4.0481 shares of Busey common stock (“Mixed Election”).</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4" w:name="page115"/>
    <w:bookmarkEnd w:id="11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Merger Agreement, the Merger consideration paid to M&amp;M common stockholders was comprised of an aggregate of 1,429,304 shares of Busey common stock and an aggregate of $12.2 million in cash, allocated as follows for each share of M&amp;M stock: (1) $117.74 in cash for the Cash Election, (2) $5.3966 in cash and 5.4668 shares of Busey common stock for the Share Election, and (3) $34.55 in cash and 4.0481 shares of Busey common stock for the Mixed Election. Pursuant to the terms of the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Merger. Fractional shares were paid in cash at the rate of $23.32 per share.</w:t>
      </w:r>
    </w:p>
    <w:p>
      <w:pPr>
        <w:spacing w:after="0" w:line="299" w:lineRule="exact"/>
        <w:rPr>
          <w:sz w:val="20"/>
          <w:szCs w:val="20"/>
          <w:color w:val="auto"/>
        </w:rPr>
      </w:pPr>
    </w:p>
    <w:p>
      <w:pPr>
        <w:spacing w:after="0"/>
        <w:rPr>
          <w:sz w:val="20"/>
          <w:szCs w:val="20"/>
          <w:color w:val="auto"/>
        </w:rPr>
      </w:pPr>
      <w:r>
        <w:rPr>
          <w:rFonts w:ascii="Verdana" w:cs="Verdana" w:eastAsia="Verdana" w:hAnsi="Verdana"/>
          <w:sz w:val="14"/>
          <w:szCs w:val="14"/>
          <w:color w:val="auto"/>
        </w:rPr>
        <w:t>Additional Merger consideration of $3.0 million was paid to redeem 300 shares of M&amp;M preferred stock.</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Acquisition Accounting</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This transaction was accounted for using the acquisition method of accounting and, accordingly, assets acquired, liabilities assumed, and consideration exchanged were recorded at estimated fair values on April 1, 2024, the date of acquisition. Fair values, including initial accounting for deferred taxes, are subject to refinement for up to one year after the closing date as additional information regarding the closing date fair values becomes available. Fair value adjustments totaling $0.4 million were recorded during the year ended December 31, 2024, as additional information became available regarding unrecorded assets and liabilities. Busey does not expect any further adjustments will be necessary.</w:t>
      </w:r>
    </w:p>
    <w:p>
      <w:pPr>
        <w:spacing w:after="0" w:line="12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As the total consideration paid for M&amp;M exceeded the estimated fair value of net assets acquired, goodwill of $15.8 million was recorded as a result of the acquisition. Goodwill recorded for this transaction reflects synergies expected from the acquisition and expansion within the Chicago metropolitan market, and was assigned to the Banking operating segment. None of the goodwill recognized in the M&amp;M acquisition is expected to be tax deductible.</w:t>
      </w:r>
    </w:p>
    <w:p>
      <w:pPr>
        <w:spacing w:after="0" w:line="200" w:lineRule="exact"/>
        <w:rPr>
          <w:sz w:val="20"/>
          <w:szCs w:val="20"/>
          <w:color w:val="auto"/>
        </w:rPr>
      </w:pPr>
    </w:p>
    <w:p>
      <w:pPr>
        <w:spacing w:after="0" w:line="247"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5" w:name="page116"/>
    <w:bookmarkEnd w:id="11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Acquisition Date Fair Values</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Estimated acquisition-date fair values of the assets acquired and liabilities assumed, as well as the fair value of consideration transferred, were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800" w:type="dxa"/>
            <w:vAlign w:val="bottom"/>
            <w:tcBorders>
              <w:bottom w:val="single" w:sz="8" w:color="E0E7ED"/>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10"/>
              <w:spacing w:after="0"/>
              <w:rPr>
                <w:sz w:val="20"/>
                <w:szCs w:val="20"/>
                <w:color w:val="auto"/>
              </w:rPr>
            </w:pPr>
            <w:r>
              <w:rPr>
                <w:rFonts w:ascii="Verdana" w:cs="Verdana" w:eastAsia="Verdana" w:hAnsi="Verdana"/>
                <w:sz w:val="10"/>
                <w:szCs w:val="10"/>
                <w:b w:val="1"/>
                <w:bCs w:val="1"/>
                <w:color w:val="auto"/>
              </w:rPr>
              <w:t>April 1, 2024</w:t>
            </w:r>
          </w:p>
        </w:tc>
      </w:tr>
      <w:tr>
        <w:trPr>
          <w:trHeight w:val="199"/>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 acquired</w:t>
            </w:r>
          </w:p>
        </w:tc>
        <w:tc>
          <w:tcPr>
            <w:tcW w:w="24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Cash and cash equivalents</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1240" w:type="dxa"/>
            <w:vAlign w:val="bottom"/>
          </w:tcPr>
          <w:p>
            <w:pPr>
              <w:jc w:val="right"/>
              <w:spacing w:after="0"/>
              <w:rPr>
                <w:sz w:val="20"/>
                <w:szCs w:val="20"/>
                <w:color w:val="auto"/>
              </w:rPr>
            </w:pPr>
            <w:r>
              <w:rPr>
                <w:rFonts w:ascii="Verdana" w:cs="Verdana" w:eastAsia="Verdana" w:hAnsi="Verdana"/>
                <w:sz w:val="14"/>
                <w:szCs w:val="14"/>
                <w:color w:val="auto"/>
              </w:rPr>
              <w:t>33,577</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Securities</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8,086</w:t>
            </w: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Portfolio loans, net of ACL</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417,230</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Premises and equipment</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2,045</w:t>
            </w: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Right of use assets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253</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Other intangible assets</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6,346</w:t>
            </w:r>
          </w:p>
        </w:tc>
      </w:tr>
      <w:tr>
        <w:trPr>
          <w:trHeight w:val="207"/>
        </w:trPr>
        <w:tc>
          <w:tcPr>
            <w:tcW w:w="98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10,283</w:t>
            </w:r>
          </w:p>
        </w:tc>
      </w:tr>
      <w:tr>
        <w:trPr>
          <w:trHeight w:val="203"/>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assets acquired</w:t>
            </w:r>
          </w:p>
        </w:tc>
        <w:tc>
          <w:tcPr>
            <w:tcW w:w="240" w:type="dxa"/>
            <w:vAlign w:val="bottom"/>
            <w:tcBorders>
              <w:bottom w:val="single" w:sz="8" w:color="auto"/>
            </w:tcBorders>
            <w:shd w:val="clear" w:color="auto" w:fill="E0E7ED"/>
          </w:tcPr>
          <w:p>
            <w:pPr>
              <w:spacing w:after="0"/>
              <w:rPr>
                <w:sz w:val="17"/>
                <w:szCs w:val="17"/>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477,820</w:t>
            </w:r>
          </w:p>
        </w:tc>
      </w:tr>
      <w:tr>
        <w:trPr>
          <w:trHeight w:val="198"/>
        </w:trPr>
        <w:tc>
          <w:tcPr>
            <w:tcW w:w="9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2"/>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Liabilities assumed</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Deposits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392,838</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Short-term borrowings</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35,932</w:t>
            </w: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Long-term debt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1,450</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Subordinated notes, net of unamortized issuance costs</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3,911</w:t>
            </w: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Junior subordinated debt owed to unconsolidated trusts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2,594</w:t>
            </w:r>
          </w:p>
        </w:tc>
      </w:tr>
      <w:tr>
        <w:trPr>
          <w:trHeight w:val="218"/>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Lease liabilities</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253</w:t>
            </w:r>
          </w:p>
        </w:tc>
      </w:tr>
      <w:tr>
        <w:trPr>
          <w:trHeight w:val="207"/>
        </w:trPr>
        <w:tc>
          <w:tcPr>
            <w:tcW w:w="98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7,089</w:t>
            </w:r>
          </w:p>
        </w:tc>
      </w:tr>
      <w:tr>
        <w:trPr>
          <w:trHeight w:val="203"/>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liabilities assumed</w:t>
            </w:r>
          </w:p>
        </w:tc>
        <w:tc>
          <w:tcPr>
            <w:tcW w:w="240" w:type="dxa"/>
            <w:vAlign w:val="bottom"/>
            <w:tcBorders>
              <w:bottom w:val="single" w:sz="8" w:color="auto"/>
            </w:tcBorders>
            <w:shd w:val="clear" w:color="auto" w:fill="E0E7ED"/>
          </w:tcPr>
          <w:p>
            <w:pPr>
              <w:spacing w:after="0"/>
              <w:rPr>
                <w:sz w:val="17"/>
                <w:szCs w:val="17"/>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444,067</w:t>
            </w:r>
          </w:p>
        </w:tc>
      </w:tr>
      <w:tr>
        <w:trPr>
          <w:trHeight w:val="198"/>
        </w:trPr>
        <w:tc>
          <w:tcPr>
            <w:tcW w:w="9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7"/>
        </w:trPr>
        <w:tc>
          <w:tcPr>
            <w:tcW w:w="98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assets acquired</w:t>
            </w:r>
          </w:p>
        </w:tc>
        <w:tc>
          <w:tcPr>
            <w:tcW w:w="240" w:type="dxa"/>
            <w:vAlign w:val="bottom"/>
            <w:tcBorders>
              <w:bottom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33,753</w:t>
            </w:r>
          </w:p>
        </w:tc>
      </w:tr>
      <w:tr>
        <w:trPr>
          <w:trHeight w:val="20"/>
        </w:trPr>
        <w:tc>
          <w:tcPr>
            <w:tcW w:w="98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9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12"/>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Consideration paid</w:t>
            </w: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r>
      <w:tr>
        <w:trPr>
          <w:trHeight w:val="207"/>
        </w:trPr>
        <w:tc>
          <w:tcPr>
            <w:tcW w:w="9800" w:type="dxa"/>
            <w:vAlign w:val="bottom"/>
          </w:tcPr>
          <w:p>
            <w:pPr>
              <w:ind w:left="140"/>
              <w:spacing w:after="0"/>
              <w:rPr>
                <w:sz w:val="20"/>
                <w:szCs w:val="20"/>
                <w:color w:val="auto"/>
              </w:rPr>
            </w:pPr>
            <w:r>
              <w:rPr>
                <w:rFonts w:ascii="Verdana" w:cs="Verdana" w:eastAsia="Verdana" w:hAnsi="Verdana"/>
                <w:sz w:val="14"/>
                <w:szCs w:val="14"/>
                <w:color w:val="auto"/>
              </w:rPr>
              <w:t>Cash</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1240" w:type="dxa"/>
            <w:vAlign w:val="bottom"/>
          </w:tcPr>
          <w:p>
            <w:pPr>
              <w:jc w:val="right"/>
              <w:spacing w:after="0"/>
              <w:rPr>
                <w:sz w:val="20"/>
                <w:szCs w:val="20"/>
                <w:color w:val="auto"/>
              </w:rPr>
            </w:pPr>
            <w:r>
              <w:rPr>
                <w:rFonts w:ascii="Verdana" w:cs="Verdana" w:eastAsia="Verdana" w:hAnsi="Verdana"/>
                <w:sz w:val="14"/>
                <w:szCs w:val="14"/>
                <w:color w:val="auto"/>
              </w:rPr>
              <w:t>15,200</w:t>
            </w:r>
          </w:p>
        </w:tc>
      </w:tr>
      <w:tr>
        <w:trPr>
          <w:trHeight w:val="212"/>
        </w:trPr>
        <w:tc>
          <w:tcPr>
            <w:tcW w:w="98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Common stock</w:t>
            </w:r>
          </w:p>
        </w:tc>
        <w:tc>
          <w:tcPr>
            <w:tcW w:w="240" w:type="dxa"/>
            <w:vAlign w:val="bottom"/>
            <w:tcBorders>
              <w:bottom w:val="single" w:sz="8" w:color="auto"/>
            </w:tcBorders>
            <w:shd w:val="clear" w:color="auto" w:fill="E0E7ED"/>
          </w:tcPr>
          <w:p>
            <w:pPr>
              <w:spacing w:after="0"/>
              <w:rPr>
                <w:sz w:val="18"/>
                <w:szCs w:val="18"/>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34,375</w:t>
            </w:r>
          </w:p>
        </w:tc>
      </w:tr>
      <w:tr>
        <w:trPr>
          <w:trHeight w:val="208"/>
        </w:trPr>
        <w:tc>
          <w:tcPr>
            <w:tcW w:w="9800" w:type="dxa"/>
            <w:vAlign w:val="bottom"/>
          </w:tcPr>
          <w:p>
            <w:pPr>
              <w:ind w:left="20"/>
              <w:spacing w:after="0"/>
              <w:rPr>
                <w:sz w:val="20"/>
                <w:szCs w:val="20"/>
                <w:color w:val="auto"/>
              </w:rPr>
            </w:pPr>
            <w:r>
              <w:rPr>
                <w:rFonts w:ascii="Verdana" w:cs="Verdana" w:eastAsia="Verdana" w:hAnsi="Verdana"/>
                <w:sz w:val="14"/>
                <w:szCs w:val="14"/>
                <w:color w:val="auto"/>
              </w:rPr>
              <w:t>Total consideration paid</w:t>
            </w: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49,575</w:t>
            </w:r>
          </w:p>
        </w:tc>
      </w:tr>
      <w:tr>
        <w:trPr>
          <w:trHeight w:val="20"/>
        </w:trPr>
        <w:tc>
          <w:tcPr>
            <w:tcW w:w="98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3"/>
        </w:trPr>
        <w:tc>
          <w:tcPr>
            <w:tcW w:w="980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r>
      <w:tr>
        <w:trPr>
          <w:trHeight w:val="212"/>
        </w:trPr>
        <w:tc>
          <w:tcPr>
            <w:tcW w:w="9800" w:type="dxa"/>
            <w:vAlign w:val="bottom"/>
          </w:tcPr>
          <w:p>
            <w:pPr>
              <w:ind w:left="20"/>
              <w:spacing w:after="0"/>
              <w:rPr>
                <w:sz w:val="20"/>
                <w:szCs w:val="20"/>
                <w:color w:val="auto"/>
              </w:rPr>
            </w:pPr>
            <w:r>
              <w:rPr>
                <w:rFonts w:ascii="Verdana" w:cs="Verdana" w:eastAsia="Verdana" w:hAnsi="Verdana"/>
                <w:sz w:val="14"/>
                <w:szCs w:val="14"/>
                <w:b w:val="1"/>
                <w:bCs w:val="1"/>
                <w:color w:val="auto"/>
              </w:rPr>
              <w:t>Goodwill</w:t>
            </w: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15,822</w:t>
            </w:r>
          </w:p>
        </w:tc>
      </w:tr>
      <w:tr>
        <w:trPr>
          <w:trHeight w:val="20"/>
        </w:trPr>
        <w:tc>
          <w:tcPr>
            <w:tcW w:w="9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Loans Purchased with Credit Deterioration</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 small portion of the acquired loans were PCD. The following table provides a reconciliation between the purchase price and the fair value of these loans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580" w:type="dxa"/>
            <w:vAlign w:val="bottom"/>
            <w:tcBorders>
              <w:bottom w:val="single" w:sz="8" w:color="E0E7ED"/>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ind w:left="120"/>
              <w:spacing w:after="0"/>
              <w:rPr>
                <w:sz w:val="20"/>
                <w:szCs w:val="20"/>
                <w:color w:val="auto"/>
              </w:rPr>
            </w:pPr>
            <w:r>
              <w:rPr>
                <w:rFonts w:ascii="Verdana" w:cs="Verdana" w:eastAsia="Verdana" w:hAnsi="Verdana"/>
                <w:sz w:val="10"/>
                <w:szCs w:val="10"/>
                <w:b w:val="1"/>
                <w:bCs w:val="1"/>
                <w:color w:val="auto"/>
              </w:rPr>
              <w:t>As of April 1, 2024</w:t>
            </w:r>
          </w:p>
        </w:tc>
      </w:tr>
      <w:tr>
        <w:trPr>
          <w:trHeight w:val="199"/>
        </w:trPr>
        <w:tc>
          <w:tcPr>
            <w:tcW w:w="95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PCD Financial Assets</w:t>
            </w:r>
          </w:p>
        </w:tc>
        <w:tc>
          <w:tcPr>
            <w:tcW w:w="220" w:type="dxa"/>
            <w:vAlign w:val="bottom"/>
            <w:shd w:val="clear" w:color="auto" w:fill="E0E7ED"/>
          </w:tcPr>
          <w:p>
            <w:pPr>
              <w:spacing w:after="0"/>
              <w:rPr>
                <w:sz w:val="17"/>
                <w:szCs w:val="17"/>
                <w:color w:val="auto"/>
              </w:rPr>
            </w:pPr>
          </w:p>
        </w:tc>
        <w:tc>
          <w:tcPr>
            <w:tcW w:w="1480" w:type="dxa"/>
            <w:vAlign w:val="bottom"/>
            <w:shd w:val="clear" w:color="auto" w:fill="E0E7ED"/>
          </w:tcPr>
          <w:p>
            <w:pPr>
              <w:spacing w:after="0"/>
              <w:rPr>
                <w:sz w:val="17"/>
                <w:szCs w:val="17"/>
                <w:color w:val="auto"/>
              </w:rPr>
            </w:pPr>
          </w:p>
        </w:tc>
      </w:tr>
      <w:tr>
        <w:trPr>
          <w:trHeight w:val="207"/>
        </w:trPr>
        <w:tc>
          <w:tcPr>
            <w:tcW w:w="9580" w:type="dxa"/>
            <w:vAlign w:val="bottom"/>
          </w:tcPr>
          <w:p>
            <w:pPr>
              <w:ind w:left="20"/>
              <w:spacing w:after="0"/>
              <w:rPr>
                <w:sz w:val="20"/>
                <w:szCs w:val="20"/>
                <w:color w:val="auto"/>
              </w:rPr>
            </w:pPr>
            <w:r>
              <w:rPr>
                <w:rFonts w:ascii="Verdana" w:cs="Verdana" w:eastAsia="Verdana" w:hAnsi="Verdana"/>
                <w:sz w:val="14"/>
                <w:szCs w:val="14"/>
                <w:color w:val="auto"/>
              </w:rPr>
              <w:t>Gross contractual receivable for PCD financial assets</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480" w:type="dxa"/>
            <w:vAlign w:val="bottom"/>
          </w:tcPr>
          <w:p>
            <w:pPr>
              <w:ind w:left="920"/>
              <w:spacing w:after="0"/>
              <w:rPr>
                <w:sz w:val="20"/>
                <w:szCs w:val="20"/>
                <w:color w:val="auto"/>
              </w:rPr>
            </w:pPr>
            <w:r>
              <w:rPr>
                <w:rFonts w:ascii="Verdana" w:cs="Verdana" w:eastAsia="Verdana" w:hAnsi="Verdana"/>
                <w:sz w:val="14"/>
                <w:szCs w:val="14"/>
                <w:color w:val="auto"/>
              </w:rPr>
              <w:t>29,290</w:t>
            </w:r>
          </w:p>
        </w:tc>
      </w:tr>
      <w:tr>
        <w:trPr>
          <w:trHeight w:val="218"/>
        </w:trPr>
        <w:tc>
          <w:tcPr>
            <w:tcW w:w="95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ACL recorded for estimated uncollectible contractual cash flows specific to PCD financial assets</w:t>
            </w:r>
          </w:p>
        </w:tc>
        <w:tc>
          <w:tcPr>
            <w:tcW w:w="220" w:type="dxa"/>
            <w:vAlign w:val="bottom"/>
            <w:shd w:val="clear" w:color="auto" w:fill="E0E7ED"/>
          </w:tcPr>
          <w:p>
            <w:pPr>
              <w:spacing w:after="0"/>
              <w:rPr>
                <w:sz w:val="18"/>
                <w:szCs w:val="18"/>
                <w:color w:val="auto"/>
              </w:rPr>
            </w:pPr>
          </w:p>
        </w:tc>
        <w:tc>
          <w:tcPr>
            <w:tcW w:w="1480" w:type="dxa"/>
            <w:vAlign w:val="bottom"/>
            <w:shd w:val="clear" w:color="auto" w:fill="E0E7ED"/>
          </w:tcPr>
          <w:p>
            <w:pPr>
              <w:ind w:left="920"/>
              <w:spacing w:after="0"/>
              <w:rPr>
                <w:sz w:val="20"/>
                <w:szCs w:val="20"/>
                <w:color w:val="auto"/>
              </w:rPr>
            </w:pPr>
            <w:r>
              <w:rPr>
                <w:rFonts w:ascii="Verdana" w:cs="Verdana" w:eastAsia="Verdana" w:hAnsi="Verdana"/>
                <w:sz w:val="14"/>
                <w:szCs w:val="14"/>
                <w:color w:val="auto"/>
              </w:rPr>
              <w:t>(1,243)</w:t>
            </w:r>
          </w:p>
        </w:tc>
      </w:tr>
      <w:tr>
        <w:trPr>
          <w:trHeight w:val="207"/>
        </w:trPr>
        <w:tc>
          <w:tcPr>
            <w:tcW w:w="95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Interest premium (discount) specific to PCD financial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920"/>
              <w:spacing w:after="0"/>
              <w:rPr>
                <w:sz w:val="20"/>
                <w:szCs w:val="20"/>
                <w:color w:val="auto"/>
              </w:rPr>
            </w:pPr>
            <w:r>
              <w:rPr>
                <w:rFonts w:ascii="Verdana" w:cs="Verdana" w:eastAsia="Verdana" w:hAnsi="Verdana"/>
                <w:sz w:val="14"/>
                <w:szCs w:val="14"/>
                <w:color w:val="auto"/>
              </w:rPr>
              <w:t>(1,773)</w:t>
            </w:r>
          </w:p>
        </w:tc>
      </w:tr>
      <w:tr>
        <w:trPr>
          <w:trHeight w:val="233"/>
        </w:trPr>
        <w:tc>
          <w:tcPr>
            <w:tcW w:w="95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Fair value of PCD financial assets</w:t>
            </w: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1480" w:type="dxa"/>
            <w:vAlign w:val="bottom"/>
            <w:tcBorders>
              <w:bottom w:val="single" w:sz="8" w:color="auto"/>
            </w:tcBorders>
            <w:shd w:val="clear" w:color="auto" w:fill="E0E7ED"/>
          </w:tcPr>
          <w:p>
            <w:pPr>
              <w:ind w:left="920"/>
              <w:spacing w:after="0"/>
              <w:rPr>
                <w:sz w:val="20"/>
                <w:szCs w:val="20"/>
                <w:color w:val="auto"/>
              </w:rPr>
            </w:pPr>
            <w:r>
              <w:rPr>
                <w:rFonts w:ascii="Verdana" w:cs="Verdana" w:eastAsia="Verdana" w:hAnsi="Verdana"/>
                <w:sz w:val="14"/>
                <w:szCs w:val="14"/>
                <w:color w:val="auto"/>
              </w:rPr>
              <w:t>26,274</w:t>
            </w:r>
          </w:p>
        </w:tc>
      </w:tr>
      <w:tr>
        <w:trPr>
          <w:trHeight w:val="20"/>
        </w:trPr>
        <w:tc>
          <w:tcPr>
            <w:tcW w:w="95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6" w:name="page117"/>
    <w:bookmarkEnd w:id="11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Pro Forma Results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The following table provides the unaudited pro forma information for the results of operations for the years ended December 31, 2024 and 2023, as if the acquisition had occurred January 1, 2023. The pro forma results combine the historical results of M&amp;M into Busey’s Consolidated Statements of Income, including the impact of purchase accounting adjustments such as loan discount accretion, intangible assets amortization, and deposit accretion, net of taxes. The pro forma results have been prepared for comparative purposes only and are not necessarily indicative of the results that would have been obtained had the acquisition actually occurred on January 1, 2023. No assumptions have been applied to the pro forma results of operations regarding possible revenue enhancements, expense efficiencies, or asset dispositions. Only the merger related expenses that have been recognized are included in net income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4"/>
          </w:tcPr>
          <w:p>
            <w:pPr>
              <w:jc w:val="right"/>
              <w:ind w:right="815"/>
              <w:spacing w:after="0"/>
              <w:rPr>
                <w:sz w:val="20"/>
                <w:szCs w:val="20"/>
                <w:color w:val="auto"/>
              </w:rPr>
            </w:pPr>
            <w:r>
              <w:rPr>
                <w:rFonts w:ascii="Verdana" w:cs="Verdana" w:eastAsia="Verdana" w:hAnsi="Verdana"/>
                <w:sz w:val="10"/>
                <w:szCs w:val="10"/>
                <w:b w:val="1"/>
                <w:bCs w:val="1"/>
                <w:color w:val="auto"/>
              </w:rPr>
              <w:t>Years Ended December 31,</w:t>
            </w: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Revenue (net interest income plus noninterest income)</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468,401</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466,973</w:t>
            </w:r>
          </w:p>
        </w:tc>
      </w:tr>
      <w:tr>
        <w:trPr>
          <w:trHeight w:val="207"/>
        </w:trPr>
        <w:tc>
          <w:tcPr>
            <w:tcW w:w="8020" w:type="dxa"/>
            <w:vAlign w:val="bottom"/>
          </w:tcPr>
          <w:p>
            <w:pPr>
              <w:ind w:left="20"/>
              <w:spacing w:after="0"/>
              <w:rPr>
                <w:sz w:val="20"/>
                <w:szCs w:val="20"/>
                <w:color w:val="auto"/>
              </w:rPr>
            </w:pPr>
            <w:r>
              <w:rPr>
                <w:rFonts w:ascii="Verdana" w:cs="Verdana" w:eastAsia="Verdana" w:hAnsi="Verdana"/>
                <w:sz w:val="14"/>
                <w:szCs w:val="14"/>
                <w:color w:val="auto"/>
              </w:rPr>
              <w:t>Net income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115,530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130,483</w:t>
            </w:r>
          </w:p>
        </w:tc>
      </w:tr>
      <w:tr>
        <w:trPr>
          <w:trHeight w:val="21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Diluted earnings per common share</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2.26</w:t>
            </w: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Other Acquisition Costs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In connection with the M&amp;M acquisition, Busey incurred $3.0 million in pre-tax acquisition expenses during the year ended December 31, 2024, which are reported as components of noninterest expense on the accompanying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Of this amount, $0.1 million represents legal, professional, and consulting fees incurred to consummate the acquisition, with the remainder of the expenses comprised primarily of salaries, wages and employee benefits; data processing; and other professional fees.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7" w:name="page118"/>
    <w:bookmarkEnd w:id="11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3. DEBT SECURITIES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portfolio of debt securities includes both available for sale and held to maturity securities.</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tables below provides the amortized cost, unrealized and unrecognized gains and losses, and fair values of debt securities, summarized by major category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gridSpan w:val="5"/>
          </w:tcPr>
          <w:p>
            <w:pPr>
              <w:jc w:val="center"/>
              <w:ind w:right="380"/>
              <w:spacing w:after="0"/>
              <w:rPr>
                <w:sz w:val="20"/>
                <w:szCs w:val="20"/>
                <w:color w:val="auto"/>
              </w:rPr>
            </w:pPr>
            <w:r>
              <w:rPr>
                <w:rFonts w:ascii="Verdana" w:cs="Verdana" w:eastAsia="Verdana" w:hAnsi="Verdana"/>
                <w:sz w:val="10"/>
                <w:szCs w:val="10"/>
                <w:b w:val="1"/>
                <w:bCs w:val="1"/>
                <w:color w:val="auto"/>
                <w:w w:val="98"/>
              </w:rPr>
              <w:t>As of December 31, 2024</w:t>
            </w: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50"/>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Amortized</w:t>
            </w: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left="856"/>
              <w:spacing w:after="0"/>
              <w:rPr>
                <w:sz w:val="20"/>
                <w:szCs w:val="20"/>
                <w:color w:val="auto"/>
              </w:rPr>
            </w:pPr>
            <w:r>
              <w:rPr>
                <w:rFonts w:ascii="Verdana" w:cs="Verdana" w:eastAsia="Verdana" w:hAnsi="Verdana"/>
                <w:sz w:val="10"/>
                <w:szCs w:val="10"/>
                <w:b w:val="1"/>
                <w:bCs w:val="1"/>
                <w:color w:val="auto"/>
                <w:w w:val="99"/>
              </w:rPr>
              <w:t>Unrealized</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rPr>
              <w:t>Fair</w:t>
            </w:r>
          </w:p>
        </w:tc>
      </w:tr>
      <w:tr>
        <w:trPr>
          <w:trHeight w:val="152"/>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Cost</w:t>
            </w: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Verdana" w:cs="Verdana" w:eastAsia="Verdana" w:hAnsi="Verdana"/>
                <w:sz w:val="10"/>
                <w:szCs w:val="10"/>
                <w:b w:val="1"/>
                <w:bCs w:val="1"/>
                <w:color w:val="auto"/>
              </w:rPr>
              <w:t>Gross Gains</w:t>
            </w:r>
          </w:p>
        </w:tc>
        <w:tc>
          <w:tcPr>
            <w:tcW w:w="3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Verdana" w:cs="Verdana" w:eastAsia="Verdana" w:hAnsi="Verdana"/>
                <w:sz w:val="10"/>
                <w:szCs w:val="10"/>
                <w:b w:val="1"/>
                <w:bCs w:val="1"/>
                <w:color w:val="auto"/>
              </w:rPr>
              <w:t>Gross Losses</w:t>
            </w: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w w:val="94"/>
              </w:rPr>
              <w:t>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Obligations of U.S. government corporations and agencies</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1,408</w:t>
            </w:r>
          </w:p>
        </w:tc>
        <w:tc>
          <w:tcPr>
            <w:tcW w:w="80" w:type="dxa"/>
            <w:vAlign w:val="bottom"/>
          </w:tcPr>
          <w:p>
            <w:pPr>
              <w:spacing w:after="0"/>
              <w:rPr>
                <w:sz w:val="17"/>
                <w:szCs w:val="17"/>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1,400</w:t>
            </w:r>
          </w:p>
        </w:tc>
      </w:tr>
      <w:tr>
        <w:trPr>
          <w:trHeight w:val="218"/>
        </w:trPr>
        <w:tc>
          <w:tcPr>
            <w:tcW w:w="4680" w:type="dxa"/>
            <w:vAlign w:val="bottom"/>
            <w:shd w:val="clear" w:color="auto" w:fill="E0E7ED"/>
          </w:tcPr>
          <w:p>
            <w:pPr>
              <w:ind w:left="140"/>
              <w:spacing w:after="0" w:line="217" w:lineRule="exact"/>
              <w:rPr>
                <w:sz w:val="20"/>
                <w:szCs w:val="20"/>
                <w:color w:val="auto"/>
              </w:rPr>
            </w:pPr>
            <w:r>
              <w:rPr>
                <w:rFonts w:ascii="Verdana" w:cs="Verdana" w:eastAsia="Verdana" w:hAnsi="Verdana"/>
                <w:sz w:val="14"/>
                <w:szCs w:val="14"/>
                <w:color w:val="auto"/>
              </w:rPr>
              <w:t>Obligations of states and political subdivisions</w:t>
            </w:r>
            <w:r>
              <w:rPr>
                <w:rFonts w:ascii="Verdana" w:cs="Verdana" w:eastAsia="Verdana" w:hAnsi="Verdana"/>
                <w:sz w:val="18"/>
                <w:szCs w:val="18"/>
                <w:color w:val="auto"/>
                <w:vertAlign w:val="superscript"/>
              </w:rPr>
              <w:t>1</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156,534</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31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(16,736)</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139,829</w:t>
            </w:r>
          </w:p>
        </w:tc>
      </w:tr>
      <w:tr>
        <w:trPr>
          <w:trHeight w:val="212"/>
        </w:trPr>
        <w:tc>
          <w:tcPr>
            <w:tcW w:w="4680" w:type="dxa"/>
            <w:vAlign w:val="bottom"/>
          </w:tcPr>
          <w:p>
            <w:pPr>
              <w:ind w:left="140"/>
              <w:spacing w:after="0" w:line="212" w:lineRule="exact"/>
              <w:rPr>
                <w:sz w:val="20"/>
                <w:szCs w:val="20"/>
                <w:color w:val="auto"/>
              </w:rPr>
            </w:pPr>
            <w:r>
              <w:rPr>
                <w:rFonts w:ascii="Verdana" w:cs="Verdana" w:eastAsia="Verdana" w:hAnsi="Verdana"/>
                <w:sz w:val="14"/>
                <w:szCs w:val="14"/>
                <w:color w:val="auto"/>
              </w:rPr>
              <w:t>Asset-backed securities</w:t>
            </w:r>
            <w:r>
              <w:rPr>
                <w:rFonts w:ascii="Verdana" w:cs="Verdana" w:eastAsia="Verdana" w:hAnsi="Verdana"/>
                <w:sz w:val="18"/>
                <w:szCs w:val="18"/>
                <w:color w:val="auto"/>
                <w:vertAlign w:val="superscript"/>
              </w:rPr>
              <w:t>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336,379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Verdana" w:cs="Verdana" w:eastAsia="Verdana" w:hAnsi="Verdana"/>
                <w:sz w:val="14"/>
                <w:szCs w:val="14"/>
                <w:color w:val="auto"/>
              </w:rPr>
              <w:t>181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336,557</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107,305</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(15,131)</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92,174</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1,279,090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Verdana" w:cs="Verdana" w:eastAsia="Verdana" w:hAnsi="Verdana"/>
                <w:sz w:val="14"/>
                <w:szCs w:val="14"/>
                <w:color w:val="auto"/>
              </w:rPr>
              <w:t>19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(191,899)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1,087,210</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Corporate debt securities</w:t>
            </w:r>
          </w:p>
        </w:tc>
        <w:tc>
          <w:tcPr>
            <w:tcW w:w="3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159,236</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363</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(6,548)</w:t>
            </w:r>
          </w:p>
        </w:tc>
        <w:tc>
          <w:tcPr>
            <w:tcW w:w="10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153,051</w:t>
            </w:r>
          </w:p>
        </w:tc>
      </w:tr>
      <w:tr>
        <w:trPr>
          <w:trHeight w:val="208"/>
        </w:trPr>
        <w:tc>
          <w:tcPr>
            <w:tcW w:w="4680" w:type="dxa"/>
            <w:vAlign w:val="bottom"/>
          </w:tcPr>
          <w:p>
            <w:pPr>
              <w:ind w:left="20"/>
              <w:spacing w:after="0"/>
              <w:rPr>
                <w:sz w:val="20"/>
                <w:szCs w:val="20"/>
                <w:color w:val="auto"/>
              </w:rPr>
            </w:pPr>
            <w:r>
              <w:rPr>
                <w:rFonts w:ascii="Verdana" w:cs="Verdana" w:eastAsia="Verdana" w:hAnsi="Verdana"/>
                <w:sz w:val="14"/>
                <w:szCs w:val="14"/>
                <w:color w:val="auto"/>
              </w:rPr>
              <w:t>Total debt securities available for sale</w:t>
            </w:r>
          </w:p>
        </w:tc>
        <w:tc>
          <w:tcPr>
            <w:tcW w:w="300" w:type="dxa"/>
            <w:vAlign w:val="bottom"/>
            <w:tcBorders>
              <w:bottom w:val="single" w:sz="8" w:color="auto"/>
            </w:tcBorders>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2,039,952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w:t>
            </w:r>
          </w:p>
        </w:tc>
        <w:tc>
          <w:tcPr>
            <w:tcW w:w="130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594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(230,325)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1,810,221</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78"/>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Amortized</w:t>
            </w: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856"/>
              <w:spacing w:after="0"/>
              <w:rPr>
                <w:sz w:val="20"/>
                <w:szCs w:val="20"/>
                <w:color w:val="auto"/>
              </w:rPr>
            </w:pPr>
            <w:r>
              <w:rPr>
                <w:rFonts w:ascii="Verdana" w:cs="Verdana" w:eastAsia="Verdana" w:hAnsi="Verdana"/>
                <w:sz w:val="10"/>
                <w:szCs w:val="10"/>
                <w:b w:val="1"/>
                <w:bCs w:val="1"/>
                <w:color w:val="auto"/>
                <w:w w:val="98"/>
              </w:rPr>
              <w:t>Unrecognized</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rPr>
              <w:t>Fair</w:t>
            </w:r>
          </w:p>
        </w:tc>
      </w:tr>
      <w:tr>
        <w:trPr>
          <w:trHeight w:val="152"/>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Cost</w:t>
            </w: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Verdana" w:cs="Verdana" w:eastAsia="Verdana" w:hAnsi="Verdana"/>
                <w:sz w:val="10"/>
                <w:szCs w:val="10"/>
                <w:b w:val="1"/>
                <w:bCs w:val="1"/>
                <w:color w:val="auto"/>
              </w:rPr>
              <w:t>Gross Gains</w:t>
            </w:r>
          </w:p>
        </w:tc>
        <w:tc>
          <w:tcPr>
            <w:tcW w:w="3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Verdana" w:cs="Verdana" w:eastAsia="Verdana" w:hAnsi="Verdana"/>
                <w:sz w:val="10"/>
                <w:szCs w:val="10"/>
                <w:b w:val="1"/>
                <w:bCs w:val="1"/>
                <w:color w:val="auto"/>
              </w:rPr>
              <w:t>Gross Losses</w:t>
            </w: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w w:val="94"/>
              </w:rPr>
              <w:t>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415,530</w:t>
            </w:r>
          </w:p>
        </w:tc>
        <w:tc>
          <w:tcPr>
            <w:tcW w:w="80" w:type="dxa"/>
            <w:vAlign w:val="bottom"/>
          </w:tcPr>
          <w:p>
            <w:pPr>
              <w:spacing w:after="0"/>
              <w:rPr>
                <w:sz w:val="17"/>
                <w:szCs w:val="17"/>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(77,242)</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338,288</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3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411,100</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(74,335)</w:t>
            </w:r>
          </w:p>
        </w:tc>
        <w:tc>
          <w:tcPr>
            <w:tcW w:w="10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336,765</w:t>
            </w:r>
          </w:p>
        </w:tc>
      </w:tr>
      <w:tr>
        <w:trPr>
          <w:trHeight w:val="208"/>
        </w:trPr>
        <w:tc>
          <w:tcPr>
            <w:tcW w:w="4680" w:type="dxa"/>
            <w:vAlign w:val="bottom"/>
          </w:tcPr>
          <w:p>
            <w:pPr>
              <w:ind w:left="20"/>
              <w:spacing w:after="0"/>
              <w:rPr>
                <w:sz w:val="20"/>
                <w:szCs w:val="20"/>
                <w:color w:val="auto"/>
              </w:rPr>
            </w:pPr>
            <w:r>
              <w:rPr>
                <w:rFonts w:ascii="Verdana" w:cs="Verdana" w:eastAsia="Verdana" w:hAnsi="Verdana"/>
                <w:sz w:val="14"/>
                <w:szCs w:val="14"/>
                <w:color w:val="auto"/>
              </w:rPr>
              <w:t>Total debt securities held to maturity</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826,630</w:t>
            </w:r>
          </w:p>
        </w:tc>
        <w:tc>
          <w:tcPr>
            <w:tcW w:w="80" w:type="dxa"/>
            <w:vAlign w:val="bottom"/>
          </w:tcPr>
          <w:p>
            <w:pPr>
              <w:spacing w:after="0"/>
              <w:rPr>
                <w:sz w:val="18"/>
                <w:szCs w:val="18"/>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(151,577)</w:t>
            </w:r>
          </w:p>
        </w:tc>
        <w:tc>
          <w:tcPr>
            <w:tcW w:w="10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675,053</w:t>
            </w: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35"/>
        </w:numPr>
        <w:rPr>
          <w:rFonts w:ascii="Verdana" w:cs="Verdana" w:eastAsia="Verdana" w:hAnsi="Verdana"/>
          <w:sz w:val="10"/>
          <w:szCs w:val="10"/>
          <w:color w:val="auto"/>
        </w:rPr>
      </w:pPr>
      <w:r>
        <w:rPr>
          <w:rFonts w:ascii="Verdana" w:cs="Verdana" w:eastAsia="Verdana" w:hAnsi="Verdana"/>
          <w:sz w:val="10"/>
          <w:szCs w:val="10"/>
          <w:color w:val="auto"/>
        </w:rPr>
        <w:t>Includes securities marked at par, with no gain or loss to report.</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8" w:name="page119"/>
    <w:bookmarkEnd w:id="11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60" w:type="dxa"/>
            <w:vAlign w:val="bottom"/>
            <w:tcBorders>
              <w:bottom w:val="single" w:sz="8" w:color="auto"/>
            </w:tcBorders>
            <w:gridSpan w:val="5"/>
          </w:tcPr>
          <w:p>
            <w:pPr>
              <w:jc w:val="center"/>
              <w:ind w:right="380"/>
              <w:spacing w:after="0"/>
              <w:rPr>
                <w:sz w:val="20"/>
                <w:szCs w:val="20"/>
                <w:color w:val="auto"/>
              </w:rPr>
            </w:pPr>
            <w:r>
              <w:rPr>
                <w:rFonts w:ascii="Verdana" w:cs="Verdana" w:eastAsia="Verdana" w:hAnsi="Verdana"/>
                <w:sz w:val="10"/>
                <w:szCs w:val="10"/>
                <w:b w:val="1"/>
                <w:bCs w:val="1"/>
                <w:color w:val="auto"/>
                <w:w w:val="98"/>
              </w:rPr>
              <w:t>As of December 31, 2023</w:t>
            </w: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50"/>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Amortized</w:t>
            </w: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left="856"/>
              <w:spacing w:after="0"/>
              <w:rPr>
                <w:sz w:val="20"/>
                <w:szCs w:val="20"/>
                <w:color w:val="auto"/>
              </w:rPr>
            </w:pPr>
            <w:r>
              <w:rPr>
                <w:rFonts w:ascii="Verdana" w:cs="Verdana" w:eastAsia="Verdana" w:hAnsi="Verdana"/>
                <w:sz w:val="10"/>
                <w:szCs w:val="10"/>
                <w:b w:val="1"/>
                <w:bCs w:val="1"/>
                <w:color w:val="auto"/>
                <w:w w:val="99"/>
              </w:rPr>
              <w:t>Unrealized</w:t>
            </w: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rPr>
              <w:t>Fair</w:t>
            </w:r>
          </w:p>
        </w:tc>
      </w:tr>
      <w:tr>
        <w:trPr>
          <w:trHeight w:val="152"/>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Cost</w:t>
            </w: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Verdana" w:cs="Verdana" w:eastAsia="Verdana" w:hAnsi="Verdana"/>
                <w:sz w:val="10"/>
                <w:szCs w:val="10"/>
                <w:b w:val="1"/>
                <w:bCs w:val="1"/>
                <w:color w:val="auto"/>
              </w:rPr>
              <w:t>Gross Gains</w:t>
            </w:r>
          </w:p>
        </w:tc>
        <w:tc>
          <w:tcPr>
            <w:tcW w:w="3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Verdana" w:cs="Verdana" w:eastAsia="Verdana" w:hAnsi="Verdana"/>
                <w:sz w:val="10"/>
                <w:szCs w:val="10"/>
                <w:b w:val="1"/>
                <w:bCs w:val="1"/>
                <w:color w:val="auto"/>
              </w:rPr>
              <w:t>Gross Losses</w:t>
            </w: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w w:val="94"/>
              </w:rPr>
              <w:t>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U.S. Treasury securities</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16,031</w:t>
            </w:r>
          </w:p>
        </w:tc>
        <w:tc>
          <w:tcPr>
            <w:tcW w:w="80" w:type="dxa"/>
            <w:vAlign w:val="bottom"/>
          </w:tcPr>
          <w:p>
            <w:pPr>
              <w:spacing w:after="0"/>
              <w:rPr>
                <w:sz w:val="17"/>
                <w:szCs w:val="17"/>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(85)</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15,946</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U.S. government corporations and agencies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5,889</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5,832</w:t>
            </w:r>
          </w:p>
        </w:tc>
      </w:tr>
      <w:tr>
        <w:trPr>
          <w:trHeight w:val="212"/>
        </w:trPr>
        <w:tc>
          <w:tcPr>
            <w:tcW w:w="4680" w:type="dxa"/>
            <w:vAlign w:val="bottom"/>
          </w:tcPr>
          <w:p>
            <w:pPr>
              <w:ind w:left="140"/>
              <w:spacing w:after="0" w:line="212" w:lineRule="exact"/>
              <w:rPr>
                <w:sz w:val="20"/>
                <w:szCs w:val="20"/>
                <w:color w:val="auto"/>
              </w:rPr>
            </w:pPr>
            <w:r>
              <w:rPr>
                <w:rFonts w:ascii="Verdana" w:cs="Verdana" w:eastAsia="Verdana" w:hAnsi="Verdana"/>
                <w:sz w:val="14"/>
                <w:szCs w:val="14"/>
                <w:color w:val="auto"/>
              </w:rPr>
              <w:t>Obligations of states and political subdivisions</w:t>
            </w:r>
            <w:r>
              <w:rPr>
                <w:rFonts w:ascii="Verdana" w:cs="Verdana" w:eastAsia="Verdana" w:hAnsi="Verdana"/>
                <w:sz w:val="18"/>
                <w:szCs w:val="18"/>
                <w:color w:val="auto"/>
                <w:vertAlign w:val="superscript"/>
              </w:rPr>
              <w:t>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190,819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6"/>
              <w:spacing w:after="0"/>
              <w:rPr>
                <w:sz w:val="20"/>
                <w:szCs w:val="20"/>
                <w:color w:val="auto"/>
              </w:rPr>
            </w:pPr>
            <w:r>
              <w:rPr>
                <w:rFonts w:ascii="Verdana" w:cs="Verdana" w:eastAsia="Verdana" w:hAnsi="Verdana"/>
                <w:sz w:val="14"/>
                <w:szCs w:val="14"/>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(18,026)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172,845</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Asset-backed securities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470,046</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(1,823)</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468,223</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119,044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(15,535)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103,509</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1,306,854</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(195,547)</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1,111,312</w:t>
            </w:r>
          </w:p>
        </w:tc>
      </w:tr>
      <w:tr>
        <w:trPr>
          <w:trHeight w:val="207"/>
        </w:trPr>
        <w:tc>
          <w:tcPr>
            <w:tcW w:w="46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Corporate debt securities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225,947</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128</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(16,171)</w:t>
            </w:r>
          </w:p>
        </w:tc>
        <w:tc>
          <w:tcPr>
            <w:tcW w:w="10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209,904</w:t>
            </w:r>
          </w:p>
        </w:tc>
      </w:tr>
      <w:tr>
        <w:trPr>
          <w:trHeight w:val="233"/>
        </w:trPr>
        <w:tc>
          <w:tcPr>
            <w:tcW w:w="46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debt securities available for sale</w:t>
            </w:r>
          </w:p>
        </w:tc>
        <w:tc>
          <w:tcPr>
            <w:tcW w:w="300" w:type="dxa"/>
            <w:vAlign w:val="bottom"/>
            <w:tcBorders>
              <w:bottom w:val="single" w:sz="8" w:color="auto"/>
            </w:tcBorders>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2,334,630</w:t>
            </w:r>
          </w:p>
        </w:tc>
        <w:tc>
          <w:tcPr>
            <w:tcW w:w="80" w:type="dxa"/>
            <w:vAlign w:val="bottom"/>
            <w:tcBorders>
              <w:bottom w:val="single" w:sz="8" w:color="E0E7ED"/>
            </w:tcBorders>
            <w:shd w:val="clear" w:color="auto" w:fill="E0E7ED"/>
          </w:tcPr>
          <w:p>
            <w:pPr>
              <w:spacing w:after="0"/>
              <w:rPr>
                <w:sz w:val="19"/>
                <w:szCs w:val="19"/>
                <w:color w:val="auto"/>
              </w:rPr>
            </w:pPr>
          </w:p>
        </w:tc>
        <w:tc>
          <w:tcPr>
            <w:tcW w:w="300" w:type="dxa"/>
            <w:vAlign w:val="bottom"/>
            <w:tcBorders>
              <w:bottom w:val="single" w:sz="8" w:color="auto"/>
            </w:tcBorders>
            <w:shd w:val="clear" w:color="auto" w:fill="E0E7ED"/>
          </w:tcPr>
          <w:p>
            <w:pPr>
              <w:jc w:val="right"/>
              <w:ind w:right="109"/>
              <w:spacing w:after="0"/>
              <w:rPr>
                <w:sz w:val="20"/>
                <w:szCs w:val="20"/>
                <w:color w:val="auto"/>
              </w:rPr>
            </w:pPr>
            <w:r>
              <w:rPr>
                <w:rFonts w:ascii="Verdana" w:cs="Verdana" w:eastAsia="Verdana" w:hAnsi="Verdana"/>
                <w:sz w:val="14"/>
                <w:szCs w:val="14"/>
                <w:color w:val="auto"/>
              </w:rPr>
              <w:t>$</w:t>
            </w:r>
          </w:p>
        </w:tc>
        <w:tc>
          <w:tcPr>
            <w:tcW w:w="13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186</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(247,245)</w:t>
            </w:r>
          </w:p>
        </w:tc>
        <w:tc>
          <w:tcPr>
            <w:tcW w:w="100" w:type="dxa"/>
            <w:vAlign w:val="bottom"/>
            <w:tcBorders>
              <w:bottom w:val="single" w:sz="8" w:color="E0E7ED"/>
            </w:tcBorders>
            <w:shd w:val="clear" w:color="auto" w:fill="E0E7ED"/>
          </w:tcPr>
          <w:p>
            <w:pPr>
              <w:spacing w:after="0"/>
              <w:rPr>
                <w:sz w:val="19"/>
                <w:szCs w:val="19"/>
                <w:color w:val="auto"/>
              </w:rPr>
            </w:pPr>
          </w:p>
        </w:tc>
        <w:tc>
          <w:tcPr>
            <w:tcW w:w="360" w:type="dxa"/>
            <w:vAlign w:val="bottom"/>
            <w:tcBorders>
              <w:bottom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2,087,571</w:t>
            </w:r>
          </w:p>
        </w:tc>
      </w:tr>
      <w:tr>
        <w:trPr>
          <w:trHeight w:val="20"/>
        </w:trPr>
        <w:tc>
          <w:tcPr>
            <w:tcW w:w="46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Amortized</w:t>
            </w: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856"/>
              <w:spacing w:after="0"/>
              <w:rPr>
                <w:sz w:val="20"/>
                <w:szCs w:val="20"/>
                <w:color w:val="auto"/>
              </w:rPr>
            </w:pPr>
            <w:r>
              <w:rPr>
                <w:rFonts w:ascii="Verdana" w:cs="Verdana" w:eastAsia="Verdana" w:hAnsi="Verdana"/>
                <w:sz w:val="10"/>
                <w:szCs w:val="10"/>
                <w:b w:val="1"/>
                <w:bCs w:val="1"/>
                <w:color w:val="auto"/>
                <w:w w:val="98"/>
              </w:rPr>
              <w:t>Unrecognized</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rPr>
              <w:t>Fair</w:t>
            </w:r>
          </w:p>
        </w:tc>
      </w:tr>
      <w:tr>
        <w:trPr>
          <w:trHeight w:val="152"/>
        </w:trPr>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Cost</w:t>
            </w: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Verdana" w:cs="Verdana" w:eastAsia="Verdana" w:hAnsi="Verdana"/>
                <w:sz w:val="10"/>
                <w:szCs w:val="10"/>
                <w:b w:val="1"/>
                <w:bCs w:val="1"/>
                <w:color w:val="auto"/>
              </w:rPr>
              <w:t>Gross Gains</w:t>
            </w:r>
          </w:p>
        </w:tc>
        <w:tc>
          <w:tcPr>
            <w:tcW w:w="3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Verdana" w:cs="Verdana" w:eastAsia="Verdana" w:hAnsi="Verdana"/>
                <w:sz w:val="10"/>
                <w:szCs w:val="10"/>
                <w:b w:val="1"/>
                <w:bCs w:val="1"/>
                <w:color w:val="auto"/>
              </w:rPr>
              <w:t>Gross Losses</w:t>
            </w:r>
          </w:p>
        </w:tc>
        <w:tc>
          <w:tcPr>
            <w:tcW w:w="360" w:type="dxa"/>
            <w:vAlign w:val="bottom"/>
          </w:tcPr>
          <w:p>
            <w:pPr>
              <w:spacing w:after="0"/>
              <w:rPr>
                <w:sz w:val="13"/>
                <w:szCs w:val="13"/>
                <w:color w:val="auto"/>
              </w:rPr>
            </w:pPr>
          </w:p>
        </w:tc>
        <w:tc>
          <w:tcPr>
            <w:tcW w:w="1220" w:type="dxa"/>
            <w:vAlign w:val="bottom"/>
          </w:tcPr>
          <w:p>
            <w:pPr>
              <w:jc w:val="center"/>
              <w:ind w:right="295"/>
              <w:spacing w:after="0"/>
              <w:rPr>
                <w:sz w:val="20"/>
                <w:szCs w:val="20"/>
                <w:color w:val="auto"/>
              </w:rPr>
            </w:pPr>
            <w:r>
              <w:rPr>
                <w:rFonts w:ascii="Verdana" w:cs="Verdana" w:eastAsia="Verdana" w:hAnsi="Verdana"/>
                <w:sz w:val="10"/>
                <w:szCs w:val="10"/>
                <w:b w:val="1"/>
                <w:bCs w:val="1"/>
                <w:color w:val="auto"/>
                <w:w w:val="94"/>
              </w:rPr>
              <w:t>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428,526</w:t>
            </w:r>
          </w:p>
        </w:tc>
        <w:tc>
          <w:tcPr>
            <w:tcW w:w="80" w:type="dxa"/>
            <w:vAlign w:val="bottom"/>
          </w:tcPr>
          <w:p>
            <w:pPr>
              <w:spacing w:after="0"/>
              <w:rPr>
                <w:sz w:val="17"/>
                <w:szCs w:val="17"/>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(71,000)</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357,526</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3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444,102</w:t>
            </w: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(71,231)</w:t>
            </w:r>
          </w:p>
        </w:tc>
        <w:tc>
          <w:tcPr>
            <w:tcW w:w="10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372,871</w:t>
            </w:r>
          </w:p>
        </w:tc>
      </w:tr>
      <w:tr>
        <w:trPr>
          <w:trHeight w:val="208"/>
        </w:trPr>
        <w:tc>
          <w:tcPr>
            <w:tcW w:w="4680" w:type="dxa"/>
            <w:vAlign w:val="bottom"/>
          </w:tcPr>
          <w:p>
            <w:pPr>
              <w:ind w:left="20"/>
              <w:spacing w:after="0"/>
              <w:rPr>
                <w:sz w:val="20"/>
                <w:szCs w:val="20"/>
                <w:color w:val="auto"/>
              </w:rPr>
            </w:pPr>
            <w:r>
              <w:rPr>
                <w:rFonts w:ascii="Verdana" w:cs="Verdana" w:eastAsia="Verdana" w:hAnsi="Verdana"/>
                <w:sz w:val="14"/>
                <w:szCs w:val="14"/>
                <w:color w:val="auto"/>
              </w:rPr>
              <w:t>Total debt securities held to maturity</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872,628</w:t>
            </w:r>
          </w:p>
        </w:tc>
        <w:tc>
          <w:tcPr>
            <w:tcW w:w="80" w:type="dxa"/>
            <w:vAlign w:val="bottom"/>
          </w:tcPr>
          <w:p>
            <w:pPr>
              <w:spacing w:after="0"/>
              <w:rPr>
                <w:sz w:val="18"/>
                <w:szCs w:val="18"/>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3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(142,231)</w:t>
            </w:r>
          </w:p>
        </w:tc>
        <w:tc>
          <w:tcPr>
            <w:tcW w:w="10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730,397</w:t>
            </w: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36"/>
        </w:numPr>
        <w:rPr>
          <w:rFonts w:ascii="Verdana" w:cs="Verdana" w:eastAsia="Verdana" w:hAnsi="Verdana"/>
          <w:sz w:val="10"/>
          <w:szCs w:val="10"/>
          <w:color w:val="auto"/>
        </w:rPr>
      </w:pPr>
      <w:r>
        <w:rPr>
          <w:rFonts w:ascii="Verdana" w:cs="Verdana" w:eastAsia="Verdana" w:hAnsi="Verdana"/>
          <w:sz w:val="10"/>
          <w:szCs w:val="10"/>
          <w:color w:val="auto"/>
        </w:rPr>
        <w:t>Includes securities marked at par, with no gain or loss to report.</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19" w:name="page120"/>
    <w:bookmarkEnd w:id="11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4"/>
          </w:tcPr>
          <w:p>
            <w:pPr>
              <w:jc w:val="right"/>
              <w:ind w:right="873"/>
              <w:spacing w:after="0"/>
              <w:rPr>
                <w:sz w:val="20"/>
                <w:szCs w:val="20"/>
                <w:color w:val="auto"/>
              </w:rPr>
            </w:pPr>
            <w:r>
              <w:rPr>
                <w:rFonts w:ascii="Verdana" w:cs="Verdana" w:eastAsia="Verdana" w:hAnsi="Verdana"/>
                <w:sz w:val="10"/>
                <w:szCs w:val="10"/>
                <w:b w:val="1"/>
                <w:bCs w:val="1"/>
                <w:color w:val="auto"/>
              </w:rPr>
              <w:t>As of December 31, 2024</w:t>
            </w:r>
          </w:p>
        </w:tc>
      </w:tr>
      <w:tr>
        <w:trPr>
          <w:trHeight w:val="93"/>
        </w:trPr>
        <w:tc>
          <w:tcPr>
            <w:tcW w:w="8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gridSpan w:val="2"/>
          </w:tcPr>
          <w:p>
            <w:pPr>
              <w:jc w:val="center"/>
              <w:ind w:right="400"/>
              <w:spacing w:after="0" w:line="94" w:lineRule="exact"/>
              <w:rPr>
                <w:sz w:val="20"/>
                <w:szCs w:val="20"/>
                <w:color w:val="auto"/>
              </w:rPr>
            </w:pPr>
            <w:r>
              <w:rPr>
                <w:rFonts w:ascii="Verdana" w:cs="Verdana" w:eastAsia="Verdana" w:hAnsi="Verdana"/>
                <w:sz w:val="10"/>
                <w:szCs w:val="10"/>
                <w:b w:val="1"/>
                <w:bCs w:val="1"/>
                <w:color w:val="auto"/>
              </w:rPr>
              <w:t>Amortized</w:t>
            </w:r>
          </w:p>
        </w:tc>
        <w:tc>
          <w:tcPr>
            <w:tcW w:w="360" w:type="dxa"/>
            <w:vAlign w:val="bottom"/>
          </w:tcPr>
          <w:p>
            <w:pPr>
              <w:spacing w:after="0"/>
              <w:rPr>
                <w:sz w:val="8"/>
                <w:szCs w:val="8"/>
                <w:color w:val="auto"/>
              </w:rPr>
            </w:pPr>
          </w:p>
        </w:tc>
        <w:tc>
          <w:tcPr>
            <w:tcW w:w="1220" w:type="dxa"/>
            <w:vAlign w:val="bottom"/>
          </w:tcPr>
          <w:p>
            <w:pPr>
              <w:jc w:val="right"/>
              <w:ind w:right="613"/>
              <w:spacing w:after="0" w:line="94" w:lineRule="exact"/>
              <w:rPr>
                <w:sz w:val="20"/>
                <w:szCs w:val="20"/>
                <w:color w:val="auto"/>
              </w:rPr>
            </w:pPr>
            <w:r>
              <w:rPr>
                <w:rFonts w:ascii="Verdana" w:cs="Verdana" w:eastAsia="Verdana" w:hAnsi="Verdana"/>
                <w:sz w:val="10"/>
                <w:szCs w:val="10"/>
                <w:b w:val="1"/>
                <w:bCs w:val="1"/>
                <w:color w:val="auto"/>
              </w:rPr>
              <w:t>Fair</w:t>
            </w:r>
          </w:p>
        </w:tc>
      </w:tr>
      <w:tr>
        <w:trPr>
          <w:trHeight w:val="133"/>
        </w:trPr>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center"/>
              <w:ind w:right="400"/>
              <w:spacing w:after="0"/>
              <w:rPr>
                <w:sz w:val="20"/>
                <w:szCs w:val="20"/>
                <w:color w:val="auto"/>
              </w:rPr>
            </w:pPr>
            <w:r>
              <w:rPr>
                <w:rFonts w:ascii="Verdana" w:cs="Verdana" w:eastAsia="Verdana" w:hAnsi="Verdana"/>
                <w:sz w:val="10"/>
                <w:szCs w:val="10"/>
                <w:b w:val="1"/>
                <w:bCs w:val="1"/>
                <w:color w:val="auto"/>
              </w:rPr>
              <w:t>Cost</w:t>
            </w:r>
          </w:p>
        </w:tc>
        <w:tc>
          <w:tcPr>
            <w:tcW w:w="360" w:type="dxa"/>
            <w:vAlign w:val="bottom"/>
          </w:tcPr>
          <w:p>
            <w:pPr>
              <w:spacing w:after="0"/>
              <w:rPr>
                <w:sz w:val="11"/>
                <w:szCs w:val="11"/>
                <w:color w:val="auto"/>
              </w:rPr>
            </w:pPr>
          </w:p>
        </w:tc>
        <w:tc>
          <w:tcPr>
            <w:tcW w:w="1220" w:type="dxa"/>
            <w:vAlign w:val="bottom"/>
          </w:tcPr>
          <w:p>
            <w:pPr>
              <w:jc w:val="right"/>
              <w:ind w:right="573"/>
              <w:spacing w:after="0"/>
              <w:rPr>
                <w:sz w:val="20"/>
                <w:szCs w:val="20"/>
                <w:color w:val="auto"/>
              </w:rPr>
            </w:pPr>
            <w:r>
              <w:rPr>
                <w:rFonts w:ascii="Verdana" w:cs="Verdana" w:eastAsia="Verdana" w:hAnsi="Verdana"/>
                <w:sz w:val="10"/>
                <w:szCs w:val="10"/>
                <w:b w:val="1"/>
                <w:bCs w:val="1"/>
                <w:color w:val="auto"/>
              </w:rPr>
              <w:t>Value</w:t>
            </w:r>
          </w:p>
        </w:tc>
      </w:tr>
      <w:tr>
        <w:trPr>
          <w:trHeight w:val="197"/>
        </w:trPr>
        <w:tc>
          <w:tcPr>
            <w:tcW w:w="8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Due in one year or less</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91,497</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90,406</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Due after one year through five years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110,271</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104,914</w:t>
            </w: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Due after five years through ten years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518,414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495,024</w:t>
            </w:r>
          </w:p>
        </w:tc>
      </w:tr>
      <w:tr>
        <w:trPr>
          <w:trHeight w:val="212"/>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Due after ten years</w:t>
            </w:r>
          </w:p>
        </w:tc>
        <w:tc>
          <w:tcPr>
            <w:tcW w:w="3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1,319,770</w:t>
            </w:r>
          </w:p>
        </w:tc>
        <w:tc>
          <w:tcPr>
            <w:tcW w:w="10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1,119,877</w:t>
            </w: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Debt securities available for sale</w:t>
            </w:r>
          </w:p>
        </w:tc>
        <w:tc>
          <w:tcPr>
            <w:tcW w:w="300" w:type="dxa"/>
            <w:vAlign w:val="bottom"/>
            <w:tcBorders>
              <w:bottom w:val="single" w:sz="8" w:color="auto"/>
            </w:tcBorders>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2,039,952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1,810,221</w:t>
            </w:r>
          </w:p>
        </w:tc>
      </w:tr>
      <w:tr>
        <w:trPr>
          <w:trHeight w:val="20"/>
        </w:trPr>
        <w:tc>
          <w:tcPr>
            <w:tcW w:w="802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802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r>
      <w:tr>
        <w:trPr>
          <w:trHeight w:val="207"/>
        </w:trPr>
        <w:tc>
          <w:tcPr>
            <w:tcW w:w="8020" w:type="dxa"/>
            <w:vAlign w:val="bottom"/>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Due in one year or less</w:t>
            </w:r>
          </w:p>
        </w:tc>
        <w:tc>
          <w:tcPr>
            <w:tcW w:w="30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18,628</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18,327</w:t>
            </w: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Due after one year through five years</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62,119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58,733</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Due after five years through ten years</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14,689</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12,609</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Due after ten years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731,194</w:t>
            </w:r>
          </w:p>
        </w:tc>
        <w:tc>
          <w:tcPr>
            <w:tcW w:w="10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585,384</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held to maturity</w:t>
            </w:r>
          </w:p>
        </w:tc>
        <w:tc>
          <w:tcPr>
            <w:tcW w:w="300" w:type="dxa"/>
            <w:vAlign w:val="bottom"/>
            <w:tcBorders>
              <w:bottom w:val="single" w:sz="8" w:color="auto"/>
            </w:tcBorders>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826,630</w:t>
            </w:r>
          </w:p>
        </w:tc>
        <w:tc>
          <w:tcPr>
            <w:tcW w:w="100" w:type="dxa"/>
            <w:vAlign w:val="bottom"/>
            <w:tcBorders>
              <w:bottom w:val="single" w:sz="8" w:color="E0E7ED"/>
            </w:tcBorders>
            <w:shd w:val="clear" w:color="auto" w:fill="E0E7ED"/>
          </w:tcPr>
          <w:p>
            <w:pPr>
              <w:spacing w:after="0"/>
              <w:rPr>
                <w:sz w:val="19"/>
                <w:szCs w:val="19"/>
                <w:color w:val="auto"/>
              </w:rPr>
            </w:pPr>
          </w:p>
        </w:tc>
        <w:tc>
          <w:tcPr>
            <w:tcW w:w="360" w:type="dxa"/>
            <w:vAlign w:val="bottom"/>
            <w:tcBorders>
              <w:bottom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675,053</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Realized gains and losses related to sales and calls of debt securities available for sale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Realized gains and losses on debt securities</w:t>
            </w:r>
          </w:p>
        </w:tc>
        <w:tc>
          <w:tcPr>
            <w:tcW w:w="980" w:type="dxa"/>
            <w:vAlign w:val="bottom"/>
            <w:shd w:val="clear" w:color="auto" w:fill="E0E7ED"/>
          </w:tcPr>
          <w:p>
            <w:pPr>
              <w:spacing w:after="0"/>
              <w:rPr>
                <w:sz w:val="17"/>
                <w:szCs w:val="17"/>
                <w:color w:val="auto"/>
              </w:rPr>
            </w:pPr>
          </w:p>
        </w:tc>
        <w:tc>
          <w:tcPr>
            <w:tcW w:w="6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Gross gains on debt securities</w:t>
            </w:r>
          </w:p>
        </w:tc>
        <w:tc>
          <w:tcPr>
            <w:tcW w:w="980" w:type="dxa"/>
            <w:vAlign w:val="bottom"/>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tcPr>
          <w:p>
            <w:pPr>
              <w:jc w:val="right"/>
              <w:ind w:right="9"/>
              <w:spacing w:after="0"/>
              <w:rPr>
                <w:sz w:val="20"/>
                <w:szCs w:val="20"/>
                <w:color w:val="auto"/>
              </w:rPr>
            </w:pPr>
            <w:r>
              <w:rPr>
                <w:rFonts w:ascii="Verdana" w:cs="Verdana" w:eastAsia="Verdana" w:hAnsi="Verdana"/>
                <w:sz w:val="14"/>
                <w:szCs w:val="14"/>
                <w:color w:val="auto"/>
              </w:rPr>
              <w:t>1</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115</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Gross (losses) on debt securities</w:t>
            </w:r>
          </w:p>
        </w:tc>
        <w:tc>
          <w:tcPr>
            <w:tcW w:w="980" w:type="dxa"/>
            <w:vAlign w:val="bottom"/>
            <w:tcBorders>
              <w:bottom w:val="single" w:sz="8" w:color="auto"/>
            </w:tcBorders>
            <w:shd w:val="clear" w:color="auto" w:fill="E0E7ED"/>
          </w:tcPr>
          <w:p>
            <w:pPr>
              <w:spacing w:after="0"/>
              <w:rPr>
                <w:sz w:val="18"/>
                <w:szCs w:val="18"/>
                <w:color w:val="auto"/>
              </w:rPr>
            </w:pPr>
          </w:p>
        </w:tc>
        <w:tc>
          <w:tcPr>
            <w:tcW w:w="6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(7,034)</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(5,523)</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(89)</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Realized net gains (losses) on debt securities</w:t>
            </w:r>
            <w:r>
              <w:rPr>
                <w:rFonts w:ascii="Verdana" w:cs="Verdana" w:eastAsia="Verdana" w:hAnsi="Verdana"/>
                <w:sz w:val="9"/>
                <w:szCs w:val="9"/>
                <w:color w:val="auto"/>
              </w:rPr>
              <w:t>1</w:t>
            </w:r>
          </w:p>
        </w:tc>
        <w:tc>
          <w:tcPr>
            <w:tcW w:w="980" w:type="dxa"/>
            <w:vAlign w:val="bottom"/>
            <w:tcBorders>
              <w:bottom w:val="single" w:sz="8" w:color="auto"/>
            </w:tcBorders>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(7,033)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(5,503)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26</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tabs>
          <w:tab w:leader="none" w:pos="380" w:val="left"/>
        </w:tabs>
        <w:numPr>
          <w:ilvl w:val="0"/>
          <w:numId w:val="37"/>
        </w:numPr>
        <w:rPr>
          <w:rFonts w:ascii="Verdana" w:cs="Verdana" w:eastAsia="Verdana" w:hAnsi="Verdana"/>
          <w:sz w:val="10"/>
          <w:szCs w:val="10"/>
          <w:color w:val="auto"/>
        </w:rPr>
      </w:pPr>
      <w:r>
        <w:rPr>
          <w:rFonts w:ascii="Verdana" w:cs="Verdana" w:eastAsia="Verdana" w:hAnsi="Verdana"/>
          <w:sz w:val="10"/>
          <w:szCs w:val="10"/>
          <w:color w:val="auto"/>
        </w:rPr>
        <w:t xml:space="preserve">Net gains (losses) on sales of securities reported on the </w:t>
      </w:r>
      <w:r>
        <w:rPr>
          <w:rFonts w:ascii="Verdana" w:cs="Verdana" w:eastAsia="Verdana" w:hAnsi="Verdana"/>
          <w:sz w:val="10"/>
          <w:szCs w:val="10"/>
          <w:u w:val="single" w:color="auto"/>
          <w:color w:val="0000FF"/>
        </w:rPr>
        <w:t>Consolidated Statements of Income</w:t>
      </w:r>
      <w:r>
        <w:rPr>
          <w:rFonts w:ascii="Verdana" w:cs="Verdana" w:eastAsia="Verdana" w:hAnsi="Verdana"/>
          <w:sz w:val="10"/>
          <w:szCs w:val="10"/>
          <w:color w:val="auto"/>
        </w:rPr>
        <w:t xml:space="preserve"> include the sale of equity securities, excluded in this table.</w:t>
      </w:r>
    </w:p>
    <w:p>
      <w:pPr>
        <w:spacing w:after="0" w:line="144"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Debt securities with carrying amounts of $871.4 million on December 31, 2024, and $837.4 million on December 31, 2023, were pledged as collateral for public deposits, securities sold under agreements to repurchase, and for other purposes as required.</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0" w:name="page121"/>
    <w:bookmarkEnd w:id="12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Verdana" w:cs="Verdana" w:eastAsia="Verdana" w:hAnsi="Verdana"/>
                <w:sz w:val="10"/>
                <w:szCs w:val="10"/>
                <w:b w:val="1"/>
                <w:bCs w:val="1"/>
                <w:color w:val="auto"/>
                <w:w w:val="98"/>
              </w:rPr>
              <w:t>As of December 31, 2024</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5"/>
          </w:tcPr>
          <w:p>
            <w:pPr>
              <w:ind w:left="360"/>
              <w:spacing w:after="0"/>
              <w:rPr>
                <w:sz w:val="20"/>
                <w:szCs w:val="20"/>
                <w:color w:val="auto"/>
              </w:rPr>
            </w:pPr>
            <w:r>
              <w:rPr>
                <w:rFonts w:ascii="Verdana" w:cs="Verdana" w:eastAsia="Verdana" w:hAnsi="Verdana"/>
                <w:sz w:val="10"/>
                <w:szCs w:val="10"/>
                <w:b w:val="1"/>
                <w:bCs w:val="1"/>
                <w:color w:val="auto"/>
              </w:rPr>
              <w:t>Less than 12 months</w:t>
            </w:r>
          </w:p>
        </w:tc>
        <w:tc>
          <w:tcPr>
            <w:tcW w:w="240" w:type="dxa"/>
            <w:vAlign w:val="bottom"/>
          </w:tcPr>
          <w:p>
            <w:pPr>
              <w:spacing w:after="0"/>
              <w:rPr>
                <w:sz w:val="11"/>
                <w:szCs w:val="11"/>
                <w:color w:val="auto"/>
              </w:rPr>
            </w:pPr>
          </w:p>
        </w:tc>
        <w:tc>
          <w:tcPr>
            <w:tcW w:w="2220" w:type="dxa"/>
            <w:vAlign w:val="bottom"/>
            <w:gridSpan w:val="5"/>
          </w:tcPr>
          <w:p>
            <w:pPr>
              <w:jc w:val="center"/>
              <w:ind w:right="280"/>
              <w:spacing w:after="0"/>
              <w:rPr>
                <w:sz w:val="20"/>
                <w:szCs w:val="20"/>
                <w:color w:val="auto"/>
              </w:rPr>
            </w:pPr>
            <w:r>
              <w:rPr>
                <w:rFonts w:ascii="Verdana" w:cs="Verdana" w:eastAsia="Verdana" w:hAnsi="Verdana"/>
                <w:sz w:val="10"/>
                <w:szCs w:val="10"/>
                <w:b w:val="1"/>
                <w:bCs w:val="1"/>
                <w:color w:val="auto"/>
                <w:w w:val="98"/>
              </w:rPr>
              <w:t>12 months or more</w:t>
            </w:r>
          </w:p>
        </w:tc>
        <w:tc>
          <w:tcPr>
            <w:tcW w:w="240" w:type="dxa"/>
            <w:vAlign w:val="bottom"/>
          </w:tcPr>
          <w:p>
            <w:pPr>
              <w:spacing w:after="0"/>
              <w:rPr>
                <w:sz w:val="11"/>
                <w:szCs w:val="11"/>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0"/>
                <w:szCs w:val="10"/>
                <w:b w:val="1"/>
                <w:bCs w:val="1"/>
                <w:color w:val="auto"/>
              </w:rPr>
              <w:t>Total</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9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320"/>
              <w:spacing w:after="0" w:line="92" w:lineRule="exact"/>
              <w:rPr>
                <w:sz w:val="20"/>
                <w:szCs w:val="20"/>
                <w:color w:val="auto"/>
              </w:rPr>
            </w:pPr>
            <w:r>
              <w:rPr>
                <w:rFonts w:ascii="Verdana" w:cs="Verdana" w:eastAsia="Verdana" w:hAnsi="Verdana"/>
                <w:sz w:val="10"/>
                <w:szCs w:val="10"/>
                <w:b w:val="1"/>
                <w:bCs w:val="1"/>
                <w:color w:val="auto"/>
              </w:rPr>
              <w:t>Fair</w:t>
            </w: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ind w:right="114"/>
              <w:spacing w:after="0" w:line="92" w:lineRule="exact"/>
              <w:rPr>
                <w:sz w:val="20"/>
                <w:szCs w:val="20"/>
                <w:color w:val="auto"/>
              </w:rPr>
            </w:pPr>
            <w:r>
              <w:rPr>
                <w:rFonts w:ascii="Verdana" w:cs="Verdana" w:eastAsia="Verdana" w:hAnsi="Verdana"/>
                <w:sz w:val="10"/>
                <w:szCs w:val="10"/>
                <w:b w:val="1"/>
                <w:bCs w:val="1"/>
                <w:color w:val="auto"/>
                <w:w w:val="99"/>
              </w:rPr>
              <w:t>Unrealized</w:t>
            </w:r>
          </w:p>
        </w:tc>
        <w:tc>
          <w:tcPr>
            <w:tcW w:w="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300"/>
              <w:spacing w:after="0" w:line="92" w:lineRule="exact"/>
              <w:rPr>
                <w:sz w:val="20"/>
                <w:szCs w:val="20"/>
                <w:color w:val="auto"/>
              </w:rPr>
            </w:pPr>
            <w:r>
              <w:rPr>
                <w:rFonts w:ascii="Verdana" w:cs="Verdana" w:eastAsia="Verdana" w:hAnsi="Verdana"/>
                <w:sz w:val="10"/>
                <w:szCs w:val="10"/>
                <w:b w:val="1"/>
                <w:bCs w:val="1"/>
                <w:color w:val="auto"/>
              </w:rPr>
              <w:t>Fair</w:t>
            </w: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ind w:right="75"/>
              <w:spacing w:after="0" w:line="92" w:lineRule="exact"/>
              <w:rPr>
                <w:sz w:val="20"/>
                <w:szCs w:val="20"/>
                <w:color w:val="auto"/>
              </w:rPr>
            </w:pPr>
            <w:r>
              <w:rPr>
                <w:rFonts w:ascii="Verdana" w:cs="Verdana" w:eastAsia="Verdana" w:hAnsi="Verdana"/>
                <w:sz w:val="10"/>
                <w:szCs w:val="10"/>
                <w:b w:val="1"/>
                <w:bCs w:val="1"/>
                <w:color w:val="auto"/>
                <w:w w:val="99"/>
              </w:rPr>
              <w:t>Unrealized</w:t>
            </w:r>
          </w:p>
        </w:tc>
        <w:tc>
          <w:tcPr>
            <w:tcW w:w="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300"/>
              <w:spacing w:after="0" w:line="92" w:lineRule="exact"/>
              <w:rPr>
                <w:sz w:val="20"/>
                <w:szCs w:val="20"/>
                <w:color w:val="auto"/>
              </w:rPr>
            </w:pPr>
            <w:r>
              <w:rPr>
                <w:rFonts w:ascii="Verdana" w:cs="Verdana" w:eastAsia="Verdana" w:hAnsi="Verdana"/>
                <w:sz w:val="10"/>
                <w:szCs w:val="10"/>
                <w:b w:val="1"/>
                <w:bCs w:val="1"/>
                <w:color w:val="auto"/>
              </w:rPr>
              <w:t>Fair</w:t>
            </w:r>
          </w:p>
        </w:tc>
        <w:tc>
          <w:tcPr>
            <w:tcW w:w="1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jc w:val="center"/>
              <w:ind w:right="95"/>
              <w:spacing w:after="0" w:line="92" w:lineRule="exact"/>
              <w:rPr>
                <w:sz w:val="20"/>
                <w:szCs w:val="20"/>
                <w:color w:val="auto"/>
              </w:rPr>
            </w:pPr>
            <w:r>
              <w:rPr>
                <w:rFonts w:ascii="Verdana" w:cs="Verdana" w:eastAsia="Verdana" w:hAnsi="Verdana"/>
                <w:sz w:val="10"/>
                <w:szCs w:val="10"/>
                <w:b w:val="1"/>
                <w:bCs w:val="1"/>
                <w:color w:val="auto"/>
                <w:w w:val="99"/>
              </w:rPr>
              <w:t>Unrealized</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Verdana" w:cs="Verdana" w:eastAsia="Verdana" w:hAnsi="Verdana"/>
                <w:sz w:val="10"/>
                <w:szCs w:val="10"/>
                <w:b w:val="1"/>
                <w:bCs w:val="1"/>
                <w:color w:val="auto"/>
                <w:w w:val="94"/>
              </w:rPr>
              <w:t>Value</w:t>
            </w:r>
          </w:p>
        </w:tc>
        <w:tc>
          <w:tcPr>
            <w:tcW w:w="18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5"/>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5"/>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6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Verdana" w:cs="Verdana" w:eastAsia="Verdana" w:hAnsi="Verdana"/>
                <w:sz w:val="10"/>
                <w:szCs w:val="10"/>
                <w:b w:val="1"/>
                <w:bCs w:val="1"/>
                <w:color w:val="auto"/>
                <w:w w:val="95"/>
              </w:rPr>
              <w:t>Losses</w:t>
            </w: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26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960" w:type="dxa"/>
            <w:vAlign w:val="bottom"/>
          </w:tcPr>
          <w:p>
            <w:pPr>
              <w:ind w:left="140"/>
              <w:spacing w:after="0"/>
              <w:rPr>
                <w:sz w:val="20"/>
                <w:szCs w:val="20"/>
                <w:color w:val="auto"/>
              </w:rPr>
            </w:pPr>
            <w:r>
              <w:rPr>
                <w:rFonts w:ascii="Verdana" w:cs="Verdana" w:eastAsia="Verdana" w:hAnsi="Verdana"/>
                <w:sz w:val="14"/>
                <w:szCs w:val="14"/>
                <w:color w:val="auto"/>
              </w:rPr>
              <w:t>Obligations of U.S. government corporations and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60" w:type="dxa"/>
            <w:vAlign w:val="bottom"/>
          </w:tcPr>
          <w:p>
            <w:pPr>
              <w:ind w:left="140"/>
              <w:spacing w:after="0"/>
              <w:rPr>
                <w:sz w:val="20"/>
                <w:szCs w:val="20"/>
                <w:color w:val="auto"/>
              </w:rPr>
            </w:pPr>
            <w:r>
              <w:rPr>
                <w:rFonts w:ascii="Verdana" w:cs="Verdana" w:eastAsia="Verdana" w:hAnsi="Verdana"/>
                <w:sz w:val="14"/>
                <w:szCs w:val="14"/>
                <w:color w:val="auto"/>
              </w:rPr>
              <w:t>agencies</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9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1040" w:type="dxa"/>
            <w:vAlign w:val="bottom"/>
            <w:gridSpan w:val="2"/>
          </w:tcPr>
          <w:p>
            <w:pPr>
              <w:ind w:left="760"/>
              <w:spacing w:after="0"/>
              <w:rPr>
                <w:sz w:val="20"/>
                <w:szCs w:val="20"/>
                <w:color w:val="auto"/>
              </w:rPr>
            </w:pPr>
            <w:r>
              <w:rPr>
                <w:rFonts w:ascii="Verdana" w:cs="Verdana" w:eastAsia="Verdana" w:hAnsi="Verdana"/>
                <w:sz w:val="14"/>
                <w:szCs w:val="14"/>
                <w:color w:val="auto"/>
              </w:rPr>
              <w:t>—</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1,328</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(8)</w:t>
            </w:r>
          </w:p>
        </w:tc>
        <w:tc>
          <w:tcPr>
            <w:tcW w:w="6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1,328</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(8)</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states and political subdivisions</w:t>
            </w: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11,234</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(209)</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119,723</w:t>
            </w:r>
          </w:p>
        </w:tc>
        <w:tc>
          <w:tcPr>
            <w:tcW w:w="6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(16,527)</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4"/>
                <w:szCs w:val="14"/>
                <w:color w:val="auto"/>
              </w:rPr>
              <w:t>130,957</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(16,736)</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Asset-backed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14,997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Verdana" w:cs="Verdana" w:eastAsia="Verdana" w:hAnsi="Verdana"/>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14,997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(3)</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6,238</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85,936</w:t>
            </w:r>
          </w:p>
        </w:tc>
        <w:tc>
          <w:tcPr>
            <w:tcW w:w="6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(15,089)</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4"/>
                <w:szCs w:val="14"/>
                <w:color w:val="auto"/>
              </w:rPr>
              <w:t>92,174</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(15,131)</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152,081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(640)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930,642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(191,259)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1,082,723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(191,899)</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Corporate debt securities</w:t>
            </w:r>
          </w:p>
        </w:tc>
        <w:tc>
          <w:tcPr>
            <w:tcW w:w="260" w:type="dxa"/>
            <w:vAlign w:val="bottom"/>
            <w:tcBorders>
              <w:bottom w:val="single" w:sz="8" w:color="auto"/>
            </w:tcBorders>
            <w:shd w:val="clear" w:color="auto" w:fill="E0E7ED"/>
          </w:tcPr>
          <w:p>
            <w:pPr>
              <w:spacing w:after="0"/>
              <w:rPr>
                <w:sz w:val="18"/>
                <w:szCs w:val="18"/>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598</w:t>
            </w:r>
          </w:p>
        </w:tc>
        <w:tc>
          <w:tcPr>
            <w:tcW w:w="8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4"/>
                <w:szCs w:val="14"/>
                <w:color w:val="auto"/>
              </w:rPr>
              <w:t>143,966</w:t>
            </w:r>
          </w:p>
        </w:tc>
        <w:tc>
          <w:tcPr>
            <w:tcW w:w="6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(6,547)</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4"/>
                <w:szCs w:val="14"/>
                <w:color w:val="auto"/>
              </w:rPr>
              <w:t>144,564</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(6,548)</w:t>
            </w:r>
          </w:p>
        </w:tc>
        <w:tc>
          <w:tcPr>
            <w:tcW w:w="0" w:type="dxa"/>
            <w:vAlign w:val="bottom"/>
          </w:tcPr>
          <w:p>
            <w:pPr>
              <w:spacing w:after="0"/>
              <w:rPr>
                <w:sz w:val="1"/>
                <w:szCs w:val="1"/>
                <w:color w:val="auto"/>
              </w:rPr>
            </w:pPr>
          </w:p>
        </w:tc>
      </w:tr>
      <w:tr>
        <w:trPr>
          <w:trHeight w:val="167"/>
        </w:trPr>
        <w:tc>
          <w:tcPr>
            <w:tcW w:w="3960" w:type="dxa"/>
            <w:vAlign w:val="bottom"/>
          </w:tcPr>
          <w:p>
            <w:pPr>
              <w:ind w:left="20"/>
              <w:spacing w:after="0" w:line="167" w:lineRule="exact"/>
              <w:rPr>
                <w:sz w:val="20"/>
                <w:szCs w:val="20"/>
                <w:color w:val="auto"/>
              </w:rPr>
            </w:pPr>
            <w:r>
              <w:rPr>
                <w:rFonts w:ascii="Verdana" w:cs="Verdana" w:eastAsia="Verdana" w:hAnsi="Verdana"/>
                <w:sz w:val="14"/>
                <w:szCs w:val="14"/>
                <w:color w:val="auto"/>
              </w:rPr>
              <w:t>Debt securities available for sale with gross unrealized</w:t>
            </w:r>
          </w:p>
        </w:tc>
        <w:tc>
          <w:tcPr>
            <w:tcW w:w="260" w:type="dxa"/>
            <w:vAlign w:val="bottom"/>
            <w:vMerge w:val="restart"/>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vMerge w:val="restart"/>
          </w:tcPr>
          <w:p>
            <w:pPr>
              <w:jc w:val="right"/>
              <w:spacing w:after="0"/>
              <w:rPr>
                <w:sz w:val="20"/>
                <w:szCs w:val="20"/>
                <w:color w:val="auto"/>
              </w:rPr>
            </w:pPr>
            <w:r>
              <w:rPr>
                <w:rFonts w:ascii="Verdana" w:cs="Verdana" w:eastAsia="Verdana" w:hAnsi="Verdana"/>
                <w:sz w:val="14"/>
                <w:szCs w:val="14"/>
                <w:color w:val="auto"/>
              </w:rPr>
              <w:t>185,148</w:t>
            </w:r>
          </w:p>
        </w:tc>
        <w:tc>
          <w:tcPr>
            <w:tcW w:w="80" w:type="dxa"/>
            <w:vAlign w:val="bottom"/>
          </w:tcPr>
          <w:p>
            <w:pPr>
              <w:spacing w:after="0"/>
              <w:rPr>
                <w:sz w:val="14"/>
                <w:szCs w:val="14"/>
                <w:color w:val="auto"/>
              </w:rPr>
            </w:pPr>
          </w:p>
        </w:tc>
        <w:tc>
          <w:tcPr>
            <w:tcW w:w="180" w:type="dxa"/>
            <w:vAlign w:val="bottom"/>
            <w:vMerge w:val="restart"/>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vMerge w:val="restart"/>
          </w:tcPr>
          <w:p>
            <w:pPr>
              <w:jc w:val="right"/>
              <w:spacing w:after="0"/>
              <w:rPr>
                <w:sz w:val="20"/>
                <w:szCs w:val="20"/>
                <w:color w:val="auto"/>
              </w:rPr>
            </w:pPr>
            <w:r>
              <w:rPr>
                <w:rFonts w:ascii="Verdana" w:cs="Verdana" w:eastAsia="Verdana" w:hAnsi="Verdana"/>
                <w:sz w:val="14"/>
                <w:szCs w:val="14"/>
                <w:color w:val="auto"/>
              </w:rPr>
              <w:t>(895)</w:t>
            </w:r>
          </w:p>
        </w:tc>
        <w:tc>
          <w:tcPr>
            <w:tcW w:w="6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vMerge w:val="restart"/>
          </w:tcPr>
          <w:p>
            <w:pPr>
              <w:jc w:val="right"/>
              <w:ind w:right="18"/>
              <w:spacing w:after="0"/>
              <w:rPr>
                <w:sz w:val="20"/>
                <w:szCs w:val="20"/>
                <w:color w:val="auto"/>
              </w:rPr>
            </w:pPr>
            <w:r>
              <w:rPr>
                <w:rFonts w:ascii="Verdana" w:cs="Verdana" w:eastAsia="Verdana" w:hAnsi="Verdana"/>
                <w:sz w:val="14"/>
                <w:szCs w:val="14"/>
                <w:color w:val="auto"/>
              </w:rPr>
              <w:t>1,281,595</w:t>
            </w:r>
          </w:p>
        </w:tc>
        <w:tc>
          <w:tcPr>
            <w:tcW w:w="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vMerge w:val="restart"/>
          </w:tcPr>
          <w:p>
            <w:pPr>
              <w:jc w:val="right"/>
              <w:spacing w:after="0"/>
              <w:rPr>
                <w:sz w:val="20"/>
                <w:szCs w:val="20"/>
                <w:color w:val="auto"/>
              </w:rPr>
            </w:pPr>
            <w:r>
              <w:rPr>
                <w:rFonts w:ascii="Verdana" w:cs="Verdana" w:eastAsia="Verdana" w:hAnsi="Verdana"/>
                <w:sz w:val="14"/>
                <w:szCs w:val="14"/>
                <w:color w:val="auto"/>
              </w:rPr>
              <w:t>(229,430)</w:t>
            </w:r>
          </w:p>
        </w:tc>
        <w:tc>
          <w:tcPr>
            <w:tcW w:w="60" w:type="dxa"/>
            <w:vAlign w:val="bottom"/>
          </w:tcPr>
          <w:p>
            <w:pPr>
              <w:spacing w:after="0"/>
              <w:rPr>
                <w:sz w:val="14"/>
                <w:szCs w:val="14"/>
                <w:color w:val="auto"/>
              </w:rPr>
            </w:pPr>
          </w:p>
        </w:tc>
        <w:tc>
          <w:tcPr>
            <w:tcW w:w="240" w:type="dxa"/>
            <w:vAlign w:val="bottom"/>
            <w:vMerge w:val="restart"/>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vMerge w:val="restart"/>
          </w:tcPr>
          <w:p>
            <w:pPr>
              <w:jc w:val="right"/>
              <w:ind w:right="17"/>
              <w:spacing w:after="0"/>
              <w:rPr>
                <w:sz w:val="20"/>
                <w:szCs w:val="20"/>
                <w:color w:val="auto"/>
              </w:rPr>
            </w:pPr>
            <w:r>
              <w:rPr>
                <w:rFonts w:ascii="Verdana" w:cs="Verdana" w:eastAsia="Verdana" w:hAnsi="Verdana"/>
                <w:sz w:val="14"/>
                <w:szCs w:val="14"/>
                <w:color w:val="auto"/>
              </w:rPr>
              <w:t>1,466,743</w:t>
            </w:r>
          </w:p>
        </w:tc>
        <w:tc>
          <w:tcPr>
            <w:tcW w:w="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vMerge w:val="restart"/>
          </w:tcPr>
          <w:p>
            <w:pPr>
              <w:jc w:val="right"/>
              <w:spacing w:after="0"/>
              <w:rPr>
                <w:sz w:val="20"/>
                <w:szCs w:val="20"/>
                <w:color w:val="auto"/>
              </w:rPr>
            </w:pPr>
            <w:r>
              <w:rPr>
                <w:rFonts w:ascii="Verdana" w:cs="Verdana" w:eastAsia="Verdana" w:hAnsi="Verdana"/>
                <w:sz w:val="14"/>
                <w:szCs w:val="14"/>
                <w:color w:val="auto"/>
              </w:rPr>
              <w:t>(230,325)</w:t>
            </w:r>
          </w:p>
        </w:tc>
        <w:tc>
          <w:tcPr>
            <w:tcW w:w="0" w:type="dxa"/>
            <w:vAlign w:val="bottom"/>
          </w:tcPr>
          <w:p>
            <w:pPr>
              <w:spacing w:after="0"/>
              <w:rPr>
                <w:sz w:val="1"/>
                <w:szCs w:val="1"/>
                <w:color w:val="auto"/>
              </w:rPr>
            </w:pPr>
          </w:p>
        </w:tc>
      </w:tr>
      <w:tr>
        <w:trPr>
          <w:trHeight w:val="179"/>
        </w:trPr>
        <w:tc>
          <w:tcPr>
            <w:tcW w:w="3960" w:type="dxa"/>
            <w:vAlign w:val="bottom"/>
          </w:tcPr>
          <w:p>
            <w:pPr>
              <w:ind w:left="20"/>
              <w:spacing w:after="0"/>
              <w:rPr>
                <w:sz w:val="20"/>
                <w:szCs w:val="20"/>
                <w:color w:val="auto"/>
              </w:rPr>
            </w:pPr>
            <w:r>
              <w:rPr>
                <w:rFonts w:ascii="Verdana" w:cs="Verdana" w:eastAsia="Verdana" w:hAnsi="Verdana"/>
                <w:sz w:val="14"/>
                <w:szCs w:val="14"/>
                <w:color w:val="auto"/>
              </w:rPr>
              <w:t>losses</w:t>
            </w: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280"/>
              <w:spacing w:after="0"/>
              <w:rPr>
                <w:sz w:val="20"/>
                <w:szCs w:val="20"/>
                <w:color w:val="auto"/>
              </w:rPr>
            </w:pPr>
            <w:r>
              <w:rPr>
                <w:rFonts w:ascii="Verdana" w:cs="Verdana" w:eastAsia="Verdana" w:hAnsi="Verdana"/>
                <w:sz w:val="10"/>
                <w:szCs w:val="10"/>
                <w:b w:val="1"/>
                <w:bCs w:val="1"/>
                <w:color w:val="auto"/>
                <w:w w:val="98"/>
              </w:rPr>
              <w:t>12 months or more</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Total</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tcPr>
          <w:p>
            <w:pPr>
              <w:jc w:val="center"/>
              <w:ind w:right="300"/>
              <w:spacing w:after="0" w:line="94" w:lineRule="exact"/>
              <w:rPr>
                <w:sz w:val="20"/>
                <w:szCs w:val="20"/>
                <w:color w:val="auto"/>
              </w:rPr>
            </w:pPr>
            <w:r>
              <w:rPr>
                <w:rFonts w:ascii="Verdana" w:cs="Verdana" w:eastAsia="Verdana" w:hAnsi="Verdana"/>
                <w:sz w:val="10"/>
                <w:szCs w:val="10"/>
                <w:b w:val="1"/>
                <w:bCs w:val="1"/>
                <w:color w:val="auto"/>
              </w:rPr>
              <w:t>Fair</w:t>
            </w:r>
          </w:p>
        </w:tc>
        <w:tc>
          <w:tcPr>
            <w:tcW w:w="140" w:type="dxa"/>
            <w:vAlign w:val="bottom"/>
          </w:tcPr>
          <w:p>
            <w:pPr>
              <w:spacing w:after="0"/>
              <w:rPr>
                <w:sz w:val="8"/>
                <w:szCs w:val="8"/>
                <w:color w:val="auto"/>
              </w:rPr>
            </w:pPr>
          </w:p>
        </w:tc>
        <w:tc>
          <w:tcPr>
            <w:tcW w:w="1080" w:type="dxa"/>
            <w:vAlign w:val="bottom"/>
            <w:gridSpan w:val="2"/>
          </w:tcPr>
          <w:p>
            <w:pPr>
              <w:jc w:val="center"/>
              <w:ind w:right="200"/>
              <w:spacing w:after="0" w:line="94" w:lineRule="exact"/>
              <w:rPr>
                <w:sz w:val="20"/>
                <w:szCs w:val="20"/>
                <w:color w:val="auto"/>
              </w:rPr>
            </w:pPr>
            <w:r>
              <w:rPr>
                <w:rFonts w:ascii="Verdana" w:cs="Verdana" w:eastAsia="Verdana" w:hAnsi="Verdana"/>
                <w:sz w:val="10"/>
                <w:szCs w:val="10"/>
                <w:b w:val="1"/>
                <w:bCs w:val="1"/>
                <w:color w:val="auto"/>
                <w:w w:val="98"/>
              </w:rPr>
              <w:t>Unrecognized</w:t>
            </w:r>
          </w:p>
        </w:tc>
        <w:tc>
          <w:tcPr>
            <w:tcW w:w="240" w:type="dxa"/>
            <w:vAlign w:val="bottom"/>
          </w:tcPr>
          <w:p>
            <w:pPr>
              <w:spacing w:after="0"/>
              <w:rPr>
                <w:sz w:val="8"/>
                <w:szCs w:val="8"/>
                <w:color w:val="auto"/>
              </w:rPr>
            </w:pPr>
          </w:p>
        </w:tc>
        <w:tc>
          <w:tcPr>
            <w:tcW w:w="1000" w:type="dxa"/>
            <w:vAlign w:val="bottom"/>
            <w:gridSpan w:val="2"/>
          </w:tcPr>
          <w:p>
            <w:pPr>
              <w:jc w:val="center"/>
              <w:ind w:right="300"/>
              <w:spacing w:after="0" w:line="94" w:lineRule="exact"/>
              <w:rPr>
                <w:sz w:val="20"/>
                <w:szCs w:val="20"/>
                <w:color w:val="auto"/>
              </w:rPr>
            </w:pPr>
            <w:r>
              <w:rPr>
                <w:rFonts w:ascii="Verdana" w:cs="Verdana" w:eastAsia="Verdana" w:hAnsi="Verdana"/>
                <w:sz w:val="10"/>
                <w:szCs w:val="10"/>
                <w:b w:val="1"/>
                <w:bCs w:val="1"/>
                <w:color w:val="auto"/>
              </w:rPr>
              <w:t>Fair</w:t>
            </w:r>
          </w:p>
        </w:tc>
        <w:tc>
          <w:tcPr>
            <w:tcW w:w="160" w:type="dxa"/>
            <w:vAlign w:val="bottom"/>
          </w:tcPr>
          <w:p>
            <w:pPr>
              <w:spacing w:after="0"/>
              <w:rPr>
                <w:sz w:val="8"/>
                <w:szCs w:val="8"/>
                <w:color w:val="auto"/>
              </w:rPr>
            </w:pPr>
          </w:p>
        </w:tc>
        <w:tc>
          <w:tcPr>
            <w:tcW w:w="1000" w:type="dxa"/>
            <w:vAlign w:val="bottom"/>
          </w:tcPr>
          <w:p>
            <w:pPr>
              <w:jc w:val="center"/>
              <w:ind w:right="95"/>
              <w:spacing w:after="0" w:line="94" w:lineRule="exact"/>
              <w:rPr>
                <w:sz w:val="20"/>
                <w:szCs w:val="20"/>
                <w:color w:val="auto"/>
              </w:rPr>
            </w:pPr>
            <w:r>
              <w:rPr>
                <w:rFonts w:ascii="Verdana" w:cs="Verdana" w:eastAsia="Verdana" w:hAnsi="Verdana"/>
                <w:sz w:val="10"/>
                <w:szCs w:val="10"/>
                <w:b w:val="1"/>
                <w:bCs w:val="1"/>
                <w:color w:val="auto"/>
                <w:w w:val="98"/>
              </w:rPr>
              <w:t>Unrecognized</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5"/>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6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Verdana" w:cs="Verdana" w:eastAsia="Verdana" w:hAnsi="Verdana"/>
                <w:sz w:val="10"/>
                <w:szCs w:val="10"/>
                <w:b w:val="1"/>
                <w:bCs w:val="1"/>
                <w:color w:val="auto"/>
                <w:w w:val="95"/>
              </w:rPr>
              <w:t>Losses</w:t>
            </w: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260" w:type="dxa"/>
            <w:vAlign w:val="bottom"/>
            <w:tcBorders>
              <w:top w:val="single" w:sz="8" w:color="E0E7ED"/>
            </w:tcBorders>
            <w:shd w:val="clear" w:color="auto" w:fill="E0E7ED"/>
          </w:tcPr>
          <w:p>
            <w:pPr>
              <w:spacing w:after="0"/>
              <w:rPr>
                <w:sz w:val="17"/>
                <w:szCs w:val="17"/>
                <w:color w:val="auto"/>
              </w:rPr>
            </w:pPr>
          </w:p>
        </w:tc>
        <w:tc>
          <w:tcPr>
            <w:tcW w:w="900" w:type="dxa"/>
            <w:vAlign w:val="bottom"/>
            <w:tcBorders>
              <w:top w:val="single" w:sz="8" w:color="E0E7ED"/>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E0E7ED"/>
            </w:tcBorders>
            <w:shd w:val="clear" w:color="auto" w:fill="E0E7ED"/>
          </w:tcPr>
          <w:p>
            <w:pPr>
              <w:spacing w:after="0"/>
              <w:rPr>
                <w:sz w:val="17"/>
                <w:szCs w:val="17"/>
                <w:color w:val="auto"/>
              </w:rPr>
            </w:pPr>
          </w:p>
        </w:tc>
        <w:tc>
          <w:tcPr>
            <w:tcW w:w="980" w:type="dxa"/>
            <w:vAlign w:val="bottom"/>
            <w:tcBorders>
              <w:top w:val="single" w:sz="8" w:color="E0E7ED"/>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338,288</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(77,242)</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338,288</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(77,242)</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4"/>
                <w:szCs w:val="14"/>
                <w:color w:val="auto"/>
              </w:rPr>
              <w:t>336,765</w:t>
            </w:r>
          </w:p>
        </w:tc>
        <w:tc>
          <w:tcPr>
            <w:tcW w:w="6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(74,335)</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4"/>
                <w:szCs w:val="14"/>
                <w:color w:val="auto"/>
              </w:rPr>
              <w:t>336,765</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(74,335)</w:t>
            </w:r>
          </w:p>
        </w:tc>
        <w:tc>
          <w:tcPr>
            <w:tcW w:w="0" w:type="dxa"/>
            <w:vAlign w:val="bottom"/>
          </w:tcPr>
          <w:p>
            <w:pPr>
              <w:spacing w:after="0"/>
              <w:rPr>
                <w:sz w:val="1"/>
                <w:szCs w:val="1"/>
                <w:color w:val="auto"/>
              </w:rPr>
            </w:pPr>
          </w:p>
        </w:tc>
      </w:tr>
      <w:tr>
        <w:trPr>
          <w:trHeight w:val="208"/>
        </w:trPr>
        <w:tc>
          <w:tcPr>
            <w:tcW w:w="5200" w:type="dxa"/>
            <w:vAlign w:val="bottom"/>
            <w:gridSpan w:val="4"/>
          </w:tcPr>
          <w:p>
            <w:pPr>
              <w:ind w:left="20"/>
              <w:spacing w:after="0"/>
              <w:rPr>
                <w:sz w:val="20"/>
                <w:szCs w:val="20"/>
                <w:color w:val="auto"/>
              </w:rPr>
            </w:pPr>
            <w:r>
              <w:rPr>
                <w:rFonts w:ascii="Verdana" w:cs="Verdana" w:eastAsia="Verdana" w:hAnsi="Verdana"/>
                <w:sz w:val="14"/>
                <w:szCs w:val="14"/>
                <w:color w:val="auto"/>
              </w:rPr>
              <w:t>Debt securities held to maturity with gross unrecognized losses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4"/>
                <w:szCs w:val="14"/>
                <w:color w:val="auto"/>
              </w:rPr>
              <w:t>675,053</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(151,577)</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4"/>
                <w:szCs w:val="14"/>
                <w:color w:val="auto"/>
              </w:rPr>
              <w:t>675,053</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(151,577)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1" w:name="page122"/>
    <w:bookmarkEnd w:id="12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Verdana" w:cs="Verdana" w:eastAsia="Verdana" w:hAnsi="Verdana"/>
                <w:sz w:val="10"/>
                <w:szCs w:val="10"/>
                <w:b w:val="1"/>
                <w:bCs w:val="1"/>
                <w:color w:val="auto"/>
                <w:w w:val="98"/>
              </w:rPr>
              <w:t>As of December 31, 2023</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5"/>
          </w:tcPr>
          <w:p>
            <w:pPr>
              <w:ind w:left="360"/>
              <w:spacing w:after="0"/>
              <w:rPr>
                <w:sz w:val="20"/>
                <w:szCs w:val="20"/>
                <w:color w:val="auto"/>
              </w:rPr>
            </w:pPr>
            <w:r>
              <w:rPr>
                <w:rFonts w:ascii="Verdana" w:cs="Verdana" w:eastAsia="Verdana" w:hAnsi="Verdana"/>
                <w:sz w:val="10"/>
                <w:szCs w:val="10"/>
                <w:b w:val="1"/>
                <w:bCs w:val="1"/>
                <w:color w:val="auto"/>
              </w:rPr>
              <w:t>Less than 12 months</w:t>
            </w:r>
          </w:p>
        </w:tc>
        <w:tc>
          <w:tcPr>
            <w:tcW w:w="240" w:type="dxa"/>
            <w:vAlign w:val="bottom"/>
          </w:tcPr>
          <w:p>
            <w:pPr>
              <w:spacing w:after="0"/>
              <w:rPr>
                <w:sz w:val="11"/>
                <w:szCs w:val="11"/>
                <w:color w:val="auto"/>
              </w:rPr>
            </w:pPr>
          </w:p>
        </w:tc>
        <w:tc>
          <w:tcPr>
            <w:tcW w:w="2220" w:type="dxa"/>
            <w:vAlign w:val="bottom"/>
            <w:gridSpan w:val="5"/>
          </w:tcPr>
          <w:p>
            <w:pPr>
              <w:jc w:val="center"/>
              <w:ind w:right="280"/>
              <w:spacing w:after="0"/>
              <w:rPr>
                <w:sz w:val="20"/>
                <w:szCs w:val="20"/>
                <w:color w:val="auto"/>
              </w:rPr>
            </w:pPr>
            <w:r>
              <w:rPr>
                <w:rFonts w:ascii="Verdana" w:cs="Verdana" w:eastAsia="Verdana" w:hAnsi="Verdana"/>
                <w:sz w:val="10"/>
                <w:szCs w:val="10"/>
                <w:b w:val="1"/>
                <w:bCs w:val="1"/>
                <w:color w:val="auto"/>
                <w:w w:val="98"/>
              </w:rPr>
              <w:t>12 months or more</w:t>
            </w:r>
          </w:p>
        </w:tc>
        <w:tc>
          <w:tcPr>
            <w:tcW w:w="240" w:type="dxa"/>
            <w:vAlign w:val="bottom"/>
          </w:tcPr>
          <w:p>
            <w:pPr>
              <w:spacing w:after="0"/>
              <w:rPr>
                <w:sz w:val="11"/>
                <w:szCs w:val="11"/>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0"/>
                <w:szCs w:val="10"/>
                <w:b w:val="1"/>
                <w:bCs w:val="1"/>
                <w:color w:val="auto"/>
              </w:rPr>
              <w:t>Total</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9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320"/>
              <w:spacing w:after="0" w:line="92" w:lineRule="exact"/>
              <w:rPr>
                <w:sz w:val="20"/>
                <w:szCs w:val="20"/>
                <w:color w:val="auto"/>
              </w:rPr>
            </w:pPr>
            <w:r>
              <w:rPr>
                <w:rFonts w:ascii="Verdana" w:cs="Verdana" w:eastAsia="Verdana" w:hAnsi="Verdana"/>
                <w:sz w:val="10"/>
                <w:szCs w:val="10"/>
                <w:b w:val="1"/>
                <w:bCs w:val="1"/>
                <w:color w:val="auto"/>
              </w:rPr>
              <w:t>Fair</w:t>
            </w: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ind w:left="100"/>
              <w:spacing w:after="0" w:line="92" w:lineRule="exact"/>
              <w:rPr>
                <w:sz w:val="20"/>
                <w:szCs w:val="20"/>
                <w:color w:val="auto"/>
              </w:rPr>
            </w:pPr>
            <w:r>
              <w:rPr>
                <w:rFonts w:ascii="Verdana" w:cs="Verdana" w:eastAsia="Verdana" w:hAnsi="Verdana"/>
                <w:sz w:val="10"/>
                <w:szCs w:val="10"/>
                <w:b w:val="1"/>
                <w:bCs w:val="1"/>
                <w:color w:val="auto"/>
              </w:rPr>
              <w:t>Unrealized</w:t>
            </w:r>
          </w:p>
        </w:tc>
        <w:tc>
          <w:tcPr>
            <w:tcW w:w="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300"/>
              <w:spacing w:after="0" w:line="92" w:lineRule="exact"/>
              <w:rPr>
                <w:sz w:val="20"/>
                <w:szCs w:val="20"/>
                <w:color w:val="auto"/>
              </w:rPr>
            </w:pPr>
            <w:r>
              <w:rPr>
                <w:rFonts w:ascii="Verdana" w:cs="Verdana" w:eastAsia="Verdana" w:hAnsi="Verdana"/>
                <w:sz w:val="10"/>
                <w:szCs w:val="10"/>
                <w:b w:val="1"/>
                <w:bCs w:val="1"/>
                <w:color w:val="auto"/>
              </w:rPr>
              <w:t>Fair</w:t>
            </w:r>
          </w:p>
        </w:tc>
        <w:tc>
          <w:tcPr>
            <w:tcW w:w="14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ind w:right="75"/>
              <w:spacing w:after="0" w:line="92" w:lineRule="exact"/>
              <w:rPr>
                <w:sz w:val="20"/>
                <w:szCs w:val="20"/>
                <w:color w:val="auto"/>
              </w:rPr>
            </w:pPr>
            <w:r>
              <w:rPr>
                <w:rFonts w:ascii="Verdana" w:cs="Verdana" w:eastAsia="Verdana" w:hAnsi="Verdana"/>
                <w:sz w:val="10"/>
                <w:szCs w:val="10"/>
                <w:b w:val="1"/>
                <w:bCs w:val="1"/>
                <w:color w:val="auto"/>
                <w:w w:val="99"/>
              </w:rPr>
              <w:t>Unrealized</w:t>
            </w:r>
          </w:p>
        </w:tc>
        <w:tc>
          <w:tcPr>
            <w:tcW w:w="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300"/>
              <w:spacing w:after="0" w:line="92" w:lineRule="exact"/>
              <w:rPr>
                <w:sz w:val="20"/>
                <w:szCs w:val="20"/>
                <w:color w:val="auto"/>
              </w:rPr>
            </w:pPr>
            <w:r>
              <w:rPr>
                <w:rFonts w:ascii="Verdana" w:cs="Verdana" w:eastAsia="Verdana" w:hAnsi="Verdana"/>
                <w:sz w:val="10"/>
                <w:szCs w:val="10"/>
                <w:b w:val="1"/>
                <w:bCs w:val="1"/>
                <w:color w:val="auto"/>
              </w:rPr>
              <w:t>Fair</w:t>
            </w:r>
          </w:p>
        </w:tc>
        <w:tc>
          <w:tcPr>
            <w:tcW w:w="1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jc w:val="center"/>
              <w:ind w:right="95"/>
              <w:spacing w:after="0" w:line="92" w:lineRule="exact"/>
              <w:rPr>
                <w:sz w:val="20"/>
                <w:szCs w:val="20"/>
                <w:color w:val="auto"/>
              </w:rPr>
            </w:pPr>
            <w:r>
              <w:rPr>
                <w:rFonts w:ascii="Verdana" w:cs="Verdana" w:eastAsia="Verdana" w:hAnsi="Verdana"/>
                <w:sz w:val="10"/>
                <w:szCs w:val="10"/>
                <w:b w:val="1"/>
                <w:bCs w:val="1"/>
                <w:color w:val="auto"/>
                <w:w w:val="99"/>
              </w:rPr>
              <w:t>Unrealized</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Verdana" w:cs="Verdana" w:eastAsia="Verdana" w:hAnsi="Verdana"/>
                <w:sz w:val="10"/>
                <w:szCs w:val="10"/>
                <w:b w:val="1"/>
                <w:bCs w:val="1"/>
                <w:color w:val="auto"/>
                <w:w w:val="94"/>
              </w:rPr>
              <w:t>Value</w:t>
            </w:r>
          </w:p>
        </w:tc>
        <w:tc>
          <w:tcPr>
            <w:tcW w:w="180" w:type="dxa"/>
            <w:vAlign w:val="bottom"/>
          </w:tcPr>
          <w:p>
            <w:pPr>
              <w:spacing w:after="0"/>
              <w:rPr>
                <w:sz w:val="11"/>
                <w:szCs w:val="11"/>
                <w:color w:val="auto"/>
              </w:rPr>
            </w:pPr>
          </w:p>
        </w:tc>
        <w:tc>
          <w:tcPr>
            <w:tcW w:w="1040" w:type="dxa"/>
            <w:vAlign w:val="bottom"/>
            <w:gridSpan w:val="2"/>
          </w:tcPr>
          <w:p>
            <w:pPr>
              <w:ind w:left="220"/>
              <w:spacing w:after="0"/>
              <w:rPr>
                <w:sz w:val="20"/>
                <w:szCs w:val="20"/>
                <w:color w:val="auto"/>
              </w:rPr>
            </w:pPr>
            <w:r>
              <w:rPr>
                <w:rFonts w:ascii="Verdana" w:cs="Verdana" w:eastAsia="Verdana" w:hAnsi="Verdana"/>
                <w:sz w:val="10"/>
                <w:szCs w:val="10"/>
                <w:b w:val="1"/>
                <w:bCs w:val="1"/>
                <w:color w:val="auto"/>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5"/>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6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Verdana" w:cs="Verdana" w:eastAsia="Verdana" w:hAnsi="Verdana"/>
                <w:sz w:val="10"/>
                <w:szCs w:val="10"/>
                <w:b w:val="1"/>
                <w:bCs w:val="1"/>
                <w:color w:val="auto"/>
                <w:w w:val="95"/>
              </w:rPr>
              <w:t>Losses</w:t>
            </w: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available for sale</w:t>
            </w:r>
          </w:p>
        </w:tc>
        <w:tc>
          <w:tcPr>
            <w:tcW w:w="26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U.S. Treasury securities</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9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1040" w:type="dxa"/>
            <w:vAlign w:val="bottom"/>
            <w:gridSpan w:val="2"/>
          </w:tcPr>
          <w:p>
            <w:pPr>
              <w:ind w:left="760"/>
              <w:spacing w:after="0"/>
              <w:rPr>
                <w:sz w:val="20"/>
                <w:szCs w:val="20"/>
                <w:color w:val="auto"/>
              </w:rPr>
            </w:pPr>
            <w:r>
              <w:rPr>
                <w:rFonts w:ascii="Verdana" w:cs="Verdana" w:eastAsia="Verdana" w:hAnsi="Verdana"/>
                <w:sz w:val="14"/>
                <w:szCs w:val="14"/>
                <w:color w:val="auto"/>
              </w:rPr>
              <w:t>—</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15,946</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(85)</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15,946</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(85)</w:t>
            </w:r>
          </w:p>
        </w:tc>
        <w:tc>
          <w:tcPr>
            <w:tcW w:w="0" w:type="dxa"/>
            <w:vAlign w:val="bottom"/>
          </w:tcPr>
          <w:p>
            <w:pPr>
              <w:spacing w:after="0"/>
              <w:rPr>
                <w:sz w:val="1"/>
                <w:szCs w:val="1"/>
                <w:color w:val="auto"/>
              </w:rPr>
            </w:pPr>
          </w:p>
        </w:tc>
      </w:tr>
      <w:tr>
        <w:trPr>
          <w:trHeight w:val="192"/>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U.S. government corporations and</w:t>
            </w:r>
          </w:p>
        </w:tc>
        <w:tc>
          <w:tcPr>
            <w:tcW w:w="260" w:type="dxa"/>
            <w:vAlign w:val="bottom"/>
            <w:shd w:val="clear" w:color="auto" w:fill="E0E7ED"/>
          </w:tcPr>
          <w:p>
            <w:pPr>
              <w:spacing w:after="0"/>
              <w:rPr>
                <w:sz w:val="16"/>
                <w:szCs w:val="16"/>
                <w:color w:val="auto"/>
              </w:rPr>
            </w:pPr>
          </w:p>
        </w:tc>
        <w:tc>
          <w:tcPr>
            <w:tcW w:w="9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8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100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agencies</w:t>
            </w:r>
          </w:p>
        </w:tc>
        <w:tc>
          <w:tcPr>
            <w:tcW w:w="26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6"/>
                <w:szCs w:val="16"/>
                <w:color w:val="auto"/>
              </w:rPr>
            </w:pPr>
          </w:p>
        </w:tc>
        <w:tc>
          <w:tcPr>
            <w:tcW w:w="1040" w:type="dxa"/>
            <w:vAlign w:val="bottom"/>
            <w:gridSpan w:val="2"/>
            <w:shd w:val="clear" w:color="auto" w:fill="E0E7ED"/>
          </w:tcPr>
          <w:p>
            <w:pPr>
              <w:ind w:left="760"/>
              <w:spacing w:after="0"/>
              <w:rPr>
                <w:sz w:val="20"/>
                <w:szCs w:val="20"/>
                <w:color w:val="auto"/>
              </w:rPr>
            </w:pPr>
            <w:r>
              <w:rPr>
                <w:rFonts w:ascii="Verdana" w:cs="Verdana" w:eastAsia="Verdana" w:hAnsi="Verdana"/>
                <w:sz w:val="14"/>
                <w:szCs w:val="14"/>
                <w:color w:val="auto"/>
              </w:rPr>
              <w:t>—</w:t>
            </w: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5,709</w:t>
            </w:r>
          </w:p>
        </w:tc>
        <w:tc>
          <w:tcPr>
            <w:tcW w:w="6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4"/>
                <w:szCs w:val="14"/>
                <w:color w:val="auto"/>
              </w:rPr>
              <w:t>5,709</w:t>
            </w:r>
          </w:p>
        </w:tc>
        <w:tc>
          <w:tcPr>
            <w:tcW w:w="6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Obligations of states and political subdivisions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11,442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(54)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146,797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(17,972)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158,239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(18,026)</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Asset-backed securities</w:t>
            </w:r>
          </w:p>
        </w:tc>
        <w:tc>
          <w:tcPr>
            <w:tcW w:w="260" w:type="dxa"/>
            <w:vAlign w:val="bottom"/>
            <w:shd w:val="clear" w:color="auto" w:fill="E0E7ED"/>
          </w:tcPr>
          <w:p>
            <w:pPr>
              <w:spacing w:after="0"/>
              <w:rPr>
                <w:sz w:val="18"/>
                <w:szCs w:val="18"/>
                <w:color w:val="auto"/>
              </w:rPr>
            </w:pPr>
          </w:p>
        </w:tc>
        <w:tc>
          <w:tcPr>
            <w:tcW w:w="9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8"/>
                <w:szCs w:val="18"/>
                <w:color w:val="auto"/>
              </w:rPr>
            </w:pPr>
          </w:p>
        </w:tc>
        <w:tc>
          <w:tcPr>
            <w:tcW w:w="1040" w:type="dxa"/>
            <w:vAlign w:val="bottom"/>
            <w:gridSpan w:val="2"/>
            <w:shd w:val="clear" w:color="auto" w:fill="E0E7ED"/>
          </w:tcPr>
          <w:p>
            <w:pPr>
              <w:ind w:left="760"/>
              <w:spacing w:after="0"/>
              <w:rPr>
                <w:sz w:val="20"/>
                <w:szCs w:val="20"/>
                <w:color w:val="auto"/>
              </w:rPr>
            </w:pPr>
            <w:r>
              <w:rPr>
                <w:rFonts w:ascii="Verdana" w:cs="Verdana" w:eastAsia="Verdana" w:hAnsi="Verdana"/>
                <w:sz w:val="14"/>
                <w:szCs w:val="14"/>
                <w:color w:val="auto"/>
              </w:rPr>
              <w:t>—</w:t>
            </w: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468,223</w:t>
            </w:r>
          </w:p>
        </w:tc>
        <w:tc>
          <w:tcPr>
            <w:tcW w:w="6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(1,823)</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4"/>
                <w:szCs w:val="14"/>
                <w:color w:val="auto"/>
              </w:rPr>
              <w:t>468,223</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(1,823)</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Verdana" w:cs="Verdana" w:eastAsia="Verdana" w:hAnsi="Verdana"/>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103,509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(15,535)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103,509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(15,535)</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141</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8"/>
              <w:spacing w:after="0"/>
              <w:rPr>
                <w:sz w:val="20"/>
                <w:szCs w:val="20"/>
                <w:color w:val="auto"/>
              </w:rPr>
            </w:pPr>
            <w:r>
              <w:rPr>
                <w:rFonts w:ascii="Verdana" w:cs="Verdana" w:eastAsia="Verdana" w:hAnsi="Verdana"/>
                <w:sz w:val="14"/>
                <w:szCs w:val="14"/>
                <w:color w:val="auto"/>
              </w:rPr>
              <w:t>1,110,906</w:t>
            </w:r>
          </w:p>
        </w:tc>
        <w:tc>
          <w:tcPr>
            <w:tcW w:w="6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(195,546)</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4"/>
                <w:szCs w:val="14"/>
                <w:color w:val="auto"/>
              </w:rPr>
              <w:t>1,111,047</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(195,547)</w:t>
            </w:r>
          </w:p>
        </w:tc>
        <w:tc>
          <w:tcPr>
            <w:tcW w:w="0" w:type="dxa"/>
            <w:vAlign w:val="bottom"/>
          </w:tcPr>
          <w:p>
            <w:pPr>
              <w:spacing w:after="0"/>
              <w:rPr>
                <w:sz w:val="1"/>
                <w:szCs w:val="1"/>
                <w:color w:val="auto"/>
              </w:rPr>
            </w:pPr>
          </w:p>
        </w:tc>
      </w:tr>
      <w:tr>
        <w:trPr>
          <w:trHeight w:val="207"/>
        </w:trPr>
        <w:tc>
          <w:tcPr>
            <w:tcW w:w="39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Corporate debt securities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1,450</w:t>
            </w:r>
          </w:p>
        </w:tc>
        <w:tc>
          <w:tcPr>
            <w:tcW w:w="8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w:t>
            </w:r>
          </w:p>
        </w:tc>
        <w:tc>
          <w:tcPr>
            <w:tcW w:w="6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4"/>
                <w:szCs w:val="14"/>
                <w:color w:val="auto"/>
              </w:rPr>
              <w:t>198,694</w:t>
            </w:r>
          </w:p>
        </w:tc>
        <w:tc>
          <w:tcPr>
            <w:tcW w:w="6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(16,161)</w:t>
            </w:r>
          </w:p>
        </w:tc>
        <w:tc>
          <w:tcPr>
            <w:tcW w:w="6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4"/>
                <w:szCs w:val="14"/>
                <w:color w:val="auto"/>
              </w:rPr>
              <w:t>200,144</w:t>
            </w:r>
          </w:p>
        </w:tc>
        <w:tc>
          <w:tcPr>
            <w:tcW w:w="60" w:type="dxa"/>
            <w:vAlign w:val="bottom"/>
            <w:tcBorders>
              <w:bottom w:val="single" w:sz="8" w:color="E0E7E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(16,171)</w:t>
            </w:r>
          </w:p>
        </w:tc>
        <w:tc>
          <w:tcPr>
            <w:tcW w:w="0" w:type="dxa"/>
            <w:vAlign w:val="bottom"/>
          </w:tcPr>
          <w:p>
            <w:pPr>
              <w:spacing w:after="0"/>
              <w:rPr>
                <w:sz w:val="1"/>
                <w:szCs w:val="1"/>
                <w:color w:val="auto"/>
              </w:rPr>
            </w:pPr>
          </w:p>
        </w:tc>
      </w:tr>
      <w:tr>
        <w:trPr>
          <w:trHeight w:val="172"/>
        </w:trPr>
        <w:tc>
          <w:tcPr>
            <w:tcW w:w="3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 with gross unrealized</w:t>
            </w:r>
          </w:p>
        </w:tc>
        <w:tc>
          <w:tcPr>
            <w:tcW w:w="260" w:type="dxa"/>
            <w:vAlign w:val="bottom"/>
            <w:vMerge w:val="restart"/>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13,033</w:t>
            </w:r>
          </w:p>
        </w:tc>
        <w:tc>
          <w:tcPr>
            <w:tcW w:w="80" w:type="dxa"/>
            <w:vAlign w:val="bottom"/>
            <w:shd w:val="clear" w:color="auto" w:fill="E0E7ED"/>
          </w:tcPr>
          <w:p>
            <w:pPr>
              <w:spacing w:after="0"/>
              <w:rPr>
                <w:sz w:val="14"/>
                <w:szCs w:val="14"/>
                <w:color w:val="auto"/>
              </w:rPr>
            </w:pPr>
          </w:p>
        </w:tc>
        <w:tc>
          <w:tcPr>
            <w:tcW w:w="180" w:type="dxa"/>
            <w:vAlign w:val="bottom"/>
            <w:vMerge w:val="restart"/>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(65)</w:t>
            </w:r>
          </w:p>
        </w:tc>
        <w:tc>
          <w:tcPr>
            <w:tcW w:w="60" w:type="dxa"/>
            <w:vAlign w:val="bottom"/>
            <w:shd w:val="clear" w:color="auto" w:fill="E0E7ED"/>
          </w:tcPr>
          <w:p>
            <w:pPr>
              <w:spacing w:after="0"/>
              <w:rPr>
                <w:sz w:val="14"/>
                <w:szCs w:val="14"/>
                <w:color w:val="auto"/>
              </w:rPr>
            </w:pPr>
          </w:p>
        </w:tc>
        <w:tc>
          <w:tcPr>
            <w:tcW w:w="240" w:type="dxa"/>
            <w:vAlign w:val="bottom"/>
            <w:vMerge w:val="restart"/>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4"/>
                <w:szCs w:val="14"/>
                <w:color w:val="auto"/>
              </w:rPr>
              <w:t>2,049,784</w:t>
            </w:r>
          </w:p>
        </w:tc>
        <w:tc>
          <w:tcPr>
            <w:tcW w:w="60" w:type="dxa"/>
            <w:vAlign w:val="bottom"/>
            <w:shd w:val="clear" w:color="auto" w:fill="E0E7ED"/>
          </w:tcPr>
          <w:p>
            <w:pPr>
              <w:spacing w:after="0"/>
              <w:rPr>
                <w:sz w:val="14"/>
                <w:szCs w:val="14"/>
                <w:color w:val="auto"/>
              </w:rPr>
            </w:pPr>
          </w:p>
        </w:tc>
        <w:tc>
          <w:tcPr>
            <w:tcW w:w="14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(247,180)</w:t>
            </w:r>
          </w:p>
        </w:tc>
        <w:tc>
          <w:tcPr>
            <w:tcW w:w="60" w:type="dxa"/>
            <w:vAlign w:val="bottom"/>
            <w:shd w:val="clear" w:color="auto" w:fill="E0E7ED"/>
          </w:tcPr>
          <w:p>
            <w:pPr>
              <w:spacing w:after="0"/>
              <w:rPr>
                <w:sz w:val="14"/>
                <w:szCs w:val="14"/>
                <w:color w:val="auto"/>
              </w:rPr>
            </w:pPr>
          </w:p>
        </w:tc>
        <w:tc>
          <w:tcPr>
            <w:tcW w:w="240" w:type="dxa"/>
            <w:vAlign w:val="bottom"/>
            <w:vMerge w:val="restart"/>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4"/>
                <w:szCs w:val="14"/>
                <w:color w:val="auto"/>
              </w:rPr>
              <w:t>2,062,817</w:t>
            </w:r>
          </w:p>
        </w:tc>
        <w:tc>
          <w:tcPr>
            <w:tcW w:w="60" w:type="dxa"/>
            <w:vAlign w:val="bottom"/>
            <w:shd w:val="clear" w:color="auto" w:fill="E0E7ED"/>
          </w:tcPr>
          <w:p>
            <w:pPr>
              <w:spacing w:after="0"/>
              <w:rPr>
                <w:sz w:val="14"/>
                <w:szCs w:val="14"/>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(247,245)</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losses</w:t>
            </w:r>
          </w:p>
        </w:tc>
        <w:tc>
          <w:tcPr>
            <w:tcW w:w="260" w:type="dxa"/>
            <w:vAlign w:val="bottom"/>
            <w:tcBorders>
              <w:bottom w:val="single" w:sz="8" w:color="auto"/>
            </w:tcBorders>
            <w:vMerge w:val="continue"/>
            <w:shd w:val="clear" w:color="auto" w:fill="E0E7ED"/>
          </w:tcPr>
          <w:p>
            <w:pPr>
              <w:spacing w:after="0"/>
              <w:rPr>
                <w:sz w:val="16"/>
                <w:szCs w:val="16"/>
                <w:color w:val="auto"/>
              </w:rPr>
            </w:pPr>
          </w:p>
        </w:tc>
        <w:tc>
          <w:tcPr>
            <w:tcW w:w="900" w:type="dxa"/>
            <w:vAlign w:val="bottom"/>
            <w:tcBorders>
              <w:bottom w:val="single" w:sz="8" w:color="auto"/>
            </w:tcBorders>
            <w:vMerge w:val="continue"/>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vMerge w:val="continue"/>
            <w:shd w:val="clear" w:color="auto" w:fill="E0E7ED"/>
          </w:tcPr>
          <w:p>
            <w:pPr>
              <w:spacing w:after="0"/>
              <w:rPr>
                <w:sz w:val="16"/>
                <w:szCs w:val="16"/>
                <w:color w:val="auto"/>
              </w:rPr>
            </w:pPr>
          </w:p>
        </w:tc>
        <w:tc>
          <w:tcPr>
            <w:tcW w:w="980" w:type="dxa"/>
            <w:vAlign w:val="bottom"/>
            <w:tcBorders>
              <w:bottom w:val="single" w:sz="8" w:color="auto"/>
            </w:tcBorders>
            <w:vMerge w:val="continue"/>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vMerge w:val="continue"/>
            <w:shd w:val="clear" w:color="auto" w:fill="E0E7ED"/>
          </w:tcPr>
          <w:p>
            <w:pPr>
              <w:spacing w:after="0"/>
              <w:rPr>
                <w:sz w:val="16"/>
                <w:szCs w:val="16"/>
                <w:color w:val="auto"/>
              </w:rPr>
            </w:pPr>
          </w:p>
        </w:tc>
        <w:tc>
          <w:tcPr>
            <w:tcW w:w="940" w:type="dxa"/>
            <w:vAlign w:val="bottom"/>
            <w:tcBorders>
              <w:bottom w:val="single" w:sz="8" w:color="auto"/>
            </w:tcBorders>
            <w:vMerge w:val="continue"/>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140" w:type="dxa"/>
            <w:vAlign w:val="bottom"/>
            <w:tcBorders>
              <w:bottom w:val="single" w:sz="8" w:color="auto"/>
            </w:tcBorders>
            <w:vMerge w:val="continue"/>
            <w:shd w:val="clear" w:color="auto" w:fill="E0E7ED"/>
          </w:tcPr>
          <w:p>
            <w:pPr>
              <w:spacing w:after="0"/>
              <w:rPr>
                <w:sz w:val="16"/>
                <w:szCs w:val="16"/>
                <w:color w:val="auto"/>
              </w:rPr>
            </w:pPr>
          </w:p>
        </w:tc>
        <w:tc>
          <w:tcPr>
            <w:tcW w:w="1020" w:type="dxa"/>
            <w:vAlign w:val="bottom"/>
            <w:tcBorders>
              <w:bottom w:val="single" w:sz="8" w:color="auto"/>
            </w:tcBorders>
            <w:vMerge w:val="continue"/>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vMerge w:val="continue"/>
            <w:shd w:val="clear" w:color="auto" w:fill="E0E7ED"/>
          </w:tcPr>
          <w:p>
            <w:pPr>
              <w:spacing w:after="0"/>
              <w:rPr>
                <w:sz w:val="16"/>
                <w:szCs w:val="16"/>
                <w:color w:val="auto"/>
              </w:rPr>
            </w:pPr>
          </w:p>
        </w:tc>
        <w:tc>
          <w:tcPr>
            <w:tcW w:w="940" w:type="dxa"/>
            <w:vAlign w:val="bottom"/>
            <w:tcBorders>
              <w:bottom w:val="single" w:sz="8" w:color="auto"/>
            </w:tcBorders>
            <w:vMerge w:val="continue"/>
            <w:shd w:val="clear" w:color="auto" w:fill="E0E7ED"/>
          </w:tcPr>
          <w:p>
            <w:pPr>
              <w:spacing w:after="0"/>
              <w:rPr>
                <w:sz w:val="16"/>
                <w:szCs w:val="16"/>
                <w:color w:val="auto"/>
              </w:rPr>
            </w:pPr>
          </w:p>
        </w:tc>
        <w:tc>
          <w:tcPr>
            <w:tcW w:w="60" w:type="dxa"/>
            <w:vAlign w:val="bottom"/>
            <w:tcBorders>
              <w:bottom w:val="single" w:sz="8" w:color="E0E7ED"/>
            </w:tcBorders>
            <w:shd w:val="clear" w:color="auto" w:fill="E0E7ED"/>
          </w:tcPr>
          <w:p>
            <w:pPr>
              <w:spacing w:after="0"/>
              <w:rPr>
                <w:sz w:val="16"/>
                <w:szCs w:val="16"/>
                <w:color w:val="auto"/>
              </w:rPr>
            </w:pPr>
          </w:p>
        </w:tc>
        <w:tc>
          <w:tcPr>
            <w:tcW w:w="160" w:type="dxa"/>
            <w:vAlign w:val="bottom"/>
            <w:tcBorders>
              <w:bottom w:val="single" w:sz="8" w:color="auto"/>
            </w:tcBorders>
            <w:vMerge w:val="continue"/>
            <w:shd w:val="clear" w:color="auto" w:fill="E0E7ED"/>
          </w:tcPr>
          <w:p>
            <w:pPr>
              <w:spacing w:after="0"/>
              <w:rPr>
                <w:sz w:val="16"/>
                <w:szCs w:val="16"/>
                <w:color w:val="auto"/>
              </w:rPr>
            </w:pPr>
          </w:p>
        </w:tc>
        <w:tc>
          <w:tcPr>
            <w:tcW w:w="1000" w:type="dxa"/>
            <w:vAlign w:val="bottom"/>
            <w:tcBorders>
              <w:bottom w:val="single" w:sz="8" w:color="auto"/>
            </w:tcBorders>
            <w:vMerge w:val="continue"/>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160" w:type="dxa"/>
            <w:vAlign w:val="bottom"/>
            <w:tcBorders>
              <w:top w:val="single" w:sz="8" w:color="E0E7ED"/>
              <w:bottom w:val="single" w:sz="8" w:color="auto"/>
            </w:tcBorders>
            <w:gridSpan w:val="2"/>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Verdana" w:cs="Verdana" w:eastAsia="Verdana" w:hAnsi="Verdana"/>
                <w:sz w:val="10"/>
                <w:szCs w:val="10"/>
                <w:b w:val="1"/>
                <w:bCs w:val="1"/>
                <w:color w:val="auto"/>
                <w:w w:val="98"/>
              </w:rPr>
              <w:t>12 months or more</w:t>
            </w:r>
          </w:p>
        </w:tc>
        <w:tc>
          <w:tcPr>
            <w:tcW w:w="2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0"/>
                <w:szCs w:val="10"/>
                <w:b w:val="1"/>
                <w:bCs w:val="1"/>
                <w:color w:val="auto"/>
              </w:rPr>
              <w:t>Total</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center"/>
              <w:ind w:right="300"/>
              <w:spacing w:after="0" w:line="94" w:lineRule="exact"/>
              <w:rPr>
                <w:sz w:val="20"/>
                <w:szCs w:val="20"/>
                <w:color w:val="auto"/>
              </w:rPr>
            </w:pPr>
            <w:r>
              <w:rPr>
                <w:rFonts w:ascii="Verdana" w:cs="Verdana" w:eastAsia="Verdana" w:hAnsi="Verdana"/>
                <w:sz w:val="10"/>
                <w:szCs w:val="10"/>
                <w:b w:val="1"/>
                <w:bCs w:val="1"/>
                <w:color w:val="auto"/>
              </w:rPr>
              <w:t>Fair</w:t>
            </w: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center"/>
              <w:ind w:right="75"/>
              <w:spacing w:after="0" w:line="94" w:lineRule="exact"/>
              <w:rPr>
                <w:sz w:val="20"/>
                <w:szCs w:val="20"/>
                <w:color w:val="auto"/>
              </w:rPr>
            </w:pPr>
            <w:r>
              <w:rPr>
                <w:rFonts w:ascii="Verdana" w:cs="Verdana" w:eastAsia="Verdana" w:hAnsi="Verdana"/>
                <w:sz w:val="10"/>
                <w:szCs w:val="10"/>
                <w:b w:val="1"/>
                <w:bCs w:val="1"/>
                <w:color w:val="auto"/>
                <w:w w:val="98"/>
              </w:rPr>
              <w:t>Unrecognized</w:t>
            </w:r>
          </w:p>
        </w:tc>
        <w:tc>
          <w:tcPr>
            <w:tcW w:w="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center"/>
              <w:ind w:right="300"/>
              <w:spacing w:after="0" w:line="94" w:lineRule="exact"/>
              <w:rPr>
                <w:sz w:val="20"/>
                <w:szCs w:val="20"/>
                <w:color w:val="auto"/>
              </w:rPr>
            </w:pPr>
            <w:r>
              <w:rPr>
                <w:rFonts w:ascii="Verdana" w:cs="Verdana" w:eastAsia="Verdana" w:hAnsi="Verdana"/>
                <w:sz w:val="10"/>
                <w:szCs w:val="10"/>
                <w:b w:val="1"/>
                <w:bCs w:val="1"/>
                <w:color w:val="auto"/>
              </w:rPr>
              <w:t>Fair</w:t>
            </w:r>
          </w:p>
        </w:tc>
        <w:tc>
          <w:tcPr>
            <w:tcW w:w="1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center"/>
              <w:ind w:right="95"/>
              <w:spacing w:after="0" w:line="94" w:lineRule="exact"/>
              <w:rPr>
                <w:sz w:val="20"/>
                <w:szCs w:val="20"/>
                <w:color w:val="auto"/>
              </w:rPr>
            </w:pPr>
            <w:r>
              <w:rPr>
                <w:rFonts w:ascii="Verdana" w:cs="Verdana" w:eastAsia="Verdana" w:hAnsi="Verdana"/>
                <w:sz w:val="10"/>
                <w:szCs w:val="10"/>
                <w:b w:val="1"/>
                <w:bCs w:val="1"/>
                <w:color w:val="auto"/>
                <w:w w:val="98"/>
              </w:rPr>
              <w:t>Unrecognized</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4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5"/>
              </w:rPr>
              <w:t>Losses</w:t>
            </w: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4"/>
              </w:rPr>
              <w:t>Value</w:t>
            </w:r>
          </w:p>
        </w:tc>
        <w:tc>
          <w:tcPr>
            <w:tcW w:w="16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Verdana" w:cs="Verdana" w:eastAsia="Verdana" w:hAnsi="Verdana"/>
                <w:sz w:val="10"/>
                <w:szCs w:val="10"/>
                <w:b w:val="1"/>
                <w:bCs w:val="1"/>
                <w:color w:val="auto"/>
                <w:w w:val="95"/>
              </w:rPr>
              <w:t>Losses</w:t>
            </w: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securities held to maturity</w:t>
            </w:r>
          </w:p>
        </w:tc>
        <w:tc>
          <w:tcPr>
            <w:tcW w:w="260" w:type="dxa"/>
            <w:vAlign w:val="bottom"/>
            <w:tcBorders>
              <w:top w:val="single" w:sz="8" w:color="E0E7ED"/>
            </w:tcBorders>
            <w:shd w:val="clear" w:color="auto" w:fill="E0E7ED"/>
          </w:tcPr>
          <w:p>
            <w:pPr>
              <w:spacing w:after="0"/>
              <w:rPr>
                <w:sz w:val="17"/>
                <w:szCs w:val="17"/>
                <w:color w:val="auto"/>
              </w:rPr>
            </w:pPr>
          </w:p>
        </w:tc>
        <w:tc>
          <w:tcPr>
            <w:tcW w:w="900" w:type="dxa"/>
            <w:vAlign w:val="bottom"/>
            <w:tcBorders>
              <w:top w:val="single" w:sz="8" w:color="E0E7ED"/>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E0E7ED"/>
            </w:tcBorders>
            <w:shd w:val="clear" w:color="auto" w:fill="E0E7ED"/>
          </w:tcPr>
          <w:p>
            <w:pPr>
              <w:spacing w:after="0"/>
              <w:rPr>
                <w:sz w:val="17"/>
                <w:szCs w:val="17"/>
                <w:color w:val="auto"/>
              </w:rPr>
            </w:pPr>
          </w:p>
        </w:tc>
        <w:tc>
          <w:tcPr>
            <w:tcW w:w="980" w:type="dxa"/>
            <w:vAlign w:val="bottom"/>
            <w:tcBorders>
              <w:top w:val="single" w:sz="8" w:color="E0E7ED"/>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4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8"/>
              <w:spacing w:after="0"/>
              <w:rPr>
                <w:sz w:val="20"/>
                <w:szCs w:val="20"/>
                <w:color w:val="auto"/>
              </w:rPr>
            </w:pPr>
            <w:r>
              <w:rPr>
                <w:rFonts w:ascii="Verdana" w:cs="Verdana" w:eastAsia="Verdana" w:hAnsi="Verdana"/>
                <w:sz w:val="14"/>
                <w:szCs w:val="14"/>
                <w:color w:val="auto"/>
              </w:rPr>
              <w:t>357,526</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(71,000)</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7"/>
              <w:spacing w:after="0"/>
              <w:rPr>
                <w:sz w:val="20"/>
                <w:szCs w:val="20"/>
                <w:color w:val="auto"/>
              </w:rPr>
            </w:pPr>
            <w:r>
              <w:rPr>
                <w:rFonts w:ascii="Verdana" w:cs="Verdana" w:eastAsia="Verdana" w:hAnsi="Verdana"/>
                <w:sz w:val="14"/>
                <w:szCs w:val="14"/>
                <w:color w:val="auto"/>
              </w:rPr>
              <w:t>357,526</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(71,000)</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4"/>
                <w:szCs w:val="14"/>
                <w:color w:val="auto"/>
              </w:rPr>
              <w:t>372,871</w:t>
            </w:r>
          </w:p>
        </w:tc>
        <w:tc>
          <w:tcPr>
            <w:tcW w:w="6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(71,231)</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4"/>
                <w:szCs w:val="14"/>
                <w:color w:val="auto"/>
              </w:rPr>
              <w:t>372,871</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(71,231)</w:t>
            </w:r>
          </w:p>
        </w:tc>
        <w:tc>
          <w:tcPr>
            <w:tcW w:w="0" w:type="dxa"/>
            <w:vAlign w:val="bottom"/>
          </w:tcPr>
          <w:p>
            <w:pPr>
              <w:spacing w:after="0"/>
              <w:rPr>
                <w:sz w:val="1"/>
                <w:szCs w:val="1"/>
                <w:color w:val="auto"/>
              </w:rPr>
            </w:pPr>
          </w:p>
        </w:tc>
      </w:tr>
      <w:tr>
        <w:trPr>
          <w:trHeight w:val="208"/>
        </w:trPr>
        <w:tc>
          <w:tcPr>
            <w:tcW w:w="5200" w:type="dxa"/>
            <w:vAlign w:val="bottom"/>
            <w:gridSpan w:val="4"/>
          </w:tcPr>
          <w:p>
            <w:pPr>
              <w:ind w:left="20"/>
              <w:spacing w:after="0"/>
              <w:rPr>
                <w:sz w:val="20"/>
                <w:szCs w:val="20"/>
                <w:color w:val="auto"/>
              </w:rPr>
            </w:pPr>
            <w:r>
              <w:rPr>
                <w:rFonts w:ascii="Verdana" w:cs="Verdana" w:eastAsia="Verdana" w:hAnsi="Verdana"/>
                <w:sz w:val="14"/>
                <w:szCs w:val="14"/>
                <w:color w:val="auto"/>
              </w:rPr>
              <w:t>Debt securities held to maturity with gross unrecognized losses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4"/>
                <w:szCs w:val="14"/>
                <w:color w:val="auto"/>
              </w:rPr>
              <w:t>730,397</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(142,231)</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4"/>
                <w:szCs w:val="14"/>
                <w:color w:val="auto"/>
              </w:rPr>
              <w:t>730,397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(142,231)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2" w:name="page123"/>
    <w:bookmarkEnd w:id="12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Additional information about debt securities in an unrealized or unrecognized loss position is presented in the tables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Verdana" w:cs="Verdana" w:eastAsia="Verdana" w:hAnsi="Verdana"/>
                <w:sz w:val="10"/>
                <w:szCs w:val="10"/>
                <w:b w:val="1"/>
                <w:bCs w:val="1"/>
                <w:color w:val="auto"/>
                <w:w w:val="98"/>
              </w:rPr>
              <w:t>As of December 31, 2024</w:t>
            </w: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131"/>
        </w:trPr>
        <w:tc>
          <w:tcPr>
            <w:tcW w:w="6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Available for Sale</w:t>
            </w:r>
          </w:p>
        </w:tc>
        <w:tc>
          <w:tcPr>
            <w:tcW w:w="120" w:type="dxa"/>
            <w:vAlign w:val="bottom"/>
          </w:tcPr>
          <w:p>
            <w:pPr>
              <w:spacing w:after="0"/>
              <w:rPr>
                <w:sz w:val="11"/>
                <w:szCs w:val="11"/>
                <w:color w:val="auto"/>
              </w:rPr>
            </w:pPr>
          </w:p>
        </w:tc>
        <w:tc>
          <w:tcPr>
            <w:tcW w:w="16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8"/>
              </w:rPr>
              <w:t>Held to Maturity</w:t>
            </w:r>
          </w:p>
        </w:tc>
        <w:tc>
          <w:tcPr>
            <w:tcW w:w="420" w:type="dxa"/>
            <w:vAlign w:val="bottom"/>
          </w:tcPr>
          <w:p>
            <w:pPr>
              <w:spacing w:after="0"/>
              <w:rPr>
                <w:sz w:val="11"/>
                <w:szCs w:val="11"/>
                <w:color w:val="auto"/>
              </w:rPr>
            </w:pPr>
          </w:p>
        </w:tc>
        <w:tc>
          <w:tcPr>
            <w:tcW w:w="1280" w:type="dxa"/>
            <w:vAlign w:val="bottom"/>
          </w:tcPr>
          <w:p>
            <w:pPr>
              <w:jc w:val="right"/>
              <w:ind w:right="633"/>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6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with gross unrealized or unrecognized losses, fair value</w:t>
            </w:r>
          </w:p>
        </w:tc>
        <w:tc>
          <w:tcPr>
            <w:tcW w:w="240" w:type="dxa"/>
            <w:vAlign w:val="bottom"/>
            <w:tcBorders>
              <w:top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1460" w:type="dxa"/>
            <w:vAlign w:val="bottom"/>
            <w:tcBorders>
              <w:top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1,466,743</w:t>
            </w:r>
          </w:p>
        </w:tc>
        <w:tc>
          <w:tcPr>
            <w:tcW w:w="80" w:type="dxa"/>
            <w:vAlign w:val="bottom"/>
            <w:tcBorders>
              <w:top w:val="single" w:sz="8" w:color="E0E7ED"/>
            </w:tcBorders>
            <w:shd w:val="clear" w:color="auto" w:fill="E0E7ED"/>
          </w:tcPr>
          <w:p>
            <w:pPr>
              <w:spacing w:after="0"/>
              <w:rPr>
                <w:sz w:val="18"/>
                <w:szCs w:val="18"/>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580" w:type="dxa"/>
            <w:vAlign w:val="bottom"/>
            <w:tcBorders>
              <w:top w:val="single" w:sz="8" w:color="auto"/>
            </w:tcBorders>
            <w:shd w:val="clear" w:color="auto" w:fill="E0E7ED"/>
          </w:tcPr>
          <w:p>
            <w:pPr>
              <w:jc w:val="right"/>
              <w:ind w:right="155"/>
              <w:spacing w:after="0"/>
              <w:rPr>
                <w:sz w:val="20"/>
                <w:szCs w:val="20"/>
                <w:color w:val="auto"/>
              </w:rPr>
            </w:pPr>
            <w:r>
              <w:rPr>
                <w:rFonts w:ascii="Verdana" w:cs="Verdana" w:eastAsia="Verdana" w:hAnsi="Verdana"/>
                <w:sz w:val="14"/>
                <w:szCs w:val="14"/>
                <w:color w:val="auto"/>
              </w:rPr>
              <w:t>675,053</w:t>
            </w:r>
          </w:p>
        </w:tc>
        <w:tc>
          <w:tcPr>
            <w:tcW w:w="80" w:type="dxa"/>
            <w:vAlign w:val="bottom"/>
            <w:tcBorders>
              <w:top w:val="single" w:sz="8" w:color="E0E7ED"/>
            </w:tcBorders>
            <w:shd w:val="clear" w:color="auto" w:fill="E0E7ED"/>
          </w:tcPr>
          <w:p>
            <w:pPr>
              <w:spacing w:after="0"/>
              <w:rPr>
                <w:sz w:val="18"/>
                <w:szCs w:val="18"/>
                <w:color w:val="auto"/>
              </w:rPr>
            </w:pPr>
          </w:p>
        </w:tc>
        <w:tc>
          <w:tcPr>
            <w:tcW w:w="420" w:type="dxa"/>
            <w:vAlign w:val="bottom"/>
            <w:tcBorders>
              <w:top w:val="single" w:sz="8" w:color="auto"/>
            </w:tcBorders>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Borders>
              <w:top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2,141,796</w:t>
            </w: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Gross unrealized or unrecognized losses on debt securities</w:t>
            </w:r>
          </w:p>
        </w:tc>
        <w:tc>
          <w:tcPr>
            <w:tcW w:w="24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Verdana" w:cs="Verdana" w:eastAsia="Verdana" w:hAnsi="Verdana"/>
                <w:sz w:val="14"/>
                <w:szCs w:val="14"/>
                <w:color w:val="auto"/>
              </w:rPr>
              <w:t>230,325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55"/>
              <w:spacing w:after="0"/>
              <w:rPr>
                <w:sz w:val="20"/>
                <w:szCs w:val="20"/>
                <w:color w:val="auto"/>
              </w:rPr>
            </w:pPr>
            <w:r>
              <w:rPr>
                <w:rFonts w:ascii="Verdana" w:cs="Verdana" w:eastAsia="Verdana" w:hAnsi="Verdana"/>
                <w:sz w:val="14"/>
                <w:szCs w:val="14"/>
                <w:color w:val="auto"/>
              </w:rPr>
              <w:t>151,577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Verdana" w:cs="Verdana" w:eastAsia="Verdana" w:hAnsi="Verdana"/>
                <w:sz w:val="14"/>
                <w:szCs w:val="14"/>
                <w:color w:val="auto"/>
              </w:rPr>
              <w:t>381,902</w:t>
            </w:r>
          </w:p>
        </w:tc>
      </w:tr>
      <w:tr>
        <w:trPr>
          <w:trHeight w:val="19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Ratio of gross unrealized or unrecognized losses to debt securities with gross</w:t>
            </w:r>
          </w:p>
        </w:tc>
        <w:tc>
          <w:tcPr>
            <w:tcW w:w="240" w:type="dxa"/>
            <w:vAlign w:val="bottom"/>
            <w:shd w:val="clear" w:color="auto" w:fill="E0E7ED"/>
          </w:tcPr>
          <w:p>
            <w:pPr>
              <w:spacing w:after="0"/>
              <w:rPr>
                <w:sz w:val="16"/>
                <w:szCs w:val="16"/>
                <w:color w:val="auto"/>
              </w:rPr>
            </w:pPr>
          </w:p>
        </w:tc>
        <w:tc>
          <w:tcPr>
            <w:tcW w:w="14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5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r>
      <w:tr>
        <w:trPr>
          <w:trHeight w:val="195"/>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unrealized or unrecognized losses</w:t>
            </w:r>
          </w:p>
        </w:tc>
        <w:tc>
          <w:tcPr>
            <w:tcW w:w="240" w:type="dxa"/>
            <w:vAlign w:val="bottom"/>
            <w:shd w:val="clear" w:color="auto" w:fill="E0E7ED"/>
          </w:tcPr>
          <w:p>
            <w:pPr>
              <w:spacing w:after="0"/>
              <w:rPr>
                <w:sz w:val="16"/>
                <w:szCs w:val="16"/>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15.7 %</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22.5 %</w:t>
            </w:r>
          </w:p>
        </w:tc>
        <w:tc>
          <w:tcPr>
            <w:tcW w:w="8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17.8 %</w:t>
            </w:r>
          </w:p>
        </w:tc>
      </w:tr>
      <w:tr>
        <w:trPr>
          <w:trHeight w:val="212"/>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Count of debt securities</w:t>
            </w:r>
          </w:p>
        </w:tc>
        <w:tc>
          <w:tcPr>
            <w:tcW w:w="240" w:type="dxa"/>
            <w:vAlign w:val="bottom"/>
            <w:shd w:val="clear" w:color="auto" w:fill="E0E7ED"/>
          </w:tcPr>
          <w:p>
            <w:pPr>
              <w:spacing w:after="0"/>
              <w:rPr>
                <w:sz w:val="18"/>
                <w:szCs w:val="18"/>
                <w:color w:val="auto"/>
              </w:rPr>
            </w:pPr>
          </w:p>
        </w:tc>
        <w:tc>
          <w:tcPr>
            <w:tcW w:w="146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677</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580" w:type="dxa"/>
            <w:vAlign w:val="bottom"/>
            <w:shd w:val="clear" w:color="auto" w:fill="E0E7ED"/>
          </w:tcPr>
          <w:p>
            <w:pPr>
              <w:jc w:val="right"/>
              <w:ind w:right="155"/>
              <w:spacing w:after="0"/>
              <w:rPr>
                <w:sz w:val="20"/>
                <w:szCs w:val="20"/>
                <w:color w:val="auto"/>
              </w:rPr>
            </w:pPr>
            <w:r>
              <w:rPr>
                <w:rFonts w:ascii="Verdana" w:cs="Verdana" w:eastAsia="Verdana" w:hAnsi="Verdana"/>
                <w:sz w:val="14"/>
                <w:szCs w:val="14"/>
                <w:color w:val="auto"/>
              </w:rPr>
              <w:t>55</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732</w:t>
            </w:r>
          </w:p>
        </w:tc>
      </w:tr>
      <w:tr>
        <w:trPr>
          <w:trHeight w:val="201"/>
        </w:trPr>
        <w:tc>
          <w:tcPr>
            <w:tcW w:w="6020" w:type="dxa"/>
            <w:vAlign w:val="bottom"/>
          </w:tcPr>
          <w:p>
            <w:pPr>
              <w:ind w:left="20"/>
              <w:spacing w:after="0"/>
              <w:rPr>
                <w:sz w:val="20"/>
                <w:szCs w:val="20"/>
                <w:color w:val="auto"/>
              </w:rPr>
            </w:pPr>
            <w:r>
              <w:rPr>
                <w:rFonts w:ascii="Verdana" w:cs="Verdana" w:eastAsia="Verdana" w:hAnsi="Verdana"/>
                <w:sz w:val="14"/>
                <w:szCs w:val="14"/>
                <w:color w:val="auto"/>
              </w:rPr>
              <w:t>Count of debt securities in an unrealized or unrecognized loss position</w:t>
            </w:r>
          </w:p>
        </w:tc>
        <w:tc>
          <w:tcPr>
            <w:tcW w:w="24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Verdana" w:cs="Verdana" w:eastAsia="Verdana" w:hAnsi="Verdana"/>
                <w:sz w:val="14"/>
                <w:szCs w:val="14"/>
                <w:color w:val="auto"/>
              </w:rPr>
              <w:t>586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55"/>
              <w:spacing w:after="0"/>
              <w:rPr>
                <w:sz w:val="20"/>
                <w:szCs w:val="20"/>
                <w:color w:val="auto"/>
              </w:rPr>
            </w:pPr>
            <w:r>
              <w:rPr>
                <w:rFonts w:ascii="Verdana" w:cs="Verdana" w:eastAsia="Verdana" w:hAnsi="Verdana"/>
                <w:sz w:val="14"/>
                <w:szCs w:val="14"/>
                <w:color w:val="auto"/>
              </w:rPr>
              <w:t>55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Verdana" w:cs="Verdana" w:eastAsia="Verdana" w:hAnsi="Verdana"/>
                <w:sz w:val="14"/>
                <w:szCs w:val="14"/>
                <w:color w:val="auto"/>
              </w:rPr>
              <w:t>641</w:t>
            </w:r>
          </w:p>
        </w:tc>
      </w:tr>
      <w:tr>
        <w:trPr>
          <w:trHeight w:val="375"/>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Verdana" w:cs="Verdana" w:eastAsia="Verdana" w:hAnsi="Verdana"/>
                <w:sz w:val="10"/>
                <w:szCs w:val="10"/>
                <w:b w:val="1"/>
                <w:bCs w:val="1"/>
                <w:color w:val="auto"/>
                <w:w w:val="98"/>
              </w:rPr>
              <w:t>As of December 31, 2023</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31"/>
        </w:trPr>
        <w:tc>
          <w:tcPr>
            <w:tcW w:w="6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Available for Sale</w:t>
            </w:r>
          </w:p>
        </w:tc>
        <w:tc>
          <w:tcPr>
            <w:tcW w:w="120" w:type="dxa"/>
            <w:vAlign w:val="bottom"/>
          </w:tcPr>
          <w:p>
            <w:pPr>
              <w:spacing w:after="0"/>
              <w:rPr>
                <w:sz w:val="11"/>
                <w:szCs w:val="11"/>
                <w:color w:val="auto"/>
              </w:rPr>
            </w:pPr>
          </w:p>
        </w:tc>
        <w:tc>
          <w:tcPr>
            <w:tcW w:w="16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8"/>
              </w:rPr>
              <w:t>Held to Maturity</w:t>
            </w:r>
          </w:p>
        </w:tc>
        <w:tc>
          <w:tcPr>
            <w:tcW w:w="420" w:type="dxa"/>
            <w:vAlign w:val="bottom"/>
          </w:tcPr>
          <w:p>
            <w:pPr>
              <w:spacing w:after="0"/>
              <w:rPr>
                <w:sz w:val="11"/>
                <w:szCs w:val="11"/>
                <w:color w:val="auto"/>
              </w:rPr>
            </w:pPr>
          </w:p>
        </w:tc>
        <w:tc>
          <w:tcPr>
            <w:tcW w:w="1280" w:type="dxa"/>
            <w:vAlign w:val="bottom"/>
          </w:tcPr>
          <w:p>
            <w:pPr>
              <w:jc w:val="right"/>
              <w:ind w:right="633"/>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6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with gross unrealized or unrecognized losses, fair value</w:t>
            </w:r>
          </w:p>
        </w:tc>
        <w:tc>
          <w:tcPr>
            <w:tcW w:w="240" w:type="dxa"/>
            <w:vAlign w:val="bottom"/>
            <w:tcBorders>
              <w:top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1460" w:type="dxa"/>
            <w:vAlign w:val="bottom"/>
            <w:tcBorders>
              <w:top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2,062,817</w:t>
            </w:r>
          </w:p>
        </w:tc>
        <w:tc>
          <w:tcPr>
            <w:tcW w:w="80" w:type="dxa"/>
            <w:vAlign w:val="bottom"/>
            <w:tcBorders>
              <w:top w:val="single" w:sz="8" w:color="E0E7ED"/>
            </w:tcBorders>
            <w:shd w:val="clear" w:color="auto" w:fill="E0E7ED"/>
          </w:tcPr>
          <w:p>
            <w:pPr>
              <w:spacing w:after="0"/>
              <w:rPr>
                <w:sz w:val="18"/>
                <w:szCs w:val="18"/>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580" w:type="dxa"/>
            <w:vAlign w:val="bottom"/>
            <w:tcBorders>
              <w:top w:val="single" w:sz="8" w:color="auto"/>
            </w:tcBorders>
            <w:shd w:val="clear" w:color="auto" w:fill="E0E7ED"/>
          </w:tcPr>
          <w:p>
            <w:pPr>
              <w:jc w:val="right"/>
              <w:ind w:right="155"/>
              <w:spacing w:after="0"/>
              <w:rPr>
                <w:sz w:val="20"/>
                <w:szCs w:val="20"/>
                <w:color w:val="auto"/>
              </w:rPr>
            </w:pPr>
            <w:r>
              <w:rPr>
                <w:rFonts w:ascii="Verdana" w:cs="Verdana" w:eastAsia="Verdana" w:hAnsi="Verdana"/>
                <w:sz w:val="14"/>
                <w:szCs w:val="14"/>
                <w:color w:val="auto"/>
              </w:rPr>
              <w:t>730,397</w:t>
            </w:r>
          </w:p>
        </w:tc>
        <w:tc>
          <w:tcPr>
            <w:tcW w:w="80" w:type="dxa"/>
            <w:vAlign w:val="bottom"/>
            <w:tcBorders>
              <w:top w:val="single" w:sz="8" w:color="E0E7ED"/>
            </w:tcBorders>
            <w:shd w:val="clear" w:color="auto" w:fill="E0E7ED"/>
          </w:tcPr>
          <w:p>
            <w:pPr>
              <w:spacing w:after="0"/>
              <w:rPr>
                <w:sz w:val="18"/>
                <w:szCs w:val="18"/>
                <w:color w:val="auto"/>
              </w:rPr>
            </w:pPr>
          </w:p>
        </w:tc>
        <w:tc>
          <w:tcPr>
            <w:tcW w:w="420" w:type="dxa"/>
            <w:vAlign w:val="bottom"/>
            <w:tcBorders>
              <w:top w:val="single" w:sz="8" w:color="auto"/>
            </w:tcBorders>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280" w:type="dxa"/>
            <w:vAlign w:val="bottom"/>
            <w:tcBorders>
              <w:top w:val="single" w:sz="8" w:color="auto"/>
            </w:tcBorders>
            <w:shd w:val="clear" w:color="auto" w:fill="E0E7ED"/>
          </w:tcPr>
          <w:p>
            <w:pPr>
              <w:jc w:val="right"/>
              <w:ind w:right="153"/>
              <w:spacing w:after="0"/>
              <w:rPr>
                <w:sz w:val="20"/>
                <w:szCs w:val="20"/>
                <w:color w:val="auto"/>
              </w:rPr>
            </w:pPr>
            <w:r>
              <w:rPr>
                <w:rFonts w:ascii="Verdana" w:cs="Verdana" w:eastAsia="Verdana" w:hAnsi="Verdana"/>
                <w:sz w:val="14"/>
                <w:szCs w:val="14"/>
                <w:color w:val="auto"/>
              </w:rPr>
              <w:t>2,793,214</w:t>
            </w:r>
          </w:p>
        </w:tc>
      </w:tr>
      <w:tr>
        <w:trPr>
          <w:trHeight w:val="207"/>
        </w:trPr>
        <w:tc>
          <w:tcPr>
            <w:tcW w:w="6020" w:type="dxa"/>
            <w:vAlign w:val="bottom"/>
          </w:tcPr>
          <w:p>
            <w:pPr>
              <w:ind w:left="20"/>
              <w:spacing w:after="0"/>
              <w:rPr>
                <w:sz w:val="20"/>
                <w:szCs w:val="20"/>
                <w:color w:val="auto"/>
              </w:rPr>
            </w:pPr>
            <w:r>
              <w:rPr>
                <w:rFonts w:ascii="Verdana" w:cs="Verdana" w:eastAsia="Verdana" w:hAnsi="Verdana"/>
                <w:sz w:val="14"/>
                <w:szCs w:val="14"/>
                <w:color w:val="auto"/>
              </w:rPr>
              <w:t>Gross unrealized or unrecognized losses on debt securities</w:t>
            </w:r>
          </w:p>
        </w:tc>
        <w:tc>
          <w:tcPr>
            <w:tcW w:w="24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Verdana" w:cs="Verdana" w:eastAsia="Verdana" w:hAnsi="Verdana"/>
                <w:sz w:val="14"/>
                <w:szCs w:val="14"/>
                <w:color w:val="auto"/>
              </w:rPr>
              <w:t>247,245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55"/>
              <w:spacing w:after="0"/>
              <w:rPr>
                <w:sz w:val="20"/>
                <w:szCs w:val="20"/>
                <w:color w:val="auto"/>
              </w:rPr>
            </w:pPr>
            <w:r>
              <w:rPr>
                <w:rFonts w:ascii="Verdana" w:cs="Verdana" w:eastAsia="Verdana" w:hAnsi="Verdana"/>
                <w:sz w:val="14"/>
                <w:szCs w:val="14"/>
                <w:color w:val="auto"/>
              </w:rPr>
              <w:t>142,231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Verdana" w:cs="Verdana" w:eastAsia="Verdana" w:hAnsi="Verdana"/>
                <w:sz w:val="14"/>
                <w:szCs w:val="14"/>
                <w:color w:val="auto"/>
              </w:rPr>
              <w:t>389,476</w:t>
            </w:r>
          </w:p>
        </w:tc>
      </w:tr>
      <w:tr>
        <w:trPr>
          <w:trHeight w:val="19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Ratio of gross unrealized or unrecognized losses to debt securities with gross</w:t>
            </w:r>
          </w:p>
        </w:tc>
        <w:tc>
          <w:tcPr>
            <w:tcW w:w="240" w:type="dxa"/>
            <w:vAlign w:val="bottom"/>
            <w:shd w:val="clear" w:color="auto" w:fill="E0E7ED"/>
          </w:tcPr>
          <w:p>
            <w:pPr>
              <w:spacing w:after="0"/>
              <w:rPr>
                <w:sz w:val="16"/>
                <w:szCs w:val="16"/>
                <w:color w:val="auto"/>
              </w:rPr>
            </w:pPr>
          </w:p>
        </w:tc>
        <w:tc>
          <w:tcPr>
            <w:tcW w:w="14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5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r>
      <w:tr>
        <w:trPr>
          <w:trHeight w:val="195"/>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unrealized or unrecognized losses</w:t>
            </w:r>
          </w:p>
        </w:tc>
        <w:tc>
          <w:tcPr>
            <w:tcW w:w="240" w:type="dxa"/>
            <w:vAlign w:val="bottom"/>
            <w:shd w:val="clear" w:color="auto" w:fill="E0E7ED"/>
          </w:tcPr>
          <w:p>
            <w:pPr>
              <w:spacing w:after="0"/>
              <w:rPr>
                <w:sz w:val="16"/>
                <w:szCs w:val="16"/>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12.0 %</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19.5 %</w:t>
            </w:r>
          </w:p>
        </w:tc>
        <w:tc>
          <w:tcPr>
            <w:tcW w:w="8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13.9 %</w:t>
            </w:r>
          </w:p>
        </w:tc>
      </w:tr>
      <w:tr>
        <w:trPr>
          <w:trHeight w:val="212"/>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6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Count of debt securities</w:t>
            </w:r>
          </w:p>
        </w:tc>
        <w:tc>
          <w:tcPr>
            <w:tcW w:w="240" w:type="dxa"/>
            <w:vAlign w:val="bottom"/>
            <w:shd w:val="clear" w:color="auto" w:fill="E0E7ED"/>
          </w:tcPr>
          <w:p>
            <w:pPr>
              <w:spacing w:after="0"/>
              <w:rPr>
                <w:sz w:val="18"/>
                <w:szCs w:val="18"/>
                <w:color w:val="auto"/>
              </w:rPr>
            </w:pPr>
          </w:p>
        </w:tc>
        <w:tc>
          <w:tcPr>
            <w:tcW w:w="146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835</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580" w:type="dxa"/>
            <w:vAlign w:val="bottom"/>
            <w:shd w:val="clear" w:color="auto" w:fill="E0E7ED"/>
          </w:tcPr>
          <w:p>
            <w:pPr>
              <w:jc w:val="right"/>
              <w:ind w:right="155"/>
              <w:spacing w:after="0"/>
              <w:rPr>
                <w:sz w:val="20"/>
                <w:szCs w:val="20"/>
                <w:color w:val="auto"/>
              </w:rPr>
            </w:pPr>
            <w:r>
              <w:rPr>
                <w:rFonts w:ascii="Verdana" w:cs="Verdana" w:eastAsia="Verdana" w:hAnsi="Verdana"/>
                <w:sz w:val="14"/>
                <w:szCs w:val="14"/>
                <w:color w:val="auto"/>
              </w:rPr>
              <w:t>55</w:t>
            </w: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28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890</w:t>
            </w:r>
          </w:p>
        </w:tc>
      </w:tr>
      <w:tr>
        <w:trPr>
          <w:trHeight w:val="201"/>
        </w:trPr>
        <w:tc>
          <w:tcPr>
            <w:tcW w:w="6020" w:type="dxa"/>
            <w:vAlign w:val="bottom"/>
          </w:tcPr>
          <w:p>
            <w:pPr>
              <w:ind w:left="20"/>
              <w:spacing w:after="0"/>
              <w:rPr>
                <w:sz w:val="20"/>
                <w:szCs w:val="20"/>
                <w:color w:val="auto"/>
              </w:rPr>
            </w:pPr>
            <w:r>
              <w:rPr>
                <w:rFonts w:ascii="Verdana" w:cs="Verdana" w:eastAsia="Verdana" w:hAnsi="Verdana"/>
                <w:sz w:val="14"/>
                <w:szCs w:val="14"/>
                <w:color w:val="auto"/>
              </w:rPr>
              <w:t>Count of debt securities in an unrealized or unrecognized loss position</w:t>
            </w:r>
          </w:p>
        </w:tc>
        <w:tc>
          <w:tcPr>
            <w:tcW w:w="240" w:type="dxa"/>
            <w:vAlign w:val="bottom"/>
          </w:tcPr>
          <w:p>
            <w:pPr>
              <w:spacing w:after="0"/>
              <w:rPr>
                <w:sz w:val="17"/>
                <w:szCs w:val="17"/>
                <w:color w:val="auto"/>
              </w:rPr>
            </w:pPr>
          </w:p>
        </w:tc>
        <w:tc>
          <w:tcPr>
            <w:tcW w:w="1460" w:type="dxa"/>
            <w:vAlign w:val="bottom"/>
          </w:tcPr>
          <w:p>
            <w:pPr>
              <w:jc w:val="right"/>
              <w:ind w:right="153"/>
              <w:spacing w:after="0"/>
              <w:rPr>
                <w:sz w:val="20"/>
                <w:szCs w:val="20"/>
                <w:color w:val="auto"/>
              </w:rPr>
            </w:pPr>
            <w:r>
              <w:rPr>
                <w:rFonts w:ascii="Verdana" w:cs="Verdana" w:eastAsia="Verdana" w:hAnsi="Verdana"/>
                <w:sz w:val="14"/>
                <w:szCs w:val="14"/>
                <w:color w:val="auto"/>
              </w:rPr>
              <w:t>779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55"/>
              <w:spacing w:after="0"/>
              <w:rPr>
                <w:sz w:val="20"/>
                <w:szCs w:val="20"/>
                <w:color w:val="auto"/>
              </w:rPr>
            </w:pPr>
            <w:r>
              <w:rPr>
                <w:rFonts w:ascii="Verdana" w:cs="Verdana" w:eastAsia="Verdana" w:hAnsi="Verdana"/>
                <w:sz w:val="14"/>
                <w:szCs w:val="14"/>
                <w:color w:val="auto"/>
              </w:rPr>
              <w:t>55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Verdana" w:cs="Verdana" w:eastAsia="Verdana" w:hAnsi="Verdana"/>
                <w:sz w:val="14"/>
                <w:szCs w:val="14"/>
                <w:color w:val="auto"/>
              </w:rPr>
              <w:t>834</w:t>
            </w:r>
          </w:p>
        </w:tc>
      </w:tr>
    </w:tbl>
    <w:p>
      <w:pPr>
        <w:spacing w:after="0" w:line="219"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Unrealized and unrecognized losses were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on debt securities available for sale is recognized in AOCI, net of applicable taxes. As of December 31, 2024, Busey did not hold general obligation bonds of any single issuer, the aggregate of which exceeded 10% of Busey’s stockholders’ equity.</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3" w:name="page124"/>
    <w:bookmarkEnd w:id="12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4. PORTFOLIO LOANS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 Categories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Busey’s lending can be summarized into two primary categories: commercial and retail. Loans within these categories are further classified by lending activity: C&amp;I and other commercial, CRE, real estate construction, retail real estate, and retail other. Distributions of the loan portfolio by loan category and lending activity is presented in the following table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1,904,515</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1,835,994</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3,269,564</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3,337,337</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378,209</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461,717</w:t>
            </w:r>
          </w:p>
        </w:tc>
      </w:tr>
      <w:tr>
        <w:trPr>
          <w:trHeight w:val="20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5,552,288</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5,635,048</w:t>
            </w:r>
          </w:p>
        </w:tc>
      </w:tr>
      <w:tr>
        <w:trPr>
          <w:trHeight w:val="187"/>
        </w:trPr>
        <w:tc>
          <w:tcPr>
            <w:tcW w:w="802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1,696,457</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1,720,455</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448,342</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295,531</w:t>
            </w:r>
          </w:p>
        </w:tc>
      </w:tr>
      <w:tr>
        <w:trPr>
          <w:trHeight w:val="203"/>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38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2,144,799</w:t>
            </w:r>
          </w:p>
        </w:tc>
        <w:tc>
          <w:tcPr>
            <w:tcW w:w="100" w:type="dxa"/>
            <w:vAlign w:val="bottom"/>
            <w:shd w:val="clear" w:color="auto" w:fill="E0E7ED"/>
          </w:tcPr>
          <w:p>
            <w:pPr>
              <w:spacing w:after="0"/>
              <w:rPr>
                <w:sz w:val="17"/>
                <w:szCs w:val="17"/>
                <w:color w:val="auto"/>
              </w:rPr>
            </w:pPr>
          </w:p>
        </w:tc>
        <w:tc>
          <w:tcPr>
            <w:tcW w:w="560" w:type="dxa"/>
            <w:vAlign w:val="bottom"/>
            <w:tcBorders>
              <w:bottom w:val="single" w:sz="8" w:color="auto"/>
            </w:tcBorders>
            <w:shd w:val="clear" w:color="auto" w:fill="E0E7ED"/>
          </w:tcPr>
          <w:p>
            <w:pPr>
              <w:spacing w:after="0"/>
              <w:rPr>
                <w:sz w:val="17"/>
                <w:szCs w:val="17"/>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2,015,986</w:t>
            </w:r>
          </w:p>
        </w:tc>
      </w:tr>
      <w:tr>
        <w:trPr>
          <w:trHeight w:val="198"/>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portfolio loans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7,697,087</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7,651,034</w:t>
            </w:r>
          </w:p>
        </w:tc>
      </w:tr>
      <w:tr>
        <w:trPr>
          <w:trHeight w:val="207"/>
        </w:trPr>
        <w:tc>
          <w:tcPr>
            <w:tcW w:w="80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ACL</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(83,404)</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(91,740)</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Portfolio loans, net</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7,613,683</w:t>
            </w:r>
          </w:p>
        </w:tc>
        <w:tc>
          <w:tcPr>
            <w:tcW w:w="100" w:type="dxa"/>
            <w:vAlign w:val="bottom"/>
            <w:tcBorders>
              <w:bottom w:val="single" w:sz="8" w:color="E0E7ED"/>
            </w:tcBorders>
            <w:shd w:val="clear" w:color="auto" w:fill="E0E7ED"/>
          </w:tcPr>
          <w:p>
            <w:pPr>
              <w:spacing w:after="0"/>
              <w:rPr>
                <w:sz w:val="19"/>
                <w:szCs w:val="19"/>
                <w:color w:val="auto"/>
              </w:rPr>
            </w:pPr>
          </w:p>
        </w:tc>
        <w:tc>
          <w:tcPr>
            <w:tcW w:w="560" w:type="dxa"/>
            <w:vAlign w:val="bottom"/>
            <w:tcBorders>
              <w:bottom w:val="single" w:sz="8" w:color="auto"/>
            </w:tcBorders>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7,559,294</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Net deferred loan origination costs included in the balances above were $12.5 million as of December 31, 2024, compared to $13.5 million as of December 31, 2023. Net accretable purchase accounting adjustments included in the balances above reduced loans by $8.8 million as of December 31, 2024, and by $4.5 million as of December 31, 2023.</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elected to purchase $6.9 million of retail real estate loans during the year ended December 31, 2024, and did not purchase any retail real estate loans during the years ended December 31, 2023 or 2022.</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Pledged Loans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principal balance of loans Busey has pledged as collateral to the FHLB and Federal Reserve Bank for liquidity as set forth in the table below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Pledged loans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FHLB</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4,813,600</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4,865,481</w:t>
            </w:r>
          </w:p>
        </w:tc>
      </w:tr>
      <w:tr>
        <w:trPr>
          <w:trHeight w:val="212"/>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Federal Reserve Bank</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765,824</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722,914</w:t>
            </w: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Total pledged loans</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5,579,424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5,588,395</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4" w:name="page125"/>
    <w:bookmarkEnd w:id="12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Risk Grading</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Busey utilizes a loan grading scale to assign a risk grade to all of its loans. A description of the general characteristics of each grade is as follows:</w:t>
      </w:r>
    </w:p>
    <w:p>
      <w:pPr>
        <w:spacing w:after="0" w:line="138" w:lineRule="exact"/>
        <w:rPr>
          <w:sz w:val="20"/>
          <w:szCs w:val="20"/>
          <w:color w:val="auto"/>
        </w:rPr>
      </w:pPr>
    </w:p>
    <w:p>
      <w:pPr>
        <w:ind w:left="520" w:hanging="260"/>
        <w:spacing w:after="0" w:line="259" w:lineRule="auto"/>
        <w:tabs>
          <w:tab w:leader="none" w:pos="512" w:val="left"/>
        </w:tabs>
        <w:numPr>
          <w:ilvl w:val="0"/>
          <w:numId w:val="38"/>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Pass </w:t>
      </w:r>
      <w:r>
        <w:rPr>
          <w:rFonts w:ascii="Verdana" w:cs="Verdana" w:eastAsia="Verdana" w:hAnsi="Verdana"/>
          <w:sz w:val="14"/>
          <w:szCs w:val="14"/>
          <w:color w:val="auto"/>
        </w:rPr>
        <w:t>– This category includes loans that are all considered acceptable credits, ranging from investment or near investment grade, to loans made to</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borrowers who exhibit credit fundamentals that meet or exceed industry standards.</w:t>
      </w:r>
    </w:p>
    <w:p>
      <w:pPr>
        <w:spacing w:after="0" w:line="120" w:lineRule="exact"/>
        <w:rPr>
          <w:rFonts w:ascii="Verdana" w:cs="Verdana" w:eastAsia="Verdana" w:hAnsi="Verdana"/>
          <w:sz w:val="14"/>
          <w:szCs w:val="14"/>
          <w:color w:val="auto"/>
        </w:rPr>
      </w:pPr>
    </w:p>
    <w:p>
      <w:pPr>
        <w:jc w:val="both"/>
        <w:ind w:left="520" w:hanging="260"/>
        <w:spacing w:after="0" w:line="249" w:lineRule="auto"/>
        <w:tabs>
          <w:tab w:leader="none" w:pos="512" w:val="left"/>
        </w:tabs>
        <w:numPr>
          <w:ilvl w:val="0"/>
          <w:numId w:val="38"/>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Watch </w:t>
      </w:r>
      <w:r>
        <w:rPr>
          <w:rFonts w:ascii="Verdana" w:cs="Verdana" w:eastAsia="Verdana" w:hAnsi="Verdana"/>
          <w:sz w:val="14"/>
          <w:szCs w:val="14"/>
          <w:color w:val="auto"/>
        </w:rPr>
        <w:t>– This category includes loans that warrant a higher-than-average level of monitoring to ensure that weaknesses do not cause the inability of</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the credit to perform as expected. These loans are not necessarily a problem due to other inherent strengths of the credit, such as guarantor strength, but have above average concern and monitoring.</w:t>
      </w:r>
    </w:p>
    <w:p>
      <w:pPr>
        <w:spacing w:after="0" w:line="117"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38"/>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Special mention </w:t>
      </w:r>
      <w:r>
        <w:rPr>
          <w:rFonts w:ascii="Verdana" w:cs="Verdana" w:eastAsia="Verdana" w:hAnsi="Verdana"/>
          <w:sz w:val="14"/>
          <w:szCs w:val="14"/>
          <w:color w:val="auto"/>
        </w:rPr>
        <w:t>– This category is for “Other Assets Specially Mentioned” loans that have potential weaknesses, which may, if not checked or</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corrected, weaken the asset, or inadequately protect Busey’s credit position at some future date.</w:t>
      </w:r>
    </w:p>
    <w:p>
      <w:pPr>
        <w:spacing w:after="0" w:line="110" w:lineRule="exact"/>
        <w:rPr>
          <w:rFonts w:ascii="Verdana" w:cs="Verdana" w:eastAsia="Verdana" w:hAnsi="Verdana"/>
          <w:sz w:val="14"/>
          <w:szCs w:val="14"/>
          <w:color w:val="auto"/>
        </w:rPr>
      </w:pPr>
    </w:p>
    <w:p>
      <w:pPr>
        <w:jc w:val="both"/>
        <w:ind w:left="520" w:hanging="260"/>
        <w:spacing w:after="0" w:line="249" w:lineRule="auto"/>
        <w:tabs>
          <w:tab w:leader="none" w:pos="512" w:val="left"/>
        </w:tabs>
        <w:numPr>
          <w:ilvl w:val="0"/>
          <w:numId w:val="38"/>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Substandard </w:t>
      </w:r>
      <w:r>
        <w:rPr>
          <w:rFonts w:ascii="Verdana" w:cs="Verdana" w:eastAsia="Verdana" w:hAnsi="Verdana"/>
          <w:sz w:val="14"/>
          <w:szCs w:val="14"/>
          <w:color w:val="auto"/>
        </w:rPr>
        <w:t>– This category includes “Substandard” loans, determined in accordance with regulatory guidelines, for which the accrual of interest has</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28" w:lineRule="exact"/>
        <w:rPr>
          <w:rFonts w:ascii="Verdana" w:cs="Verdana" w:eastAsia="Verdana" w:hAnsi="Verdana"/>
          <w:sz w:val="14"/>
          <w:szCs w:val="14"/>
          <w:color w:val="auto"/>
        </w:rPr>
      </w:pPr>
    </w:p>
    <w:p>
      <w:pPr>
        <w:jc w:val="both"/>
        <w:ind w:left="520" w:hanging="260"/>
        <w:spacing w:after="0" w:line="249" w:lineRule="auto"/>
        <w:tabs>
          <w:tab w:leader="none" w:pos="512" w:val="left"/>
        </w:tabs>
        <w:numPr>
          <w:ilvl w:val="0"/>
          <w:numId w:val="38"/>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Substandard non-accrual </w:t>
      </w:r>
      <w:r>
        <w:rPr>
          <w:rFonts w:ascii="Verdana" w:cs="Verdana" w:eastAsia="Verdana" w:hAnsi="Verdana"/>
          <w:sz w:val="14"/>
          <w:szCs w:val="14"/>
          <w:color w:val="auto"/>
        </w:rPr>
        <w:t>– This category includes loans that have all the characteristics of a “Substandard” loan with additional factors that make</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collection in full highly questionable and improbable. Such loans are placed on non-accrual status and may be dependent on collateral with a value that is difficult to determine.</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5" w:name="page126"/>
    <w:bookmarkEnd w:id="12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is a summary of risk grades segregated by category of portfolio loans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0"/>
                <w:szCs w:val="10"/>
                <w:b w:val="1"/>
                <w:bCs w:val="1"/>
                <w:color w:val="auto"/>
              </w:rPr>
              <w:t>As of December 31, 2024</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vMerge w:val="restart"/>
          </w:tcPr>
          <w:p>
            <w:pPr>
              <w:ind w:left="220"/>
              <w:spacing w:after="0"/>
              <w:rPr>
                <w:sz w:val="20"/>
                <w:szCs w:val="20"/>
                <w:color w:val="auto"/>
              </w:rPr>
            </w:pPr>
            <w:r>
              <w:rPr>
                <w:rFonts w:ascii="Verdana" w:cs="Verdana" w:eastAsia="Verdana" w:hAnsi="Verdana"/>
                <w:sz w:val="10"/>
                <w:szCs w:val="10"/>
                <w:b w:val="1"/>
                <w:bCs w:val="1"/>
                <w:color w:val="auto"/>
              </w:rPr>
              <w:t>Pass</w:t>
            </w:r>
          </w:p>
        </w:tc>
        <w:tc>
          <w:tcPr>
            <w:tcW w:w="240" w:type="dxa"/>
            <w:vAlign w:val="bottom"/>
          </w:tcPr>
          <w:p>
            <w:pPr>
              <w:spacing w:after="0"/>
              <w:rPr>
                <w:sz w:val="8"/>
                <w:szCs w:val="8"/>
                <w:color w:val="auto"/>
              </w:rPr>
            </w:pPr>
          </w:p>
        </w:tc>
        <w:tc>
          <w:tcPr>
            <w:tcW w:w="980" w:type="dxa"/>
            <w:vAlign w:val="bottom"/>
            <w:gridSpan w:val="2"/>
            <w:vMerge w:val="restart"/>
          </w:tcPr>
          <w:p>
            <w:pPr>
              <w:ind w:left="160"/>
              <w:spacing w:after="0"/>
              <w:rPr>
                <w:sz w:val="20"/>
                <w:szCs w:val="20"/>
                <w:color w:val="auto"/>
              </w:rPr>
            </w:pPr>
            <w:r>
              <w:rPr>
                <w:rFonts w:ascii="Verdana" w:cs="Verdana" w:eastAsia="Verdana" w:hAnsi="Verdana"/>
                <w:sz w:val="10"/>
                <w:szCs w:val="10"/>
                <w:b w:val="1"/>
                <w:bCs w:val="1"/>
                <w:color w:val="auto"/>
              </w:rPr>
              <w:t>Watch</w:t>
            </w:r>
          </w:p>
        </w:tc>
        <w:tc>
          <w:tcPr>
            <w:tcW w:w="240" w:type="dxa"/>
            <w:vAlign w:val="bottom"/>
          </w:tcPr>
          <w:p>
            <w:pPr>
              <w:spacing w:after="0"/>
              <w:rPr>
                <w:sz w:val="8"/>
                <w:szCs w:val="8"/>
                <w:color w:val="auto"/>
              </w:rPr>
            </w:pPr>
          </w:p>
        </w:tc>
        <w:tc>
          <w:tcPr>
            <w:tcW w:w="1000" w:type="dxa"/>
            <w:vAlign w:val="bottom"/>
            <w:gridSpan w:val="2"/>
          </w:tcPr>
          <w:p>
            <w:pPr>
              <w:jc w:val="center"/>
              <w:ind w:right="320"/>
              <w:spacing w:after="0" w:line="94" w:lineRule="exact"/>
              <w:rPr>
                <w:sz w:val="20"/>
                <w:szCs w:val="20"/>
                <w:color w:val="auto"/>
              </w:rPr>
            </w:pPr>
            <w:r>
              <w:rPr>
                <w:rFonts w:ascii="Verdana" w:cs="Verdana" w:eastAsia="Verdana" w:hAnsi="Verdana"/>
                <w:sz w:val="10"/>
                <w:szCs w:val="10"/>
                <w:b w:val="1"/>
                <w:bCs w:val="1"/>
                <w:color w:val="auto"/>
                <w:w w:val="99"/>
              </w:rPr>
              <w:t>Special</w:t>
            </w:r>
          </w:p>
        </w:tc>
        <w:tc>
          <w:tcPr>
            <w:tcW w:w="160" w:type="dxa"/>
            <w:vAlign w:val="bottom"/>
          </w:tcPr>
          <w:p>
            <w:pPr>
              <w:spacing w:after="0"/>
              <w:rPr>
                <w:sz w:val="8"/>
                <w:szCs w:val="8"/>
                <w:color w:val="auto"/>
              </w:rPr>
            </w:pPr>
          </w:p>
        </w:tc>
        <w:tc>
          <w:tcPr>
            <w:tcW w:w="1060" w:type="dxa"/>
            <w:vAlign w:val="bottom"/>
            <w:gridSpan w:val="2"/>
            <w:vMerge w:val="restart"/>
          </w:tcPr>
          <w:p>
            <w:pPr>
              <w:ind w:left="60"/>
              <w:spacing w:after="0"/>
              <w:rPr>
                <w:sz w:val="20"/>
                <w:szCs w:val="20"/>
                <w:color w:val="auto"/>
              </w:rPr>
            </w:pPr>
            <w:r>
              <w:rPr>
                <w:rFonts w:ascii="Verdana" w:cs="Verdana" w:eastAsia="Verdana" w:hAnsi="Verdana"/>
                <w:sz w:val="10"/>
                <w:szCs w:val="10"/>
                <w:b w:val="1"/>
                <w:bCs w:val="1"/>
                <w:color w:val="auto"/>
              </w:rPr>
              <w:t>Substandard</w:t>
            </w:r>
          </w:p>
        </w:tc>
        <w:tc>
          <w:tcPr>
            <w:tcW w:w="180" w:type="dxa"/>
            <w:vAlign w:val="bottom"/>
          </w:tcPr>
          <w:p>
            <w:pPr>
              <w:spacing w:after="0"/>
              <w:rPr>
                <w:sz w:val="8"/>
                <w:szCs w:val="8"/>
                <w:color w:val="auto"/>
              </w:rPr>
            </w:pPr>
          </w:p>
        </w:tc>
        <w:tc>
          <w:tcPr>
            <w:tcW w:w="1060" w:type="dxa"/>
            <w:vAlign w:val="bottom"/>
            <w:gridSpan w:val="2"/>
          </w:tcPr>
          <w:p>
            <w:pPr>
              <w:ind w:left="60"/>
              <w:spacing w:after="0" w:line="94" w:lineRule="exact"/>
              <w:rPr>
                <w:sz w:val="20"/>
                <w:szCs w:val="20"/>
                <w:color w:val="auto"/>
              </w:rPr>
            </w:pPr>
            <w:r>
              <w:rPr>
                <w:rFonts w:ascii="Verdana" w:cs="Verdana" w:eastAsia="Verdana" w:hAnsi="Verdana"/>
                <w:sz w:val="10"/>
                <w:szCs w:val="10"/>
                <w:b w:val="1"/>
                <w:bCs w:val="1"/>
                <w:color w:val="auto"/>
              </w:rPr>
              <w:t>Substandard</w:t>
            </w:r>
          </w:p>
        </w:tc>
        <w:tc>
          <w:tcPr>
            <w:tcW w:w="24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rPr>
              <w:t>Mention</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80"/>
              <w:spacing w:after="0"/>
              <w:rPr>
                <w:sz w:val="20"/>
                <w:szCs w:val="20"/>
                <w:color w:val="auto"/>
              </w:rPr>
            </w:pPr>
            <w:r>
              <w:rPr>
                <w:rFonts w:ascii="Verdana" w:cs="Verdana" w:eastAsia="Verdana" w:hAnsi="Verdana"/>
                <w:sz w:val="10"/>
                <w:szCs w:val="10"/>
                <w:b w:val="1"/>
                <w:bCs w:val="1"/>
                <w:color w:val="auto"/>
              </w:rPr>
              <w:t>Non-accrual</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1,545,338</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ind w:right="12"/>
              <w:spacing w:after="0"/>
              <w:rPr>
                <w:sz w:val="20"/>
                <w:szCs w:val="20"/>
                <w:color w:val="auto"/>
              </w:rPr>
            </w:pPr>
            <w:r>
              <w:rPr>
                <w:rFonts w:ascii="Verdana" w:cs="Verdana" w:eastAsia="Verdana" w:hAnsi="Verdana"/>
                <w:sz w:val="14"/>
                <w:szCs w:val="14"/>
                <w:color w:val="auto"/>
              </w:rPr>
              <w:t>281,424</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5"/>
              <w:spacing w:after="0"/>
              <w:rPr>
                <w:sz w:val="20"/>
                <w:szCs w:val="20"/>
                <w:color w:val="auto"/>
              </w:rPr>
            </w:pPr>
            <w:r>
              <w:rPr>
                <w:rFonts w:ascii="Verdana" w:cs="Verdana" w:eastAsia="Verdana" w:hAnsi="Verdana"/>
                <w:sz w:val="14"/>
                <w:szCs w:val="14"/>
                <w:color w:val="auto"/>
              </w:rPr>
              <w:t>36,152</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37,749</w:t>
            </w:r>
          </w:p>
        </w:tc>
        <w:tc>
          <w:tcPr>
            <w:tcW w:w="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ind w:right="14"/>
              <w:spacing w:after="0"/>
              <w:rPr>
                <w:sz w:val="20"/>
                <w:szCs w:val="20"/>
                <w:color w:val="auto"/>
              </w:rPr>
            </w:pPr>
            <w:r>
              <w:rPr>
                <w:rFonts w:ascii="Verdana" w:cs="Verdana" w:eastAsia="Verdana" w:hAnsi="Verdana"/>
                <w:sz w:val="14"/>
                <w:szCs w:val="14"/>
                <w:color w:val="auto"/>
              </w:rPr>
              <w:t>3,852</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1,904,515</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2,744,018</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438,945</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55,041</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16,507</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15,053</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3,269,564</w:t>
            </w:r>
          </w:p>
        </w:tc>
        <w:tc>
          <w:tcPr>
            <w:tcW w:w="0" w:type="dxa"/>
            <w:vAlign w:val="bottom"/>
          </w:tcPr>
          <w:p>
            <w:pPr>
              <w:spacing w:after="0"/>
              <w:rPr>
                <w:sz w:val="1"/>
                <w:szCs w:val="1"/>
                <w:color w:val="auto"/>
              </w:rPr>
            </w:pPr>
          </w:p>
        </w:tc>
      </w:tr>
      <w:tr>
        <w:trPr>
          <w:trHeight w:val="207"/>
        </w:trPr>
        <w:tc>
          <w:tcPr>
            <w:tcW w:w="39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345,908</w:t>
            </w:r>
          </w:p>
        </w:tc>
        <w:tc>
          <w:tcPr>
            <w:tcW w:w="8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26,833</w:t>
            </w:r>
          </w:p>
        </w:tc>
        <w:tc>
          <w:tcPr>
            <w:tcW w:w="6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221</w:t>
            </w:r>
          </w:p>
        </w:tc>
        <w:tc>
          <w:tcPr>
            <w:tcW w:w="60" w:type="dxa"/>
            <w:vAlign w:val="bottom"/>
            <w:tcBorders>
              <w:bottom w:val="single" w:sz="8" w:color="E0E7ED"/>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5,224</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23</w:t>
            </w:r>
          </w:p>
        </w:tc>
        <w:tc>
          <w:tcPr>
            <w:tcW w:w="60" w:type="dxa"/>
            <w:vAlign w:val="bottom"/>
            <w:tcBorders>
              <w:bottom w:val="single" w:sz="8" w:color="E0E7E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378,209</w:t>
            </w:r>
          </w:p>
        </w:tc>
        <w:tc>
          <w:tcPr>
            <w:tcW w:w="0" w:type="dxa"/>
            <w:vAlign w:val="bottom"/>
          </w:tcPr>
          <w:p>
            <w:pPr>
              <w:spacing w:after="0"/>
              <w:rPr>
                <w:sz w:val="1"/>
                <w:szCs w:val="1"/>
                <w:color w:val="auto"/>
              </w:rPr>
            </w:pPr>
          </w:p>
        </w:tc>
      </w:tr>
      <w:tr>
        <w:trPr>
          <w:trHeight w:val="208"/>
        </w:trPr>
        <w:tc>
          <w:tcPr>
            <w:tcW w:w="3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24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4,635,264</w:t>
            </w:r>
          </w:p>
        </w:tc>
        <w:tc>
          <w:tcPr>
            <w:tcW w:w="8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747,202</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91,414</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59,480</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18,928</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5,552,288</w:t>
            </w:r>
          </w:p>
        </w:tc>
        <w:tc>
          <w:tcPr>
            <w:tcW w:w="0" w:type="dxa"/>
            <w:vAlign w:val="bottom"/>
          </w:tcPr>
          <w:p>
            <w:pPr>
              <w:spacing w:after="0"/>
              <w:rPr>
                <w:sz w:val="1"/>
                <w:szCs w:val="1"/>
                <w:color w:val="auto"/>
              </w:rPr>
            </w:pPr>
          </w:p>
        </w:tc>
      </w:tr>
      <w:tr>
        <w:trPr>
          <w:trHeight w:val="187"/>
        </w:trPr>
        <w:tc>
          <w:tcPr>
            <w:tcW w:w="396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1,680,640</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9,408</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882</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2,543</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2,984</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1,696,457</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Retail 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448,166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Verdana" w:cs="Verdana" w:eastAsia="Verdana" w:hAnsi="Verdana"/>
                <w:sz w:val="14"/>
                <w:szCs w:val="14"/>
                <w:color w:val="auto"/>
              </w:rPr>
              <w:t>176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448,342</w:t>
            </w:r>
          </w:p>
        </w:tc>
        <w:tc>
          <w:tcPr>
            <w:tcW w:w="0" w:type="dxa"/>
            <w:vAlign w:val="bottom"/>
          </w:tcPr>
          <w:p>
            <w:pPr>
              <w:spacing w:after="0"/>
              <w:rPr>
                <w:sz w:val="1"/>
                <w:szCs w:val="1"/>
                <w:color w:val="auto"/>
              </w:rPr>
            </w:pPr>
          </w:p>
        </w:tc>
      </w:tr>
      <w:tr>
        <w:trPr>
          <w:trHeight w:val="203"/>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2,128,806</w:t>
            </w: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9,408</w:t>
            </w: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882</w:t>
            </w: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bottom w:val="single" w:sz="8" w:color="auto"/>
            </w:tcBorders>
            <w:shd w:val="clear" w:color="auto" w:fill="E0E7ED"/>
          </w:tcPr>
          <w:p>
            <w:pPr>
              <w:spacing w:after="0"/>
              <w:rPr>
                <w:sz w:val="17"/>
                <w:szCs w:val="17"/>
                <w:color w:val="auto"/>
              </w:rPr>
            </w:pPr>
          </w:p>
        </w:tc>
        <w:tc>
          <w:tcPr>
            <w:tcW w:w="10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2,543</w:t>
            </w: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bottom w:val="single" w:sz="8" w:color="auto"/>
            </w:tcBorders>
            <w:shd w:val="clear" w:color="auto" w:fill="E0E7ED"/>
          </w:tcPr>
          <w:p>
            <w:pPr>
              <w:spacing w:after="0"/>
              <w:rPr>
                <w:sz w:val="17"/>
                <w:szCs w:val="17"/>
                <w:color w:val="auto"/>
              </w:rPr>
            </w:pPr>
          </w:p>
        </w:tc>
        <w:tc>
          <w:tcPr>
            <w:tcW w:w="100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3,160</w:t>
            </w: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2,144,799</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Verdana" w:cs="Verdana" w:eastAsia="Verdana" w:hAnsi="Verdana"/>
                <w:sz w:val="14"/>
                <w:szCs w:val="14"/>
                <w:color w:val="auto"/>
              </w:rPr>
              <w:t>Total portfolio loans</w:t>
            </w: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6,764,070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756,610</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92,296</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62,023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22,088</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7,697,087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0"/>
                <w:szCs w:val="10"/>
                <w:b w:val="1"/>
                <w:bCs w:val="1"/>
                <w:color w:val="auto"/>
              </w:rPr>
              <w:t>As of December 31, 2023</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vMerge w:val="restart"/>
          </w:tcPr>
          <w:p>
            <w:pPr>
              <w:ind w:left="220"/>
              <w:spacing w:after="0"/>
              <w:rPr>
                <w:sz w:val="20"/>
                <w:szCs w:val="20"/>
                <w:color w:val="auto"/>
              </w:rPr>
            </w:pPr>
            <w:r>
              <w:rPr>
                <w:rFonts w:ascii="Verdana" w:cs="Verdana" w:eastAsia="Verdana" w:hAnsi="Verdana"/>
                <w:sz w:val="10"/>
                <w:szCs w:val="10"/>
                <w:b w:val="1"/>
                <w:bCs w:val="1"/>
                <w:color w:val="auto"/>
              </w:rPr>
              <w:t>Pass</w:t>
            </w:r>
          </w:p>
        </w:tc>
        <w:tc>
          <w:tcPr>
            <w:tcW w:w="240" w:type="dxa"/>
            <w:vAlign w:val="bottom"/>
          </w:tcPr>
          <w:p>
            <w:pPr>
              <w:spacing w:after="0"/>
              <w:rPr>
                <w:sz w:val="8"/>
                <w:szCs w:val="8"/>
                <w:color w:val="auto"/>
              </w:rPr>
            </w:pPr>
          </w:p>
        </w:tc>
        <w:tc>
          <w:tcPr>
            <w:tcW w:w="980" w:type="dxa"/>
            <w:vAlign w:val="bottom"/>
            <w:gridSpan w:val="2"/>
            <w:vMerge w:val="restart"/>
          </w:tcPr>
          <w:p>
            <w:pPr>
              <w:ind w:left="160"/>
              <w:spacing w:after="0"/>
              <w:rPr>
                <w:sz w:val="20"/>
                <w:szCs w:val="20"/>
                <w:color w:val="auto"/>
              </w:rPr>
            </w:pPr>
            <w:r>
              <w:rPr>
                <w:rFonts w:ascii="Verdana" w:cs="Verdana" w:eastAsia="Verdana" w:hAnsi="Verdana"/>
                <w:sz w:val="10"/>
                <w:szCs w:val="10"/>
                <w:b w:val="1"/>
                <w:bCs w:val="1"/>
                <w:color w:val="auto"/>
              </w:rPr>
              <w:t>Watch</w:t>
            </w:r>
          </w:p>
        </w:tc>
        <w:tc>
          <w:tcPr>
            <w:tcW w:w="240" w:type="dxa"/>
            <w:vAlign w:val="bottom"/>
          </w:tcPr>
          <w:p>
            <w:pPr>
              <w:spacing w:after="0"/>
              <w:rPr>
                <w:sz w:val="8"/>
                <w:szCs w:val="8"/>
                <w:color w:val="auto"/>
              </w:rPr>
            </w:pPr>
          </w:p>
        </w:tc>
        <w:tc>
          <w:tcPr>
            <w:tcW w:w="1000" w:type="dxa"/>
            <w:vAlign w:val="bottom"/>
            <w:gridSpan w:val="2"/>
          </w:tcPr>
          <w:p>
            <w:pPr>
              <w:jc w:val="center"/>
              <w:ind w:right="320"/>
              <w:spacing w:after="0" w:line="94" w:lineRule="exact"/>
              <w:rPr>
                <w:sz w:val="20"/>
                <w:szCs w:val="20"/>
                <w:color w:val="auto"/>
              </w:rPr>
            </w:pPr>
            <w:r>
              <w:rPr>
                <w:rFonts w:ascii="Verdana" w:cs="Verdana" w:eastAsia="Verdana" w:hAnsi="Verdana"/>
                <w:sz w:val="10"/>
                <w:szCs w:val="10"/>
                <w:b w:val="1"/>
                <w:bCs w:val="1"/>
                <w:color w:val="auto"/>
                <w:w w:val="99"/>
              </w:rPr>
              <w:t>Special</w:t>
            </w:r>
          </w:p>
        </w:tc>
        <w:tc>
          <w:tcPr>
            <w:tcW w:w="160" w:type="dxa"/>
            <w:vAlign w:val="bottom"/>
          </w:tcPr>
          <w:p>
            <w:pPr>
              <w:spacing w:after="0"/>
              <w:rPr>
                <w:sz w:val="8"/>
                <w:szCs w:val="8"/>
                <w:color w:val="auto"/>
              </w:rPr>
            </w:pPr>
          </w:p>
        </w:tc>
        <w:tc>
          <w:tcPr>
            <w:tcW w:w="1060" w:type="dxa"/>
            <w:vAlign w:val="bottom"/>
            <w:gridSpan w:val="2"/>
            <w:vMerge w:val="restart"/>
          </w:tcPr>
          <w:p>
            <w:pPr>
              <w:ind w:left="60"/>
              <w:spacing w:after="0"/>
              <w:rPr>
                <w:sz w:val="20"/>
                <w:szCs w:val="20"/>
                <w:color w:val="auto"/>
              </w:rPr>
            </w:pPr>
            <w:r>
              <w:rPr>
                <w:rFonts w:ascii="Verdana" w:cs="Verdana" w:eastAsia="Verdana" w:hAnsi="Verdana"/>
                <w:sz w:val="10"/>
                <w:szCs w:val="10"/>
                <w:b w:val="1"/>
                <w:bCs w:val="1"/>
                <w:color w:val="auto"/>
              </w:rPr>
              <w:t>Substandard</w:t>
            </w:r>
          </w:p>
        </w:tc>
        <w:tc>
          <w:tcPr>
            <w:tcW w:w="180" w:type="dxa"/>
            <w:vAlign w:val="bottom"/>
          </w:tcPr>
          <w:p>
            <w:pPr>
              <w:spacing w:after="0"/>
              <w:rPr>
                <w:sz w:val="8"/>
                <w:szCs w:val="8"/>
                <w:color w:val="auto"/>
              </w:rPr>
            </w:pPr>
          </w:p>
        </w:tc>
        <w:tc>
          <w:tcPr>
            <w:tcW w:w="1060" w:type="dxa"/>
            <w:vAlign w:val="bottom"/>
            <w:gridSpan w:val="2"/>
          </w:tcPr>
          <w:p>
            <w:pPr>
              <w:ind w:left="60"/>
              <w:spacing w:after="0" w:line="94" w:lineRule="exact"/>
              <w:rPr>
                <w:sz w:val="20"/>
                <w:szCs w:val="20"/>
                <w:color w:val="auto"/>
              </w:rPr>
            </w:pPr>
            <w:r>
              <w:rPr>
                <w:rFonts w:ascii="Verdana" w:cs="Verdana" w:eastAsia="Verdana" w:hAnsi="Verdana"/>
                <w:sz w:val="10"/>
                <w:szCs w:val="10"/>
                <w:b w:val="1"/>
                <w:bCs w:val="1"/>
                <w:color w:val="auto"/>
              </w:rPr>
              <w:t>Substandard</w:t>
            </w:r>
          </w:p>
        </w:tc>
        <w:tc>
          <w:tcPr>
            <w:tcW w:w="240" w:type="dxa"/>
            <w:vAlign w:val="bottom"/>
          </w:tcPr>
          <w:p>
            <w:pPr>
              <w:spacing w:after="0"/>
              <w:rPr>
                <w:sz w:val="8"/>
                <w:szCs w:val="8"/>
                <w:color w:val="auto"/>
              </w:rPr>
            </w:pPr>
          </w:p>
        </w:tc>
        <w:tc>
          <w:tcPr>
            <w:tcW w:w="920" w:type="dxa"/>
            <w:vAlign w:val="bottom"/>
            <w:vMerge w:val="restart"/>
          </w:tcPr>
          <w:p>
            <w:pPr>
              <w:jc w:val="right"/>
              <w:ind w:right="37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rPr>
              <w:t>Mention</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80"/>
              <w:spacing w:after="0"/>
              <w:rPr>
                <w:sz w:val="20"/>
                <w:szCs w:val="20"/>
                <w:color w:val="auto"/>
              </w:rPr>
            </w:pPr>
            <w:r>
              <w:rPr>
                <w:rFonts w:ascii="Verdana" w:cs="Verdana" w:eastAsia="Verdana" w:hAnsi="Verdana"/>
                <w:sz w:val="10"/>
                <w:szCs w:val="10"/>
                <w:b w:val="1"/>
                <w:bCs w:val="1"/>
                <w:color w:val="auto"/>
              </w:rPr>
              <w:t>Non-accrual</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1,462,755</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ind w:right="12"/>
              <w:spacing w:after="0"/>
              <w:rPr>
                <w:sz w:val="20"/>
                <w:szCs w:val="20"/>
                <w:color w:val="auto"/>
              </w:rPr>
            </w:pPr>
            <w:r>
              <w:rPr>
                <w:rFonts w:ascii="Verdana" w:cs="Verdana" w:eastAsia="Verdana" w:hAnsi="Verdana"/>
                <w:sz w:val="14"/>
                <w:szCs w:val="14"/>
                <w:color w:val="auto"/>
              </w:rPr>
              <w:t>296,416</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ind w:right="15"/>
              <w:spacing w:after="0"/>
              <w:rPr>
                <w:sz w:val="20"/>
                <w:szCs w:val="20"/>
                <w:color w:val="auto"/>
              </w:rPr>
            </w:pPr>
            <w:r>
              <w:rPr>
                <w:rFonts w:ascii="Verdana" w:cs="Verdana" w:eastAsia="Verdana" w:hAnsi="Verdana"/>
                <w:sz w:val="14"/>
                <w:szCs w:val="14"/>
                <w:color w:val="auto"/>
              </w:rPr>
              <w:t>46,488</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spacing w:after="0"/>
              <w:rPr>
                <w:sz w:val="20"/>
                <w:szCs w:val="20"/>
                <w:color w:val="auto"/>
              </w:rPr>
            </w:pPr>
            <w:r>
              <w:rPr>
                <w:rFonts w:ascii="Verdana" w:cs="Verdana" w:eastAsia="Verdana" w:hAnsi="Verdana"/>
                <w:sz w:val="14"/>
                <w:szCs w:val="14"/>
                <w:color w:val="auto"/>
              </w:rPr>
              <w:t>27,733</w:t>
            </w:r>
          </w:p>
        </w:tc>
        <w:tc>
          <w:tcPr>
            <w:tcW w:w="6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Pr>
          <w:p>
            <w:pPr>
              <w:jc w:val="right"/>
              <w:ind w:right="14"/>
              <w:spacing w:after="0"/>
              <w:rPr>
                <w:sz w:val="20"/>
                <w:szCs w:val="20"/>
                <w:color w:val="auto"/>
              </w:rPr>
            </w:pPr>
            <w:r>
              <w:rPr>
                <w:rFonts w:ascii="Verdana" w:cs="Verdana" w:eastAsia="Verdana" w:hAnsi="Verdana"/>
                <w:sz w:val="14"/>
                <w:szCs w:val="14"/>
                <w:color w:val="auto"/>
              </w:rPr>
              <w:t>2,602</w:t>
            </w:r>
          </w:p>
        </w:tc>
        <w:tc>
          <w:tcPr>
            <w:tcW w:w="6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1,835,994</w:t>
            </w: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2,827,030</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431,427</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48,545</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29,492</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843</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3,337,337</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Real estate construction</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448,011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2"/>
              <w:spacing w:after="0"/>
              <w:rPr>
                <w:sz w:val="20"/>
                <w:szCs w:val="20"/>
                <w:color w:val="auto"/>
              </w:rPr>
            </w:pPr>
            <w:r>
              <w:rPr>
                <w:rFonts w:ascii="Verdana" w:cs="Verdana" w:eastAsia="Verdana" w:hAnsi="Verdana"/>
                <w:sz w:val="14"/>
                <w:szCs w:val="14"/>
                <w:color w:val="auto"/>
              </w:rPr>
              <w:t>8,135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5,327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Verdana" w:cs="Verdana" w:eastAsia="Verdana" w:hAnsi="Verdana"/>
                <w:sz w:val="14"/>
                <w:szCs w:val="14"/>
                <w:color w:val="auto"/>
              </w:rPr>
              <w:t>244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461,717</w:t>
            </w:r>
          </w:p>
        </w:tc>
        <w:tc>
          <w:tcPr>
            <w:tcW w:w="0" w:type="dxa"/>
            <w:vAlign w:val="bottom"/>
          </w:tcPr>
          <w:p>
            <w:pPr>
              <w:spacing w:after="0"/>
              <w:rPr>
                <w:sz w:val="1"/>
                <w:szCs w:val="1"/>
                <w:color w:val="auto"/>
              </w:rPr>
            </w:pPr>
          </w:p>
        </w:tc>
      </w:tr>
      <w:tr>
        <w:trPr>
          <w:trHeight w:val="208"/>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commercial loans</w:t>
            </w: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4,737,796</w:t>
            </w:r>
          </w:p>
        </w:tc>
        <w:tc>
          <w:tcPr>
            <w:tcW w:w="80" w:type="dxa"/>
            <w:vAlign w:val="bottom"/>
            <w:tcBorders>
              <w:top w:val="single" w:sz="8" w:color="E0E7ED"/>
            </w:tcBorders>
            <w:shd w:val="clear" w:color="auto" w:fill="E0E7ED"/>
          </w:tcPr>
          <w:p>
            <w:pPr>
              <w:spacing w:after="0"/>
              <w:rPr>
                <w:sz w:val="18"/>
                <w:szCs w:val="18"/>
                <w:color w:val="auto"/>
              </w:rPr>
            </w:pP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920" w:type="dxa"/>
            <w:vAlign w:val="bottom"/>
            <w:tcBorders>
              <w:top w:val="single" w:sz="8" w:color="auto"/>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735,978</w:t>
            </w:r>
          </w:p>
        </w:tc>
        <w:tc>
          <w:tcPr>
            <w:tcW w:w="60" w:type="dxa"/>
            <w:vAlign w:val="bottom"/>
            <w:tcBorders>
              <w:top w:val="single" w:sz="8" w:color="E0E7ED"/>
            </w:tcBorders>
            <w:shd w:val="clear" w:color="auto" w:fill="E0E7ED"/>
          </w:tcPr>
          <w:p>
            <w:pPr>
              <w:spacing w:after="0"/>
              <w:rPr>
                <w:sz w:val="18"/>
                <w:szCs w:val="18"/>
                <w:color w:val="auto"/>
              </w:rPr>
            </w:pP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9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95,033</w:t>
            </w:r>
          </w:p>
        </w:tc>
        <w:tc>
          <w:tcPr>
            <w:tcW w:w="60" w:type="dxa"/>
            <w:vAlign w:val="bottom"/>
            <w:tcBorders>
              <w:top w:val="single" w:sz="8" w:color="E0E7ED"/>
            </w:tcBorders>
            <w:shd w:val="clear" w:color="auto" w:fill="E0E7ED"/>
          </w:tcPr>
          <w:p>
            <w:pPr>
              <w:spacing w:after="0"/>
              <w:rPr>
                <w:sz w:val="18"/>
                <w:szCs w:val="18"/>
                <w:color w:val="auto"/>
              </w:rPr>
            </w:pPr>
          </w:p>
        </w:tc>
        <w:tc>
          <w:tcPr>
            <w:tcW w:w="160" w:type="dxa"/>
            <w:vAlign w:val="bottom"/>
            <w:tcBorders>
              <w:top w:val="single" w:sz="8" w:color="auto"/>
              <w:bottom w:val="single" w:sz="8" w:color="auto"/>
            </w:tcBorders>
            <w:shd w:val="clear" w:color="auto" w:fill="E0E7ED"/>
          </w:tcPr>
          <w:p>
            <w:pPr>
              <w:spacing w:after="0"/>
              <w:rPr>
                <w:sz w:val="18"/>
                <w:szCs w:val="18"/>
                <w:color w:val="auto"/>
              </w:rPr>
            </w:pPr>
          </w:p>
        </w:tc>
        <w:tc>
          <w:tcPr>
            <w:tcW w:w="10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62,552</w:t>
            </w:r>
          </w:p>
        </w:tc>
        <w:tc>
          <w:tcPr>
            <w:tcW w:w="6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bottom w:val="single" w:sz="8" w:color="auto"/>
            </w:tcBorders>
            <w:shd w:val="clear" w:color="auto" w:fill="E0E7ED"/>
          </w:tcPr>
          <w:p>
            <w:pPr>
              <w:spacing w:after="0"/>
              <w:rPr>
                <w:sz w:val="18"/>
                <w:szCs w:val="18"/>
                <w:color w:val="auto"/>
              </w:rPr>
            </w:pPr>
          </w:p>
        </w:tc>
        <w:tc>
          <w:tcPr>
            <w:tcW w:w="100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3,689</w:t>
            </w:r>
          </w:p>
        </w:tc>
        <w:tc>
          <w:tcPr>
            <w:tcW w:w="60" w:type="dxa"/>
            <w:vAlign w:val="bottom"/>
            <w:tcBorders>
              <w:top w:val="single" w:sz="8" w:color="E0E7ED"/>
            </w:tcBorders>
            <w:shd w:val="clear" w:color="auto" w:fill="E0E7ED"/>
          </w:tcPr>
          <w:p>
            <w:pPr>
              <w:spacing w:after="0"/>
              <w:rPr>
                <w:sz w:val="18"/>
                <w:szCs w:val="18"/>
                <w:color w:val="auto"/>
              </w:rPr>
            </w:pPr>
          </w:p>
        </w:tc>
        <w:tc>
          <w:tcPr>
            <w:tcW w:w="240" w:type="dxa"/>
            <w:vAlign w:val="bottom"/>
            <w:tcBorders>
              <w:top w:val="single" w:sz="8" w:color="auto"/>
              <w:bottom w:val="single" w:sz="8" w:color="auto"/>
            </w:tcBorders>
            <w:shd w:val="clear" w:color="auto" w:fill="E0E7ED"/>
          </w:tcPr>
          <w:p>
            <w:pPr>
              <w:spacing w:after="0"/>
              <w:rPr>
                <w:sz w:val="18"/>
                <w:szCs w:val="18"/>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5,635,048</w:t>
            </w:r>
          </w:p>
        </w:tc>
        <w:tc>
          <w:tcPr>
            <w:tcW w:w="0" w:type="dxa"/>
            <w:vAlign w:val="bottom"/>
          </w:tcPr>
          <w:p>
            <w:pPr>
              <w:spacing w:after="0"/>
              <w:rPr>
                <w:sz w:val="1"/>
                <w:szCs w:val="1"/>
                <w:color w:val="auto"/>
              </w:rPr>
            </w:pPr>
          </w:p>
        </w:tc>
      </w:tr>
      <w:tr>
        <w:trPr>
          <w:trHeight w:val="187"/>
        </w:trPr>
        <w:tc>
          <w:tcPr>
            <w:tcW w:w="396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1,702,897</w:t>
            </w: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11,144</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1,024</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1,795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3,595</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1,720,455</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Retail 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295,374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ind w:right="14"/>
              <w:spacing w:after="0"/>
              <w:rPr>
                <w:sz w:val="20"/>
                <w:szCs w:val="20"/>
                <w:color w:val="auto"/>
              </w:rPr>
            </w:pPr>
            <w:r>
              <w:rPr>
                <w:rFonts w:ascii="Verdana" w:cs="Verdana" w:eastAsia="Verdana" w:hAnsi="Verdana"/>
                <w:sz w:val="14"/>
                <w:szCs w:val="14"/>
                <w:color w:val="auto"/>
              </w:rPr>
              <w:t>157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295,531</w:t>
            </w:r>
          </w:p>
        </w:tc>
        <w:tc>
          <w:tcPr>
            <w:tcW w:w="0" w:type="dxa"/>
            <w:vAlign w:val="bottom"/>
          </w:tcPr>
          <w:p>
            <w:pPr>
              <w:spacing w:after="0"/>
              <w:rPr>
                <w:sz w:val="1"/>
                <w:szCs w:val="1"/>
                <w:color w:val="auto"/>
              </w:rPr>
            </w:pPr>
          </w:p>
        </w:tc>
      </w:tr>
      <w:tr>
        <w:trPr>
          <w:trHeight w:val="203"/>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retail loans</w:t>
            </w: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1,998,271</w:t>
            </w: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11,144</w:t>
            </w: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4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1,024</w:t>
            </w: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bottom w:val="single" w:sz="8" w:color="auto"/>
            </w:tcBorders>
            <w:shd w:val="clear" w:color="auto" w:fill="E0E7ED"/>
          </w:tcPr>
          <w:p>
            <w:pPr>
              <w:spacing w:after="0"/>
              <w:rPr>
                <w:sz w:val="17"/>
                <w:szCs w:val="17"/>
                <w:color w:val="auto"/>
              </w:rPr>
            </w:pPr>
          </w:p>
        </w:tc>
        <w:tc>
          <w:tcPr>
            <w:tcW w:w="10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1,795</w:t>
            </w: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bottom w:val="single" w:sz="8" w:color="auto"/>
            </w:tcBorders>
            <w:shd w:val="clear" w:color="auto" w:fill="E0E7ED"/>
          </w:tcPr>
          <w:p>
            <w:pPr>
              <w:spacing w:after="0"/>
              <w:rPr>
                <w:sz w:val="17"/>
                <w:szCs w:val="17"/>
                <w:color w:val="auto"/>
              </w:rPr>
            </w:pPr>
          </w:p>
        </w:tc>
        <w:tc>
          <w:tcPr>
            <w:tcW w:w="100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3,752</w:t>
            </w: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bottom w:val="single" w:sz="8" w:color="auto"/>
            </w:tcBorders>
            <w:shd w:val="clear" w:color="auto" w:fill="E0E7ED"/>
          </w:tcPr>
          <w:p>
            <w:pPr>
              <w:spacing w:after="0"/>
              <w:rPr>
                <w:sz w:val="17"/>
                <w:szCs w:val="17"/>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2,015,986</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rPr>
                <w:sz w:val="20"/>
                <w:szCs w:val="20"/>
                <w:color w:val="auto"/>
              </w:rPr>
            </w:pPr>
            <w:r>
              <w:rPr>
                <w:rFonts w:ascii="Verdana" w:cs="Verdana" w:eastAsia="Verdana" w:hAnsi="Verdana"/>
                <w:sz w:val="14"/>
                <w:szCs w:val="14"/>
                <w:color w:val="auto"/>
              </w:rPr>
              <w:t>Total portfolio loans</w:t>
            </w: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6,736,067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747,122</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96,057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64,347</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7,441</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7,651,034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Risk grades of portfolio loans and net charge-offs are presented in the tables below by loan class, further sorted by origination year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200" w:lineRule="exact"/>
        <w:rPr>
          <w:sz w:val="20"/>
          <w:szCs w:val="20"/>
          <w:color w:val="auto"/>
        </w:rPr>
      </w:pPr>
    </w:p>
    <w:p>
      <w:pPr>
        <w:spacing w:after="0" w:line="266"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6" w:name="page127"/>
    <w:bookmarkEnd w:id="12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gridSpan w:val="11"/>
          </w:tcPr>
          <w:p>
            <w:pPr>
              <w:ind w:left="360"/>
              <w:spacing w:after="0"/>
              <w:rPr>
                <w:sz w:val="20"/>
                <w:szCs w:val="20"/>
                <w:color w:val="auto"/>
              </w:rPr>
            </w:pPr>
            <w:r>
              <w:rPr>
                <w:rFonts w:ascii="Verdana" w:cs="Verdana" w:eastAsia="Verdana" w:hAnsi="Verdana"/>
                <w:sz w:val="10"/>
                <w:szCs w:val="10"/>
                <w:b w:val="1"/>
                <w:bCs w:val="1"/>
                <w:color w:val="auto"/>
              </w:rPr>
              <w:t>As of and For The Year Ended December 31, 2024</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50"/>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11"/>
          </w:tcPr>
          <w:p>
            <w:pPr>
              <w:ind w:left="220"/>
              <w:spacing w:after="0"/>
              <w:rPr>
                <w:sz w:val="20"/>
                <w:szCs w:val="20"/>
                <w:color w:val="auto"/>
              </w:rPr>
            </w:pPr>
            <w:r>
              <w:rPr>
                <w:rFonts w:ascii="Verdana" w:cs="Verdana" w:eastAsia="Verdana" w:hAnsi="Verdana"/>
                <w:sz w:val="10"/>
                <w:szCs w:val="10"/>
                <w:b w:val="1"/>
                <w:bCs w:val="1"/>
                <w:color w:val="auto"/>
              </w:rPr>
              <w:t>Term Loans Amortized Cost Basis by Origination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7"/>
              </w:rPr>
              <w:t>Revolving</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2"/>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Risk Grade Ratings</w:t>
            </w: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51"/>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Prior</w:t>
            </w: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rPr>
              <w:t>Loans</w:t>
            </w:r>
          </w:p>
        </w:tc>
        <w:tc>
          <w:tcPr>
            <w:tcW w:w="18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Total</w:t>
            </w:r>
          </w:p>
        </w:tc>
      </w:tr>
      <w:tr>
        <w:trPr>
          <w:trHeight w:val="134"/>
        </w:trPr>
        <w:tc>
          <w:tcPr>
            <w:tcW w:w="34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0"/>
                <w:szCs w:val="10"/>
                <w:b w:val="1"/>
                <w:bCs w:val="1"/>
                <w:color w:val="auto"/>
              </w:rPr>
              <w:t>C&amp;I and other commercial</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0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320,831</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Pr>
          <w:p>
            <w:pPr>
              <w:jc w:val="right"/>
              <w:spacing w:after="0"/>
              <w:rPr>
                <w:sz w:val="20"/>
                <w:szCs w:val="20"/>
                <w:color w:val="auto"/>
              </w:rPr>
            </w:pPr>
            <w:r>
              <w:rPr>
                <w:rFonts w:ascii="Verdana" w:cs="Verdana" w:eastAsia="Verdana" w:hAnsi="Verdana"/>
                <w:sz w:val="10"/>
                <w:szCs w:val="10"/>
                <w:color w:val="auto"/>
              </w:rPr>
              <w:t>147,909</w:t>
            </w:r>
          </w:p>
        </w:tc>
        <w:tc>
          <w:tcPr>
            <w:tcW w:w="80" w:type="dxa"/>
            <w:vAlign w:val="bottom"/>
          </w:tcPr>
          <w:p>
            <w:pPr>
              <w:spacing w:after="0"/>
              <w:rPr>
                <w:sz w:val="11"/>
                <w:szCs w:val="11"/>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163,870</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125,053</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74,146</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117,234</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Pr>
          <w:p>
            <w:pPr>
              <w:jc w:val="right"/>
              <w:spacing w:after="0"/>
              <w:rPr>
                <w:sz w:val="20"/>
                <w:szCs w:val="20"/>
                <w:color w:val="auto"/>
              </w:rPr>
            </w:pPr>
            <w:r>
              <w:rPr>
                <w:rFonts w:ascii="Verdana" w:cs="Verdana" w:eastAsia="Verdana" w:hAnsi="Verdana"/>
                <w:sz w:val="10"/>
                <w:szCs w:val="10"/>
                <w:color w:val="auto"/>
              </w:rPr>
              <w:t>596,295</w:t>
            </w:r>
          </w:p>
        </w:tc>
        <w:tc>
          <w:tcPr>
            <w:tcW w:w="80" w:type="dxa"/>
            <w:vAlign w:val="bottom"/>
          </w:tcPr>
          <w:p>
            <w:pPr>
              <w:spacing w:after="0"/>
              <w:rPr>
                <w:sz w:val="11"/>
                <w:szCs w:val="11"/>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1,545,338</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38,734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49,394</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44,709</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16,393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2,175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20,964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109,055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281,424</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1,718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2,293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5,658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2,634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106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2,540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21,203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36,152</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15,186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6,545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788</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591</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320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2,424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11,895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37,749</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141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464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852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2,288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3,852</w:t>
            </w:r>
          </w:p>
        </w:tc>
      </w:tr>
      <w:tr>
        <w:trPr>
          <w:trHeight w:val="134"/>
        </w:trPr>
        <w:tc>
          <w:tcPr>
            <w:tcW w:w="3540" w:type="dxa"/>
            <w:vAlign w:val="bottom"/>
            <w:tcBorders>
              <w:top w:val="single" w:sz="8" w:color="E0E7ED"/>
            </w:tcBorders>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Total C&amp;I and other commercial</w:t>
            </w: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376,534</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206,282</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215,489</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144,671</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76,789</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144,014</w:t>
            </w: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bottom w:val="single" w:sz="8" w:color="auto"/>
            </w:tcBorders>
            <w:shd w:val="clear" w:color="auto" w:fill="E0E7ED"/>
          </w:tcPr>
          <w:p>
            <w:pPr>
              <w:spacing w:after="0"/>
              <w:rPr>
                <w:sz w:val="11"/>
                <w:szCs w:val="11"/>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740,736</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1,904,515</w:t>
            </w:r>
          </w:p>
        </w:tc>
      </w:tr>
      <w:tr>
        <w:trPr>
          <w:trHeight w:val="123"/>
        </w:trPr>
        <w:tc>
          <w:tcPr>
            <w:tcW w:w="3540" w:type="dxa"/>
            <w:vAlign w:val="bottom"/>
            <w:gridSpan w:val="2"/>
          </w:tcPr>
          <w:p>
            <w:pPr>
              <w:ind w:left="20"/>
              <w:spacing w:after="0" w:line="114" w:lineRule="exact"/>
              <w:rPr>
                <w:sz w:val="20"/>
                <w:szCs w:val="20"/>
                <w:color w:val="auto"/>
              </w:rPr>
            </w:pPr>
            <w:r>
              <w:rPr>
                <w:rFonts w:ascii="Verdana" w:cs="Verdana" w:eastAsia="Verdana" w:hAnsi="Verdana"/>
                <w:sz w:val="10"/>
                <w:szCs w:val="10"/>
                <w:color w:val="auto"/>
              </w:rPr>
              <w:t>Gross charge-offs</w:t>
            </w: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Pr>
          <w:p>
            <w:pPr>
              <w:jc w:val="right"/>
              <w:spacing w:after="0"/>
              <w:rPr>
                <w:sz w:val="20"/>
                <w:szCs w:val="20"/>
                <w:color w:val="auto"/>
              </w:rPr>
            </w:pPr>
            <w:r>
              <w:rPr>
                <w:rFonts w:ascii="Verdana" w:cs="Verdana" w:eastAsia="Verdana" w:hAnsi="Verdana"/>
                <w:sz w:val="10"/>
                <w:szCs w:val="10"/>
                <w:color w:val="auto"/>
              </w:rPr>
              <w:t>14,980</w:t>
            </w:r>
          </w:p>
        </w:tc>
        <w:tc>
          <w:tcPr>
            <w:tcW w:w="80" w:type="dxa"/>
            <w:vAlign w:val="bottom"/>
          </w:tcPr>
          <w:p>
            <w:pPr>
              <w:spacing w:after="0"/>
              <w:rPr>
                <w:sz w:val="10"/>
                <w:szCs w:val="10"/>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148</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22</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303</w:t>
            </w:r>
          </w:p>
        </w:tc>
        <w:tc>
          <w:tcPr>
            <w:tcW w:w="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15,453</w:t>
            </w:r>
          </w:p>
        </w:tc>
      </w:tr>
      <w:tr>
        <w:trPr>
          <w:trHeight w:val="143"/>
        </w:trPr>
        <w:tc>
          <w:tcPr>
            <w:tcW w:w="34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r>
      <w:tr>
        <w:trPr>
          <w:trHeight w:val="133"/>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CRE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291,503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354,591</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755,266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645,994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356,867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314,340</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25,457</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2,744,018</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115,078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132,900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60,611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62,408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28,320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38,733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895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438,945</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39,252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643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8,020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1,395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4,165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1,517</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49</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55,041</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6,983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355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4,628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50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4,346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16,507</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15,000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39</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15,053</w:t>
            </w:r>
          </w:p>
        </w:tc>
      </w:tr>
      <w:tr>
        <w:trPr>
          <w:trHeight w:val="123"/>
        </w:trPr>
        <w:tc>
          <w:tcPr>
            <w:tcW w:w="3540" w:type="dxa"/>
            <w:vAlign w:val="bottom"/>
            <w:tcBorders>
              <w:bottom w:val="single" w:sz="8" w:color="E0E7ED"/>
            </w:tcBorders>
            <w:gridSpan w:val="2"/>
          </w:tcPr>
          <w:p>
            <w:pPr>
              <w:ind w:left="20"/>
              <w:spacing w:after="0" w:line="114" w:lineRule="exact"/>
              <w:rPr>
                <w:sz w:val="20"/>
                <w:szCs w:val="20"/>
                <w:color w:val="auto"/>
              </w:rPr>
            </w:pPr>
            <w:r>
              <w:rPr>
                <w:rFonts w:ascii="Verdana" w:cs="Verdana" w:eastAsia="Verdana" w:hAnsi="Verdana"/>
                <w:sz w:val="10"/>
                <w:szCs w:val="10"/>
                <w:color w:val="auto"/>
              </w:rPr>
              <w:t>Total CRE</w:t>
            </w: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467,816</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488,528</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828,525</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709,847</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389,461</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358,936</w:t>
            </w:r>
          </w:p>
        </w:tc>
        <w:tc>
          <w:tcPr>
            <w:tcW w:w="60" w:type="dxa"/>
            <w:vAlign w:val="bottom"/>
            <w:tcBorders>
              <w:bottom w:val="single" w:sz="8" w:color="E0E7E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26,451</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3,269,564</w:t>
            </w:r>
          </w:p>
        </w:tc>
      </w:tr>
      <w:tr>
        <w:trPr>
          <w:trHeight w:val="134"/>
        </w:trPr>
        <w:tc>
          <w:tcPr>
            <w:tcW w:w="3540" w:type="dxa"/>
            <w:vAlign w:val="bottom"/>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Gross charge-offs</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2,999</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315</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3,314</w:t>
            </w:r>
          </w:p>
        </w:tc>
      </w:tr>
      <w:tr>
        <w:trPr>
          <w:trHeight w:val="138"/>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3540" w:type="dxa"/>
            <w:vAlign w:val="bottom"/>
            <w:gridSpan w:val="2"/>
            <w:shd w:val="clear" w:color="auto" w:fill="E0E7ED"/>
          </w:tcPr>
          <w:p>
            <w:pPr>
              <w:ind w:left="20"/>
              <w:spacing w:after="0"/>
              <w:rPr>
                <w:sz w:val="20"/>
                <w:szCs w:val="20"/>
                <w:color w:val="auto"/>
              </w:rPr>
            </w:pPr>
            <w:r>
              <w:rPr>
                <w:rFonts w:ascii="Verdana" w:cs="Verdana" w:eastAsia="Verdana" w:hAnsi="Verdana"/>
                <w:sz w:val="10"/>
                <w:szCs w:val="10"/>
                <w:b w:val="1"/>
                <w:bCs w:val="1"/>
                <w:color w:val="auto"/>
              </w:rPr>
              <w:t>Real estate construction</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159,825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134,450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12,205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24,781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2,213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11,310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345,908</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20,170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6,455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208</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26,833</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221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221</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5,224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5,224</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23</w:t>
            </w:r>
          </w:p>
        </w:tc>
      </w:tr>
      <w:tr>
        <w:trPr>
          <w:trHeight w:val="134"/>
        </w:trPr>
        <w:tc>
          <w:tcPr>
            <w:tcW w:w="3540" w:type="dxa"/>
            <w:vAlign w:val="bottom"/>
            <w:tcBorders>
              <w:top w:val="single" w:sz="8" w:color="E0E7ED"/>
            </w:tcBorders>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Total real estate construction</w:t>
            </w: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185,219</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140,905</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12,205</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25,233</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2,213</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1,124</w:t>
            </w: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11,310</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378,209</w:t>
            </w:r>
          </w:p>
        </w:tc>
      </w:tr>
      <w:tr>
        <w:trPr>
          <w:trHeight w:val="138"/>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3540" w:type="dxa"/>
            <w:vAlign w:val="bottom"/>
            <w:gridSpan w:val="2"/>
            <w:shd w:val="clear" w:color="auto" w:fill="E0E7ED"/>
          </w:tcPr>
          <w:p>
            <w:pPr>
              <w:ind w:left="20"/>
              <w:spacing w:after="0"/>
              <w:rPr>
                <w:sz w:val="20"/>
                <w:szCs w:val="20"/>
                <w:color w:val="auto"/>
              </w:rPr>
            </w:pPr>
            <w:r>
              <w:rPr>
                <w:rFonts w:ascii="Verdana" w:cs="Verdana" w:eastAsia="Verdana" w:hAnsi="Verdana"/>
                <w:sz w:val="10"/>
                <w:szCs w:val="10"/>
                <w:b w:val="1"/>
                <w:bCs w:val="1"/>
                <w:color w:val="auto"/>
              </w:rPr>
              <w:t>Retail real estate</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101,582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237,306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366,820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354,380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147,236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267,431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205,885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1,680,640</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1,255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550</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2,733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3,377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872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497</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9,408</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344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372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882</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243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1,018</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503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776</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2,543</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344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871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2,984</w:t>
            </w:r>
          </w:p>
        </w:tc>
      </w:tr>
      <w:tr>
        <w:trPr>
          <w:trHeight w:val="134"/>
        </w:trPr>
        <w:tc>
          <w:tcPr>
            <w:tcW w:w="3540" w:type="dxa"/>
            <w:vAlign w:val="bottom"/>
            <w:tcBorders>
              <w:top w:val="single" w:sz="8" w:color="E0E7ED"/>
            </w:tcBorders>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Total retail real estate</w:t>
            </w: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102,988</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238,099</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371,259</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358,351</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148,260</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270,229</w:t>
            </w: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bottom w:val="single" w:sz="8" w:color="auto"/>
            </w:tcBorders>
            <w:shd w:val="clear" w:color="auto" w:fill="E0E7ED"/>
          </w:tcPr>
          <w:p>
            <w:pPr>
              <w:spacing w:after="0"/>
              <w:rPr>
                <w:sz w:val="11"/>
                <w:szCs w:val="11"/>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207,271</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1,696,457</w:t>
            </w:r>
          </w:p>
        </w:tc>
      </w:tr>
      <w:tr>
        <w:trPr>
          <w:trHeight w:val="123"/>
        </w:trPr>
        <w:tc>
          <w:tcPr>
            <w:tcW w:w="3540" w:type="dxa"/>
            <w:vAlign w:val="bottom"/>
            <w:gridSpan w:val="2"/>
          </w:tcPr>
          <w:p>
            <w:pPr>
              <w:ind w:left="20"/>
              <w:spacing w:after="0" w:line="114" w:lineRule="exact"/>
              <w:rPr>
                <w:sz w:val="20"/>
                <w:szCs w:val="20"/>
                <w:color w:val="auto"/>
              </w:rPr>
            </w:pPr>
            <w:r>
              <w:rPr>
                <w:rFonts w:ascii="Verdana" w:cs="Verdana" w:eastAsia="Verdana" w:hAnsi="Verdana"/>
                <w:sz w:val="10"/>
                <w:szCs w:val="10"/>
                <w:color w:val="auto"/>
              </w:rPr>
              <w:t>Gross charge-offs</w:t>
            </w: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168</w:t>
            </w:r>
          </w:p>
        </w:tc>
      </w:tr>
      <w:tr>
        <w:trPr>
          <w:trHeight w:val="143"/>
        </w:trPr>
        <w:tc>
          <w:tcPr>
            <w:tcW w:w="34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r>
      <w:tr>
        <w:trPr>
          <w:trHeight w:val="133"/>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Retail other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4,996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55,665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57,944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12,207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2,304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589</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314,461</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448,166</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176</w:t>
            </w:r>
          </w:p>
        </w:tc>
      </w:tr>
      <w:tr>
        <w:trPr>
          <w:trHeight w:val="134"/>
        </w:trPr>
        <w:tc>
          <w:tcPr>
            <w:tcW w:w="3540" w:type="dxa"/>
            <w:vAlign w:val="bottom"/>
            <w:tcBorders>
              <w:top w:val="single" w:sz="8" w:color="E0E7ED"/>
            </w:tcBorders>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Total retail other</w:t>
            </w: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4,996</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55,759</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58,011</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12,211</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2,304</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600</w:t>
            </w: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bottom w:val="single" w:sz="8" w:color="auto"/>
            </w:tcBorders>
            <w:shd w:val="clear" w:color="auto" w:fill="E0E7ED"/>
          </w:tcPr>
          <w:p>
            <w:pPr>
              <w:spacing w:after="0"/>
              <w:rPr>
                <w:sz w:val="11"/>
                <w:szCs w:val="11"/>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314,461</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448,342</w:t>
            </w:r>
          </w:p>
        </w:tc>
      </w:tr>
      <w:tr>
        <w:trPr>
          <w:trHeight w:val="123"/>
        </w:trPr>
        <w:tc>
          <w:tcPr>
            <w:tcW w:w="3540" w:type="dxa"/>
            <w:vAlign w:val="bottom"/>
            <w:gridSpan w:val="2"/>
          </w:tcPr>
          <w:p>
            <w:pPr>
              <w:ind w:left="20"/>
              <w:spacing w:after="0" w:line="114" w:lineRule="exact"/>
              <w:rPr>
                <w:sz w:val="20"/>
                <w:szCs w:val="20"/>
                <w:color w:val="auto"/>
              </w:rPr>
            </w:pPr>
            <w:r>
              <w:rPr>
                <w:rFonts w:ascii="Verdana" w:cs="Verdana" w:eastAsia="Verdana" w:hAnsi="Verdana"/>
                <w:sz w:val="10"/>
                <w:szCs w:val="10"/>
                <w:color w:val="auto"/>
              </w:rPr>
              <w:t>Gross charge-offs</w:t>
            </w: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106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78</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403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631</w:t>
            </w:r>
          </w:p>
        </w:tc>
      </w:tr>
      <w:tr>
        <w:trPr>
          <w:trHeight w:val="143"/>
        </w:trPr>
        <w:tc>
          <w:tcPr>
            <w:tcW w:w="348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r>
      <w:tr>
        <w:trPr>
          <w:trHeight w:val="138"/>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Total portfolio loans</w:t>
            </w: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1,137,553</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1,129,573</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1,485,489</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1,250,313</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619,027</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774,903</w:t>
            </w:r>
          </w:p>
        </w:tc>
        <w:tc>
          <w:tcPr>
            <w:tcW w:w="6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color w:val="auto"/>
              </w:rPr>
              <w:t>1,300,229</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7,697,087</w:t>
            </w:r>
          </w:p>
        </w:tc>
      </w:tr>
      <w:tr>
        <w:trPr>
          <w:trHeight w:val="20"/>
        </w:trPr>
        <w:tc>
          <w:tcPr>
            <w:tcW w:w="3480" w:type="dxa"/>
            <w:vAlign w:val="bottom"/>
            <w:tcBorders>
              <w:bottom w:val="single" w:sz="8" w:color="E0E7ED"/>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5"/>
        </w:trPr>
        <w:tc>
          <w:tcPr>
            <w:tcW w:w="3540" w:type="dxa"/>
            <w:vAlign w:val="bottom"/>
            <w:tcBorders>
              <w:bottom w:val="single" w:sz="8" w:color="E0E7ED"/>
            </w:tcBorders>
            <w:gridSpan w:val="2"/>
            <w:shd w:val="clear" w:color="auto" w:fill="E0E7ED"/>
          </w:tcPr>
          <w:p>
            <w:pPr>
              <w:ind w:left="20"/>
              <w:spacing w:after="0" w:line="121" w:lineRule="exact"/>
              <w:rPr>
                <w:sz w:val="20"/>
                <w:szCs w:val="20"/>
                <w:color w:val="auto"/>
              </w:rPr>
            </w:pPr>
            <w:r>
              <w:rPr>
                <w:rFonts w:ascii="Verdana" w:cs="Verdana" w:eastAsia="Verdana" w:hAnsi="Verdana"/>
                <w:sz w:val="10"/>
                <w:szCs w:val="10"/>
                <w:b w:val="1"/>
                <w:bCs w:val="1"/>
                <w:color w:val="auto"/>
              </w:rPr>
              <w:t>Total gross charge-offs</w:t>
            </w:r>
          </w:p>
        </w:tc>
        <w:tc>
          <w:tcPr>
            <w:tcW w:w="200" w:type="dxa"/>
            <w:vAlign w:val="bottom"/>
            <w:tcBorders>
              <w:bottom w:val="single" w:sz="8" w:color="auto"/>
            </w:tcBorders>
            <w:shd w:val="clear" w:color="auto" w:fill="E0E7ED"/>
          </w:tcPr>
          <w:p>
            <w:pPr>
              <w:jc w:val="right"/>
              <w:ind w:right="71"/>
              <w:spacing w:after="0" w:line="121" w:lineRule="exact"/>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9</w:t>
            </w:r>
          </w:p>
        </w:tc>
        <w:tc>
          <w:tcPr>
            <w:tcW w:w="60" w:type="dxa"/>
            <w:vAlign w:val="bottom"/>
            <w:tcBorders>
              <w:bottom w:val="single" w:sz="8" w:color="E0E7ED"/>
            </w:tcBorders>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jc w:val="right"/>
              <w:ind w:right="71"/>
              <w:spacing w:after="0" w:line="121" w:lineRule="exact"/>
              <w:rPr>
                <w:sz w:val="20"/>
                <w:szCs w:val="20"/>
                <w:color w:val="auto"/>
              </w:rPr>
            </w:pPr>
            <w:r>
              <w:rPr>
                <w:rFonts w:ascii="Verdana" w:cs="Verdana" w:eastAsia="Verdana" w:hAnsi="Verdana"/>
                <w:sz w:val="10"/>
                <w:szCs w:val="10"/>
                <w:color w:val="auto"/>
                <w:w w:val="92"/>
              </w:rPr>
              <w:t>$</w:t>
            </w:r>
          </w:p>
        </w:tc>
        <w:tc>
          <w:tcPr>
            <w:tcW w:w="700" w:type="dxa"/>
            <w:vAlign w:val="bottom"/>
            <w:tcBorders>
              <w:bottom w:val="single" w:sz="8" w:color="auto"/>
            </w:tcBorders>
            <w:shd w:val="clear" w:color="auto" w:fill="E0E7ED"/>
          </w:tcPr>
          <w:p>
            <w:pPr>
              <w:jc w:val="right"/>
              <w:spacing w:after="0" w:line="121" w:lineRule="exact"/>
              <w:rPr>
                <w:sz w:val="20"/>
                <w:szCs w:val="20"/>
                <w:color w:val="auto"/>
              </w:rPr>
            </w:pPr>
            <w:r>
              <w:rPr>
                <w:rFonts w:ascii="Verdana" w:cs="Verdana" w:eastAsia="Verdana" w:hAnsi="Verdana"/>
                <w:sz w:val="10"/>
                <w:szCs w:val="10"/>
                <w:color w:val="auto"/>
              </w:rPr>
              <w:t>15,011</w:t>
            </w:r>
          </w:p>
        </w:tc>
        <w:tc>
          <w:tcPr>
            <w:tcW w:w="80" w:type="dxa"/>
            <w:vAlign w:val="bottom"/>
            <w:tcBorders>
              <w:bottom w:val="single" w:sz="8" w:color="E0E7ED"/>
            </w:tcBorders>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254</w:t>
            </w:r>
          </w:p>
        </w:tc>
        <w:tc>
          <w:tcPr>
            <w:tcW w:w="60" w:type="dxa"/>
            <w:vAlign w:val="bottom"/>
            <w:tcBorders>
              <w:bottom w:val="single" w:sz="8" w:color="E0E7ED"/>
            </w:tcBorders>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jc w:val="right"/>
              <w:ind w:right="71"/>
              <w:spacing w:after="0" w:line="121" w:lineRule="exact"/>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3,099</w:t>
            </w:r>
          </w:p>
        </w:tc>
        <w:tc>
          <w:tcPr>
            <w:tcW w:w="60" w:type="dxa"/>
            <w:vAlign w:val="bottom"/>
            <w:tcBorders>
              <w:bottom w:val="single" w:sz="8" w:color="E0E7ED"/>
            </w:tcBorders>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jc w:val="right"/>
              <w:ind w:right="71"/>
              <w:spacing w:after="0" w:line="121" w:lineRule="exact"/>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4</w:t>
            </w:r>
          </w:p>
        </w:tc>
        <w:tc>
          <w:tcPr>
            <w:tcW w:w="60" w:type="dxa"/>
            <w:vAlign w:val="bottom"/>
            <w:tcBorders>
              <w:bottom w:val="single" w:sz="8" w:color="E0E7ED"/>
            </w:tcBorders>
            <w:shd w:val="clear" w:color="auto" w:fill="E0E7ED"/>
          </w:tcPr>
          <w:p>
            <w:pPr>
              <w:spacing w:after="0"/>
              <w:rPr>
                <w:sz w:val="12"/>
                <w:szCs w:val="12"/>
                <w:color w:val="auto"/>
              </w:rPr>
            </w:pPr>
          </w:p>
        </w:tc>
        <w:tc>
          <w:tcPr>
            <w:tcW w:w="200" w:type="dxa"/>
            <w:vAlign w:val="bottom"/>
            <w:tcBorders>
              <w:bottom w:val="single" w:sz="8" w:color="auto"/>
            </w:tcBorders>
            <w:shd w:val="clear" w:color="auto" w:fill="E0E7ED"/>
          </w:tcPr>
          <w:p>
            <w:pPr>
              <w:jc w:val="right"/>
              <w:ind w:right="71"/>
              <w:spacing w:after="0" w:line="121" w:lineRule="exact"/>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1,189</w:t>
            </w:r>
          </w:p>
        </w:tc>
        <w:tc>
          <w:tcPr>
            <w:tcW w:w="60" w:type="dxa"/>
            <w:vAlign w:val="bottom"/>
            <w:tcBorders>
              <w:bottom w:val="single" w:sz="8" w:color="E0E7ED"/>
            </w:tcBorders>
            <w:shd w:val="clear" w:color="auto" w:fill="E0E7ED"/>
          </w:tcPr>
          <w:p>
            <w:pPr>
              <w:spacing w:after="0"/>
              <w:rPr>
                <w:sz w:val="12"/>
                <w:szCs w:val="12"/>
                <w:color w:val="auto"/>
              </w:rPr>
            </w:pPr>
          </w:p>
        </w:tc>
        <w:tc>
          <w:tcPr>
            <w:tcW w:w="120" w:type="dxa"/>
            <w:vAlign w:val="bottom"/>
            <w:tcBorders>
              <w:bottom w:val="single" w:sz="8" w:color="auto"/>
            </w:tcBorders>
            <w:shd w:val="clear" w:color="auto" w:fill="E0E7ED"/>
          </w:tcPr>
          <w:p>
            <w:pPr>
              <w:jc w:val="right"/>
              <w:spacing w:after="0" w:line="121" w:lineRule="exact"/>
              <w:rPr>
                <w:sz w:val="20"/>
                <w:szCs w:val="20"/>
                <w:color w:val="auto"/>
              </w:rPr>
            </w:pPr>
            <w:r>
              <w:rPr>
                <w:rFonts w:ascii="Verdana" w:cs="Verdana" w:eastAsia="Verdana" w:hAnsi="Verdana"/>
                <w:sz w:val="10"/>
                <w:szCs w:val="10"/>
                <w:color w:val="auto"/>
                <w:w w:val="92"/>
              </w:rPr>
              <w:t>$</w:t>
            </w:r>
          </w:p>
        </w:tc>
        <w:tc>
          <w:tcPr>
            <w:tcW w:w="780" w:type="dxa"/>
            <w:vAlign w:val="bottom"/>
            <w:tcBorders>
              <w:bottom w:val="single" w:sz="8" w:color="auto"/>
            </w:tcBorders>
            <w:shd w:val="clear" w:color="auto" w:fill="E0E7ED"/>
          </w:tcPr>
          <w:p>
            <w:pPr>
              <w:jc w:val="right"/>
              <w:spacing w:after="0" w:line="121" w:lineRule="exact"/>
              <w:rPr>
                <w:sz w:val="20"/>
                <w:szCs w:val="20"/>
                <w:color w:val="auto"/>
              </w:rPr>
            </w:pPr>
            <w:r>
              <w:rPr>
                <w:rFonts w:ascii="Verdana" w:cs="Verdana" w:eastAsia="Verdana" w:hAnsi="Verdana"/>
                <w:sz w:val="10"/>
                <w:szCs w:val="10"/>
                <w:color w:val="auto"/>
              </w:rPr>
              <w:t>—</w:t>
            </w:r>
          </w:p>
        </w:tc>
        <w:tc>
          <w:tcPr>
            <w:tcW w:w="80" w:type="dxa"/>
            <w:vAlign w:val="bottom"/>
            <w:tcBorders>
              <w:bottom w:val="single" w:sz="8" w:color="E0E7ED"/>
            </w:tcBorders>
            <w:shd w:val="clear" w:color="auto" w:fill="E0E7ED"/>
          </w:tcPr>
          <w:p>
            <w:pPr>
              <w:spacing w:after="0"/>
              <w:rPr>
                <w:sz w:val="12"/>
                <w:szCs w:val="12"/>
                <w:color w:val="auto"/>
              </w:rPr>
            </w:pPr>
          </w:p>
        </w:tc>
        <w:tc>
          <w:tcPr>
            <w:tcW w:w="180" w:type="dxa"/>
            <w:vAlign w:val="bottom"/>
            <w:tcBorders>
              <w:bottom w:val="single" w:sz="8" w:color="auto"/>
            </w:tcBorders>
            <w:shd w:val="clear" w:color="auto" w:fill="E0E7ED"/>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shd w:val="clear" w:color="auto" w:fill="E0E7ED"/>
          </w:tcPr>
          <w:p>
            <w:pPr>
              <w:jc w:val="right"/>
              <w:ind w:right="11"/>
              <w:spacing w:after="0" w:line="121" w:lineRule="exact"/>
              <w:rPr>
                <w:sz w:val="20"/>
                <w:szCs w:val="20"/>
                <w:color w:val="auto"/>
              </w:rPr>
            </w:pPr>
            <w:r>
              <w:rPr>
                <w:rFonts w:ascii="Verdana" w:cs="Verdana" w:eastAsia="Verdana" w:hAnsi="Verdana"/>
                <w:sz w:val="10"/>
                <w:szCs w:val="10"/>
                <w:color w:val="auto"/>
              </w:rPr>
              <w:t>19,566</w:t>
            </w:r>
          </w:p>
        </w:tc>
      </w:tr>
      <w:tr>
        <w:trPr>
          <w:trHeight w:val="20"/>
        </w:trPr>
        <w:tc>
          <w:tcPr>
            <w:tcW w:w="348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7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7" w:name="page128"/>
    <w:bookmarkEnd w:id="12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gridSpan w:val="11"/>
          </w:tcPr>
          <w:p>
            <w:pPr>
              <w:ind w:left="360"/>
              <w:spacing w:after="0"/>
              <w:rPr>
                <w:sz w:val="20"/>
                <w:szCs w:val="20"/>
                <w:color w:val="auto"/>
              </w:rPr>
            </w:pPr>
            <w:r>
              <w:rPr>
                <w:rFonts w:ascii="Verdana" w:cs="Verdana" w:eastAsia="Verdana" w:hAnsi="Verdana"/>
                <w:sz w:val="10"/>
                <w:szCs w:val="10"/>
                <w:b w:val="1"/>
                <w:bCs w:val="1"/>
                <w:color w:val="auto"/>
              </w:rPr>
              <w:t>As of and For The Year Ended December 31, 2023</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50"/>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11"/>
          </w:tcPr>
          <w:p>
            <w:pPr>
              <w:ind w:left="220"/>
              <w:spacing w:after="0"/>
              <w:rPr>
                <w:sz w:val="20"/>
                <w:szCs w:val="20"/>
                <w:color w:val="auto"/>
              </w:rPr>
            </w:pPr>
            <w:r>
              <w:rPr>
                <w:rFonts w:ascii="Verdana" w:cs="Verdana" w:eastAsia="Verdana" w:hAnsi="Verdana"/>
                <w:sz w:val="10"/>
                <w:szCs w:val="10"/>
                <w:b w:val="1"/>
                <w:bCs w:val="1"/>
                <w:color w:val="auto"/>
              </w:rPr>
              <w:t>Term Loans Amortized Cost Basis by Origination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7"/>
              </w:rPr>
              <w:t>Revolving</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2"/>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Risk Grade Ratings</w:t>
            </w: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51"/>
              <w:spacing w:after="0"/>
              <w:rPr>
                <w:sz w:val="20"/>
                <w:szCs w:val="20"/>
                <w:color w:val="auto"/>
              </w:rPr>
            </w:pPr>
            <w:r>
              <w:rPr>
                <w:rFonts w:ascii="Verdana" w:cs="Verdana" w:eastAsia="Verdana" w:hAnsi="Verdana"/>
                <w:sz w:val="10"/>
                <w:szCs w:val="10"/>
                <w:b w:val="1"/>
                <w:bCs w:val="1"/>
                <w:color w:val="auto"/>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2020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2019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Verdana" w:cs="Verdana" w:eastAsia="Verdana" w:hAnsi="Verdana"/>
                <w:sz w:val="10"/>
                <w:szCs w:val="10"/>
                <w:b w:val="1"/>
                <w:bCs w:val="1"/>
                <w:color w:val="auto"/>
              </w:rPr>
              <w:t>Prior</w:t>
            </w: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rPr>
              <w:t>Loans</w:t>
            </w:r>
          </w:p>
        </w:tc>
        <w:tc>
          <w:tcPr>
            <w:tcW w:w="180" w:type="dxa"/>
            <w:vAlign w:val="bottom"/>
          </w:tcPr>
          <w:p>
            <w:pPr>
              <w:spacing w:after="0"/>
              <w:rPr>
                <w:sz w:val="13"/>
                <w:szCs w:val="13"/>
                <w:color w:val="auto"/>
              </w:rPr>
            </w:pPr>
          </w:p>
        </w:tc>
        <w:tc>
          <w:tcPr>
            <w:tcW w:w="720" w:type="dxa"/>
            <w:vAlign w:val="bottom"/>
          </w:tcPr>
          <w:p>
            <w:pPr>
              <w:jc w:val="right"/>
              <w:ind w:right="271"/>
              <w:spacing w:after="0"/>
              <w:rPr>
                <w:sz w:val="20"/>
                <w:szCs w:val="20"/>
                <w:color w:val="auto"/>
              </w:rPr>
            </w:pPr>
            <w:r>
              <w:rPr>
                <w:rFonts w:ascii="Verdana" w:cs="Verdana" w:eastAsia="Verdana" w:hAnsi="Verdana"/>
                <w:sz w:val="10"/>
                <w:szCs w:val="10"/>
                <w:b w:val="1"/>
                <w:bCs w:val="1"/>
                <w:color w:val="auto"/>
              </w:rPr>
              <w:t>Total</w:t>
            </w:r>
          </w:p>
        </w:tc>
      </w:tr>
      <w:tr>
        <w:trPr>
          <w:trHeight w:val="134"/>
        </w:trPr>
        <w:tc>
          <w:tcPr>
            <w:tcW w:w="34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0"/>
                <w:szCs w:val="10"/>
                <w:b w:val="1"/>
                <w:bCs w:val="1"/>
                <w:color w:val="auto"/>
              </w:rPr>
              <w:t>C&amp;I and other commercial</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0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auto"/>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tcBorders>
            <w:shd w:val="clear" w:color="auto" w:fill="E0E7ED"/>
          </w:tcPr>
          <w:p>
            <w:pPr>
              <w:spacing w:after="0"/>
              <w:rPr>
                <w:sz w:val="11"/>
                <w:szCs w:val="11"/>
                <w:color w:val="auto"/>
              </w:rPr>
            </w:pPr>
          </w:p>
        </w:tc>
        <w:tc>
          <w:tcPr>
            <w:tcW w:w="780" w:type="dxa"/>
            <w:vAlign w:val="bottom"/>
            <w:tcBorders>
              <w:top w:val="single" w:sz="8" w:color="auto"/>
            </w:tcBorders>
            <w:shd w:val="clear" w:color="auto" w:fill="E0E7ED"/>
          </w:tcPr>
          <w:p>
            <w:pPr>
              <w:spacing w:after="0"/>
              <w:rPr>
                <w:sz w:val="11"/>
                <w:szCs w:val="11"/>
                <w:color w:val="auto"/>
              </w:rPr>
            </w:pP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tcBorders>
            <w:shd w:val="clear" w:color="auto" w:fill="E0E7ED"/>
          </w:tcPr>
          <w:p>
            <w:pPr>
              <w:spacing w:after="0"/>
              <w:rPr>
                <w:sz w:val="11"/>
                <w:szCs w:val="11"/>
                <w:color w:val="auto"/>
              </w:rPr>
            </w:pPr>
          </w:p>
        </w:tc>
        <w:tc>
          <w:tcPr>
            <w:tcW w:w="720" w:type="dxa"/>
            <w:vAlign w:val="bottom"/>
            <w:tcBorders>
              <w:top w:val="single" w:sz="8" w:color="auto"/>
            </w:tcBorders>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306,578</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Pr>
          <w:p>
            <w:pPr>
              <w:jc w:val="right"/>
              <w:spacing w:after="0"/>
              <w:rPr>
                <w:sz w:val="20"/>
                <w:szCs w:val="20"/>
                <w:color w:val="auto"/>
              </w:rPr>
            </w:pPr>
            <w:r>
              <w:rPr>
                <w:rFonts w:ascii="Verdana" w:cs="Verdana" w:eastAsia="Verdana" w:hAnsi="Verdana"/>
                <w:sz w:val="10"/>
                <w:szCs w:val="10"/>
                <w:color w:val="auto"/>
              </w:rPr>
              <w:t>220,847</w:t>
            </w:r>
          </w:p>
        </w:tc>
        <w:tc>
          <w:tcPr>
            <w:tcW w:w="80" w:type="dxa"/>
            <w:vAlign w:val="bottom"/>
          </w:tcPr>
          <w:p>
            <w:pPr>
              <w:spacing w:after="0"/>
              <w:rPr>
                <w:sz w:val="11"/>
                <w:szCs w:val="11"/>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159,130</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71,025</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35,927</w:t>
            </w:r>
          </w:p>
        </w:tc>
        <w:tc>
          <w:tcPr>
            <w:tcW w:w="6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143,078</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Pr>
          <w:p>
            <w:pPr>
              <w:jc w:val="right"/>
              <w:spacing w:after="0"/>
              <w:rPr>
                <w:sz w:val="20"/>
                <w:szCs w:val="20"/>
                <w:color w:val="auto"/>
              </w:rPr>
            </w:pPr>
            <w:r>
              <w:rPr>
                <w:rFonts w:ascii="Verdana" w:cs="Verdana" w:eastAsia="Verdana" w:hAnsi="Verdana"/>
                <w:sz w:val="10"/>
                <w:szCs w:val="10"/>
                <w:color w:val="auto"/>
              </w:rPr>
              <w:t>526,170</w:t>
            </w:r>
          </w:p>
        </w:tc>
        <w:tc>
          <w:tcPr>
            <w:tcW w:w="80" w:type="dxa"/>
            <w:vAlign w:val="bottom"/>
          </w:tcPr>
          <w:p>
            <w:pPr>
              <w:spacing w:after="0"/>
              <w:rPr>
                <w:sz w:val="11"/>
                <w:szCs w:val="11"/>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1,462,755</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78,603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65,703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21,421</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23,919</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7,035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21,293</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78,442</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296,416</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792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8,224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2,917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1,076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686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3,274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29,519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46,488</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8,715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765</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942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426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3,734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1,859</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11,292</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27,733</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128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407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1,700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2,602</w:t>
            </w:r>
          </w:p>
        </w:tc>
      </w:tr>
      <w:tr>
        <w:trPr>
          <w:trHeight w:val="134"/>
        </w:trPr>
        <w:tc>
          <w:tcPr>
            <w:tcW w:w="3540" w:type="dxa"/>
            <w:vAlign w:val="bottom"/>
            <w:tcBorders>
              <w:top w:val="single" w:sz="8" w:color="E0E7ED"/>
            </w:tcBorders>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Total C&amp;I and other commercial</w:t>
            </w: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394,854</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295,539</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184,527</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96,530</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47,510</w:t>
            </w:r>
          </w:p>
        </w:tc>
        <w:tc>
          <w:tcPr>
            <w:tcW w:w="60" w:type="dxa"/>
            <w:vAlign w:val="bottom"/>
            <w:tcBorders>
              <w:top w:val="single" w:sz="8" w:color="E0E7ED"/>
            </w:tcBorders>
            <w:shd w:val="clear" w:color="auto" w:fill="E0E7ED"/>
          </w:tcPr>
          <w:p>
            <w:pPr>
              <w:spacing w:after="0"/>
              <w:rPr>
                <w:sz w:val="11"/>
                <w:szCs w:val="11"/>
                <w:color w:val="auto"/>
              </w:rPr>
            </w:pPr>
          </w:p>
        </w:tc>
        <w:tc>
          <w:tcPr>
            <w:tcW w:w="20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169,911</w:t>
            </w:r>
          </w:p>
        </w:tc>
        <w:tc>
          <w:tcPr>
            <w:tcW w:w="60" w:type="dxa"/>
            <w:vAlign w:val="bottom"/>
            <w:tcBorders>
              <w:top w:val="single" w:sz="8" w:color="E0E7ED"/>
            </w:tcBorders>
            <w:shd w:val="clear" w:color="auto" w:fill="E0E7ED"/>
          </w:tcPr>
          <w:p>
            <w:pPr>
              <w:spacing w:after="0"/>
              <w:rPr>
                <w:sz w:val="11"/>
                <w:szCs w:val="11"/>
                <w:color w:val="auto"/>
              </w:rPr>
            </w:pPr>
          </w:p>
        </w:tc>
        <w:tc>
          <w:tcPr>
            <w:tcW w:w="120" w:type="dxa"/>
            <w:vAlign w:val="bottom"/>
            <w:tcBorders>
              <w:top w:val="single" w:sz="8" w:color="auto"/>
              <w:bottom w:val="single" w:sz="8" w:color="auto"/>
            </w:tcBorders>
            <w:shd w:val="clear" w:color="auto" w:fill="E0E7ED"/>
          </w:tcPr>
          <w:p>
            <w:pPr>
              <w:spacing w:after="0"/>
              <w:rPr>
                <w:sz w:val="11"/>
                <w:szCs w:val="11"/>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647,123</w:t>
            </w:r>
          </w:p>
        </w:tc>
        <w:tc>
          <w:tcPr>
            <w:tcW w:w="80" w:type="dxa"/>
            <w:vAlign w:val="bottom"/>
            <w:tcBorders>
              <w:top w:val="single" w:sz="8" w:color="E0E7ED"/>
            </w:tcBorders>
            <w:shd w:val="clear" w:color="auto" w:fill="E0E7ED"/>
          </w:tcPr>
          <w:p>
            <w:pPr>
              <w:spacing w:after="0"/>
              <w:rPr>
                <w:sz w:val="11"/>
                <w:szCs w:val="11"/>
                <w:color w:val="auto"/>
              </w:rPr>
            </w:pPr>
          </w:p>
        </w:tc>
        <w:tc>
          <w:tcPr>
            <w:tcW w:w="180" w:type="dxa"/>
            <w:vAlign w:val="bottom"/>
            <w:tcBorders>
              <w:top w:val="single" w:sz="8" w:color="auto"/>
              <w:bottom w:val="single" w:sz="8" w:color="auto"/>
            </w:tcBorders>
            <w:shd w:val="clear" w:color="auto" w:fill="E0E7ED"/>
          </w:tcPr>
          <w:p>
            <w:pPr>
              <w:spacing w:after="0"/>
              <w:rPr>
                <w:sz w:val="11"/>
                <w:szCs w:val="11"/>
                <w:color w:val="auto"/>
              </w:rPr>
            </w:pPr>
          </w:p>
        </w:tc>
        <w:tc>
          <w:tcPr>
            <w:tcW w:w="720" w:type="dxa"/>
            <w:vAlign w:val="bottom"/>
            <w:tcBorders>
              <w:top w:val="single" w:sz="8" w:color="auto"/>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1,835,994</w:t>
            </w:r>
          </w:p>
        </w:tc>
      </w:tr>
      <w:tr>
        <w:trPr>
          <w:trHeight w:val="123"/>
        </w:trPr>
        <w:tc>
          <w:tcPr>
            <w:tcW w:w="3540" w:type="dxa"/>
            <w:vAlign w:val="bottom"/>
            <w:gridSpan w:val="2"/>
          </w:tcPr>
          <w:p>
            <w:pPr>
              <w:ind w:left="20"/>
              <w:spacing w:after="0" w:line="114" w:lineRule="exact"/>
              <w:rPr>
                <w:sz w:val="20"/>
                <w:szCs w:val="20"/>
                <w:color w:val="auto"/>
              </w:rPr>
            </w:pPr>
            <w:r>
              <w:rPr>
                <w:rFonts w:ascii="Verdana" w:cs="Verdana" w:eastAsia="Verdana" w:hAnsi="Verdana"/>
                <w:sz w:val="10"/>
                <w:szCs w:val="10"/>
                <w:color w:val="auto"/>
              </w:rPr>
              <w:t>Gross charge-offs</w:t>
            </w: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284</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420</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316</w:t>
            </w:r>
          </w:p>
        </w:tc>
        <w:tc>
          <w:tcPr>
            <w:tcW w:w="60" w:type="dxa"/>
            <w:vAlign w:val="bottom"/>
          </w:tcPr>
          <w:p>
            <w:pPr>
              <w:spacing w:after="0"/>
              <w:rPr>
                <w:sz w:val="10"/>
                <w:szCs w:val="10"/>
                <w:color w:val="auto"/>
              </w:rPr>
            </w:pPr>
          </w:p>
        </w:tc>
        <w:tc>
          <w:tcPr>
            <w:tcW w:w="200" w:type="dxa"/>
            <w:vAlign w:val="bottom"/>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1,409</w:t>
            </w:r>
          </w:p>
        </w:tc>
        <w:tc>
          <w:tcPr>
            <w:tcW w:w="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10"/>
                <w:szCs w:val="10"/>
                <w:color w:val="auto"/>
              </w:rPr>
            </w:pPr>
          </w:p>
        </w:tc>
        <w:tc>
          <w:tcPr>
            <w:tcW w:w="180" w:type="dxa"/>
            <w:vAlign w:val="bottom"/>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2,429</w:t>
            </w:r>
          </w:p>
        </w:tc>
      </w:tr>
      <w:tr>
        <w:trPr>
          <w:trHeight w:val="133"/>
        </w:trPr>
        <w:tc>
          <w:tcPr>
            <w:tcW w:w="348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CRE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395,644</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824,506</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720,052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399,195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271,078</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199,662</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16,893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2,827,030</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166,795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47,070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92,848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34,010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68,196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19,396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3,112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431,427</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14,313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10,507</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12,446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4,968</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3,297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3,014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48,545</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1,796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188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18,862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2,938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1,802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3,856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29,492</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79</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85</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609</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843</w:t>
            </w:r>
          </w:p>
        </w:tc>
      </w:tr>
      <w:tr>
        <w:trPr>
          <w:trHeight w:val="123"/>
        </w:trPr>
        <w:tc>
          <w:tcPr>
            <w:tcW w:w="3540" w:type="dxa"/>
            <w:vAlign w:val="bottom"/>
            <w:tcBorders>
              <w:bottom w:val="single" w:sz="8" w:color="E0E7ED"/>
            </w:tcBorders>
            <w:gridSpan w:val="2"/>
          </w:tcPr>
          <w:p>
            <w:pPr>
              <w:ind w:left="20"/>
              <w:spacing w:after="0" w:line="114" w:lineRule="exact"/>
              <w:rPr>
                <w:sz w:val="20"/>
                <w:szCs w:val="20"/>
                <w:color w:val="auto"/>
              </w:rPr>
            </w:pPr>
            <w:r>
              <w:rPr>
                <w:rFonts w:ascii="Verdana" w:cs="Verdana" w:eastAsia="Verdana" w:hAnsi="Verdana"/>
                <w:sz w:val="10"/>
                <w:szCs w:val="10"/>
                <w:color w:val="auto"/>
              </w:rPr>
              <w:t>Total CRE</w:t>
            </w: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578,595</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882,350</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844,293</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441,134</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344,373</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226,537</w:t>
            </w:r>
          </w:p>
        </w:tc>
        <w:tc>
          <w:tcPr>
            <w:tcW w:w="60" w:type="dxa"/>
            <w:vAlign w:val="bottom"/>
            <w:tcBorders>
              <w:bottom w:val="single" w:sz="8" w:color="E0E7E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20,055</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3,337,337</w:t>
            </w:r>
          </w:p>
        </w:tc>
      </w:tr>
      <w:tr>
        <w:trPr>
          <w:trHeight w:val="134"/>
        </w:trPr>
        <w:tc>
          <w:tcPr>
            <w:tcW w:w="3540" w:type="dxa"/>
            <w:vAlign w:val="bottom"/>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Gross charge-offs</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953</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953</w:t>
            </w:r>
          </w:p>
        </w:tc>
      </w:tr>
      <w:tr>
        <w:trPr>
          <w:trHeight w:val="127"/>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3540" w:type="dxa"/>
            <w:vAlign w:val="bottom"/>
            <w:gridSpan w:val="2"/>
            <w:shd w:val="clear" w:color="auto" w:fill="E0E7ED"/>
          </w:tcPr>
          <w:p>
            <w:pPr>
              <w:ind w:left="20"/>
              <w:spacing w:after="0"/>
              <w:rPr>
                <w:sz w:val="20"/>
                <w:szCs w:val="20"/>
                <w:color w:val="auto"/>
              </w:rPr>
            </w:pPr>
            <w:r>
              <w:rPr>
                <w:rFonts w:ascii="Verdana" w:cs="Verdana" w:eastAsia="Verdana" w:hAnsi="Verdana"/>
                <w:sz w:val="10"/>
                <w:szCs w:val="10"/>
                <w:b w:val="1"/>
                <w:bCs w:val="1"/>
                <w:color w:val="auto"/>
              </w:rPr>
              <w:t>Real estate construction</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204,952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128,462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85,086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2,616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1,323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2,934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22,638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448,011</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2,859</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4,406</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507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322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41</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8,135</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5,327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5,327</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244</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244</w:t>
            </w:r>
          </w:p>
        </w:tc>
      </w:tr>
      <w:tr>
        <w:trPr>
          <w:trHeight w:val="123"/>
        </w:trPr>
        <w:tc>
          <w:tcPr>
            <w:tcW w:w="3540" w:type="dxa"/>
            <w:vAlign w:val="bottom"/>
            <w:gridSpan w:val="2"/>
          </w:tcPr>
          <w:p>
            <w:pPr>
              <w:ind w:left="20"/>
              <w:spacing w:after="0" w:line="114" w:lineRule="exact"/>
              <w:rPr>
                <w:sz w:val="20"/>
                <w:szCs w:val="20"/>
                <w:color w:val="auto"/>
              </w:rPr>
            </w:pPr>
            <w:r>
              <w:rPr>
                <w:rFonts w:ascii="Verdana" w:cs="Verdana" w:eastAsia="Verdana" w:hAnsi="Verdana"/>
                <w:sz w:val="10"/>
                <w:szCs w:val="10"/>
                <w:color w:val="auto"/>
              </w:rPr>
              <w:t>Total real estate construction</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213,138</w:t>
            </w: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Verdana" w:cs="Verdana" w:eastAsia="Verdana" w:hAnsi="Verdana"/>
                <w:sz w:val="10"/>
                <w:szCs w:val="10"/>
                <w:color w:val="auto"/>
              </w:rPr>
              <w:t>132,868</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85,593</w:t>
            </w: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2,938</w:t>
            </w: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1,364</w:t>
            </w: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3,178</w:t>
            </w: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rPr>
                <w:sz w:val="20"/>
                <w:szCs w:val="20"/>
                <w:color w:val="auto"/>
              </w:rPr>
            </w:pPr>
            <w:r>
              <w:rPr>
                <w:rFonts w:ascii="Verdana" w:cs="Verdana" w:eastAsia="Verdana" w:hAnsi="Verdana"/>
                <w:sz w:val="10"/>
                <w:szCs w:val="10"/>
                <w:color w:val="auto"/>
              </w:rPr>
              <w:t>22,638</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
              <w:spacing w:after="0"/>
              <w:rPr>
                <w:sz w:val="20"/>
                <w:szCs w:val="20"/>
                <w:color w:val="auto"/>
              </w:rPr>
            </w:pPr>
            <w:r>
              <w:rPr>
                <w:rFonts w:ascii="Verdana" w:cs="Verdana" w:eastAsia="Verdana" w:hAnsi="Verdana"/>
                <w:sz w:val="10"/>
                <w:szCs w:val="10"/>
                <w:color w:val="auto"/>
              </w:rPr>
              <w:t>461,717</w:t>
            </w:r>
          </w:p>
        </w:tc>
      </w:tr>
      <w:tr>
        <w:trPr>
          <w:trHeight w:val="133"/>
        </w:trPr>
        <w:tc>
          <w:tcPr>
            <w:tcW w:w="348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20"/>
              <w:spacing w:after="0"/>
              <w:rPr>
                <w:sz w:val="20"/>
                <w:szCs w:val="20"/>
                <w:color w:val="auto"/>
              </w:rPr>
            </w:pPr>
            <w:r>
              <w:rPr>
                <w:rFonts w:ascii="Verdana" w:cs="Verdana" w:eastAsia="Verdana" w:hAnsi="Verdana"/>
                <w:sz w:val="10"/>
                <w:szCs w:val="10"/>
                <w:b w:val="1"/>
                <w:bCs w:val="1"/>
                <w:color w:val="auto"/>
              </w:rPr>
              <w:t>Retail real estate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243,400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376,922</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411,723</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156,762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70,099</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256,571</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187,420</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1,702,897</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Watch</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1,096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4,137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2,442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954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536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234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1,745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11,144</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Special Mention</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286</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358</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380</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1,024</w:t>
            </w: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Substandard</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72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997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236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1,795</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528</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121</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267</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100</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1,960</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619</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3,595</w:t>
            </w:r>
          </w:p>
        </w:tc>
      </w:tr>
      <w:tr>
        <w:trPr>
          <w:trHeight w:val="123"/>
        </w:trPr>
        <w:tc>
          <w:tcPr>
            <w:tcW w:w="3540" w:type="dxa"/>
            <w:vAlign w:val="bottom"/>
            <w:tcBorders>
              <w:bottom w:val="single" w:sz="8" w:color="E0E7ED"/>
            </w:tcBorders>
            <w:gridSpan w:val="2"/>
          </w:tcPr>
          <w:p>
            <w:pPr>
              <w:ind w:left="20"/>
              <w:spacing w:after="0" w:line="114" w:lineRule="exact"/>
              <w:rPr>
                <w:sz w:val="20"/>
                <w:szCs w:val="20"/>
                <w:color w:val="auto"/>
              </w:rPr>
            </w:pPr>
            <w:r>
              <w:rPr>
                <w:rFonts w:ascii="Verdana" w:cs="Verdana" w:eastAsia="Verdana" w:hAnsi="Verdana"/>
                <w:sz w:val="10"/>
                <w:szCs w:val="10"/>
                <w:color w:val="auto"/>
              </w:rPr>
              <w:t>Total retail real estate</w:t>
            </w: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244,851</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382,017</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414,578</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158,032</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70,815</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260,142</w:t>
            </w:r>
          </w:p>
        </w:tc>
        <w:tc>
          <w:tcPr>
            <w:tcW w:w="60" w:type="dxa"/>
            <w:vAlign w:val="bottom"/>
            <w:tcBorders>
              <w:bottom w:val="single" w:sz="8" w:color="E0E7E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190,020</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1,720,455</w:t>
            </w:r>
          </w:p>
        </w:tc>
      </w:tr>
      <w:tr>
        <w:trPr>
          <w:trHeight w:val="134"/>
        </w:trPr>
        <w:tc>
          <w:tcPr>
            <w:tcW w:w="3540" w:type="dxa"/>
            <w:vAlign w:val="bottom"/>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Gross charge-offs</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5</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29</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72</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301</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407</w:t>
            </w:r>
          </w:p>
        </w:tc>
      </w:tr>
      <w:tr>
        <w:trPr>
          <w:trHeight w:val="127"/>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3540" w:type="dxa"/>
            <w:vAlign w:val="bottom"/>
            <w:gridSpan w:val="2"/>
            <w:shd w:val="clear" w:color="auto" w:fill="E0E7ED"/>
          </w:tcPr>
          <w:p>
            <w:pPr>
              <w:ind w:left="20"/>
              <w:spacing w:after="0"/>
              <w:rPr>
                <w:sz w:val="20"/>
                <w:szCs w:val="20"/>
                <w:color w:val="auto"/>
              </w:rPr>
            </w:pPr>
            <w:r>
              <w:rPr>
                <w:rFonts w:ascii="Verdana" w:cs="Verdana" w:eastAsia="Verdana" w:hAnsi="Verdana"/>
                <w:sz w:val="10"/>
                <w:szCs w:val="10"/>
                <w:b w:val="1"/>
                <w:bCs w:val="1"/>
                <w:color w:val="auto"/>
              </w:rPr>
              <w:t>Retail other</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spacing w:after="0"/>
              <w:rPr>
                <w:sz w:val="11"/>
                <w:szCs w:val="11"/>
                <w:color w:val="auto"/>
              </w:rPr>
            </w:pPr>
          </w:p>
        </w:tc>
      </w:tr>
      <w:tr>
        <w:trPr>
          <w:trHeight w:val="133"/>
        </w:trPr>
        <w:tc>
          <w:tcPr>
            <w:tcW w:w="3540" w:type="dxa"/>
            <w:vAlign w:val="bottom"/>
            <w:gridSpan w:val="2"/>
          </w:tcPr>
          <w:p>
            <w:pPr>
              <w:ind w:left="140"/>
              <w:spacing w:after="0"/>
              <w:rPr>
                <w:sz w:val="20"/>
                <w:szCs w:val="20"/>
                <w:color w:val="auto"/>
              </w:rPr>
            </w:pPr>
            <w:r>
              <w:rPr>
                <w:rFonts w:ascii="Verdana" w:cs="Verdana" w:eastAsia="Verdana" w:hAnsi="Verdana"/>
                <w:sz w:val="10"/>
                <w:szCs w:val="10"/>
                <w:color w:val="auto"/>
              </w:rPr>
              <w:t>Pass</w:t>
            </w: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88,885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Verdana" w:cs="Verdana" w:eastAsia="Verdana" w:hAnsi="Verdana"/>
                <w:sz w:val="10"/>
                <w:szCs w:val="10"/>
                <w:color w:val="auto"/>
              </w:rPr>
              <w:t>92,931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23,019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6,701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4,597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854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Verdana" w:cs="Verdana" w:eastAsia="Verdana" w:hAnsi="Verdana"/>
                <w:sz w:val="10"/>
                <w:szCs w:val="10"/>
                <w:color w:val="auto"/>
              </w:rPr>
              <w:t>78,387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Verdana" w:cs="Verdana" w:eastAsia="Verdana" w:hAnsi="Verdana"/>
                <w:sz w:val="10"/>
                <w:szCs w:val="10"/>
                <w:color w:val="auto"/>
              </w:rPr>
              <w:t>295,374</w:t>
            </w:r>
          </w:p>
        </w:tc>
      </w:tr>
      <w:tr>
        <w:trPr>
          <w:trHeight w:val="143"/>
        </w:trPr>
        <w:tc>
          <w:tcPr>
            <w:tcW w:w="3540" w:type="dxa"/>
            <w:vAlign w:val="bottom"/>
            <w:gridSpan w:val="2"/>
            <w:shd w:val="clear" w:color="auto" w:fill="E0E7ED"/>
          </w:tcPr>
          <w:p>
            <w:pPr>
              <w:ind w:left="140"/>
              <w:spacing w:after="0"/>
              <w:rPr>
                <w:sz w:val="20"/>
                <w:szCs w:val="20"/>
                <w:color w:val="auto"/>
              </w:rPr>
            </w:pPr>
            <w:r>
              <w:rPr>
                <w:rFonts w:ascii="Verdana" w:cs="Verdana" w:eastAsia="Verdana" w:hAnsi="Verdana"/>
                <w:sz w:val="10"/>
                <w:szCs w:val="10"/>
                <w:color w:val="auto"/>
              </w:rPr>
              <w:t>Substandard non-accrual</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93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62</w:t>
            </w:r>
          </w:p>
        </w:tc>
        <w:tc>
          <w:tcPr>
            <w:tcW w:w="6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20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2</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0"/>
                <w:szCs w:val="10"/>
                <w:color w:val="auto"/>
              </w:rPr>
              <w:t>—</w:t>
            </w: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157</w:t>
            </w:r>
          </w:p>
        </w:tc>
      </w:tr>
      <w:tr>
        <w:trPr>
          <w:trHeight w:val="123"/>
        </w:trPr>
        <w:tc>
          <w:tcPr>
            <w:tcW w:w="3540" w:type="dxa"/>
            <w:vAlign w:val="bottom"/>
            <w:tcBorders>
              <w:bottom w:val="single" w:sz="8" w:color="E0E7ED"/>
            </w:tcBorders>
            <w:gridSpan w:val="2"/>
          </w:tcPr>
          <w:p>
            <w:pPr>
              <w:ind w:left="20"/>
              <w:spacing w:after="0" w:line="114" w:lineRule="exact"/>
              <w:rPr>
                <w:sz w:val="20"/>
                <w:szCs w:val="20"/>
                <w:color w:val="auto"/>
              </w:rPr>
            </w:pPr>
            <w:r>
              <w:rPr>
                <w:rFonts w:ascii="Verdana" w:cs="Verdana" w:eastAsia="Verdana" w:hAnsi="Verdana"/>
                <w:sz w:val="10"/>
                <w:szCs w:val="10"/>
                <w:color w:val="auto"/>
              </w:rPr>
              <w:t>Total retail other</w:t>
            </w: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88,885</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93,024</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23,081</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6,701</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4,597</w:t>
            </w:r>
          </w:p>
        </w:tc>
        <w:tc>
          <w:tcPr>
            <w:tcW w:w="60" w:type="dxa"/>
            <w:vAlign w:val="bottom"/>
            <w:tcBorders>
              <w:bottom w:val="single" w:sz="8" w:color="E0E7ED"/>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856</w:t>
            </w:r>
          </w:p>
        </w:tc>
        <w:tc>
          <w:tcPr>
            <w:tcW w:w="60" w:type="dxa"/>
            <w:vAlign w:val="bottom"/>
            <w:tcBorders>
              <w:bottom w:val="single" w:sz="8" w:color="E0E7ED"/>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color w:val="auto"/>
              </w:rPr>
              <w:t>78,387</w:t>
            </w:r>
          </w:p>
        </w:tc>
        <w:tc>
          <w:tcPr>
            <w:tcW w:w="80" w:type="dxa"/>
            <w:vAlign w:val="bottom"/>
            <w:tcBorders>
              <w:bottom w:val="single" w:sz="8" w:color="E0E7ED"/>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Verdana" w:cs="Verdana" w:eastAsia="Verdana" w:hAnsi="Verdana"/>
                <w:sz w:val="10"/>
                <w:szCs w:val="10"/>
                <w:color w:val="auto"/>
              </w:rPr>
              <w:t>295,531</w:t>
            </w:r>
          </w:p>
        </w:tc>
      </w:tr>
      <w:tr>
        <w:trPr>
          <w:trHeight w:val="134"/>
        </w:trPr>
        <w:tc>
          <w:tcPr>
            <w:tcW w:w="3540" w:type="dxa"/>
            <w:vAlign w:val="bottom"/>
            <w:gridSpan w:val="2"/>
            <w:shd w:val="clear" w:color="auto" w:fill="E0E7ED"/>
          </w:tcPr>
          <w:p>
            <w:pPr>
              <w:ind w:left="20"/>
              <w:spacing w:after="0" w:line="119" w:lineRule="exact"/>
              <w:rPr>
                <w:sz w:val="20"/>
                <w:szCs w:val="20"/>
                <w:color w:val="auto"/>
              </w:rPr>
            </w:pPr>
            <w:r>
              <w:rPr>
                <w:rFonts w:ascii="Verdana" w:cs="Verdana" w:eastAsia="Verdana" w:hAnsi="Verdana"/>
                <w:sz w:val="10"/>
                <w:szCs w:val="10"/>
                <w:color w:val="auto"/>
              </w:rPr>
              <w:t>Gross charge-offs</w:t>
            </w: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0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71</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172</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5</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w:t>
            </w:r>
          </w:p>
        </w:tc>
        <w:tc>
          <w:tcPr>
            <w:tcW w:w="6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373</w:t>
            </w:r>
          </w:p>
        </w:tc>
        <w:tc>
          <w:tcPr>
            <w:tcW w:w="6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780" w:type="dxa"/>
            <w:vAlign w:val="bottom"/>
            <w:shd w:val="clear" w:color="auto" w:fill="E0E7ED"/>
          </w:tcPr>
          <w:p>
            <w:pPr>
              <w:jc w:val="right"/>
              <w:spacing w:after="0"/>
              <w:rPr>
                <w:sz w:val="20"/>
                <w:szCs w:val="20"/>
                <w:color w:val="auto"/>
              </w:rPr>
            </w:pPr>
            <w:r>
              <w:rPr>
                <w:rFonts w:ascii="Verdana" w:cs="Verdana" w:eastAsia="Verdana" w:hAnsi="Verdana"/>
                <w:sz w:val="10"/>
                <w:szCs w:val="10"/>
                <w:color w:val="auto"/>
              </w:rPr>
              <w:t>—</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720" w:type="dxa"/>
            <w:vAlign w:val="bottom"/>
            <w:shd w:val="clear" w:color="auto" w:fill="E0E7ED"/>
          </w:tcPr>
          <w:p>
            <w:pPr>
              <w:jc w:val="right"/>
              <w:ind w:right="11"/>
              <w:spacing w:after="0"/>
              <w:rPr>
                <w:sz w:val="20"/>
                <w:szCs w:val="20"/>
                <w:color w:val="auto"/>
              </w:rPr>
            </w:pPr>
            <w:r>
              <w:rPr>
                <w:rFonts w:ascii="Verdana" w:cs="Verdana" w:eastAsia="Verdana" w:hAnsi="Verdana"/>
                <w:sz w:val="10"/>
                <w:szCs w:val="10"/>
                <w:color w:val="auto"/>
              </w:rPr>
              <w:t>629</w:t>
            </w:r>
          </w:p>
        </w:tc>
      </w:tr>
      <w:tr>
        <w:trPr>
          <w:trHeight w:val="127"/>
        </w:trPr>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3"/>
        </w:trPr>
        <w:tc>
          <w:tcPr>
            <w:tcW w:w="354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0"/>
                <w:szCs w:val="10"/>
                <w:b w:val="1"/>
                <w:bCs w:val="1"/>
                <w:color w:val="auto"/>
              </w:rPr>
              <w:t>Total portfolio loans</w:t>
            </w:r>
          </w:p>
        </w:tc>
        <w:tc>
          <w:tcPr>
            <w:tcW w:w="200" w:type="dxa"/>
            <w:vAlign w:val="bottom"/>
            <w:tcBorders>
              <w:bottom w:val="single" w:sz="8" w:color="auto"/>
            </w:tcBorders>
            <w:shd w:val="clear" w:color="auto" w:fill="E0E7ED"/>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1,520,323</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auto"/>
            </w:tcBorders>
            <w:shd w:val="clear" w:color="auto" w:fill="E0E7ED"/>
          </w:tcPr>
          <w:p>
            <w:pPr>
              <w:jc w:val="right"/>
              <w:ind w:right="71"/>
              <w:spacing w:after="0"/>
              <w:rPr>
                <w:sz w:val="20"/>
                <w:szCs w:val="20"/>
                <w:color w:val="auto"/>
              </w:rPr>
            </w:pPr>
            <w:r>
              <w:rPr>
                <w:rFonts w:ascii="Verdana" w:cs="Verdana" w:eastAsia="Verdana" w:hAnsi="Verdana"/>
                <w:sz w:val="10"/>
                <w:szCs w:val="10"/>
                <w:color w:val="auto"/>
                <w:w w:val="92"/>
              </w:rPr>
              <w:t>$</w:t>
            </w:r>
          </w:p>
        </w:tc>
        <w:tc>
          <w:tcPr>
            <w:tcW w:w="7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1,785,798</w:t>
            </w:r>
          </w:p>
        </w:tc>
        <w:tc>
          <w:tcPr>
            <w:tcW w:w="80" w:type="dxa"/>
            <w:vAlign w:val="bottom"/>
            <w:tcBorders>
              <w:bottom w:val="single" w:sz="8" w:color="E0E7ED"/>
            </w:tcBorders>
            <w:shd w:val="clear" w:color="auto" w:fill="E0E7ED"/>
          </w:tcPr>
          <w:p>
            <w:pPr>
              <w:spacing w:after="0"/>
              <w:rPr>
                <w:sz w:val="13"/>
                <w:szCs w:val="13"/>
                <w:color w:val="auto"/>
              </w:rPr>
            </w:pPr>
          </w:p>
        </w:tc>
        <w:tc>
          <w:tcPr>
            <w:tcW w:w="180" w:type="dxa"/>
            <w:vAlign w:val="bottom"/>
            <w:tcBorders>
              <w:bottom w:val="single" w:sz="8" w:color="auto"/>
            </w:tcBorders>
            <w:shd w:val="clear" w:color="auto" w:fill="E0E7ED"/>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1,552,072</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auto"/>
            </w:tcBorders>
            <w:shd w:val="clear" w:color="auto" w:fill="E0E7ED"/>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705,335</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auto"/>
            </w:tcBorders>
            <w:shd w:val="clear" w:color="auto" w:fill="E0E7ED"/>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468,659</w:t>
            </w:r>
          </w:p>
        </w:tc>
        <w:tc>
          <w:tcPr>
            <w:tcW w:w="60" w:type="dxa"/>
            <w:vAlign w:val="bottom"/>
            <w:tcBorders>
              <w:bottom w:val="single" w:sz="8" w:color="E0E7ED"/>
            </w:tcBorders>
            <w:shd w:val="clear" w:color="auto" w:fill="E0E7ED"/>
          </w:tcPr>
          <w:p>
            <w:pPr>
              <w:spacing w:after="0"/>
              <w:rPr>
                <w:sz w:val="13"/>
                <w:szCs w:val="13"/>
                <w:color w:val="auto"/>
              </w:rPr>
            </w:pPr>
          </w:p>
        </w:tc>
        <w:tc>
          <w:tcPr>
            <w:tcW w:w="200" w:type="dxa"/>
            <w:vAlign w:val="bottom"/>
            <w:tcBorders>
              <w:bottom w:val="single" w:sz="8" w:color="auto"/>
            </w:tcBorders>
            <w:shd w:val="clear" w:color="auto" w:fill="E0E7ED"/>
          </w:tcPr>
          <w:p>
            <w:pPr>
              <w:jc w:val="right"/>
              <w:ind w:right="71"/>
              <w:spacing w:after="0"/>
              <w:rPr>
                <w:sz w:val="20"/>
                <w:szCs w:val="20"/>
                <w:color w:val="auto"/>
              </w:rPr>
            </w:pPr>
            <w:r>
              <w:rPr>
                <w:rFonts w:ascii="Verdana" w:cs="Verdana" w:eastAsia="Verdana" w:hAnsi="Verdana"/>
                <w:sz w:val="10"/>
                <w:szCs w:val="10"/>
                <w:color w:val="auto"/>
                <w:w w:val="92"/>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660,624</w:t>
            </w:r>
          </w:p>
        </w:tc>
        <w:tc>
          <w:tcPr>
            <w:tcW w:w="60" w:type="dxa"/>
            <w:vAlign w:val="bottom"/>
            <w:tcBorders>
              <w:bottom w:val="single" w:sz="8" w:color="E0E7ED"/>
            </w:tcBorders>
            <w:shd w:val="clear" w:color="auto" w:fill="E0E7ED"/>
          </w:tcPr>
          <w:p>
            <w:pPr>
              <w:spacing w:after="0"/>
              <w:rPr>
                <w:sz w:val="13"/>
                <w:szCs w:val="13"/>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w w:val="92"/>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0"/>
                <w:szCs w:val="10"/>
                <w:color w:val="auto"/>
              </w:rPr>
              <w:t>958,223</w:t>
            </w:r>
          </w:p>
        </w:tc>
        <w:tc>
          <w:tcPr>
            <w:tcW w:w="80" w:type="dxa"/>
            <w:vAlign w:val="bottom"/>
            <w:tcBorders>
              <w:bottom w:val="single" w:sz="8" w:color="E0E7ED"/>
            </w:tcBorders>
            <w:shd w:val="clear" w:color="auto" w:fill="E0E7ED"/>
          </w:tcPr>
          <w:p>
            <w:pPr>
              <w:spacing w:after="0"/>
              <w:rPr>
                <w:sz w:val="13"/>
                <w:szCs w:val="13"/>
                <w:color w:val="auto"/>
              </w:rPr>
            </w:pPr>
          </w:p>
        </w:tc>
        <w:tc>
          <w:tcPr>
            <w:tcW w:w="180" w:type="dxa"/>
            <w:vAlign w:val="bottom"/>
            <w:tcBorders>
              <w:bottom w:val="single" w:sz="8" w:color="auto"/>
            </w:tcBorders>
            <w:shd w:val="clear" w:color="auto" w:fill="E0E7ED"/>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0"/>
                <w:szCs w:val="10"/>
                <w:color w:val="auto"/>
              </w:rPr>
              <w:t>7,651,034</w:t>
            </w:r>
          </w:p>
        </w:tc>
      </w:tr>
      <w:tr>
        <w:trPr>
          <w:trHeight w:val="20"/>
        </w:trPr>
        <w:tc>
          <w:tcPr>
            <w:tcW w:w="348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7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tcBorders>
            <w:gridSpan w:val="2"/>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720" w:type="dxa"/>
            <w:vAlign w:val="bottom"/>
            <w:tcBorders>
              <w:top w:val="single" w:sz="8" w:color="E0E7ED"/>
            </w:tcBorders>
          </w:tcPr>
          <w:p>
            <w:pPr>
              <w:spacing w:after="0" w:line="20" w:lineRule="exact"/>
              <w:rPr>
                <w:sz w:val="1"/>
                <w:szCs w:val="1"/>
                <w:color w:val="auto"/>
              </w:rPr>
            </w:pPr>
          </w:p>
        </w:tc>
      </w:tr>
      <w:tr>
        <w:trPr>
          <w:trHeight w:val="100"/>
        </w:trPr>
        <w:tc>
          <w:tcPr>
            <w:tcW w:w="3540" w:type="dxa"/>
            <w:vAlign w:val="bottom"/>
            <w:gridSpan w:val="2"/>
          </w:tcPr>
          <w:p>
            <w:pPr>
              <w:ind w:left="20"/>
              <w:spacing w:after="0" w:line="101" w:lineRule="exact"/>
              <w:rPr>
                <w:sz w:val="20"/>
                <w:szCs w:val="20"/>
                <w:color w:val="auto"/>
              </w:rPr>
            </w:pPr>
            <w:r>
              <w:rPr>
                <w:rFonts w:ascii="Verdana" w:cs="Verdana" w:eastAsia="Verdana" w:hAnsi="Verdana"/>
                <w:sz w:val="10"/>
                <w:szCs w:val="10"/>
                <w:b w:val="1"/>
                <w:bCs w:val="1"/>
                <w:color w:val="auto"/>
              </w:rPr>
              <w:t>Total gross charge-offs</w:t>
            </w:r>
          </w:p>
        </w:tc>
        <w:tc>
          <w:tcPr>
            <w:tcW w:w="200" w:type="dxa"/>
            <w:vAlign w:val="bottom"/>
            <w:tcBorders>
              <w:top w:val="single" w:sz="8" w:color="auto"/>
              <w:bottom w:val="single" w:sz="8" w:color="auto"/>
            </w:tcBorders>
          </w:tcPr>
          <w:p>
            <w:pPr>
              <w:jc w:val="right"/>
              <w:ind w:right="71"/>
              <w:spacing w:after="0" w:line="101" w:lineRule="exact"/>
              <w:rPr>
                <w:sz w:val="20"/>
                <w:szCs w:val="20"/>
                <w:color w:val="auto"/>
              </w:rPr>
            </w:pPr>
            <w:r>
              <w:rPr>
                <w:rFonts w:ascii="Verdana" w:cs="Verdana" w:eastAsia="Verdana" w:hAnsi="Verdana"/>
                <w:sz w:val="10"/>
                <w:szCs w:val="10"/>
                <w:color w:val="auto"/>
                <w:w w:val="92"/>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289</w:t>
            </w:r>
          </w:p>
        </w:tc>
        <w:tc>
          <w:tcPr>
            <w:tcW w:w="60" w:type="dxa"/>
            <w:vAlign w:val="bottom"/>
          </w:tcPr>
          <w:p>
            <w:pPr>
              <w:spacing w:after="0"/>
              <w:rPr>
                <w:sz w:val="8"/>
                <w:szCs w:val="8"/>
                <w:color w:val="auto"/>
              </w:rPr>
            </w:pPr>
          </w:p>
        </w:tc>
        <w:tc>
          <w:tcPr>
            <w:tcW w:w="200" w:type="dxa"/>
            <w:vAlign w:val="bottom"/>
            <w:tcBorders>
              <w:top w:val="single" w:sz="8" w:color="auto"/>
              <w:bottom w:val="single" w:sz="8" w:color="auto"/>
            </w:tcBorders>
          </w:tcPr>
          <w:p>
            <w:pPr>
              <w:jc w:val="right"/>
              <w:ind w:right="71"/>
              <w:spacing w:after="0" w:line="101" w:lineRule="exact"/>
              <w:rPr>
                <w:sz w:val="20"/>
                <w:szCs w:val="20"/>
                <w:color w:val="auto"/>
              </w:rPr>
            </w:pPr>
            <w:r>
              <w:rPr>
                <w:rFonts w:ascii="Verdana" w:cs="Verdana" w:eastAsia="Verdana" w:hAnsi="Verdana"/>
                <w:sz w:val="10"/>
                <w:szCs w:val="10"/>
                <w:color w:val="auto"/>
                <w:w w:val="92"/>
              </w:rPr>
              <w:t>$</w:t>
            </w:r>
          </w:p>
        </w:tc>
        <w:tc>
          <w:tcPr>
            <w:tcW w:w="700" w:type="dxa"/>
            <w:vAlign w:val="bottom"/>
            <w:tcBorders>
              <w:top w:val="single" w:sz="8" w:color="auto"/>
              <w:bottom w:val="single" w:sz="8" w:color="auto"/>
            </w:tcBorders>
          </w:tcPr>
          <w:p>
            <w:pPr>
              <w:jc w:val="right"/>
              <w:spacing w:after="0" w:line="101" w:lineRule="exact"/>
              <w:rPr>
                <w:sz w:val="20"/>
                <w:szCs w:val="20"/>
                <w:color w:val="auto"/>
              </w:rPr>
            </w:pPr>
            <w:r>
              <w:rPr>
                <w:rFonts w:ascii="Verdana" w:cs="Verdana" w:eastAsia="Verdana" w:hAnsi="Verdana"/>
                <w:sz w:val="10"/>
                <w:szCs w:val="10"/>
                <w:color w:val="auto"/>
              </w:rPr>
              <w:t>76</w:t>
            </w:r>
          </w:p>
        </w:tc>
        <w:tc>
          <w:tcPr>
            <w:tcW w:w="80" w:type="dxa"/>
            <w:vAlign w:val="bottom"/>
          </w:tcPr>
          <w:p>
            <w:pPr>
              <w:spacing w:after="0"/>
              <w:rPr>
                <w:sz w:val="8"/>
                <w:szCs w:val="8"/>
                <w:color w:val="auto"/>
              </w:rPr>
            </w:pPr>
          </w:p>
        </w:tc>
        <w:tc>
          <w:tcPr>
            <w:tcW w:w="180" w:type="dxa"/>
            <w:vAlign w:val="bottom"/>
            <w:tcBorders>
              <w:top w:val="single" w:sz="8" w:color="auto"/>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592</w:t>
            </w:r>
          </w:p>
        </w:tc>
        <w:tc>
          <w:tcPr>
            <w:tcW w:w="60" w:type="dxa"/>
            <w:vAlign w:val="bottom"/>
          </w:tcPr>
          <w:p>
            <w:pPr>
              <w:spacing w:after="0"/>
              <w:rPr>
                <w:sz w:val="8"/>
                <w:szCs w:val="8"/>
                <w:color w:val="auto"/>
              </w:rPr>
            </w:pPr>
          </w:p>
        </w:tc>
        <w:tc>
          <w:tcPr>
            <w:tcW w:w="200" w:type="dxa"/>
            <w:vAlign w:val="bottom"/>
            <w:tcBorders>
              <w:top w:val="single" w:sz="8" w:color="auto"/>
              <w:bottom w:val="single" w:sz="8" w:color="auto"/>
            </w:tcBorders>
          </w:tcPr>
          <w:p>
            <w:pPr>
              <w:jc w:val="right"/>
              <w:ind w:right="71"/>
              <w:spacing w:after="0" w:line="101" w:lineRule="exact"/>
              <w:rPr>
                <w:sz w:val="20"/>
                <w:szCs w:val="20"/>
                <w:color w:val="auto"/>
              </w:rPr>
            </w:pPr>
            <w:r>
              <w:rPr>
                <w:rFonts w:ascii="Verdana" w:cs="Verdana" w:eastAsia="Verdana" w:hAnsi="Verdana"/>
                <w:sz w:val="10"/>
                <w:szCs w:val="10"/>
                <w:color w:val="auto"/>
                <w:w w:val="92"/>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34</w:t>
            </w:r>
          </w:p>
        </w:tc>
        <w:tc>
          <w:tcPr>
            <w:tcW w:w="60" w:type="dxa"/>
            <w:vAlign w:val="bottom"/>
          </w:tcPr>
          <w:p>
            <w:pPr>
              <w:spacing w:after="0"/>
              <w:rPr>
                <w:sz w:val="8"/>
                <w:szCs w:val="8"/>
                <w:color w:val="auto"/>
              </w:rPr>
            </w:pPr>
          </w:p>
        </w:tc>
        <w:tc>
          <w:tcPr>
            <w:tcW w:w="200" w:type="dxa"/>
            <w:vAlign w:val="bottom"/>
            <w:tcBorders>
              <w:top w:val="single" w:sz="8" w:color="auto"/>
              <w:bottom w:val="single" w:sz="8" w:color="auto"/>
            </w:tcBorders>
          </w:tcPr>
          <w:p>
            <w:pPr>
              <w:jc w:val="right"/>
              <w:ind w:right="71"/>
              <w:spacing w:after="0" w:line="101" w:lineRule="exact"/>
              <w:rPr>
                <w:sz w:val="20"/>
                <w:szCs w:val="20"/>
                <w:color w:val="auto"/>
              </w:rPr>
            </w:pPr>
            <w:r>
              <w:rPr>
                <w:rFonts w:ascii="Verdana" w:cs="Verdana" w:eastAsia="Verdana" w:hAnsi="Verdana"/>
                <w:sz w:val="10"/>
                <w:szCs w:val="10"/>
                <w:color w:val="auto"/>
                <w:w w:val="92"/>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391</w:t>
            </w:r>
          </w:p>
        </w:tc>
        <w:tc>
          <w:tcPr>
            <w:tcW w:w="60" w:type="dxa"/>
            <w:vAlign w:val="bottom"/>
          </w:tcPr>
          <w:p>
            <w:pPr>
              <w:spacing w:after="0"/>
              <w:rPr>
                <w:sz w:val="8"/>
                <w:szCs w:val="8"/>
                <w:color w:val="auto"/>
              </w:rPr>
            </w:pPr>
          </w:p>
        </w:tc>
        <w:tc>
          <w:tcPr>
            <w:tcW w:w="200" w:type="dxa"/>
            <w:vAlign w:val="bottom"/>
            <w:tcBorders>
              <w:top w:val="single" w:sz="8" w:color="auto"/>
              <w:bottom w:val="single" w:sz="8" w:color="auto"/>
            </w:tcBorders>
          </w:tcPr>
          <w:p>
            <w:pPr>
              <w:jc w:val="right"/>
              <w:ind w:right="71"/>
              <w:spacing w:after="0" w:line="101" w:lineRule="exact"/>
              <w:rPr>
                <w:sz w:val="20"/>
                <w:szCs w:val="20"/>
                <w:color w:val="auto"/>
              </w:rPr>
            </w:pPr>
            <w:r>
              <w:rPr>
                <w:rFonts w:ascii="Verdana" w:cs="Verdana" w:eastAsia="Verdana" w:hAnsi="Verdana"/>
                <w:sz w:val="10"/>
                <w:szCs w:val="10"/>
                <w:color w:val="auto"/>
                <w:w w:val="92"/>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3,036</w:t>
            </w:r>
          </w:p>
        </w:tc>
        <w:tc>
          <w:tcPr>
            <w:tcW w:w="6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spacing w:after="0" w:line="101" w:lineRule="exact"/>
              <w:rPr>
                <w:sz w:val="20"/>
                <w:szCs w:val="20"/>
                <w:color w:val="auto"/>
              </w:rPr>
            </w:pPr>
            <w:r>
              <w:rPr>
                <w:rFonts w:ascii="Verdana" w:cs="Verdana" w:eastAsia="Verdana" w:hAnsi="Verdana"/>
                <w:sz w:val="10"/>
                <w:szCs w:val="10"/>
                <w:color w:val="auto"/>
                <w:w w:val="92"/>
              </w:rPr>
              <w:t>$</w:t>
            </w:r>
          </w:p>
        </w:tc>
        <w:tc>
          <w:tcPr>
            <w:tcW w:w="780" w:type="dxa"/>
            <w:vAlign w:val="bottom"/>
            <w:tcBorders>
              <w:top w:val="single" w:sz="8" w:color="auto"/>
              <w:bottom w:val="single" w:sz="8" w:color="auto"/>
            </w:tcBorders>
          </w:tcPr>
          <w:p>
            <w:pPr>
              <w:jc w:val="right"/>
              <w:spacing w:after="0" w:line="101" w:lineRule="exact"/>
              <w:rPr>
                <w:sz w:val="20"/>
                <w:szCs w:val="20"/>
                <w:color w:val="auto"/>
              </w:rPr>
            </w:pPr>
            <w:r>
              <w:rPr>
                <w:rFonts w:ascii="Verdana" w:cs="Verdana" w:eastAsia="Verdana" w:hAnsi="Verdana"/>
                <w:sz w:val="10"/>
                <w:szCs w:val="10"/>
                <w:color w:val="auto"/>
              </w:rPr>
              <w:t>—</w:t>
            </w:r>
          </w:p>
        </w:tc>
        <w:tc>
          <w:tcPr>
            <w:tcW w:w="80" w:type="dxa"/>
            <w:vAlign w:val="bottom"/>
          </w:tcPr>
          <w:p>
            <w:pPr>
              <w:spacing w:after="0"/>
              <w:rPr>
                <w:sz w:val="8"/>
                <w:szCs w:val="8"/>
                <w:color w:val="auto"/>
              </w:rPr>
            </w:pPr>
          </w:p>
        </w:tc>
        <w:tc>
          <w:tcPr>
            <w:tcW w:w="180" w:type="dxa"/>
            <w:vAlign w:val="bottom"/>
            <w:tcBorders>
              <w:top w:val="single" w:sz="8" w:color="auto"/>
              <w:bottom w:val="single" w:sz="8" w:color="auto"/>
            </w:tcBorders>
          </w:tcPr>
          <w:p>
            <w:pPr>
              <w:jc w:val="right"/>
              <w:ind w:right="83"/>
              <w:spacing w:after="0"/>
              <w:rPr>
                <w:sz w:val="20"/>
                <w:szCs w:val="20"/>
                <w:color w:val="auto"/>
              </w:rPr>
            </w:pPr>
            <w:r>
              <w:rPr>
                <w:rFonts w:ascii="Verdana" w:cs="Verdana" w:eastAsia="Verdana" w:hAnsi="Verdana"/>
                <w:sz w:val="7"/>
                <w:szCs w:val="7"/>
                <w:color w:val="auto"/>
                <w:w w:val="87"/>
              </w:rPr>
              <w:t>$</w:t>
            </w:r>
          </w:p>
        </w:tc>
        <w:tc>
          <w:tcPr>
            <w:tcW w:w="720" w:type="dxa"/>
            <w:vAlign w:val="bottom"/>
            <w:tcBorders>
              <w:top w:val="single" w:sz="8" w:color="auto"/>
              <w:bottom w:val="single" w:sz="8" w:color="auto"/>
            </w:tcBorders>
          </w:tcPr>
          <w:p>
            <w:pPr>
              <w:jc w:val="right"/>
              <w:ind w:right="11"/>
              <w:spacing w:after="0" w:line="101" w:lineRule="exact"/>
              <w:rPr>
                <w:sz w:val="20"/>
                <w:szCs w:val="20"/>
                <w:color w:val="auto"/>
              </w:rPr>
            </w:pPr>
            <w:r>
              <w:rPr>
                <w:rFonts w:ascii="Verdana" w:cs="Verdana" w:eastAsia="Verdana" w:hAnsi="Verdana"/>
                <w:sz w:val="10"/>
                <w:szCs w:val="10"/>
                <w:color w:val="auto"/>
              </w:rPr>
              <w:t>4,418</w:t>
            </w: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8" w:name="page129"/>
    <w:bookmarkEnd w:id="12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Past Due and Non-Accrual Loans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An analysis of the amortized cost basis of portfolio loans that are past due and still accruing, or on non-accrual status, is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0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5"/>
          </w:tcPr>
          <w:p>
            <w:pPr>
              <w:ind w:left="560"/>
              <w:spacing w:after="0"/>
              <w:rPr>
                <w:sz w:val="20"/>
                <w:szCs w:val="20"/>
                <w:color w:val="auto"/>
              </w:rPr>
            </w:pPr>
            <w:r>
              <w:rPr>
                <w:rFonts w:ascii="Verdana" w:cs="Verdana" w:eastAsia="Verdana" w:hAnsi="Verdana"/>
                <w:sz w:val="10"/>
                <w:szCs w:val="10"/>
                <w:b w:val="1"/>
                <w:bCs w:val="1"/>
                <w:color w:val="auto"/>
              </w:rPr>
              <w:t>As of December 31, 2024</w:t>
            </w: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50"/>
        </w:trPr>
        <w:tc>
          <w:tcPr>
            <w:tcW w:w="5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0"/>
                <w:szCs w:val="10"/>
                <w:b w:val="1"/>
                <w:bCs w:val="1"/>
                <w:color w:val="auto"/>
                <w:w w:val="99"/>
              </w:rPr>
              <w:t>Loans past due, still accruing</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4"/>
              <w:spacing w:after="0"/>
              <w:rPr>
                <w:sz w:val="20"/>
                <w:szCs w:val="20"/>
                <w:color w:val="auto"/>
              </w:rPr>
            </w:pPr>
            <w:r>
              <w:rPr>
                <w:rFonts w:ascii="Verdana" w:cs="Verdana" w:eastAsia="Verdana" w:hAnsi="Verdana"/>
                <w:sz w:val="10"/>
                <w:szCs w:val="10"/>
                <w:b w:val="1"/>
                <w:bCs w:val="1"/>
                <w:color w:val="auto"/>
                <w:w w:val="99"/>
              </w:rPr>
              <w:t>Non-accrual</w:t>
            </w: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2"/>
              <w:spacing w:after="0"/>
              <w:rPr>
                <w:sz w:val="20"/>
                <w:szCs w:val="20"/>
                <w:color w:val="auto"/>
              </w:rPr>
            </w:pPr>
            <w:r>
              <w:rPr>
                <w:rFonts w:ascii="Verdana" w:cs="Verdana" w:eastAsia="Verdana" w:hAnsi="Verdana"/>
                <w:sz w:val="10"/>
                <w:szCs w:val="10"/>
                <w:b w:val="1"/>
                <w:bCs w:val="1"/>
                <w:color w:val="auto"/>
              </w:rPr>
              <w:t>30-59 Days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0"/>
                <w:szCs w:val="10"/>
                <w:b w:val="1"/>
                <w:bCs w:val="1"/>
                <w:color w:val="auto"/>
                <w:w w:val="99"/>
              </w:rPr>
              <w:t>60-89 Days</w:t>
            </w: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0"/>
                <w:szCs w:val="10"/>
                <w:b w:val="1"/>
                <w:bCs w:val="1"/>
                <w:color w:val="auto"/>
              </w:rPr>
              <w:t>90+Days</w:t>
            </w:r>
          </w:p>
        </w:tc>
        <w:tc>
          <w:tcPr>
            <w:tcW w:w="260" w:type="dxa"/>
            <w:vAlign w:val="bottom"/>
          </w:tcPr>
          <w:p>
            <w:pPr>
              <w:spacing w:after="0"/>
              <w:rPr>
                <w:sz w:val="13"/>
                <w:szCs w:val="13"/>
                <w:color w:val="auto"/>
              </w:rPr>
            </w:pPr>
          </w:p>
        </w:tc>
        <w:tc>
          <w:tcPr>
            <w:tcW w:w="1220" w:type="dxa"/>
            <w:vAlign w:val="bottom"/>
          </w:tcPr>
          <w:p>
            <w:pPr>
              <w:jc w:val="center"/>
              <w:ind w:right="194"/>
              <w:spacing w:after="0"/>
              <w:rPr>
                <w:sz w:val="20"/>
                <w:szCs w:val="20"/>
                <w:color w:val="auto"/>
              </w:rPr>
            </w:pPr>
            <w:r>
              <w:rPr>
                <w:rFonts w:ascii="Verdana" w:cs="Verdana" w:eastAsia="Verdana" w:hAnsi="Verdana"/>
                <w:sz w:val="10"/>
                <w:szCs w:val="10"/>
                <w:b w:val="1"/>
                <w:bCs w:val="1"/>
                <w:color w:val="auto"/>
                <w:w w:val="96"/>
              </w:rPr>
              <w:t>Loans</w:t>
            </w:r>
          </w:p>
        </w:tc>
      </w:tr>
      <w:tr>
        <w:trPr>
          <w:trHeight w:val="197"/>
        </w:trPr>
        <w:tc>
          <w:tcPr>
            <w:tcW w:w="5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2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508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80" w:type="dxa"/>
            <w:vAlign w:val="bottom"/>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95</w:t>
            </w:r>
          </w:p>
        </w:tc>
        <w:tc>
          <w:tcPr>
            <w:tcW w:w="340" w:type="dxa"/>
            <w:vAlign w:val="bottom"/>
            <w:gridSpan w:val="2"/>
          </w:tcPr>
          <w:p>
            <w:pPr>
              <w:jc w:val="right"/>
              <w:ind w:right="89"/>
              <w:spacing w:after="0"/>
              <w:rPr>
                <w:sz w:val="20"/>
                <w:szCs w:val="20"/>
                <w:color w:val="auto"/>
              </w:rPr>
            </w:pPr>
            <w:r>
              <w:rPr>
                <w:rFonts w:ascii="Verdana" w:cs="Verdana" w:eastAsia="Verdana" w:hAnsi="Verdana"/>
                <w:sz w:val="14"/>
                <w:szCs w:val="14"/>
                <w:color w:val="auto"/>
              </w:rPr>
              <w:t>$</w:t>
            </w:r>
          </w:p>
        </w:tc>
        <w:tc>
          <w:tcPr>
            <w:tcW w:w="130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2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3,852</w:t>
            </w:r>
          </w:p>
        </w:tc>
      </w:tr>
      <w:tr>
        <w:trPr>
          <w:trHeight w:val="218"/>
        </w:trPr>
        <w:tc>
          <w:tcPr>
            <w:tcW w:w="50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42</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2,759</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15,053</w:t>
            </w:r>
          </w:p>
        </w:tc>
      </w:tr>
      <w:tr>
        <w:trPr>
          <w:trHeight w:val="207"/>
        </w:trPr>
        <w:tc>
          <w:tcPr>
            <w:tcW w:w="50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41</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w:t>
            </w:r>
          </w:p>
        </w:tc>
      </w:tr>
      <w:tr>
        <w:trPr>
          <w:trHeight w:val="208"/>
        </w:trPr>
        <w:tc>
          <w:tcPr>
            <w:tcW w:w="50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Past due and non-accrual commercial loans</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178</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2,759</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18,928</w:t>
            </w:r>
          </w:p>
        </w:tc>
      </w:tr>
      <w:tr>
        <w:trPr>
          <w:trHeight w:val="187"/>
        </w:trPr>
        <w:tc>
          <w:tcPr>
            <w:tcW w:w="508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18"/>
        </w:trPr>
        <w:tc>
          <w:tcPr>
            <w:tcW w:w="50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3,280</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683</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1,115</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2,984</w:t>
            </w:r>
          </w:p>
        </w:tc>
      </w:tr>
      <w:tr>
        <w:trPr>
          <w:trHeight w:val="207"/>
        </w:trPr>
        <w:tc>
          <w:tcPr>
            <w:tcW w:w="50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1,094</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130</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34</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176</w:t>
            </w:r>
          </w:p>
        </w:tc>
      </w:tr>
      <w:tr>
        <w:trPr>
          <w:trHeight w:val="203"/>
        </w:trPr>
        <w:tc>
          <w:tcPr>
            <w:tcW w:w="50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Past due and non-accrual retail loans</w:t>
            </w:r>
          </w:p>
        </w:tc>
        <w:tc>
          <w:tcPr>
            <w:tcW w:w="28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4,374</w:t>
            </w:r>
          </w:p>
        </w:tc>
        <w:tc>
          <w:tcPr>
            <w:tcW w:w="8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813</w:t>
            </w: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1,149</w:t>
            </w:r>
          </w:p>
        </w:tc>
        <w:tc>
          <w:tcPr>
            <w:tcW w:w="8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3,160</w:t>
            </w:r>
          </w:p>
        </w:tc>
      </w:tr>
      <w:tr>
        <w:trPr>
          <w:trHeight w:val="208"/>
        </w:trPr>
        <w:tc>
          <w:tcPr>
            <w:tcW w:w="5080" w:type="dxa"/>
            <w:vAlign w:val="bottom"/>
          </w:tcPr>
          <w:p>
            <w:pPr>
              <w:ind w:left="20"/>
              <w:spacing w:after="0"/>
              <w:rPr>
                <w:sz w:val="20"/>
                <w:szCs w:val="20"/>
                <w:color w:val="auto"/>
              </w:rPr>
            </w:pPr>
            <w:r>
              <w:rPr>
                <w:rFonts w:ascii="Verdana" w:cs="Verdana" w:eastAsia="Verdana" w:hAnsi="Verdana"/>
                <w:sz w:val="14"/>
                <w:szCs w:val="14"/>
                <w:color w:val="auto"/>
              </w:rPr>
              <w:t>Total past due and non-accrual loans</w:t>
            </w:r>
          </w:p>
        </w:tc>
        <w:tc>
          <w:tcPr>
            <w:tcW w:w="28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4,552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3,572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1,149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22,088</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47"/>
        </w:trPr>
        <w:tc>
          <w:tcPr>
            <w:tcW w:w="5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560"/>
              <w:spacing w:after="0"/>
              <w:rPr>
                <w:sz w:val="20"/>
                <w:szCs w:val="20"/>
                <w:color w:val="auto"/>
              </w:rPr>
            </w:pPr>
            <w:r>
              <w:rPr>
                <w:rFonts w:ascii="Verdana" w:cs="Verdana" w:eastAsia="Verdana" w:hAnsi="Verdana"/>
                <w:sz w:val="10"/>
                <w:szCs w:val="10"/>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0"/>
        </w:trPr>
        <w:tc>
          <w:tcPr>
            <w:tcW w:w="5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0"/>
                <w:szCs w:val="10"/>
                <w:b w:val="1"/>
                <w:bCs w:val="1"/>
                <w:color w:val="auto"/>
                <w:w w:val="99"/>
              </w:rPr>
              <w:t>Loans past due, still accruing</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4"/>
              <w:spacing w:after="0"/>
              <w:rPr>
                <w:sz w:val="20"/>
                <w:szCs w:val="20"/>
                <w:color w:val="auto"/>
              </w:rPr>
            </w:pPr>
            <w:r>
              <w:rPr>
                <w:rFonts w:ascii="Verdana" w:cs="Verdana" w:eastAsia="Verdana" w:hAnsi="Verdana"/>
                <w:sz w:val="10"/>
                <w:szCs w:val="10"/>
                <w:b w:val="1"/>
                <w:bCs w:val="1"/>
                <w:color w:val="auto"/>
                <w:w w:val="99"/>
              </w:rPr>
              <w:t>Non-accrual</w:t>
            </w: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72"/>
              <w:spacing w:after="0"/>
              <w:rPr>
                <w:sz w:val="20"/>
                <w:szCs w:val="20"/>
                <w:color w:val="auto"/>
              </w:rPr>
            </w:pPr>
            <w:r>
              <w:rPr>
                <w:rFonts w:ascii="Verdana" w:cs="Verdana" w:eastAsia="Verdana" w:hAnsi="Verdana"/>
                <w:sz w:val="10"/>
                <w:szCs w:val="10"/>
                <w:b w:val="1"/>
                <w:bCs w:val="1"/>
                <w:color w:val="auto"/>
              </w:rPr>
              <w:t>30-59 Days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0"/>
                <w:szCs w:val="10"/>
                <w:b w:val="1"/>
                <w:bCs w:val="1"/>
                <w:color w:val="auto"/>
                <w:w w:val="99"/>
              </w:rPr>
              <w:t>60-89 Days</w:t>
            </w: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0"/>
                <w:szCs w:val="10"/>
                <w:b w:val="1"/>
                <w:bCs w:val="1"/>
                <w:color w:val="auto"/>
              </w:rPr>
              <w:t>90+Days</w:t>
            </w:r>
          </w:p>
        </w:tc>
        <w:tc>
          <w:tcPr>
            <w:tcW w:w="260" w:type="dxa"/>
            <w:vAlign w:val="bottom"/>
          </w:tcPr>
          <w:p>
            <w:pPr>
              <w:spacing w:after="0"/>
              <w:rPr>
                <w:sz w:val="13"/>
                <w:szCs w:val="13"/>
                <w:color w:val="auto"/>
              </w:rPr>
            </w:pPr>
          </w:p>
        </w:tc>
        <w:tc>
          <w:tcPr>
            <w:tcW w:w="1220" w:type="dxa"/>
            <w:vAlign w:val="bottom"/>
          </w:tcPr>
          <w:p>
            <w:pPr>
              <w:jc w:val="center"/>
              <w:ind w:right="194"/>
              <w:spacing w:after="0"/>
              <w:rPr>
                <w:sz w:val="20"/>
                <w:szCs w:val="20"/>
                <w:color w:val="auto"/>
              </w:rPr>
            </w:pPr>
            <w:r>
              <w:rPr>
                <w:rFonts w:ascii="Verdana" w:cs="Verdana" w:eastAsia="Verdana" w:hAnsi="Verdana"/>
                <w:sz w:val="10"/>
                <w:szCs w:val="10"/>
                <w:b w:val="1"/>
                <w:bCs w:val="1"/>
                <w:color w:val="auto"/>
                <w:w w:val="96"/>
              </w:rPr>
              <w:t>Loans</w:t>
            </w:r>
          </w:p>
        </w:tc>
      </w:tr>
      <w:tr>
        <w:trPr>
          <w:trHeight w:val="197"/>
        </w:trPr>
        <w:tc>
          <w:tcPr>
            <w:tcW w:w="5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Commercial loans</w:t>
            </w:r>
          </w:p>
        </w:tc>
        <w:tc>
          <w:tcPr>
            <w:tcW w:w="2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508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80" w:type="dxa"/>
            <w:vAlign w:val="bottom"/>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w:t>
            </w:r>
          </w:p>
        </w:tc>
        <w:tc>
          <w:tcPr>
            <w:tcW w:w="340" w:type="dxa"/>
            <w:vAlign w:val="bottom"/>
            <w:gridSpan w:val="2"/>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214</w:t>
            </w:r>
          </w:p>
        </w:tc>
        <w:tc>
          <w:tcPr>
            <w:tcW w:w="80" w:type="dxa"/>
            <w:vAlign w:val="bottom"/>
          </w:tcPr>
          <w:p>
            <w:pPr>
              <w:spacing w:after="0"/>
              <w:rPr>
                <w:sz w:val="17"/>
                <w:szCs w:val="17"/>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2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2,602</w:t>
            </w:r>
          </w:p>
        </w:tc>
      </w:tr>
      <w:tr>
        <w:trPr>
          <w:trHeight w:val="218"/>
        </w:trPr>
        <w:tc>
          <w:tcPr>
            <w:tcW w:w="50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752</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843</w:t>
            </w:r>
          </w:p>
        </w:tc>
      </w:tr>
      <w:tr>
        <w:trPr>
          <w:trHeight w:val="207"/>
        </w:trPr>
        <w:tc>
          <w:tcPr>
            <w:tcW w:w="50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24</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244</w:t>
            </w:r>
          </w:p>
        </w:tc>
      </w:tr>
      <w:tr>
        <w:trPr>
          <w:trHeight w:val="208"/>
        </w:trPr>
        <w:tc>
          <w:tcPr>
            <w:tcW w:w="50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Past due and non-accrual commercial loans</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776</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214</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3,689</w:t>
            </w:r>
          </w:p>
        </w:tc>
      </w:tr>
      <w:tr>
        <w:trPr>
          <w:trHeight w:val="187"/>
        </w:trPr>
        <w:tc>
          <w:tcPr>
            <w:tcW w:w="5080" w:type="dxa"/>
            <w:vAlign w:val="bottom"/>
          </w:tcPr>
          <w:p>
            <w:pPr>
              <w:ind w:left="20"/>
              <w:spacing w:after="0"/>
              <w:rPr>
                <w:sz w:val="20"/>
                <w:szCs w:val="20"/>
                <w:color w:val="auto"/>
              </w:rPr>
            </w:pPr>
            <w:r>
              <w:rPr>
                <w:rFonts w:ascii="Verdana" w:cs="Verdana" w:eastAsia="Verdana" w:hAnsi="Verdana"/>
                <w:sz w:val="14"/>
                <w:szCs w:val="14"/>
                <w:b w:val="1"/>
                <w:bCs w:val="1"/>
                <w:color w:val="auto"/>
              </w:rPr>
              <w:t>Retail loans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18"/>
        </w:trPr>
        <w:tc>
          <w:tcPr>
            <w:tcW w:w="50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real estate</w:t>
            </w:r>
          </w:p>
        </w:tc>
        <w:tc>
          <w:tcPr>
            <w:tcW w:w="2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2,781</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927</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366</w:t>
            </w: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3,595</w:t>
            </w:r>
          </w:p>
        </w:tc>
      </w:tr>
      <w:tr>
        <w:trPr>
          <w:trHeight w:val="207"/>
        </w:trPr>
        <w:tc>
          <w:tcPr>
            <w:tcW w:w="50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other</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886</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195</w:t>
            </w: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9</w:t>
            </w:r>
          </w:p>
        </w:tc>
        <w:tc>
          <w:tcPr>
            <w:tcW w:w="8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157</w:t>
            </w:r>
          </w:p>
        </w:tc>
      </w:tr>
      <w:tr>
        <w:trPr>
          <w:trHeight w:val="203"/>
        </w:trPr>
        <w:tc>
          <w:tcPr>
            <w:tcW w:w="50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Past due and non-accrual retail loans</w:t>
            </w:r>
          </w:p>
        </w:tc>
        <w:tc>
          <w:tcPr>
            <w:tcW w:w="28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3,667</w:t>
            </w:r>
          </w:p>
        </w:tc>
        <w:tc>
          <w:tcPr>
            <w:tcW w:w="8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1,122</w:t>
            </w: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375</w:t>
            </w:r>
          </w:p>
        </w:tc>
        <w:tc>
          <w:tcPr>
            <w:tcW w:w="8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3,752</w:t>
            </w:r>
          </w:p>
        </w:tc>
      </w:tr>
      <w:tr>
        <w:trPr>
          <w:trHeight w:val="208"/>
        </w:trPr>
        <w:tc>
          <w:tcPr>
            <w:tcW w:w="5080" w:type="dxa"/>
            <w:vAlign w:val="bottom"/>
          </w:tcPr>
          <w:p>
            <w:pPr>
              <w:ind w:left="20"/>
              <w:spacing w:after="0"/>
              <w:rPr>
                <w:sz w:val="20"/>
                <w:szCs w:val="20"/>
                <w:color w:val="auto"/>
              </w:rPr>
            </w:pPr>
            <w:r>
              <w:rPr>
                <w:rFonts w:ascii="Verdana" w:cs="Verdana" w:eastAsia="Verdana" w:hAnsi="Verdana"/>
                <w:sz w:val="14"/>
                <w:szCs w:val="14"/>
                <w:color w:val="auto"/>
              </w:rPr>
              <w:t>Total past due and non-accrual loans</w:t>
            </w:r>
          </w:p>
        </w:tc>
        <w:tc>
          <w:tcPr>
            <w:tcW w:w="280" w:type="dxa"/>
            <w:vAlign w:val="bottom"/>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4,443</w:t>
            </w:r>
          </w:p>
        </w:tc>
        <w:tc>
          <w:tcPr>
            <w:tcW w:w="340" w:type="dxa"/>
            <w:vAlign w:val="bottom"/>
            <w:gridSpan w:val="2"/>
          </w:tcPr>
          <w:p>
            <w:pPr>
              <w:jc w:val="right"/>
              <w:ind w:right="89"/>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1,336</w:t>
            </w:r>
          </w:p>
        </w:tc>
        <w:tc>
          <w:tcPr>
            <w:tcW w:w="80" w:type="dxa"/>
            <w:vAlign w:val="bottom"/>
          </w:tcPr>
          <w:p>
            <w:pPr>
              <w:spacing w:after="0"/>
              <w:rPr>
                <w:sz w:val="18"/>
                <w:szCs w:val="18"/>
                <w:color w:val="auto"/>
              </w:rPr>
            </w:pPr>
          </w:p>
        </w:tc>
        <w:tc>
          <w:tcPr>
            <w:tcW w:w="300" w:type="dxa"/>
            <w:vAlign w:val="bottom"/>
          </w:tcPr>
          <w:p>
            <w:pPr>
              <w:jc w:val="right"/>
              <w:ind w:right="109"/>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ind w:right="12"/>
              <w:spacing w:after="0"/>
              <w:rPr>
                <w:sz w:val="20"/>
                <w:szCs w:val="20"/>
                <w:color w:val="auto"/>
              </w:rPr>
            </w:pPr>
            <w:r>
              <w:rPr>
                <w:rFonts w:ascii="Verdana" w:cs="Verdana" w:eastAsia="Verdana" w:hAnsi="Verdana"/>
                <w:sz w:val="14"/>
                <w:szCs w:val="14"/>
                <w:color w:val="auto"/>
              </w:rPr>
              <w:t>375</w:t>
            </w:r>
          </w:p>
        </w:tc>
        <w:tc>
          <w:tcPr>
            <w:tcW w:w="8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7,441</w:t>
            </w:r>
          </w:p>
        </w:tc>
      </w:tr>
      <w:tr>
        <w:trPr>
          <w:trHeight w:val="20"/>
        </w:trPr>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Gross interest income recorded on 90+ days past due loans, and that would have been recorded on non-accrual loans if they had been accruing interest in accordance with their original terms, was $0.9 million, $1.1 million, and $1.2 million for the years ended December 31, 2024, 2023, and 2022, respectively. Interest collected on those loans and recognized on a cash basis that was included in interest income was immaterial for the year ended December 31, 2024, and totaled $0.4 million for each of the years ended December 31, 2023, and 2022.</w:t>
      </w:r>
    </w:p>
    <w:p>
      <w:pPr>
        <w:spacing w:after="0" w:line="200" w:lineRule="exact"/>
        <w:rPr>
          <w:sz w:val="20"/>
          <w:szCs w:val="20"/>
          <w:color w:val="auto"/>
        </w:rPr>
      </w:pPr>
    </w:p>
    <w:p>
      <w:pPr>
        <w:spacing w:after="0" w:line="248" w:lineRule="exact"/>
        <w:rPr>
          <w:sz w:val="20"/>
          <w:szCs w:val="20"/>
          <w:color w:val="auto"/>
        </w:rPr>
      </w:pPr>
    </w:p>
    <w:p>
      <w:pPr>
        <w:ind w:left="792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29" w:name="page130"/>
    <w:bookmarkEnd w:id="12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 Modifications for Borrowers Experiencing Financial Difficulty</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 following tables present the amortized cost basis of loans that were modified—specifically in the form of (1) principal forgiveness, (2) an interest rate reduction, (3) an other-than-insignificant payment deferral, and/or (4) a term extension—for borrowers experiencing financial difficulty during the periods indicated, disaggregated by lending activity and the type of modification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gridSpan w:val="4"/>
          </w:tcPr>
          <w:p>
            <w:pPr>
              <w:ind w:left="880"/>
              <w:spacing w:after="0"/>
              <w:rPr>
                <w:sz w:val="20"/>
                <w:szCs w:val="20"/>
                <w:color w:val="auto"/>
              </w:rPr>
            </w:pPr>
            <w:r>
              <w:rPr>
                <w:rFonts w:ascii="Verdana" w:cs="Verdana" w:eastAsia="Verdana" w:hAnsi="Verdana"/>
                <w:sz w:val="10"/>
                <w:szCs w:val="10"/>
                <w:b w:val="1"/>
                <w:bCs w:val="1"/>
                <w:color w:val="auto"/>
              </w:rPr>
              <w:t>Year Ended December 31, 2024</w:t>
            </w: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vMerge w:val="restart"/>
          </w:tcPr>
          <w:p>
            <w:pPr>
              <w:jc w:val="right"/>
              <w:ind w:right="212"/>
              <w:spacing w:after="0"/>
              <w:rPr>
                <w:sz w:val="20"/>
                <w:szCs w:val="20"/>
                <w:color w:val="auto"/>
              </w:rPr>
            </w:pPr>
            <w:r>
              <w:rPr>
                <w:rFonts w:ascii="Verdana" w:cs="Verdana" w:eastAsia="Verdana" w:hAnsi="Verdana"/>
                <w:sz w:val="10"/>
                <w:szCs w:val="10"/>
                <w:b w:val="1"/>
                <w:bCs w:val="1"/>
                <w:color w:val="auto"/>
              </w:rPr>
              <w:t>Payment Deferral</w:t>
            </w:r>
          </w:p>
        </w:tc>
        <w:tc>
          <w:tcPr>
            <w:tcW w:w="80" w:type="dxa"/>
            <w:vAlign w:val="bottom"/>
          </w:tcPr>
          <w:p>
            <w:pPr>
              <w:spacing w:after="0"/>
              <w:rPr>
                <w:sz w:val="8"/>
                <w:szCs w:val="8"/>
                <w:color w:val="auto"/>
              </w:rPr>
            </w:pPr>
          </w:p>
        </w:tc>
        <w:tc>
          <w:tcPr>
            <w:tcW w:w="1800" w:type="dxa"/>
            <w:vAlign w:val="bottom"/>
            <w:gridSpan w:val="2"/>
          </w:tcPr>
          <w:p>
            <w:pPr>
              <w:jc w:val="center"/>
              <w:ind w:right="60"/>
              <w:spacing w:after="0" w:line="94" w:lineRule="exact"/>
              <w:rPr>
                <w:sz w:val="20"/>
                <w:szCs w:val="20"/>
                <w:color w:val="auto"/>
              </w:rPr>
            </w:pPr>
            <w:r>
              <w:rPr>
                <w:rFonts w:ascii="Verdana" w:cs="Verdana" w:eastAsia="Verdana" w:hAnsi="Verdana"/>
                <w:sz w:val="10"/>
                <w:szCs w:val="10"/>
                <w:b w:val="1"/>
                <w:bCs w:val="1"/>
                <w:color w:val="auto"/>
                <w:w w:val="98"/>
              </w:rPr>
              <w:t>% of Total Class of Financing</w:t>
            </w:r>
          </w:p>
        </w:tc>
        <w:tc>
          <w:tcPr>
            <w:tcW w:w="220" w:type="dxa"/>
            <w:vAlign w:val="bottom"/>
          </w:tcPr>
          <w:p>
            <w:pPr>
              <w:spacing w:after="0"/>
              <w:rPr>
                <w:sz w:val="8"/>
                <w:szCs w:val="8"/>
                <w:color w:val="auto"/>
              </w:rPr>
            </w:pPr>
          </w:p>
        </w:tc>
        <w:tc>
          <w:tcPr>
            <w:tcW w:w="1340" w:type="dxa"/>
            <w:vAlign w:val="bottom"/>
            <w:vMerge w:val="restart"/>
          </w:tcPr>
          <w:p>
            <w:pPr>
              <w:jc w:val="right"/>
              <w:ind w:right="294"/>
              <w:spacing w:after="0"/>
              <w:rPr>
                <w:sz w:val="20"/>
                <w:szCs w:val="20"/>
                <w:color w:val="auto"/>
              </w:rPr>
            </w:pPr>
            <w:r>
              <w:rPr>
                <w:rFonts w:ascii="Verdana" w:cs="Verdana" w:eastAsia="Verdana" w:hAnsi="Verdana"/>
                <w:sz w:val="10"/>
                <w:szCs w:val="10"/>
                <w:b w:val="1"/>
                <w:bCs w:val="1"/>
                <w:color w:val="auto"/>
              </w:rPr>
              <w:t>Term Extension</w:t>
            </w:r>
          </w:p>
        </w:tc>
        <w:tc>
          <w:tcPr>
            <w:tcW w:w="80" w:type="dxa"/>
            <w:vAlign w:val="bottom"/>
          </w:tcPr>
          <w:p>
            <w:pPr>
              <w:spacing w:after="0"/>
              <w:rPr>
                <w:sz w:val="8"/>
                <w:szCs w:val="8"/>
                <w:color w:val="auto"/>
              </w:rPr>
            </w:pPr>
          </w:p>
        </w:tc>
        <w:tc>
          <w:tcPr>
            <w:tcW w:w="170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auto"/>
                <w:w w:val="98"/>
              </w:rPr>
              <w:t>% of Total Class of Financing</w:t>
            </w:r>
          </w:p>
        </w:tc>
        <w:tc>
          <w:tcPr>
            <w:tcW w:w="0" w:type="dxa"/>
            <w:vAlign w:val="bottom"/>
          </w:tcPr>
          <w:p>
            <w:pPr>
              <w:spacing w:after="0"/>
              <w:rPr>
                <w:sz w:val="1"/>
                <w:szCs w:val="1"/>
                <w:color w:val="auto"/>
              </w:rPr>
            </w:pPr>
          </w:p>
        </w:tc>
      </w:tr>
      <w:tr>
        <w:trPr>
          <w:trHeight w:val="138"/>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60"/>
              <w:spacing w:after="0" w:line="138" w:lineRule="exact"/>
              <w:rPr>
                <w:sz w:val="20"/>
                <w:szCs w:val="20"/>
                <w:color w:val="auto"/>
              </w:rPr>
            </w:pPr>
            <w:r>
              <w:rPr>
                <w:rFonts w:ascii="Verdana" w:cs="Verdana" w:eastAsia="Verdana" w:hAnsi="Verdana"/>
                <w:sz w:val="9"/>
                <w:szCs w:val="9"/>
                <w:b w:val="1"/>
                <w:bCs w:val="1"/>
                <w:color w:val="auto"/>
              </w:rPr>
              <w:t>Receivable</w:t>
            </w:r>
            <w:r>
              <w:rPr>
                <w:rFonts w:ascii="Verdana" w:cs="Verdana" w:eastAsia="Verdana" w:hAnsi="Verdana"/>
                <w:sz w:val="15"/>
                <w:szCs w:val="15"/>
                <w:color w:val="auto"/>
                <w:vertAlign w:val="superscript"/>
              </w:rPr>
              <w:t>1</w:t>
            </w: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Verdana" w:cs="Verdana" w:eastAsia="Verdana" w:hAnsi="Verdana"/>
                <w:sz w:val="10"/>
                <w:szCs w:val="10"/>
                <w:b w:val="1"/>
                <w:bCs w:val="1"/>
                <w:color w:val="auto"/>
                <w:w w:val="98"/>
              </w:rPr>
              <w:t>Receivable</w:t>
            </w:r>
          </w:p>
        </w:tc>
        <w:tc>
          <w:tcPr>
            <w:tcW w:w="0" w:type="dxa"/>
            <w:vAlign w:val="bottom"/>
          </w:tcPr>
          <w:p>
            <w:pPr>
              <w:spacing w:after="0"/>
              <w:rPr>
                <w:sz w:val="1"/>
                <w:szCs w:val="1"/>
                <w:color w:val="auto"/>
              </w:rPr>
            </w:pPr>
          </w:p>
        </w:tc>
      </w:tr>
      <w:tr>
        <w:trPr>
          <w:trHeight w:val="192"/>
        </w:trPr>
        <w:tc>
          <w:tcPr>
            <w:tcW w:w="4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Modified Loans</w:t>
            </w:r>
          </w:p>
        </w:tc>
        <w:tc>
          <w:tcPr>
            <w:tcW w:w="180" w:type="dxa"/>
            <w:vAlign w:val="bottom"/>
            <w:tcBorders>
              <w:top w:val="single" w:sz="8" w:color="auto"/>
            </w:tcBorders>
            <w:shd w:val="clear" w:color="auto" w:fill="E0E7ED"/>
          </w:tcPr>
          <w:p>
            <w:pPr>
              <w:spacing w:after="0"/>
              <w:rPr>
                <w:sz w:val="16"/>
                <w:szCs w:val="16"/>
                <w:color w:val="auto"/>
              </w:rPr>
            </w:pPr>
          </w:p>
        </w:tc>
        <w:tc>
          <w:tcPr>
            <w:tcW w:w="13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7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3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70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180" w:type="dxa"/>
            <w:vAlign w:val="bottom"/>
          </w:tcPr>
          <w:p>
            <w:pPr>
              <w:jc w:val="right"/>
              <w:ind w:right="14"/>
              <w:spacing w:after="0"/>
              <w:rPr>
                <w:sz w:val="20"/>
                <w:szCs w:val="20"/>
                <w:color w:val="auto"/>
              </w:rPr>
            </w:pPr>
            <w:r>
              <w:rPr>
                <w:rFonts w:ascii="Verdana" w:cs="Verdana" w:eastAsia="Verdana" w:hAnsi="Verdana"/>
                <w:sz w:val="14"/>
                <w:szCs w:val="14"/>
                <w:color w:val="auto"/>
                <w:w w:val="88"/>
              </w:rPr>
              <w:t>$</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325</w:t>
            </w:r>
          </w:p>
        </w:tc>
        <w:tc>
          <w:tcPr>
            <w:tcW w:w="80" w:type="dxa"/>
            <w:vAlign w:val="bottom"/>
          </w:tcPr>
          <w:p>
            <w:pPr>
              <w:spacing w:after="0"/>
              <w:rPr>
                <w:sz w:val="17"/>
                <w:szCs w:val="17"/>
                <w:color w:val="auto"/>
              </w:rPr>
            </w:pPr>
          </w:p>
        </w:tc>
        <w:tc>
          <w:tcPr>
            <w:tcW w:w="1800" w:type="dxa"/>
            <w:vAlign w:val="bottom"/>
            <w:gridSpan w:val="2"/>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340" w:type="dxa"/>
            <w:vAlign w:val="bottom"/>
          </w:tcPr>
          <w:p>
            <w:pPr>
              <w:jc w:val="right"/>
              <w:ind w:right="14"/>
              <w:spacing w:after="0"/>
              <w:rPr>
                <w:sz w:val="20"/>
                <w:szCs w:val="20"/>
                <w:color w:val="auto"/>
              </w:rPr>
            </w:pPr>
            <w:r>
              <w:rPr>
                <w:rFonts w:ascii="Verdana" w:cs="Verdana" w:eastAsia="Verdana" w:hAnsi="Verdana"/>
                <w:sz w:val="14"/>
                <w:szCs w:val="14"/>
                <w:color w:val="auto"/>
              </w:rPr>
              <w:t>26,175</w:t>
            </w:r>
          </w:p>
        </w:tc>
        <w:tc>
          <w:tcPr>
            <w:tcW w:w="1780" w:type="dxa"/>
            <w:vAlign w:val="bottom"/>
            <w:gridSpan w:val="2"/>
          </w:tcPr>
          <w:p>
            <w:pPr>
              <w:jc w:val="right"/>
              <w:spacing w:after="0"/>
              <w:rPr>
                <w:sz w:val="20"/>
                <w:szCs w:val="20"/>
                <w:color w:val="auto"/>
              </w:rPr>
            </w:pPr>
            <w:r>
              <w:rPr>
                <w:rFonts w:ascii="Verdana" w:cs="Verdana" w:eastAsia="Verdana" w:hAnsi="Verdana"/>
                <w:sz w:val="14"/>
                <w:szCs w:val="14"/>
                <w:color w:val="auto"/>
              </w:rPr>
              <w:t>1.4 %</w:t>
            </w:r>
          </w:p>
        </w:tc>
        <w:tc>
          <w:tcPr>
            <w:tcW w:w="0" w:type="dxa"/>
            <w:vAlign w:val="bottom"/>
          </w:tcPr>
          <w:p>
            <w:pPr>
              <w:spacing w:after="0"/>
              <w:rPr>
                <w:sz w:val="1"/>
                <w:szCs w:val="1"/>
                <w:color w:val="auto"/>
              </w:rPr>
            </w:pPr>
          </w:p>
        </w:tc>
      </w:tr>
      <w:tr>
        <w:trPr>
          <w:trHeight w:val="218"/>
        </w:trPr>
        <w:tc>
          <w:tcPr>
            <w:tcW w:w="4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180" w:type="dxa"/>
            <w:vAlign w:val="bottom"/>
            <w:shd w:val="clear" w:color="auto" w:fill="E0E7ED"/>
          </w:tcPr>
          <w:p>
            <w:pPr>
              <w:spacing w:after="0"/>
              <w:rPr>
                <w:sz w:val="18"/>
                <w:szCs w:val="18"/>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1800" w:type="dxa"/>
            <w:vAlign w:val="bottom"/>
            <w:gridSpan w:val="2"/>
            <w:shd w:val="clear" w:color="auto" w:fill="E0E7ED"/>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shd w:val="clear" w:color="auto" w:fill="E0E7ED"/>
          </w:tcPr>
          <w:p>
            <w:pPr>
              <w:spacing w:after="0"/>
              <w:rPr>
                <w:sz w:val="18"/>
                <w:szCs w:val="18"/>
                <w:color w:val="auto"/>
              </w:rPr>
            </w:pPr>
          </w:p>
        </w:tc>
        <w:tc>
          <w:tcPr>
            <w:tcW w:w="13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18,147</w:t>
            </w:r>
          </w:p>
        </w:tc>
        <w:tc>
          <w:tcPr>
            <w:tcW w:w="1780" w:type="dxa"/>
            <w:vAlign w:val="bottom"/>
            <w:gridSpan w:val="2"/>
            <w:shd w:val="clear" w:color="auto" w:fill="E0E7ED"/>
          </w:tcPr>
          <w:p>
            <w:pPr>
              <w:jc w:val="right"/>
              <w:spacing w:after="0"/>
              <w:rPr>
                <w:sz w:val="20"/>
                <w:szCs w:val="20"/>
                <w:color w:val="auto"/>
              </w:rPr>
            </w:pPr>
            <w:r>
              <w:rPr>
                <w:rFonts w:ascii="Verdana" w:cs="Verdana" w:eastAsia="Verdana" w:hAnsi="Verdana"/>
                <w:sz w:val="14"/>
                <w:szCs w:val="14"/>
                <w:color w:val="auto"/>
              </w:rPr>
              <w:t>0.6 %</w:t>
            </w:r>
          </w:p>
        </w:tc>
        <w:tc>
          <w:tcPr>
            <w:tcW w:w="0" w:type="dxa"/>
            <w:vAlign w:val="bottom"/>
          </w:tcPr>
          <w:p>
            <w:pPr>
              <w:spacing w:after="0"/>
              <w:rPr>
                <w:sz w:val="1"/>
                <w:szCs w:val="1"/>
                <w:color w:val="auto"/>
              </w:rPr>
            </w:pPr>
          </w:p>
        </w:tc>
      </w:tr>
      <w:tr>
        <w:trPr>
          <w:trHeight w:val="207"/>
        </w:trPr>
        <w:tc>
          <w:tcPr>
            <w:tcW w:w="4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1800" w:type="dxa"/>
            <w:vAlign w:val="bottom"/>
            <w:tcBorders>
              <w:bottom w:val="single" w:sz="8" w:color="E0E7ED"/>
            </w:tcBorders>
            <w:gridSpan w:val="2"/>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5,224</w:t>
            </w:r>
          </w:p>
        </w:tc>
        <w:tc>
          <w:tcPr>
            <w:tcW w:w="17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1.4 %</w:t>
            </w:r>
          </w:p>
        </w:tc>
        <w:tc>
          <w:tcPr>
            <w:tcW w:w="0" w:type="dxa"/>
            <w:vAlign w:val="bottom"/>
          </w:tcPr>
          <w:p>
            <w:pPr>
              <w:spacing w:after="0"/>
              <w:rPr>
                <w:sz w:val="1"/>
                <w:szCs w:val="1"/>
                <w:color w:val="auto"/>
              </w:rPr>
            </w:pPr>
          </w:p>
        </w:tc>
      </w:tr>
      <w:tr>
        <w:trPr>
          <w:trHeight w:val="233"/>
        </w:trPr>
        <w:tc>
          <w:tcPr>
            <w:tcW w:w="45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of loans modified during the period</w:t>
            </w:r>
            <w:r>
              <w:rPr>
                <w:rFonts w:ascii="Verdana" w:cs="Verdana" w:eastAsia="Verdana" w:hAnsi="Verdana"/>
                <w:sz w:val="9"/>
                <w:szCs w:val="9"/>
                <w:color w:val="auto"/>
              </w:rPr>
              <w:t>2</w:t>
            </w:r>
          </w:p>
        </w:tc>
        <w:tc>
          <w:tcPr>
            <w:tcW w:w="1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w w:val="88"/>
              </w:rPr>
              <w:t>$</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325</w:t>
            </w:r>
          </w:p>
        </w:tc>
        <w:tc>
          <w:tcPr>
            <w:tcW w:w="80" w:type="dxa"/>
            <w:vAlign w:val="bottom"/>
            <w:tcBorders>
              <w:bottom w:val="single" w:sz="8" w:color="E0E7ED"/>
            </w:tcBorders>
            <w:shd w:val="clear" w:color="auto" w:fill="E0E7ED"/>
          </w:tcPr>
          <w:p>
            <w:pPr>
              <w:spacing w:after="0"/>
              <w:rPr>
                <w:sz w:val="19"/>
                <w:szCs w:val="19"/>
                <w:color w:val="auto"/>
              </w:rPr>
            </w:pPr>
          </w:p>
        </w:tc>
        <w:tc>
          <w:tcPr>
            <w:tcW w:w="1800" w:type="dxa"/>
            <w:vAlign w:val="bottom"/>
            <w:tcBorders>
              <w:bottom w:val="single" w:sz="8" w:color="E0E7ED"/>
            </w:tcBorders>
            <w:gridSpan w:val="2"/>
            <w:shd w:val="clear" w:color="auto" w:fill="E0E7ED"/>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13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49,546</w:t>
            </w:r>
          </w:p>
        </w:tc>
        <w:tc>
          <w:tcPr>
            <w:tcW w:w="17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4"/>
                <w:szCs w:val="14"/>
                <w:color w:val="auto"/>
              </w:rPr>
              <w:t>0.6 %</w:t>
            </w:r>
          </w:p>
        </w:tc>
        <w:tc>
          <w:tcPr>
            <w:tcW w:w="0" w:type="dxa"/>
            <w:vAlign w:val="bottom"/>
          </w:tcPr>
          <w:p>
            <w:pPr>
              <w:spacing w:after="0"/>
              <w:rPr>
                <w:sz w:val="1"/>
                <w:szCs w:val="1"/>
                <w:color w:val="auto"/>
              </w:rPr>
            </w:pPr>
          </w:p>
        </w:tc>
      </w:tr>
      <w:tr>
        <w:trPr>
          <w:trHeight w:val="20"/>
        </w:trPr>
        <w:tc>
          <w:tcPr>
            <w:tcW w:w="4520" w:type="dxa"/>
            <w:vAlign w:val="bottom"/>
            <w:tcBorders>
              <w:top w:val="single" w:sz="8" w:color="E0E7ED"/>
              <w:bottom w:val="single" w:sz="8" w:color="E0E7ED"/>
            </w:tcBorders>
            <w:vMerge w:val="restart"/>
          </w:tcPr>
          <w:p>
            <w:pPr>
              <w:spacing w:after="0"/>
              <w:rPr>
                <w:sz w:val="20"/>
                <w:szCs w:val="20"/>
                <w:color w:val="auto"/>
              </w:rPr>
            </w:pPr>
            <w:r>
              <w:rPr>
                <w:rFonts w:ascii="Verdana" w:cs="Verdana" w:eastAsia="Verdana" w:hAnsi="Verdana"/>
                <w:sz w:val="10"/>
                <w:szCs w:val="10"/>
                <w:color w:val="auto"/>
              </w:rPr>
              <w:t>___________________________________________</w:t>
            </w: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60" w:type="dxa"/>
            <w:vAlign w:val="bottom"/>
            <w:gridSpan w:val="3"/>
          </w:tcPr>
          <w:p>
            <w:pPr>
              <w:ind w:left="140"/>
              <w:spacing w:after="0" w:line="117" w:lineRule="exact"/>
              <w:rPr>
                <w:sz w:val="20"/>
                <w:szCs w:val="20"/>
                <w:color w:val="auto"/>
              </w:rPr>
            </w:pPr>
            <w:r>
              <w:rPr>
                <w:rFonts w:ascii="Verdana" w:cs="Verdana" w:eastAsia="Verdana" w:hAnsi="Verdana"/>
                <w:sz w:val="10"/>
                <w:szCs w:val="10"/>
                <w:color w:val="auto"/>
              </w:rPr>
              <w:t>1.   Modified loans represent an insignificant portion of C&amp;I and other commercial loans, rounding to zero percent.</w:t>
            </w:r>
          </w:p>
        </w:tc>
        <w:tc>
          <w:tcPr>
            <w:tcW w:w="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60" w:type="dxa"/>
            <w:vAlign w:val="bottom"/>
            <w:gridSpan w:val="3"/>
          </w:tcPr>
          <w:p>
            <w:pPr>
              <w:ind w:left="140"/>
              <w:spacing w:after="0"/>
              <w:rPr>
                <w:sz w:val="20"/>
                <w:szCs w:val="20"/>
                <w:color w:val="auto"/>
              </w:rPr>
            </w:pPr>
            <w:r>
              <w:rPr>
                <w:rFonts w:ascii="Verdana" w:cs="Verdana" w:eastAsia="Verdana" w:hAnsi="Verdana"/>
                <w:sz w:val="10"/>
                <w:szCs w:val="10"/>
                <w:color w:val="auto"/>
              </w:rPr>
              <w:t>2.   Modifications include one loan on non-accrual status, and the remaining loans were classified as substandard.</w:t>
            </w:r>
          </w:p>
        </w:tc>
        <w:tc>
          <w:tcPr>
            <w:tcW w:w="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880"/>
              <w:spacing w:after="0"/>
              <w:rPr>
                <w:sz w:val="20"/>
                <w:szCs w:val="20"/>
                <w:color w:val="auto"/>
              </w:rPr>
            </w:pPr>
            <w:r>
              <w:rPr>
                <w:rFonts w:ascii="Verdana" w:cs="Verdana" w:eastAsia="Verdana" w:hAnsi="Verdana"/>
                <w:sz w:val="10"/>
                <w:szCs w:val="10"/>
                <w:b w:val="1"/>
                <w:bCs w:val="1"/>
                <w:color w:val="auto"/>
              </w:rPr>
              <w:t>Year Ended December 31, 2023</w:t>
            </w: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520" w:type="dxa"/>
            <w:vAlign w:val="bottom"/>
          </w:tcPr>
          <w:p>
            <w:pPr>
              <w:spacing w:after="0"/>
              <w:rPr>
                <w:sz w:val="8"/>
                <w:szCs w:val="8"/>
                <w:color w:val="auto"/>
              </w:rPr>
            </w:pPr>
          </w:p>
        </w:tc>
        <w:tc>
          <w:tcPr>
            <w:tcW w:w="1540" w:type="dxa"/>
            <w:vAlign w:val="bottom"/>
            <w:gridSpan w:val="2"/>
            <w:vMerge w:val="restart"/>
          </w:tcPr>
          <w:p>
            <w:pPr>
              <w:jc w:val="right"/>
              <w:ind w:right="12"/>
              <w:spacing w:after="0"/>
              <w:rPr>
                <w:sz w:val="20"/>
                <w:szCs w:val="20"/>
                <w:color w:val="auto"/>
              </w:rPr>
            </w:pPr>
            <w:r>
              <w:rPr>
                <w:rFonts w:ascii="Verdana" w:cs="Verdana" w:eastAsia="Verdana" w:hAnsi="Verdana"/>
                <w:sz w:val="10"/>
                <w:szCs w:val="10"/>
                <w:b w:val="1"/>
                <w:bCs w:val="1"/>
                <w:color w:val="auto"/>
              </w:rPr>
              <w:t>Interest Rate Reduction</w:t>
            </w:r>
            <w:r>
              <w:rPr>
                <w:rFonts w:ascii="Verdana" w:cs="Verdana" w:eastAsia="Verdana" w:hAnsi="Verdana"/>
                <w:sz w:val="12"/>
                <w:szCs w:val="12"/>
                <w:b w:val="1"/>
                <w:bCs w:val="1"/>
                <w:color w:val="auto"/>
                <w:vertAlign w:val="superscript"/>
              </w:rPr>
              <w:t>1</w:t>
            </w:r>
          </w:p>
        </w:tc>
        <w:tc>
          <w:tcPr>
            <w:tcW w:w="80" w:type="dxa"/>
            <w:vAlign w:val="bottom"/>
          </w:tcPr>
          <w:p>
            <w:pPr>
              <w:spacing w:after="0"/>
              <w:rPr>
                <w:sz w:val="8"/>
                <w:szCs w:val="8"/>
                <w:color w:val="auto"/>
              </w:rPr>
            </w:pPr>
          </w:p>
        </w:tc>
        <w:tc>
          <w:tcPr>
            <w:tcW w:w="1800" w:type="dxa"/>
            <w:vAlign w:val="bottom"/>
            <w:gridSpan w:val="2"/>
          </w:tcPr>
          <w:p>
            <w:pPr>
              <w:jc w:val="center"/>
              <w:ind w:right="60"/>
              <w:spacing w:after="0" w:line="94" w:lineRule="exact"/>
              <w:rPr>
                <w:sz w:val="20"/>
                <w:szCs w:val="20"/>
                <w:color w:val="auto"/>
              </w:rPr>
            </w:pPr>
            <w:r>
              <w:rPr>
                <w:rFonts w:ascii="Verdana" w:cs="Verdana" w:eastAsia="Verdana" w:hAnsi="Verdana"/>
                <w:sz w:val="10"/>
                <w:szCs w:val="10"/>
                <w:b w:val="1"/>
                <w:bCs w:val="1"/>
                <w:color w:val="auto"/>
                <w:w w:val="98"/>
              </w:rPr>
              <w:t>% of Total Class of Financing</w:t>
            </w:r>
          </w:p>
        </w:tc>
        <w:tc>
          <w:tcPr>
            <w:tcW w:w="220" w:type="dxa"/>
            <w:vAlign w:val="bottom"/>
          </w:tcPr>
          <w:p>
            <w:pPr>
              <w:spacing w:after="0"/>
              <w:rPr>
                <w:sz w:val="8"/>
                <w:szCs w:val="8"/>
                <w:color w:val="auto"/>
              </w:rPr>
            </w:pPr>
          </w:p>
        </w:tc>
        <w:tc>
          <w:tcPr>
            <w:tcW w:w="1340" w:type="dxa"/>
            <w:vAlign w:val="bottom"/>
            <w:vMerge w:val="restart"/>
          </w:tcPr>
          <w:p>
            <w:pPr>
              <w:jc w:val="right"/>
              <w:ind w:right="254"/>
              <w:spacing w:after="0"/>
              <w:rPr>
                <w:sz w:val="20"/>
                <w:szCs w:val="20"/>
                <w:color w:val="auto"/>
              </w:rPr>
            </w:pPr>
            <w:r>
              <w:rPr>
                <w:rFonts w:ascii="Verdana" w:cs="Verdana" w:eastAsia="Verdana" w:hAnsi="Verdana"/>
                <w:sz w:val="10"/>
                <w:szCs w:val="10"/>
                <w:b w:val="1"/>
                <w:bCs w:val="1"/>
                <w:color w:val="auto"/>
              </w:rPr>
              <w:t>Term Extension</w:t>
            </w:r>
            <w:r>
              <w:rPr>
                <w:rFonts w:ascii="Verdana" w:cs="Verdana" w:eastAsia="Verdana" w:hAnsi="Verdana"/>
                <w:sz w:val="12"/>
                <w:szCs w:val="12"/>
                <w:b w:val="1"/>
                <w:bCs w:val="1"/>
                <w:color w:val="auto"/>
                <w:vertAlign w:val="superscript"/>
              </w:rPr>
              <w:t>3</w:t>
            </w:r>
          </w:p>
        </w:tc>
        <w:tc>
          <w:tcPr>
            <w:tcW w:w="80" w:type="dxa"/>
            <w:vAlign w:val="bottom"/>
          </w:tcPr>
          <w:p>
            <w:pPr>
              <w:spacing w:after="0"/>
              <w:rPr>
                <w:sz w:val="8"/>
                <w:szCs w:val="8"/>
                <w:color w:val="auto"/>
              </w:rPr>
            </w:pPr>
          </w:p>
        </w:tc>
        <w:tc>
          <w:tcPr>
            <w:tcW w:w="170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auto"/>
                <w:w w:val="98"/>
              </w:rPr>
              <w:t>% of Total Class of Financing</w:t>
            </w:r>
          </w:p>
        </w:tc>
        <w:tc>
          <w:tcPr>
            <w:tcW w:w="0" w:type="dxa"/>
            <w:vAlign w:val="bottom"/>
          </w:tcPr>
          <w:p>
            <w:pPr>
              <w:spacing w:after="0"/>
              <w:rPr>
                <w:sz w:val="1"/>
                <w:szCs w:val="1"/>
                <w:color w:val="auto"/>
              </w:rPr>
            </w:pPr>
          </w:p>
        </w:tc>
      </w:tr>
      <w:tr>
        <w:trPr>
          <w:trHeight w:val="138"/>
        </w:trPr>
        <w:tc>
          <w:tcPr>
            <w:tcW w:w="45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tcPr>
          <w:p>
            <w:pPr>
              <w:jc w:val="center"/>
              <w:ind w:right="80"/>
              <w:spacing w:after="0" w:line="138" w:lineRule="exact"/>
              <w:rPr>
                <w:sz w:val="20"/>
                <w:szCs w:val="20"/>
                <w:color w:val="auto"/>
              </w:rPr>
            </w:pPr>
            <w:r>
              <w:rPr>
                <w:rFonts w:ascii="Verdana" w:cs="Verdana" w:eastAsia="Verdana" w:hAnsi="Verdana"/>
                <w:sz w:val="10"/>
                <w:szCs w:val="10"/>
                <w:b w:val="1"/>
                <w:bCs w:val="1"/>
                <w:color w:val="auto"/>
                <w:w w:val="96"/>
              </w:rPr>
              <w:t>Receivable</w:t>
            </w:r>
            <w:r>
              <w:rPr>
                <w:rFonts w:ascii="Verdana" w:cs="Verdana" w:eastAsia="Verdana" w:hAnsi="Verdana"/>
                <w:sz w:val="12"/>
                <w:szCs w:val="12"/>
                <w:b w:val="1"/>
                <w:bCs w:val="1"/>
                <w:color w:val="auto"/>
                <w:w w:val="96"/>
                <w:vertAlign w:val="superscript"/>
              </w:rPr>
              <w:t>2</w:t>
            </w: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center"/>
              <w:spacing w:after="0" w:line="138" w:lineRule="exact"/>
              <w:rPr>
                <w:sz w:val="20"/>
                <w:szCs w:val="20"/>
                <w:color w:val="auto"/>
              </w:rPr>
            </w:pPr>
            <w:r>
              <w:rPr>
                <w:rFonts w:ascii="Verdana" w:cs="Verdana" w:eastAsia="Verdana" w:hAnsi="Verdana"/>
                <w:sz w:val="10"/>
                <w:szCs w:val="10"/>
                <w:b w:val="1"/>
                <w:bCs w:val="1"/>
                <w:color w:val="auto"/>
                <w:w w:val="99"/>
              </w:rPr>
              <w:t>Receivable</w:t>
            </w:r>
            <w:r>
              <w:rPr>
                <w:rFonts w:ascii="Verdana" w:cs="Verdana" w:eastAsia="Verdana" w:hAnsi="Verdana"/>
                <w:sz w:val="12"/>
                <w:szCs w:val="12"/>
                <w:b w:val="1"/>
                <w:bCs w:val="1"/>
                <w:color w:val="auto"/>
                <w:w w:val="99"/>
                <w:vertAlign w:val="superscript"/>
              </w:rPr>
              <w:t>2</w:t>
            </w:r>
          </w:p>
        </w:tc>
        <w:tc>
          <w:tcPr>
            <w:tcW w:w="0" w:type="dxa"/>
            <w:vAlign w:val="bottom"/>
          </w:tcPr>
          <w:p>
            <w:pPr>
              <w:spacing w:after="0"/>
              <w:rPr>
                <w:sz w:val="1"/>
                <w:szCs w:val="1"/>
                <w:color w:val="auto"/>
              </w:rPr>
            </w:pPr>
          </w:p>
        </w:tc>
      </w:tr>
      <w:tr>
        <w:trPr>
          <w:trHeight w:val="192"/>
        </w:trPr>
        <w:tc>
          <w:tcPr>
            <w:tcW w:w="4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Modified Loans</w:t>
            </w:r>
          </w:p>
        </w:tc>
        <w:tc>
          <w:tcPr>
            <w:tcW w:w="180" w:type="dxa"/>
            <w:vAlign w:val="bottom"/>
            <w:tcBorders>
              <w:top w:val="single" w:sz="8" w:color="auto"/>
            </w:tcBorders>
            <w:shd w:val="clear" w:color="auto" w:fill="E0E7ED"/>
          </w:tcPr>
          <w:p>
            <w:pPr>
              <w:spacing w:after="0"/>
              <w:rPr>
                <w:sz w:val="16"/>
                <w:szCs w:val="16"/>
                <w:color w:val="auto"/>
              </w:rPr>
            </w:pPr>
          </w:p>
        </w:tc>
        <w:tc>
          <w:tcPr>
            <w:tcW w:w="136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72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34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170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180" w:type="dxa"/>
            <w:vAlign w:val="bottom"/>
          </w:tcPr>
          <w:p>
            <w:pPr>
              <w:jc w:val="right"/>
              <w:ind w:right="14"/>
              <w:spacing w:after="0"/>
              <w:rPr>
                <w:sz w:val="20"/>
                <w:szCs w:val="20"/>
                <w:color w:val="auto"/>
              </w:rPr>
            </w:pPr>
            <w:r>
              <w:rPr>
                <w:rFonts w:ascii="Verdana" w:cs="Verdana" w:eastAsia="Verdana" w:hAnsi="Verdana"/>
                <w:sz w:val="14"/>
                <w:szCs w:val="14"/>
                <w:color w:val="auto"/>
                <w:w w:val="88"/>
              </w:rPr>
              <w:t>$</w:t>
            </w:r>
          </w:p>
        </w:tc>
        <w:tc>
          <w:tcPr>
            <w:tcW w:w="1360" w:type="dxa"/>
            <w:vAlign w:val="bottom"/>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17"/>
                <w:szCs w:val="17"/>
                <w:color w:val="auto"/>
              </w:rPr>
            </w:pPr>
          </w:p>
        </w:tc>
        <w:tc>
          <w:tcPr>
            <w:tcW w:w="1800" w:type="dxa"/>
            <w:vAlign w:val="bottom"/>
            <w:gridSpan w:val="2"/>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340" w:type="dxa"/>
            <w:vAlign w:val="bottom"/>
          </w:tcPr>
          <w:p>
            <w:pPr>
              <w:jc w:val="right"/>
              <w:ind w:right="14"/>
              <w:spacing w:after="0"/>
              <w:rPr>
                <w:sz w:val="20"/>
                <w:szCs w:val="20"/>
                <w:color w:val="auto"/>
              </w:rPr>
            </w:pPr>
            <w:r>
              <w:rPr>
                <w:rFonts w:ascii="Verdana" w:cs="Verdana" w:eastAsia="Verdana" w:hAnsi="Verdana"/>
                <w:sz w:val="14"/>
                <w:szCs w:val="14"/>
                <w:color w:val="auto"/>
              </w:rPr>
              <w:t>16,586</w:t>
            </w:r>
          </w:p>
        </w:tc>
        <w:tc>
          <w:tcPr>
            <w:tcW w:w="1780" w:type="dxa"/>
            <w:vAlign w:val="bottom"/>
            <w:gridSpan w:val="2"/>
          </w:tcPr>
          <w:p>
            <w:pPr>
              <w:jc w:val="right"/>
              <w:spacing w:after="0"/>
              <w:rPr>
                <w:sz w:val="20"/>
                <w:szCs w:val="20"/>
                <w:color w:val="auto"/>
              </w:rPr>
            </w:pPr>
            <w:r>
              <w:rPr>
                <w:rFonts w:ascii="Verdana" w:cs="Verdana" w:eastAsia="Verdana" w:hAnsi="Verdana"/>
                <w:sz w:val="14"/>
                <w:szCs w:val="14"/>
                <w:color w:val="auto"/>
              </w:rPr>
              <w:t>0.9 %</w:t>
            </w:r>
          </w:p>
        </w:tc>
        <w:tc>
          <w:tcPr>
            <w:tcW w:w="0" w:type="dxa"/>
            <w:vAlign w:val="bottom"/>
          </w:tcPr>
          <w:p>
            <w:pPr>
              <w:spacing w:after="0"/>
              <w:rPr>
                <w:sz w:val="1"/>
                <w:szCs w:val="1"/>
                <w:color w:val="auto"/>
              </w:rPr>
            </w:pPr>
          </w:p>
        </w:tc>
      </w:tr>
      <w:tr>
        <w:trPr>
          <w:trHeight w:val="218"/>
        </w:trPr>
        <w:tc>
          <w:tcPr>
            <w:tcW w:w="4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180" w:type="dxa"/>
            <w:vAlign w:val="bottom"/>
            <w:shd w:val="clear" w:color="auto" w:fill="E0E7ED"/>
          </w:tcPr>
          <w:p>
            <w:pPr>
              <w:spacing w:after="0"/>
              <w:rPr>
                <w:sz w:val="18"/>
                <w:szCs w:val="18"/>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872</w:t>
            </w:r>
          </w:p>
        </w:tc>
        <w:tc>
          <w:tcPr>
            <w:tcW w:w="80" w:type="dxa"/>
            <w:vAlign w:val="bottom"/>
            <w:shd w:val="clear" w:color="auto" w:fill="E0E7ED"/>
          </w:tcPr>
          <w:p>
            <w:pPr>
              <w:spacing w:after="0"/>
              <w:rPr>
                <w:sz w:val="18"/>
                <w:szCs w:val="18"/>
                <w:color w:val="auto"/>
              </w:rPr>
            </w:pPr>
          </w:p>
        </w:tc>
        <w:tc>
          <w:tcPr>
            <w:tcW w:w="1800" w:type="dxa"/>
            <w:vAlign w:val="bottom"/>
            <w:gridSpan w:val="2"/>
            <w:shd w:val="clear" w:color="auto" w:fill="E0E7ED"/>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shd w:val="clear" w:color="auto" w:fill="E0E7ED"/>
          </w:tcPr>
          <w:p>
            <w:pPr>
              <w:spacing w:after="0"/>
              <w:rPr>
                <w:sz w:val="18"/>
                <w:szCs w:val="18"/>
                <w:color w:val="auto"/>
              </w:rPr>
            </w:pPr>
          </w:p>
        </w:tc>
        <w:tc>
          <w:tcPr>
            <w:tcW w:w="13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923</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 %</w:t>
            </w:r>
          </w:p>
        </w:tc>
        <w:tc>
          <w:tcPr>
            <w:tcW w:w="0" w:type="dxa"/>
            <w:vAlign w:val="bottom"/>
          </w:tcPr>
          <w:p>
            <w:pPr>
              <w:spacing w:after="0"/>
              <w:rPr>
                <w:sz w:val="1"/>
                <w:szCs w:val="1"/>
                <w:color w:val="auto"/>
              </w:rPr>
            </w:pPr>
          </w:p>
        </w:tc>
      </w:tr>
      <w:tr>
        <w:trPr>
          <w:trHeight w:val="207"/>
        </w:trPr>
        <w:tc>
          <w:tcPr>
            <w:tcW w:w="4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1800" w:type="dxa"/>
            <w:vAlign w:val="bottom"/>
            <w:tcBorders>
              <w:bottom w:val="single" w:sz="8" w:color="E0E7ED"/>
            </w:tcBorders>
            <w:gridSpan w:val="2"/>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5,327</w:t>
            </w:r>
          </w:p>
        </w:tc>
        <w:tc>
          <w:tcPr>
            <w:tcW w:w="17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4"/>
                <w:szCs w:val="14"/>
                <w:color w:val="auto"/>
              </w:rPr>
              <w:t>1.2 %</w:t>
            </w:r>
          </w:p>
        </w:tc>
        <w:tc>
          <w:tcPr>
            <w:tcW w:w="0" w:type="dxa"/>
            <w:vAlign w:val="bottom"/>
          </w:tcPr>
          <w:p>
            <w:pPr>
              <w:spacing w:after="0"/>
              <w:rPr>
                <w:sz w:val="1"/>
                <w:szCs w:val="1"/>
                <w:color w:val="auto"/>
              </w:rPr>
            </w:pPr>
          </w:p>
        </w:tc>
      </w:tr>
      <w:tr>
        <w:trPr>
          <w:trHeight w:val="233"/>
        </w:trPr>
        <w:tc>
          <w:tcPr>
            <w:tcW w:w="4520" w:type="dxa"/>
            <w:vAlign w:val="bottom"/>
            <w:tcBorders>
              <w:bottom w:val="single" w:sz="8" w:color="E0E7ED"/>
            </w:tcBorders>
            <w:shd w:val="clear" w:color="auto" w:fill="E0E7ED"/>
          </w:tcPr>
          <w:p>
            <w:pPr>
              <w:ind w:left="20"/>
              <w:spacing w:after="0" w:line="208" w:lineRule="exact"/>
              <w:rPr>
                <w:sz w:val="20"/>
                <w:szCs w:val="20"/>
                <w:color w:val="auto"/>
              </w:rPr>
            </w:pPr>
            <w:r>
              <w:rPr>
                <w:rFonts w:ascii="Verdana" w:cs="Verdana" w:eastAsia="Verdana" w:hAnsi="Verdana"/>
                <w:sz w:val="14"/>
                <w:szCs w:val="14"/>
                <w:color w:val="auto"/>
              </w:rPr>
              <w:t>Total of loans modified during the period</w:t>
            </w:r>
            <w:r>
              <w:rPr>
                <w:rFonts w:ascii="Verdana" w:cs="Verdana" w:eastAsia="Verdana" w:hAnsi="Verdana"/>
                <w:sz w:val="18"/>
                <w:szCs w:val="18"/>
                <w:color w:val="auto"/>
                <w:vertAlign w:val="superscript"/>
              </w:rPr>
              <w:t>4</w:t>
            </w:r>
          </w:p>
        </w:tc>
        <w:tc>
          <w:tcPr>
            <w:tcW w:w="1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w w:val="88"/>
              </w:rPr>
              <w:t>$</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872</w:t>
            </w:r>
          </w:p>
        </w:tc>
        <w:tc>
          <w:tcPr>
            <w:tcW w:w="80" w:type="dxa"/>
            <w:vAlign w:val="bottom"/>
            <w:tcBorders>
              <w:bottom w:val="single" w:sz="8" w:color="E0E7ED"/>
            </w:tcBorders>
            <w:shd w:val="clear" w:color="auto" w:fill="E0E7ED"/>
          </w:tcPr>
          <w:p>
            <w:pPr>
              <w:spacing w:after="0"/>
              <w:rPr>
                <w:sz w:val="19"/>
                <w:szCs w:val="19"/>
                <w:color w:val="auto"/>
              </w:rPr>
            </w:pPr>
          </w:p>
        </w:tc>
        <w:tc>
          <w:tcPr>
            <w:tcW w:w="1800" w:type="dxa"/>
            <w:vAlign w:val="bottom"/>
            <w:tcBorders>
              <w:bottom w:val="single" w:sz="8" w:color="E0E7ED"/>
            </w:tcBorders>
            <w:gridSpan w:val="2"/>
            <w:shd w:val="clear" w:color="auto" w:fill="E0E7ED"/>
          </w:tcPr>
          <w:p>
            <w:pPr>
              <w:ind w:left="1360"/>
              <w:spacing w:after="0"/>
              <w:rPr>
                <w:sz w:val="20"/>
                <w:szCs w:val="20"/>
                <w:color w:val="auto"/>
              </w:rPr>
            </w:pPr>
            <w:r>
              <w:rPr>
                <w:rFonts w:ascii="Verdana" w:cs="Verdana" w:eastAsia="Verdana" w:hAnsi="Verdana"/>
                <w:sz w:val="14"/>
                <w:szCs w:val="14"/>
                <w:color w:val="auto"/>
              </w:rPr>
              <w:t>— %</w:t>
            </w: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13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22,836</w:t>
            </w:r>
          </w:p>
        </w:tc>
        <w:tc>
          <w:tcPr>
            <w:tcW w:w="17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4"/>
                <w:szCs w:val="14"/>
                <w:color w:val="auto"/>
              </w:rPr>
              <w:t>0.3 %</w:t>
            </w:r>
          </w:p>
        </w:tc>
        <w:tc>
          <w:tcPr>
            <w:tcW w:w="0" w:type="dxa"/>
            <w:vAlign w:val="bottom"/>
          </w:tcPr>
          <w:p>
            <w:pPr>
              <w:spacing w:after="0"/>
              <w:rPr>
                <w:sz w:val="1"/>
                <w:szCs w:val="1"/>
                <w:color w:val="auto"/>
              </w:rPr>
            </w:pPr>
          </w:p>
        </w:tc>
      </w:tr>
      <w:tr>
        <w:trPr>
          <w:trHeight w:val="20"/>
        </w:trPr>
        <w:tc>
          <w:tcPr>
            <w:tcW w:w="45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line="230" w:lineRule="auto"/>
        <w:tabs>
          <w:tab w:leader="none" w:pos="380" w:val="left"/>
        </w:tabs>
        <w:numPr>
          <w:ilvl w:val="0"/>
          <w:numId w:val="39"/>
        </w:numPr>
        <w:rPr>
          <w:rFonts w:ascii="Verdana" w:cs="Verdana" w:eastAsia="Verdana" w:hAnsi="Verdana"/>
          <w:sz w:val="10"/>
          <w:szCs w:val="10"/>
          <w:color w:val="auto"/>
        </w:rPr>
      </w:pPr>
      <w:r>
        <w:rPr>
          <w:rFonts w:ascii="Verdana" w:cs="Verdana" w:eastAsia="Verdana" w:hAnsi="Verdana"/>
          <w:sz w:val="10"/>
          <w:szCs w:val="10"/>
          <w:color w:val="auto"/>
        </w:rPr>
        <w:t>For one loan, the default rate was removed once forbearance was entered.</w:t>
      </w:r>
    </w:p>
    <w:p>
      <w:pPr>
        <w:ind w:left="380" w:hanging="248"/>
        <w:spacing w:after="0" w:line="230" w:lineRule="auto"/>
        <w:tabs>
          <w:tab w:leader="none" w:pos="380" w:val="left"/>
        </w:tabs>
        <w:numPr>
          <w:ilvl w:val="0"/>
          <w:numId w:val="39"/>
        </w:numPr>
        <w:rPr>
          <w:rFonts w:ascii="Verdana" w:cs="Verdana" w:eastAsia="Verdana" w:hAnsi="Verdana"/>
          <w:sz w:val="10"/>
          <w:szCs w:val="10"/>
          <w:color w:val="auto"/>
        </w:rPr>
      </w:pPr>
      <w:r>
        <w:rPr>
          <w:rFonts w:ascii="Verdana" w:cs="Verdana" w:eastAsia="Verdana" w:hAnsi="Verdana"/>
          <w:sz w:val="10"/>
          <w:szCs w:val="10"/>
          <w:color w:val="auto"/>
        </w:rPr>
        <w:t>Modified loans represent an insignificant portion of CRE loans, rounding to zero percent.</w:t>
      </w:r>
    </w:p>
    <w:p>
      <w:pPr>
        <w:ind w:left="380" w:hanging="248"/>
        <w:spacing w:after="0" w:line="230" w:lineRule="auto"/>
        <w:tabs>
          <w:tab w:leader="none" w:pos="380" w:val="left"/>
        </w:tabs>
        <w:numPr>
          <w:ilvl w:val="0"/>
          <w:numId w:val="39"/>
        </w:numPr>
        <w:rPr>
          <w:rFonts w:ascii="Verdana" w:cs="Verdana" w:eastAsia="Verdana" w:hAnsi="Verdana"/>
          <w:sz w:val="10"/>
          <w:szCs w:val="10"/>
          <w:color w:val="auto"/>
        </w:rPr>
      </w:pPr>
      <w:r>
        <w:rPr>
          <w:rFonts w:ascii="Verdana" w:cs="Verdana" w:eastAsia="Verdana" w:hAnsi="Verdana"/>
          <w:sz w:val="10"/>
          <w:szCs w:val="10"/>
          <w:color w:val="auto"/>
        </w:rPr>
        <w:t>Modifications to extend loan terms also included, in some cases, interest rate increases during the extension period.</w:t>
      </w:r>
    </w:p>
    <w:p>
      <w:pPr>
        <w:ind w:left="380" w:hanging="248"/>
        <w:spacing w:after="0"/>
        <w:tabs>
          <w:tab w:leader="none" w:pos="380" w:val="left"/>
        </w:tabs>
        <w:numPr>
          <w:ilvl w:val="0"/>
          <w:numId w:val="39"/>
        </w:numPr>
        <w:rPr>
          <w:rFonts w:ascii="Verdana" w:cs="Verdana" w:eastAsia="Verdana" w:hAnsi="Verdana"/>
          <w:sz w:val="10"/>
          <w:szCs w:val="10"/>
          <w:color w:val="auto"/>
        </w:rPr>
      </w:pPr>
      <w:r>
        <w:rPr>
          <w:rFonts w:ascii="Verdana" w:cs="Verdana" w:eastAsia="Verdana" w:hAnsi="Verdana"/>
          <w:sz w:val="10"/>
          <w:szCs w:val="10"/>
          <w:color w:val="auto"/>
        </w:rPr>
        <w:t>Modifications include one loan on non-accrual status, and the remaining loans were classified as substandard.</w:t>
      </w:r>
    </w:p>
    <w:p>
      <w:pPr>
        <w:spacing w:after="0" w:line="144" w:lineRule="exact"/>
        <w:rPr>
          <w:sz w:val="20"/>
          <w:szCs w:val="20"/>
          <w:color w:val="auto"/>
        </w:rPr>
      </w:pPr>
    </w:p>
    <w:p>
      <w:pPr>
        <w:spacing w:after="0"/>
        <w:rPr>
          <w:sz w:val="20"/>
          <w:szCs w:val="20"/>
          <w:color w:val="auto"/>
        </w:rPr>
      </w:pPr>
      <w:r>
        <w:rPr>
          <w:rFonts w:ascii="Verdana" w:cs="Verdana" w:eastAsia="Verdana" w:hAnsi="Verdana"/>
          <w:sz w:val="14"/>
          <w:szCs w:val="14"/>
          <w:color w:val="auto"/>
        </w:rPr>
        <w:t>The following table summarizes the effects of loan modifications made during the periods indicated for borrowers experiencing financial difficulty: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60" w:type="dxa"/>
            <w:vAlign w:val="bottom"/>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jc w:val="center"/>
              <w:ind w:right="80"/>
              <w:spacing w:after="0"/>
              <w:rPr>
                <w:sz w:val="20"/>
                <w:szCs w:val="20"/>
                <w:color w:val="auto"/>
              </w:rPr>
            </w:pPr>
            <w:r>
              <w:rPr>
                <w:rFonts w:ascii="Verdana" w:cs="Verdana" w:eastAsia="Verdana" w:hAnsi="Verdana"/>
                <w:sz w:val="10"/>
                <w:szCs w:val="10"/>
                <w:b w:val="1"/>
                <w:bCs w:val="1"/>
                <w:color w:val="auto"/>
                <w:w w:val="99"/>
              </w:rPr>
              <w:t>Years Ended December 31,</w:t>
            </w:r>
          </w:p>
        </w:tc>
        <w:tc>
          <w:tcPr>
            <w:tcW w:w="1560" w:type="dxa"/>
            <w:vAlign w:val="bottom"/>
            <w:tcBorders>
              <w:bottom w:val="single" w:sz="8" w:color="auto"/>
            </w:tcBorders>
          </w:tcPr>
          <w:p>
            <w:pPr>
              <w:spacing w:after="0"/>
              <w:rPr>
                <w:sz w:val="11"/>
                <w:szCs w:val="11"/>
                <w:color w:val="auto"/>
              </w:rPr>
            </w:pPr>
          </w:p>
        </w:tc>
      </w:tr>
      <w:tr>
        <w:trPr>
          <w:trHeight w:val="131"/>
        </w:trPr>
        <w:tc>
          <w:tcPr>
            <w:tcW w:w="6260" w:type="dxa"/>
            <w:vAlign w:val="bottom"/>
          </w:tcPr>
          <w:p>
            <w:pPr>
              <w:spacing w:after="0"/>
              <w:rPr>
                <w:sz w:val="11"/>
                <w:szCs w:val="11"/>
                <w:color w:val="auto"/>
              </w:rPr>
            </w:pPr>
          </w:p>
        </w:tc>
        <w:tc>
          <w:tcPr>
            <w:tcW w:w="15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8"/>
              </w:rPr>
              <w:t>2024</w:t>
            </w:r>
          </w:p>
        </w:tc>
        <w:tc>
          <w:tcPr>
            <w:tcW w:w="80" w:type="dxa"/>
            <w:vAlign w:val="bottom"/>
          </w:tcPr>
          <w:p>
            <w:pPr>
              <w:spacing w:after="0"/>
              <w:rPr>
                <w:sz w:val="11"/>
                <w:szCs w:val="11"/>
                <w:color w:val="auto"/>
              </w:rPr>
            </w:pPr>
          </w:p>
        </w:tc>
        <w:tc>
          <w:tcPr>
            <w:tcW w:w="3380" w:type="dxa"/>
            <w:vAlign w:val="bottom"/>
            <w:tcBorders>
              <w:bottom w:val="single" w:sz="8" w:color="auto"/>
            </w:tcBorders>
            <w:gridSpan w:val="3"/>
          </w:tcPr>
          <w:p>
            <w:pPr>
              <w:jc w:val="right"/>
              <w:ind w:right="1476"/>
              <w:spacing w:after="0"/>
              <w:rPr>
                <w:sz w:val="20"/>
                <w:szCs w:val="20"/>
                <w:color w:val="auto"/>
              </w:rPr>
            </w:pPr>
            <w:r>
              <w:rPr>
                <w:rFonts w:ascii="Verdana" w:cs="Verdana" w:eastAsia="Verdana" w:hAnsi="Verdana"/>
                <w:sz w:val="10"/>
                <w:szCs w:val="10"/>
                <w:b w:val="1"/>
                <w:bCs w:val="1"/>
                <w:color w:val="auto"/>
              </w:rPr>
              <w:t>2023</w:t>
            </w:r>
          </w:p>
        </w:tc>
      </w:tr>
      <w:tr>
        <w:trPr>
          <w:trHeight w:val="91"/>
        </w:trPr>
        <w:tc>
          <w:tcPr>
            <w:tcW w:w="6260" w:type="dxa"/>
            <w:vAlign w:val="bottom"/>
          </w:tcPr>
          <w:p>
            <w:pPr>
              <w:spacing w:after="0"/>
              <w:rPr>
                <w:sz w:val="7"/>
                <w:szCs w:val="7"/>
                <w:color w:val="auto"/>
              </w:rPr>
            </w:pPr>
          </w:p>
        </w:tc>
        <w:tc>
          <w:tcPr>
            <w:tcW w:w="1560" w:type="dxa"/>
            <w:vAlign w:val="bottom"/>
          </w:tcPr>
          <w:p>
            <w:pPr>
              <w:jc w:val="center"/>
              <w:spacing w:after="0" w:line="92" w:lineRule="exact"/>
              <w:rPr>
                <w:sz w:val="20"/>
                <w:szCs w:val="20"/>
                <w:color w:val="auto"/>
              </w:rPr>
            </w:pPr>
            <w:r>
              <w:rPr>
                <w:rFonts w:ascii="Verdana" w:cs="Verdana" w:eastAsia="Verdana" w:hAnsi="Verdana"/>
                <w:sz w:val="10"/>
                <w:szCs w:val="10"/>
                <w:b w:val="1"/>
                <w:bCs w:val="1"/>
                <w:color w:val="auto"/>
              </w:rPr>
              <w:t>Weighted Average Term</w:t>
            </w:r>
          </w:p>
        </w:tc>
        <w:tc>
          <w:tcPr>
            <w:tcW w:w="80" w:type="dxa"/>
            <w:vAlign w:val="bottom"/>
          </w:tcPr>
          <w:p>
            <w:pPr>
              <w:spacing w:after="0"/>
              <w:rPr>
                <w:sz w:val="7"/>
                <w:szCs w:val="7"/>
                <w:color w:val="auto"/>
              </w:rPr>
            </w:pPr>
          </w:p>
        </w:tc>
        <w:tc>
          <w:tcPr>
            <w:tcW w:w="1820" w:type="dxa"/>
            <w:vAlign w:val="bottom"/>
            <w:gridSpan w:val="2"/>
          </w:tcPr>
          <w:p>
            <w:pPr>
              <w:jc w:val="center"/>
              <w:ind w:right="80"/>
              <w:spacing w:after="0" w:line="92" w:lineRule="exact"/>
              <w:rPr>
                <w:sz w:val="20"/>
                <w:szCs w:val="20"/>
                <w:color w:val="auto"/>
              </w:rPr>
            </w:pPr>
            <w:r>
              <w:rPr>
                <w:rFonts w:ascii="Verdana" w:cs="Verdana" w:eastAsia="Verdana" w:hAnsi="Verdana"/>
                <w:sz w:val="10"/>
                <w:szCs w:val="10"/>
                <w:b w:val="1"/>
                <w:bCs w:val="1"/>
                <w:color w:val="auto"/>
                <w:w w:val="98"/>
              </w:rPr>
              <w:t>Weighted Average Interest</w:t>
            </w:r>
          </w:p>
        </w:tc>
        <w:tc>
          <w:tcPr>
            <w:tcW w:w="1560" w:type="dxa"/>
            <w:vAlign w:val="bottom"/>
          </w:tcPr>
          <w:p>
            <w:pPr>
              <w:ind w:left="100"/>
              <w:spacing w:after="0" w:line="92" w:lineRule="exact"/>
              <w:rPr>
                <w:sz w:val="20"/>
                <w:szCs w:val="20"/>
                <w:color w:val="auto"/>
              </w:rPr>
            </w:pPr>
            <w:r>
              <w:rPr>
                <w:rFonts w:ascii="Verdana" w:cs="Verdana" w:eastAsia="Verdana" w:hAnsi="Verdana"/>
                <w:sz w:val="10"/>
                <w:szCs w:val="10"/>
                <w:b w:val="1"/>
                <w:bCs w:val="1"/>
                <w:color w:val="auto"/>
              </w:rPr>
              <w:t>Weighted Average Term</w:t>
            </w:r>
          </w:p>
        </w:tc>
      </w:tr>
      <w:tr>
        <w:trPr>
          <w:trHeight w:val="133"/>
        </w:trPr>
        <w:tc>
          <w:tcPr>
            <w:tcW w:w="6260" w:type="dxa"/>
            <w:vAlign w:val="bottom"/>
          </w:tcPr>
          <w:p>
            <w:pPr>
              <w:spacing w:after="0"/>
              <w:rPr>
                <w:sz w:val="11"/>
                <w:szCs w:val="11"/>
                <w:color w:val="auto"/>
              </w:rPr>
            </w:pPr>
          </w:p>
        </w:tc>
        <w:tc>
          <w:tcPr>
            <w:tcW w:w="164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Extension</w:t>
            </w:r>
          </w:p>
        </w:tc>
        <w:tc>
          <w:tcPr>
            <w:tcW w:w="1820" w:type="dxa"/>
            <w:vAlign w:val="bottom"/>
            <w:gridSpan w:val="2"/>
          </w:tcPr>
          <w:p>
            <w:pPr>
              <w:jc w:val="center"/>
              <w:ind w:right="80"/>
              <w:spacing w:after="0"/>
              <w:rPr>
                <w:sz w:val="20"/>
                <w:szCs w:val="20"/>
                <w:color w:val="auto"/>
              </w:rPr>
            </w:pPr>
            <w:r>
              <w:rPr>
                <w:rFonts w:ascii="Verdana" w:cs="Verdana" w:eastAsia="Verdana" w:hAnsi="Verdana"/>
                <w:sz w:val="10"/>
                <w:szCs w:val="10"/>
                <w:b w:val="1"/>
                <w:bCs w:val="1"/>
                <w:color w:val="auto"/>
              </w:rPr>
              <w:t>Rate Reduction</w:t>
            </w:r>
          </w:p>
        </w:tc>
        <w:tc>
          <w:tcPr>
            <w:tcW w:w="1560" w:type="dxa"/>
            <w:vAlign w:val="bottom"/>
          </w:tcPr>
          <w:p>
            <w:pPr>
              <w:ind w:left="500"/>
              <w:spacing w:after="0"/>
              <w:rPr>
                <w:sz w:val="20"/>
                <w:szCs w:val="20"/>
                <w:color w:val="auto"/>
              </w:rPr>
            </w:pPr>
            <w:r>
              <w:rPr>
                <w:rFonts w:ascii="Verdana" w:cs="Verdana" w:eastAsia="Verdana" w:hAnsi="Verdana"/>
                <w:sz w:val="10"/>
                <w:szCs w:val="10"/>
                <w:b w:val="1"/>
                <w:bCs w:val="1"/>
                <w:color w:val="auto"/>
              </w:rPr>
              <w:t>Extension</w:t>
            </w:r>
          </w:p>
        </w:tc>
      </w:tr>
      <w:tr>
        <w:trPr>
          <w:trHeight w:val="197"/>
        </w:trPr>
        <w:tc>
          <w:tcPr>
            <w:tcW w:w="62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Loan Modifications</w:t>
            </w:r>
          </w:p>
        </w:tc>
        <w:tc>
          <w:tcPr>
            <w:tcW w:w="15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7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560" w:type="dxa"/>
            <w:vAlign w:val="bottom"/>
            <w:tcBorders>
              <w:top w:val="single" w:sz="8" w:color="auto"/>
            </w:tcBorders>
            <w:shd w:val="clear" w:color="auto" w:fill="E0E7ED"/>
          </w:tcPr>
          <w:p>
            <w:pPr>
              <w:spacing w:after="0"/>
              <w:rPr>
                <w:sz w:val="17"/>
                <w:szCs w:val="17"/>
                <w:color w:val="auto"/>
              </w:rPr>
            </w:pPr>
          </w:p>
        </w:tc>
      </w:tr>
      <w:tr>
        <w:trPr>
          <w:trHeight w:val="207"/>
        </w:trPr>
        <w:tc>
          <w:tcPr>
            <w:tcW w:w="626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1640" w:type="dxa"/>
            <w:vAlign w:val="bottom"/>
            <w:gridSpan w:val="2"/>
          </w:tcPr>
          <w:p>
            <w:pPr>
              <w:spacing w:after="0"/>
              <w:rPr>
                <w:sz w:val="20"/>
                <w:szCs w:val="20"/>
                <w:color w:val="auto"/>
              </w:rPr>
            </w:pPr>
            <w:r>
              <w:rPr>
                <w:rFonts w:ascii="Verdana" w:cs="Verdana" w:eastAsia="Verdana" w:hAnsi="Verdana"/>
                <w:sz w:val="14"/>
                <w:szCs w:val="14"/>
                <w:color w:val="auto"/>
              </w:rPr>
              <w:t>15.6 months</w:t>
            </w:r>
          </w:p>
        </w:tc>
        <w:tc>
          <w:tcPr>
            <w:tcW w:w="182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 %</w:t>
            </w:r>
          </w:p>
        </w:tc>
        <w:tc>
          <w:tcPr>
            <w:tcW w:w="1560" w:type="dxa"/>
            <w:vAlign w:val="bottom"/>
          </w:tcPr>
          <w:p>
            <w:pPr>
              <w:spacing w:after="0"/>
              <w:rPr>
                <w:sz w:val="20"/>
                <w:szCs w:val="20"/>
                <w:color w:val="auto"/>
              </w:rPr>
            </w:pPr>
            <w:r>
              <w:rPr>
                <w:rFonts w:ascii="Verdana" w:cs="Verdana" w:eastAsia="Verdana" w:hAnsi="Verdana"/>
                <w:sz w:val="14"/>
                <w:szCs w:val="14"/>
                <w:color w:val="auto"/>
              </w:rPr>
              <w:t>18.1 months</w:t>
            </w:r>
          </w:p>
        </w:tc>
      </w:tr>
      <w:tr>
        <w:trPr>
          <w:trHeight w:val="218"/>
        </w:trPr>
        <w:tc>
          <w:tcPr>
            <w:tcW w:w="62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1640" w:type="dxa"/>
            <w:vAlign w:val="bottom"/>
            <w:gridSpan w:val="2"/>
            <w:shd w:val="clear" w:color="auto" w:fill="E0E7ED"/>
          </w:tcPr>
          <w:p>
            <w:pPr>
              <w:spacing w:after="0"/>
              <w:rPr>
                <w:sz w:val="20"/>
                <w:szCs w:val="20"/>
                <w:color w:val="auto"/>
              </w:rPr>
            </w:pPr>
            <w:r>
              <w:rPr>
                <w:rFonts w:ascii="Verdana" w:cs="Verdana" w:eastAsia="Verdana" w:hAnsi="Verdana"/>
                <w:sz w:val="14"/>
                <w:szCs w:val="14"/>
                <w:color w:val="auto"/>
              </w:rPr>
              <w:t>3.8 months</w:t>
            </w:r>
          </w:p>
        </w:tc>
        <w:tc>
          <w:tcPr>
            <w:tcW w:w="17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2.50 %</w:t>
            </w:r>
          </w:p>
        </w:tc>
        <w:tc>
          <w:tcPr>
            <w:tcW w:w="100" w:type="dxa"/>
            <w:vAlign w:val="bottom"/>
            <w:shd w:val="clear" w:color="auto" w:fill="E0E7ED"/>
          </w:tcPr>
          <w:p>
            <w:pPr>
              <w:spacing w:after="0"/>
              <w:rPr>
                <w:sz w:val="18"/>
                <w:szCs w:val="18"/>
                <w:color w:val="auto"/>
              </w:rPr>
            </w:pPr>
          </w:p>
        </w:tc>
        <w:tc>
          <w:tcPr>
            <w:tcW w:w="1560" w:type="dxa"/>
            <w:vAlign w:val="bottom"/>
            <w:shd w:val="clear" w:color="auto" w:fill="E0E7ED"/>
          </w:tcPr>
          <w:p>
            <w:pPr>
              <w:spacing w:after="0"/>
              <w:rPr>
                <w:sz w:val="20"/>
                <w:szCs w:val="20"/>
                <w:color w:val="auto"/>
              </w:rPr>
            </w:pPr>
            <w:r>
              <w:rPr>
                <w:rFonts w:ascii="Verdana" w:cs="Verdana" w:eastAsia="Verdana" w:hAnsi="Verdana"/>
                <w:sz w:val="14"/>
                <w:szCs w:val="14"/>
                <w:color w:val="auto"/>
              </w:rPr>
              <w:t>21.0 months</w:t>
            </w:r>
          </w:p>
        </w:tc>
      </w:tr>
      <w:tr>
        <w:trPr>
          <w:trHeight w:val="207"/>
        </w:trPr>
        <w:tc>
          <w:tcPr>
            <w:tcW w:w="62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1560" w:type="dxa"/>
            <w:vAlign w:val="bottom"/>
            <w:tcBorders>
              <w:bottom w:val="single" w:sz="8" w:color="auto"/>
            </w:tcBorders>
          </w:tcPr>
          <w:p>
            <w:pPr>
              <w:spacing w:after="0"/>
              <w:rPr>
                <w:sz w:val="20"/>
                <w:szCs w:val="20"/>
                <w:color w:val="auto"/>
              </w:rPr>
            </w:pPr>
            <w:r>
              <w:rPr>
                <w:rFonts w:ascii="Verdana" w:cs="Verdana" w:eastAsia="Verdana" w:hAnsi="Verdana"/>
                <w:sz w:val="14"/>
                <w:szCs w:val="14"/>
                <w:color w:val="auto"/>
              </w:rPr>
              <w:t>6.0 months</w:t>
            </w:r>
          </w:p>
        </w:tc>
        <w:tc>
          <w:tcPr>
            <w:tcW w:w="80" w:type="dxa"/>
            <w:vAlign w:val="bottom"/>
            <w:tcBorders>
              <w:bottom w:val="single" w:sz="8" w:color="E0E7ED"/>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 %</w:t>
            </w:r>
          </w:p>
        </w:tc>
        <w:tc>
          <w:tcPr>
            <w:tcW w:w="100" w:type="dxa"/>
            <w:vAlign w:val="bottom"/>
            <w:tcBorders>
              <w:bottom w:val="single" w:sz="8" w:color="E0E7ED"/>
            </w:tcBorders>
          </w:tcPr>
          <w:p>
            <w:pPr>
              <w:spacing w:after="0"/>
              <w:rPr>
                <w:sz w:val="17"/>
                <w:szCs w:val="17"/>
                <w:color w:val="auto"/>
              </w:rPr>
            </w:pPr>
          </w:p>
        </w:tc>
        <w:tc>
          <w:tcPr>
            <w:tcW w:w="1560" w:type="dxa"/>
            <w:vAlign w:val="bottom"/>
            <w:tcBorders>
              <w:bottom w:val="single" w:sz="8" w:color="auto"/>
            </w:tcBorders>
          </w:tcPr>
          <w:p>
            <w:pPr>
              <w:spacing w:after="0"/>
              <w:rPr>
                <w:sz w:val="20"/>
                <w:szCs w:val="20"/>
                <w:color w:val="auto"/>
              </w:rPr>
            </w:pPr>
            <w:r>
              <w:rPr>
                <w:rFonts w:ascii="Verdana" w:cs="Verdana" w:eastAsia="Verdana" w:hAnsi="Verdana"/>
                <w:sz w:val="14"/>
                <w:szCs w:val="14"/>
                <w:color w:val="auto"/>
              </w:rPr>
              <w:t>12.0 months</w:t>
            </w:r>
          </w:p>
        </w:tc>
      </w:tr>
      <w:tr>
        <w:trPr>
          <w:trHeight w:val="208"/>
        </w:trPr>
        <w:tc>
          <w:tcPr>
            <w:tcW w:w="62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Weighted average modifications</w:t>
            </w:r>
          </w:p>
        </w:tc>
        <w:tc>
          <w:tcPr>
            <w:tcW w:w="1640" w:type="dxa"/>
            <w:vAlign w:val="bottom"/>
            <w:gridSpan w:val="2"/>
            <w:shd w:val="clear" w:color="auto" w:fill="E0E7ED"/>
          </w:tcPr>
          <w:p>
            <w:pPr>
              <w:spacing w:after="0"/>
              <w:rPr>
                <w:sz w:val="20"/>
                <w:szCs w:val="20"/>
                <w:color w:val="auto"/>
              </w:rPr>
            </w:pPr>
            <w:r>
              <w:rPr>
                <w:rFonts w:ascii="Verdana" w:cs="Verdana" w:eastAsia="Verdana" w:hAnsi="Verdana"/>
                <w:sz w:val="14"/>
                <w:szCs w:val="14"/>
                <w:color w:val="auto"/>
              </w:rPr>
              <w:t>10.3 months</w:t>
            </w:r>
          </w:p>
        </w:tc>
        <w:tc>
          <w:tcPr>
            <w:tcW w:w="17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2.50 %</w:t>
            </w:r>
          </w:p>
        </w:tc>
        <w:tc>
          <w:tcPr>
            <w:tcW w:w="100" w:type="dxa"/>
            <w:vAlign w:val="bottom"/>
            <w:shd w:val="clear" w:color="auto" w:fill="E0E7ED"/>
          </w:tcPr>
          <w:p>
            <w:pPr>
              <w:spacing w:after="0"/>
              <w:rPr>
                <w:sz w:val="18"/>
                <w:szCs w:val="18"/>
                <w:color w:val="auto"/>
              </w:rPr>
            </w:pPr>
          </w:p>
        </w:tc>
        <w:tc>
          <w:tcPr>
            <w:tcW w:w="1560" w:type="dxa"/>
            <w:vAlign w:val="bottom"/>
            <w:shd w:val="clear" w:color="auto" w:fill="E0E7ED"/>
          </w:tcPr>
          <w:p>
            <w:pPr>
              <w:spacing w:after="0"/>
              <w:rPr>
                <w:sz w:val="20"/>
                <w:szCs w:val="20"/>
                <w:color w:val="auto"/>
              </w:rPr>
            </w:pPr>
            <w:r>
              <w:rPr>
                <w:rFonts w:ascii="Verdana" w:cs="Verdana" w:eastAsia="Verdana" w:hAnsi="Verdana"/>
                <w:sz w:val="14"/>
                <w:szCs w:val="14"/>
                <w:color w:val="auto"/>
              </w:rPr>
              <w:t>16.8 months</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0" w:name="page131"/>
    <w:bookmarkEnd w:id="13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Performance of Modified Loans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closely monitors the performance of the loans that are modified for borrowers experiencing financial difficulty to understand the effectiveness of its modification efforts. The following table depicts the payment performance of loans modified during the last twelve months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4"/>
          </w:tcPr>
          <w:p>
            <w:pPr>
              <w:jc w:val="right"/>
              <w:ind w:right="496"/>
              <w:spacing w:after="0"/>
              <w:rPr>
                <w:sz w:val="20"/>
                <w:szCs w:val="20"/>
                <w:color w:val="auto"/>
              </w:rPr>
            </w:pPr>
            <w:r>
              <w:rPr>
                <w:rFonts w:ascii="Verdana" w:cs="Verdana" w:eastAsia="Verdana" w:hAnsi="Verdana"/>
                <w:sz w:val="10"/>
                <w:szCs w:val="10"/>
                <w:b w:val="1"/>
                <w:bCs w:val="1"/>
                <w:color w:val="auto"/>
              </w:rPr>
              <w:t>As of December 31, 2024</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131"/>
        </w:trPr>
        <w:tc>
          <w:tcPr>
            <w:tcW w:w="4680" w:type="dxa"/>
            <w:vAlign w:val="bottom"/>
            <w:tcBorders>
              <w:bottom w:val="single" w:sz="8" w:color="E0E7ED"/>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Current</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240" w:type="dxa"/>
            <w:vAlign w:val="bottom"/>
            <w:tcBorders>
              <w:bottom w:val="single" w:sz="8" w:color="auto"/>
            </w:tcBorders>
          </w:tcPr>
          <w:p>
            <w:pPr>
              <w:jc w:val="right"/>
              <w:ind w:right="60"/>
              <w:spacing w:after="0"/>
              <w:rPr>
                <w:sz w:val="20"/>
                <w:szCs w:val="20"/>
                <w:color w:val="auto"/>
              </w:rPr>
            </w:pPr>
            <w:r>
              <w:rPr>
                <w:rFonts w:ascii="Verdana" w:cs="Verdana" w:eastAsia="Verdana" w:hAnsi="Verdana"/>
                <w:sz w:val="10"/>
                <w:szCs w:val="10"/>
                <w:b w:val="1"/>
                <w:bCs w:val="1"/>
                <w:color w:val="auto"/>
              </w:rPr>
              <w:t>30-89 Days</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220" w:type="dxa"/>
            <w:vAlign w:val="bottom"/>
            <w:tcBorders>
              <w:bottom w:val="single" w:sz="8" w:color="auto"/>
            </w:tcBorders>
          </w:tcPr>
          <w:p>
            <w:pPr>
              <w:jc w:val="right"/>
              <w:ind w:right="96"/>
              <w:spacing w:after="0"/>
              <w:rPr>
                <w:sz w:val="20"/>
                <w:szCs w:val="20"/>
                <w:color w:val="auto"/>
              </w:rPr>
            </w:pPr>
            <w:r>
              <w:rPr>
                <w:rFonts w:ascii="Verdana" w:cs="Verdana" w:eastAsia="Verdana" w:hAnsi="Verdana"/>
                <w:sz w:val="10"/>
                <w:szCs w:val="10"/>
                <w:b w:val="1"/>
                <w:bCs w:val="1"/>
                <w:color w:val="auto"/>
              </w:rPr>
              <w:t>90+ Days</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94"/>
              <w:spacing w:after="0"/>
              <w:rPr>
                <w:sz w:val="20"/>
                <w:szCs w:val="20"/>
                <w:color w:val="auto"/>
              </w:rPr>
            </w:pPr>
            <w:r>
              <w:rPr>
                <w:rFonts w:ascii="Verdana" w:cs="Verdana" w:eastAsia="Verdana" w:hAnsi="Verdana"/>
                <w:sz w:val="10"/>
                <w:szCs w:val="10"/>
                <w:b w:val="1"/>
                <w:bCs w:val="1"/>
                <w:color w:val="auto"/>
              </w:rPr>
              <w:t>Non-accrual</w:t>
            </w:r>
          </w:p>
        </w:tc>
      </w:tr>
      <w:tr>
        <w:trPr>
          <w:trHeight w:val="197"/>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Modified Loans</w:t>
            </w:r>
          </w:p>
        </w:tc>
        <w:tc>
          <w:tcPr>
            <w:tcW w:w="100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1000" w:type="dxa"/>
            <w:vAlign w:val="bottom"/>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26,500</w:t>
            </w:r>
          </w:p>
        </w:tc>
        <w:tc>
          <w:tcPr>
            <w:tcW w:w="80" w:type="dxa"/>
            <w:vAlign w:val="bottom"/>
          </w:tcPr>
          <w:p>
            <w:pPr>
              <w:spacing w:after="0"/>
              <w:rPr>
                <w:sz w:val="17"/>
                <w:szCs w:val="17"/>
                <w:color w:val="auto"/>
              </w:rPr>
            </w:pPr>
          </w:p>
        </w:tc>
        <w:tc>
          <w:tcPr>
            <w:tcW w:w="1240" w:type="dxa"/>
            <w:vAlign w:val="bottom"/>
          </w:tcPr>
          <w:p>
            <w:pPr>
              <w:jc w:val="right"/>
              <w:ind w:right="1060"/>
              <w:spacing w:after="0"/>
              <w:rPr>
                <w:sz w:val="20"/>
                <w:szCs w:val="20"/>
                <w:color w:val="auto"/>
              </w:rPr>
            </w:pPr>
            <w:r>
              <w:rPr>
                <w:rFonts w:ascii="Verdana" w:cs="Verdana" w:eastAsia="Verdana" w:hAnsi="Verdana"/>
                <w:sz w:val="14"/>
                <w:szCs w:val="14"/>
                <w:color w:val="auto"/>
              </w:rPr>
              <w:t>$</w:t>
            </w:r>
          </w:p>
        </w:tc>
        <w:tc>
          <w:tcPr>
            <w:tcW w:w="440" w:type="dxa"/>
            <w:vAlign w:val="bottom"/>
            <w:gridSpan w:val="2"/>
          </w:tcPr>
          <w:p>
            <w:pPr>
              <w:ind w:left="140"/>
              <w:spacing w:after="0"/>
              <w:rPr>
                <w:sz w:val="20"/>
                <w:szCs w:val="20"/>
                <w:color w:val="auto"/>
              </w:rPr>
            </w:pPr>
            <w:r>
              <w:rPr>
                <w:rFonts w:ascii="Verdana" w:cs="Verdana" w:eastAsia="Verdana" w:hAnsi="Verdana"/>
                <w:sz w:val="14"/>
                <w:szCs w:val="14"/>
                <w:color w:val="auto"/>
              </w:rPr>
              <w:t>—</w:t>
            </w:r>
          </w:p>
        </w:tc>
        <w:tc>
          <w:tcPr>
            <w:tcW w:w="1220" w:type="dxa"/>
            <w:vAlign w:val="bottom"/>
          </w:tcPr>
          <w:p>
            <w:pPr>
              <w:jc w:val="right"/>
              <w:ind w:right="1056"/>
              <w:spacing w:after="0"/>
              <w:rPr>
                <w:sz w:val="20"/>
                <w:szCs w:val="20"/>
                <w:color w:val="auto"/>
              </w:rPr>
            </w:pPr>
            <w:r>
              <w:rPr>
                <w:rFonts w:ascii="Verdana" w:cs="Verdana" w:eastAsia="Verdana" w:hAnsi="Verdana"/>
                <w:sz w:val="14"/>
                <w:szCs w:val="14"/>
                <w:color w:val="auto"/>
                <w:w w:val="88"/>
              </w:rPr>
              <w:t>$</w:t>
            </w:r>
          </w:p>
        </w:tc>
        <w:tc>
          <w:tcPr>
            <w:tcW w:w="460" w:type="dxa"/>
            <w:vAlign w:val="bottom"/>
            <w:gridSpan w:val="2"/>
          </w:tcPr>
          <w:p>
            <w:pPr>
              <w:ind w:left="160"/>
              <w:spacing w:after="0"/>
              <w:rPr>
                <w:sz w:val="20"/>
                <w:szCs w:val="20"/>
                <w:color w:val="auto"/>
              </w:rPr>
            </w:pPr>
            <w:r>
              <w:rPr>
                <w:rFonts w:ascii="Verdana" w:cs="Verdana" w:eastAsia="Verdana" w:hAnsi="Verdana"/>
                <w:sz w:val="14"/>
                <w:szCs w:val="14"/>
                <w:color w:val="auto"/>
              </w:rPr>
              <w:t>—</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1000" w:type="dxa"/>
            <w:vAlign w:val="bottom"/>
            <w:shd w:val="clear" w:color="auto" w:fill="E0E7ED"/>
          </w:tcPr>
          <w:p>
            <w:pPr>
              <w:spacing w:after="0"/>
              <w:rPr>
                <w:sz w:val="18"/>
                <w:szCs w:val="18"/>
                <w:color w:val="auto"/>
              </w:rPr>
            </w:pPr>
          </w:p>
        </w:tc>
        <w:tc>
          <w:tcPr>
            <w:tcW w:w="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3,147</w:t>
            </w:r>
          </w:p>
        </w:tc>
        <w:tc>
          <w:tcPr>
            <w:tcW w:w="8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4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w:t>
            </w:r>
          </w:p>
        </w:tc>
        <w:tc>
          <w:tcPr>
            <w:tcW w:w="1220" w:type="dxa"/>
            <w:vAlign w:val="bottom"/>
            <w:shd w:val="clear" w:color="auto" w:fill="E0E7ED"/>
          </w:tcPr>
          <w:p>
            <w:pPr>
              <w:spacing w:after="0"/>
              <w:rPr>
                <w:sz w:val="18"/>
                <w:szCs w:val="18"/>
                <w:color w:val="auto"/>
              </w:rPr>
            </w:pPr>
          </w:p>
        </w:tc>
        <w:tc>
          <w:tcPr>
            <w:tcW w:w="460" w:type="dxa"/>
            <w:vAlign w:val="bottom"/>
            <w:gridSpan w:val="2"/>
            <w:shd w:val="clear" w:color="auto" w:fill="E0E7ED"/>
          </w:tcPr>
          <w:p>
            <w:pPr>
              <w:ind w:left="160"/>
              <w:spacing w:after="0"/>
              <w:rPr>
                <w:sz w:val="20"/>
                <w:szCs w:val="20"/>
                <w:color w:val="auto"/>
              </w:rPr>
            </w:pPr>
            <w:r>
              <w:rPr>
                <w:rFonts w:ascii="Verdana" w:cs="Verdana" w:eastAsia="Verdana" w:hAnsi="Verdana"/>
                <w:sz w:val="14"/>
                <w:szCs w:val="14"/>
                <w:color w:val="auto"/>
              </w:rPr>
              <w:t>—</w:t>
            </w:r>
          </w:p>
        </w:tc>
        <w:tc>
          <w:tcPr>
            <w:tcW w:w="28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15,000</w:t>
            </w:r>
          </w:p>
        </w:tc>
      </w:tr>
      <w:tr>
        <w:trPr>
          <w:trHeight w:val="207"/>
        </w:trPr>
        <w:tc>
          <w:tcPr>
            <w:tcW w:w="46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Real estate construction</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5,224</w:t>
            </w:r>
          </w:p>
        </w:tc>
        <w:tc>
          <w:tcPr>
            <w:tcW w:w="80" w:type="dxa"/>
            <w:vAlign w:val="bottom"/>
            <w:tcBorders>
              <w:bottom w:val="single" w:sz="8" w:color="E0E7ED"/>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40"/>
              <w:spacing w:after="0"/>
              <w:rPr>
                <w:sz w:val="20"/>
                <w:szCs w:val="20"/>
                <w:color w:val="auto"/>
              </w:rPr>
            </w:pPr>
            <w:r>
              <w:rPr>
                <w:rFonts w:ascii="Verdana" w:cs="Verdana" w:eastAsia="Verdana" w:hAnsi="Verdana"/>
                <w:sz w:val="14"/>
                <w:szCs w:val="14"/>
                <w:color w:val="auto"/>
              </w:rPr>
              <w:t>—</w:t>
            </w:r>
          </w:p>
        </w:tc>
        <w:tc>
          <w:tcPr>
            <w:tcW w:w="80" w:type="dxa"/>
            <w:vAlign w:val="bottom"/>
            <w:tcBorders>
              <w:bottom w:val="single" w:sz="8" w:color="E0E7ED"/>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w:t>
            </w:r>
          </w:p>
        </w:tc>
        <w:tc>
          <w:tcPr>
            <w:tcW w:w="100" w:type="dxa"/>
            <w:vAlign w:val="bottom"/>
            <w:tcBorders>
              <w:bottom w:val="single" w:sz="8" w:color="E0E7E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r>
      <w:tr>
        <w:trPr>
          <w:trHeight w:val="22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Amortized cost of modified loans</w:t>
            </w:r>
          </w:p>
        </w:tc>
        <w:tc>
          <w:tcPr>
            <w:tcW w:w="1000" w:type="dxa"/>
            <w:vAlign w:val="bottom"/>
            <w:shd w:val="clear" w:color="auto" w:fill="E0E7ED"/>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34,871</w:t>
            </w:r>
          </w:p>
        </w:tc>
        <w:tc>
          <w:tcPr>
            <w:tcW w:w="80" w:type="dxa"/>
            <w:vAlign w:val="bottom"/>
            <w:shd w:val="clear" w:color="auto" w:fill="E0E7ED"/>
          </w:tcPr>
          <w:p>
            <w:pPr>
              <w:spacing w:after="0"/>
              <w:rPr>
                <w:sz w:val="19"/>
                <w:szCs w:val="19"/>
                <w:color w:val="auto"/>
              </w:rPr>
            </w:pPr>
          </w:p>
        </w:tc>
        <w:tc>
          <w:tcPr>
            <w:tcW w:w="1240" w:type="dxa"/>
            <w:vAlign w:val="bottom"/>
            <w:shd w:val="clear" w:color="auto" w:fill="E0E7ED"/>
          </w:tcPr>
          <w:p>
            <w:pPr>
              <w:jc w:val="right"/>
              <w:ind w:right="1060"/>
              <w:spacing w:after="0"/>
              <w:rPr>
                <w:sz w:val="20"/>
                <w:szCs w:val="20"/>
                <w:color w:val="auto"/>
              </w:rPr>
            </w:pPr>
            <w:r>
              <w:rPr>
                <w:rFonts w:ascii="Verdana" w:cs="Verdana" w:eastAsia="Verdana" w:hAnsi="Verdana"/>
                <w:sz w:val="14"/>
                <w:szCs w:val="14"/>
                <w:color w:val="auto"/>
              </w:rPr>
              <w:t>$</w:t>
            </w:r>
          </w:p>
        </w:tc>
        <w:tc>
          <w:tcPr>
            <w:tcW w:w="4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w:t>
            </w:r>
          </w:p>
        </w:tc>
        <w:tc>
          <w:tcPr>
            <w:tcW w:w="1220" w:type="dxa"/>
            <w:vAlign w:val="bottom"/>
            <w:shd w:val="clear" w:color="auto" w:fill="E0E7ED"/>
          </w:tcPr>
          <w:p>
            <w:pPr>
              <w:jc w:val="right"/>
              <w:ind w:right="1056"/>
              <w:spacing w:after="0"/>
              <w:rPr>
                <w:sz w:val="20"/>
                <w:szCs w:val="20"/>
                <w:color w:val="auto"/>
              </w:rPr>
            </w:pPr>
            <w:r>
              <w:rPr>
                <w:rFonts w:ascii="Verdana" w:cs="Verdana" w:eastAsia="Verdana" w:hAnsi="Verdana"/>
                <w:sz w:val="14"/>
                <w:szCs w:val="14"/>
                <w:color w:val="auto"/>
                <w:w w:val="88"/>
              </w:rPr>
              <w:t>$</w:t>
            </w:r>
          </w:p>
        </w:tc>
        <w:tc>
          <w:tcPr>
            <w:tcW w:w="460" w:type="dxa"/>
            <w:vAlign w:val="bottom"/>
            <w:gridSpan w:val="2"/>
            <w:shd w:val="clear" w:color="auto" w:fill="E0E7ED"/>
          </w:tcPr>
          <w:p>
            <w:pPr>
              <w:ind w:left="160"/>
              <w:spacing w:after="0"/>
              <w:rPr>
                <w:sz w:val="20"/>
                <w:szCs w:val="20"/>
                <w:color w:val="auto"/>
              </w:rPr>
            </w:pPr>
            <w:r>
              <w:rPr>
                <w:rFonts w:ascii="Verdana" w:cs="Verdana" w:eastAsia="Verdana" w:hAnsi="Verdana"/>
                <w:sz w:val="14"/>
                <w:szCs w:val="14"/>
                <w:color w:val="auto"/>
              </w:rPr>
              <w:t>—</w:t>
            </w:r>
          </w:p>
        </w:tc>
        <w:tc>
          <w:tcPr>
            <w:tcW w:w="280" w:type="dxa"/>
            <w:vAlign w:val="bottom"/>
            <w:shd w:val="clear" w:color="auto" w:fill="E0E7ED"/>
          </w:tcPr>
          <w:p>
            <w:pPr>
              <w:jc w:val="right"/>
              <w:ind w:right="109"/>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15,000</w:t>
            </w:r>
          </w:p>
        </w:tc>
      </w:tr>
      <w:tr>
        <w:trPr>
          <w:trHeight w:val="20"/>
        </w:trPr>
        <w:tc>
          <w:tcPr>
            <w:tcW w:w="468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 following table provides the amortized cost basis of loans that had a payment default during the periods indicated, after having been modified during the 12 months before default for borrowers experiencing financial difficulty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 A default occurs when a loan is 90 days or more past due or transferred to non-accrual status.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4"/>
          </w:tcPr>
          <w:p>
            <w:pPr>
              <w:jc w:val="right"/>
              <w:ind w:right="698"/>
              <w:spacing w:after="0"/>
              <w:rPr>
                <w:sz w:val="20"/>
                <w:szCs w:val="20"/>
                <w:color w:val="auto"/>
              </w:rPr>
            </w:pPr>
            <w:r>
              <w:rPr>
                <w:rFonts w:ascii="Verdana" w:cs="Verdana" w:eastAsia="Verdana" w:hAnsi="Verdana"/>
                <w:sz w:val="10"/>
                <w:szCs w:val="10"/>
                <w:b w:val="1"/>
                <w:bCs w:val="1"/>
                <w:color w:val="auto"/>
              </w:rPr>
              <w:t>Years Ended December 31,</w:t>
            </w:r>
          </w:p>
        </w:tc>
      </w:tr>
      <w:tr>
        <w:trPr>
          <w:trHeight w:val="131"/>
        </w:trPr>
        <w:tc>
          <w:tcPr>
            <w:tcW w:w="8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4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18"/>
              <w:spacing w:after="0"/>
              <w:rPr>
                <w:sz w:val="20"/>
                <w:szCs w:val="20"/>
                <w:color w:val="auto"/>
              </w:rPr>
            </w:pPr>
            <w:r>
              <w:rPr>
                <w:rFonts w:ascii="Verdana" w:cs="Verdana" w:eastAsia="Verdana" w:hAnsi="Verdana"/>
                <w:sz w:val="10"/>
                <w:szCs w:val="10"/>
                <w:b w:val="1"/>
                <w:bCs w:val="1"/>
                <w:color w:val="auto"/>
              </w:rPr>
              <w:t>2023</w:t>
            </w:r>
          </w:p>
        </w:tc>
      </w:tr>
      <w:tr>
        <w:trPr>
          <w:trHeight w:val="129"/>
        </w:trPr>
        <w:tc>
          <w:tcPr>
            <w:tcW w:w="826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40"/>
              <w:spacing w:after="0"/>
              <w:rPr>
                <w:sz w:val="20"/>
                <w:szCs w:val="20"/>
                <w:color w:val="auto"/>
              </w:rPr>
            </w:pPr>
            <w:r>
              <w:rPr>
                <w:rFonts w:ascii="Verdana" w:cs="Verdana" w:eastAsia="Verdana" w:hAnsi="Verdana"/>
                <w:sz w:val="10"/>
                <w:szCs w:val="10"/>
                <w:b w:val="1"/>
                <w:bCs w:val="1"/>
                <w:color w:val="auto"/>
              </w:rPr>
              <w:t>Term Extension</w:t>
            </w:r>
          </w:p>
        </w:tc>
        <w:tc>
          <w:tcPr>
            <w:tcW w:w="8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38"/>
              <w:spacing w:after="0"/>
              <w:rPr>
                <w:sz w:val="20"/>
                <w:szCs w:val="20"/>
                <w:color w:val="auto"/>
              </w:rPr>
            </w:pPr>
            <w:r>
              <w:rPr>
                <w:rFonts w:ascii="Verdana" w:cs="Verdana" w:eastAsia="Verdana" w:hAnsi="Verdana"/>
                <w:sz w:val="10"/>
                <w:szCs w:val="10"/>
                <w:b w:val="1"/>
                <w:bCs w:val="1"/>
                <w:color w:val="auto"/>
              </w:rPr>
              <w:t>Term Extension</w:t>
            </w:r>
          </w:p>
        </w:tc>
      </w:tr>
      <w:tr>
        <w:trPr>
          <w:trHeight w:val="197"/>
        </w:trPr>
        <w:tc>
          <w:tcPr>
            <w:tcW w:w="826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Loans with Subsequent Defaults</w:t>
            </w:r>
          </w:p>
        </w:tc>
        <w:tc>
          <w:tcPr>
            <w:tcW w:w="2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260" w:type="dxa"/>
            <w:vAlign w:val="bottom"/>
            <w:shd w:val="clear" w:color="auto" w:fill="E0E7ED"/>
          </w:tcPr>
          <w:p>
            <w:pPr>
              <w:spacing w:after="0"/>
              <w:rPr>
                <w:sz w:val="17"/>
                <w:szCs w:val="17"/>
                <w:color w:val="auto"/>
              </w:rPr>
            </w:pPr>
          </w:p>
        </w:tc>
      </w:tr>
      <w:tr>
        <w:trPr>
          <w:trHeight w:val="207"/>
        </w:trPr>
        <w:tc>
          <w:tcPr>
            <w:tcW w:w="8260" w:type="dxa"/>
            <w:vAlign w:val="bottom"/>
          </w:tcPr>
          <w:p>
            <w:pPr>
              <w:ind w:left="140"/>
              <w:spacing w:after="0"/>
              <w:rPr>
                <w:sz w:val="20"/>
                <w:szCs w:val="20"/>
                <w:color w:val="auto"/>
              </w:rPr>
            </w:pPr>
            <w:r>
              <w:rPr>
                <w:rFonts w:ascii="Verdana" w:cs="Verdana" w:eastAsia="Verdana" w:hAnsi="Verdana"/>
                <w:sz w:val="14"/>
                <w:szCs w:val="14"/>
                <w:color w:val="auto"/>
              </w:rPr>
              <w:t>C&amp;I and other commercial</w:t>
            </w:r>
          </w:p>
        </w:tc>
        <w:tc>
          <w:tcPr>
            <w:tcW w:w="200" w:type="dxa"/>
            <w:vAlign w:val="bottom"/>
          </w:tcPr>
          <w:p>
            <w:pPr>
              <w:jc w:val="right"/>
              <w:ind w:right="29"/>
              <w:spacing w:after="0"/>
              <w:rPr>
                <w:sz w:val="20"/>
                <w:szCs w:val="20"/>
                <w:color w:val="auto"/>
              </w:rPr>
            </w:pPr>
            <w:r>
              <w:rPr>
                <w:rFonts w:ascii="Verdana" w:cs="Verdana" w:eastAsia="Verdana" w:hAnsi="Verdana"/>
                <w:sz w:val="14"/>
                <w:szCs w:val="14"/>
                <w:color w:val="auto"/>
                <w:w w:val="88"/>
              </w:rPr>
              <w:t>$</w:t>
            </w:r>
          </w:p>
        </w:tc>
        <w:tc>
          <w:tcPr>
            <w:tcW w:w="13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200" w:type="dxa"/>
            <w:vAlign w:val="bottom"/>
          </w:tcPr>
          <w:p>
            <w:pPr>
              <w:jc w:val="right"/>
              <w:ind w:right="9"/>
              <w:spacing w:after="0"/>
              <w:rPr>
                <w:sz w:val="20"/>
                <w:szCs w:val="20"/>
                <w:color w:val="auto"/>
              </w:rPr>
            </w:pPr>
            <w:r>
              <w:rPr>
                <w:rFonts w:ascii="Verdana" w:cs="Verdana" w:eastAsia="Verdana" w:hAnsi="Verdana"/>
                <w:sz w:val="14"/>
                <w:szCs w:val="14"/>
                <w:color w:val="auto"/>
              </w:rPr>
              <w:t>$</w:t>
            </w:r>
          </w:p>
        </w:tc>
        <w:tc>
          <w:tcPr>
            <w:tcW w:w="1260" w:type="dxa"/>
            <w:vAlign w:val="bottom"/>
          </w:tcPr>
          <w:p>
            <w:pPr>
              <w:jc w:val="right"/>
              <w:spacing w:after="0"/>
              <w:rPr>
                <w:sz w:val="20"/>
                <w:szCs w:val="20"/>
                <w:color w:val="auto"/>
              </w:rPr>
            </w:pPr>
            <w:r>
              <w:rPr>
                <w:rFonts w:ascii="Verdana" w:cs="Verdana" w:eastAsia="Verdana" w:hAnsi="Verdana"/>
                <w:sz w:val="14"/>
                <w:szCs w:val="14"/>
                <w:color w:val="auto"/>
              </w:rPr>
              <w:t>88</w:t>
            </w:r>
          </w:p>
        </w:tc>
      </w:tr>
      <w:tr>
        <w:trPr>
          <w:trHeight w:val="212"/>
        </w:trPr>
        <w:tc>
          <w:tcPr>
            <w:tcW w:w="82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CRE</w:t>
            </w:r>
          </w:p>
        </w:tc>
        <w:tc>
          <w:tcPr>
            <w:tcW w:w="200" w:type="dxa"/>
            <w:vAlign w:val="bottom"/>
            <w:tcBorders>
              <w:bottom w:val="single" w:sz="8" w:color="auto"/>
            </w:tcBorders>
            <w:shd w:val="clear" w:color="auto" w:fill="E0E7ED"/>
          </w:tcPr>
          <w:p>
            <w:pPr>
              <w:spacing w:after="0"/>
              <w:rPr>
                <w:sz w:val="18"/>
                <w:szCs w:val="18"/>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15,000</w:t>
            </w:r>
          </w:p>
        </w:tc>
        <w:tc>
          <w:tcPr>
            <w:tcW w:w="8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r>
      <w:tr>
        <w:trPr>
          <w:trHeight w:val="208"/>
        </w:trPr>
        <w:tc>
          <w:tcPr>
            <w:tcW w:w="8260" w:type="dxa"/>
            <w:vAlign w:val="bottom"/>
          </w:tcPr>
          <w:p>
            <w:pPr>
              <w:ind w:left="20"/>
              <w:spacing w:after="0"/>
              <w:rPr>
                <w:sz w:val="20"/>
                <w:szCs w:val="20"/>
                <w:color w:val="auto"/>
              </w:rPr>
            </w:pPr>
            <w:r>
              <w:rPr>
                <w:rFonts w:ascii="Verdana" w:cs="Verdana" w:eastAsia="Verdana" w:hAnsi="Verdana"/>
                <w:sz w:val="14"/>
                <w:szCs w:val="14"/>
                <w:color w:val="auto"/>
              </w:rPr>
              <w:t>Amortized cost of modified loans with subsequent defaults</w:t>
            </w:r>
          </w:p>
        </w:tc>
        <w:tc>
          <w:tcPr>
            <w:tcW w:w="200" w:type="dxa"/>
            <w:vAlign w:val="bottom"/>
            <w:tcBorders>
              <w:bottom w:val="single" w:sz="8" w:color="auto"/>
            </w:tcBorders>
          </w:tcPr>
          <w:p>
            <w:pPr>
              <w:jc w:val="right"/>
              <w:ind w:right="29"/>
              <w:spacing w:after="0"/>
              <w:rPr>
                <w:sz w:val="20"/>
                <w:szCs w:val="20"/>
                <w:color w:val="auto"/>
              </w:rPr>
            </w:pPr>
            <w:r>
              <w:rPr>
                <w:rFonts w:ascii="Verdana" w:cs="Verdana" w:eastAsia="Verdana" w:hAnsi="Verdana"/>
                <w:sz w:val="14"/>
                <w:szCs w:val="14"/>
                <w:color w:val="auto"/>
                <w:w w:val="88"/>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15,000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88</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Collateral Dependent Loans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Busey had $19.3 million and $6.1 million of collateral dependent loans secured by real estate or business assets as of December 31, 2024, and December 31, 2023, respectively.</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1" w:name="page132"/>
    <w:bookmarkEnd w:id="13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Loans Evaluated Individually</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Busey evaluates loans with disparate risk characteristics on an individual basis. The following tables provide details of loans evaluated individually, segregated by category and lending activity. The unpaid principal balance represents customer outstanding contractual principal balances excluding any partial charge-offs. Recorded investment represents the amortized cost of customer balances net of any partial charge-offs recognized on the loans. Average recorded investment is calculated using the most recent four quarters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5"/>
          </w:tcPr>
          <w:p>
            <w:pPr>
              <w:ind w:left="300"/>
              <w:spacing w:after="0"/>
              <w:rPr>
                <w:sz w:val="20"/>
                <w:szCs w:val="20"/>
                <w:color w:val="auto"/>
              </w:rPr>
            </w:pPr>
            <w:r>
              <w:rPr>
                <w:rFonts w:ascii="Verdana" w:cs="Verdana" w:eastAsia="Verdana" w:hAnsi="Verdana"/>
                <w:sz w:val="10"/>
                <w:szCs w:val="10"/>
                <w:b w:val="1"/>
                <w:bCs w:val="1"/>
                <w:color w:val="auto"/>
              </w:rPr>
              <w:t>As of December 31, 2024</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6"/>
              </w:rPr>
              <w:t>Unpaid</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0"/>
                <w:szCs w:val="10"/>
                <w:b w:val="1"/>
                <w:bCs w:val="1"/>
                <w:color w:val="auto"/>
                <w:w w:val="98"/>
              </w:rPr>
              <w:t>Recorded Investment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16"/>
              <w:spacing w:after="0"/>
              <w:rPr>
                <w:sz w:val="20"/>
                <w:szCs w:val="20"/>
                <w:color w:val="auto"/>
              </w:rPr>
            </w:pPr>
            <w:r>
              <w:rPr>
                <w:rFonts w:ascii="Verdana" w:cs="Verdana" w:eastAsia="Verdana" w:hAnsi="Verdana"/>
                <w:sz w:val="10"/>
                <w:szCs w:val="10"/>
                <w:b w:val="1"/>
                <w:bCs w:val="1"/>
                <w:color w:val="auto"/>
                <w:w w:val="95"/>
              </w:rPr>
              <w:t>Average</w:t>
            </w:r>
          </w:p>
        </w:tc>
        <w:tc>
          <w:tcPr>
            <w:tcW w:w="0" w:type="dxa"/>
            <w:vAlign w:val="bottom"/>
          </w:tcPr>
          <w:p>
            <w:pPr>
              <w:spacing w:after="0"/>
              <w:rPr>
                <w:sz w:val="1"/>
                <w:szCs w:val="1"/>
                <w:color w:val="auto"/>
              </w:rPr>
            </w:pPr>
          </w:p>
        </w:tc>
      </w:tr>
      <w:tr>
        <w:trPr>
          <w:trHeight w:val="104"/>
        </w:trPr>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300"/>
              <w:spacing w:after="0" w:line="104" w:lineRule="exact"/>
              <w:rPr>
                <w:sz w:val="20"/>
                <w:szCs w:val="20"/>
                <w:color w:val="auto"/>
              </w:rPr>
            </w:pPr>
            <w:r>
              <w:rPr>
                <w:rFonts w:ascii="Verdana" w:cs="Verdana" w:eastAsia="Verdana" w:hAnsi="Verdana"/>
                <w:sz w:val="10"/>
                <w:szCs w:val="10"/>
                <w:b w:val="1"/>
                <w:bCs w:val="1"/>
                <w:color w:val="auto"/>
              </w:rPr>
              <w:t>Principal</w:t>
            </w:r>
          </w:p>
        </w:tc>
        <w:tc>
          <w:tcPr>
            <w:tcW w:w="200" w:type="dxa"/>
            <w:vAlign w:val="bottom"/>
          </w:tcPr>
          <w:p>
            <w:pPr>
              <w:spacing w:after="0"/>
              <w:rPr>
                <w:sz w:val="9"/>
                <w:szCs w:val="9"/>
                <w:color w:val="auto"/>
              </w:rPr>
            </w:pPr>
          </w:p>
        </w:tc>
        <w:tc>
          <w:tcPr>
            <w:tcW w:w="960" w:type="dxa"/>
            <w:vAlign w:val="bottom"/>
          </w:tcPr>
          <w:p>
            <w:pPr>
              <w:jc w:val="center"/>
              <w:ind w:right="134"/>
              <w:spacing w:after="0" w:line="104" w:lineRule="exact"/>
              <w:rPr>
                <w:sz w:val="20"/>
                <w:szCs w:val="20"/>
                <w:color w:val="auto"/>
              </w:rPr>
            </w:pPr>
            <w:r>
              <w:rPr>
                <w:rFonts w:ascii="Verdana" w:cs="Verdana" w:eastAsia="Verdana" w:hAnsi="Verdana"/>
                <w:sz w:val="10"/>
                <w:szCs w:val="10"/>
                <w:b w:val="1"/>
                <w:bCs w:val="1"/>
                <w:color w:val="auto"/>
                <w:w w:val="97"/>
              </w:rPr>
              <w:t>With No</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260"/>
              <w:spacing w:after="0" w:line="104" w:lineRule="exact"/>
              <w:rPr>
                <w:sz w:val="20"/>
                <w:szCs w:val="20"/>
                <w:color w:val="auto"/>
              </w:rPr>
            </w:pPr>
            <w:r>
              <w:rPr>
                <w:rFonts w:ascii="Verdana" w:cs="Verdana" w:eastAsia="Verdana" w:hAnsi="Verdana"/>
                <w:sz w:val="10"/>
                <w:szCs w:val="10"/>
                <w:b w:val="1"/>
                <w:bCs w:val="1"/>
                <w:color w:val="auto"/>
                <w:w w:val="98"/>
              </w:rPr>
              <w:t>With</w:t>
            </w:r>
          </w:p>
        </w:tc>
        <w:tc>
          <w:tcPr>
            <w:tcW w:w="26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Verdana" w:cs="Verdana" w:eastAsia="Verdana" w:hAnsi="Verdana"/>
                <w:sz w:val="10"/>
                <w:szCs w:val="10"/>
                <w:b w:val="1"/>
                <w:bCs w:val="1"/>
                <w:color w:val="auto"/>
              </w:rPr>
              <w:t>Total</w:t>
            </w:r>
          </w:p>
        </w:tc>
        <w:tc>
          <w:tcPr>
            <w:tcW w:w="200" w:type="dxa"/>
            <w:vAlign w:val="bottom"/>
          </w:tcPr>
          <w:p>
            <w:pPr>
              <w:spacing w:after="0"/>
              <w:rPr>
                <w:sz w:val="9"/>
                <w:szCs w:val="9"/>
                <w:color w:val="auto"/>
              </w:rPr>
            </w:pPr>
          </w:p>
        </w:tc>
        <w:tc>
          <w:tcPr>
            <w:tcW w:w="1040" w:type="dxa"/>
            <w:vAlign w:val="bottom"/>
            <w:gridSpan w:val="2"/>
          </w:tcPr>
          <w:p>
            <w:pPr>
              <w:jc w:val="center"/>
              <w:ind w:right="260"/>
              <w:spacing w:after="0" w:line="104" w:lineRule="exact"/>
              <w:rPr>
                <w:sz w:val="20"/>
                <w:szCs w:val="20"/>
                <w:color w:val="auto"/>
              </w:rPr>
            </w:pPr>
            <w:r>
              <w:rPr>
                <w:rFonts w:ascii="Verdana" w:cs="Verdana" w:eastAsia="Verdana" w:hAnsi="Verdana"/>
                <w:sz w:val="10"/>
                <w:szCs w:val="10"/>
                <w:b w:val="1"/>
                <w:bCs w:val="1"/>
                <w:color w:val="auto"/>
                <w:w w:val="97"/>
              </w:rPr>
              <w:t>Related</w:t>
            </w:r>
          </w:p>
        </w:tc>
        <w:tc>
          <w:tcPr>
            <w:tcW w:w="180" w:type="dxa"/>
            <w:vAlign w:val="bottom"/>
          </w:tcPr>
          <w:p>
            <w:pPr>
              <w:spacing w:after="0"/>
              <w:rPr>
                <w:sz w:val="9"/>
                <w:szCs w:val="9"/>
                <w:color w:val="auto"/>
              </w:rPr>
            </w:pPr>
          </w:p>
        </w:tc>
        <w:tc>
          <w:tcPr>
            <w:tcW w:w="980" w:type="dxa"/>
            <w:vAlign w:val="bottom"/>
          </w:tcPr>
          <w:p>
            <w:pPr>
              <w:jc w:val="center"/>
              <w:ind w:right="116"/>
              <w:spacing w:after="0" w:line="104" w:lineRule="exact"/>
              <w:rPr>
                <w:sz w:val="20"/>
                <w:szCs w:val="20"/>
                <w:color w:val="auto"/>
              </w:rPr>
            </w:pPr>
            <w:r>
              <w:rPr>
                <w:rFonts w:ascii="Verdana" w:cs="Verdana" w:eastAsia="Verdana" w:hAnsi="Verdana"/>
                <w:sz w:val="10"/>
                <w:szCs w:val="10"/>
                <w:b w:val="1"/>
                <w:bCs w:val="1"/>
                <w:color w:val="auto"/>
                <w:w w:val="98"/>
              </w:rPr>
              <w:t>Recorded</w:t>
            </w: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5"/>
              </w:rPr>
              <w:t>Balance</w:t>
            </w:r>
          </w:p>
        </w:tc>
        <w:tc>
          <w:tcPr>
            <w:tcW w:w="200" w:type="dxa"/>
            <w:vAlign w:val="bottom"/>
          </w:tcPr>
          <w:p>
            <w:pPr>
              <w:spacing w:after="0"/>
              <w:rPr>
                <w:sz w:val="11"/>
                <w:szCs w:val="11"/>
                <w:color w:val="auto"/>
              </w:rPr>
            </w:pPr>
          </w:p>
        </w:tc>
        <w:tc>
          <w:tcPr>
            <w:tcW w:w="960" w:type="dxa"/>
            <w:vAlign w:val="bottom"/>
          </w:tcPr>
          <w:p>
            <w:pPr>
              <w:jc w:val="center"/>
              <w:ind w:right="134"/>
              <w:spacing w:after="0"/>
              <w:rPr>
                <w:sz w:val="20"/>
                <w:szCs w:val="20"/>
                <w:color w:val="auto"/>
              </w:rPr>
            </w:pPr>
            <w:r>
              <w:rPr>
                <w:rFonts w:ascii="Verdana" w:cs="Verdana" w:eastAsia="Verdana" w:hAnsi="Verdana"/>
                <w:sz w:val="10"/>
                <w:szCs w:val="10"/>
                <w:b w:val="1"/>
                <w:bCs w:val="1"/>
                <w:color w:val="auto"/>
                <w:w w:val="97"/>
              </w:rPr>
              <w:t>Allowance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Verdana" w:cs="Verdana" w:eastAsia="Verdana" w:hAnsi="Verdana"/>
                <w:sz w:val="10"/>
                <w:szCs w:val="10"/>
                <w:b w:val="1"/>
                <w:bCs w:val="1"/>
                <w:color w:val="auto"/>
              </w:rPr>
              <w:t>Allowance</w:t>
            </w: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Verdana" w:cs="Verdana" w:eastAsia="Verdana" w:hAnsi="Verdana"/>
                <w:sz w:val="10"/>
                <w:szCs w:val="10"/>
                <w:b w:val="1"/>
                <w:bCs w:val="1"/>
                <w:color w:val="auto"/>
              </w:rPr>
              <w:t>Allowance</w:t>
            </w:r>
          </w:p>
        </w:tc>
        <w:tc>
          <w:tcPr>
            <w:tcW w:w="180" w:type="dxa"/>
            <w:vAlign w:val="bottom"/>
          </w:tcPr>
          <w:p>
            <w:pPr>
              <w:spacing w:after="0"/>
              <w:rPr>
                <w:sz w:val="11"/>
                <w:szCs w:val="11"/>
                <w:color w:val="auto"/>
              </w:rPr>
            </w:pPr>
          </w:p>
        </w:tc>
        <w:tc>
          <w:tcPr>
            <w:tcW w:w="980" w:type="dxa"/>
            <w:vAlign w:val="bottom"/>
          </w:tcPr>
          <w:p>
            <w:pPr>
              <w:jc w:val="center"/>
              <w:ind w:right="116"/>
              <w:spacing w:after="0"/>
              <w:rPr>
                <w:sz w:val="20"/>
                <w:szCs w:val="20"/>
                <w:color w:val="auto"/>
              </w:rPr>
            </w:pPr>
            <w:r>
              <w:rPr>
                <w:rFonts w:ascii="Verdana" w:cs="Verdana" w:eastAsia="Verdana" w:hAnsi="Verdana"/>
                <w:sz w:val="10"/>
                <w:szCs w:val="10"/>
                <w:b w:val="1"/>
                <w:bCs w:val="1"/>
                <w:color w:val="auto"/>
                <w:w w:val="98"/>
              </w:rPr>
              <w:t>Investment</w:t>
            </w:r>
          </w:p>
        </w:tc>
        <w:tc>
          <w:tcPr>
            <w:tcW w:w="0" w:type="dxa"/>
            <w:vAlign w:val="bottom"/>
          </w:tcPr>
          <w:p>
            <w:pPr>
              <w:spacing w:after="0"/>
              <w:rPr>
                <w:sz w:val="1"/>
                <w:szCs w:val="1"/>
                <w:color w:val="auto"/>
              </w:rPr>
            </w:pPr>
          </w:p>
        </w:tc>
      </w:tr>
      <w:tr>
        <w:trPr>
          <w:trHeight w:val="197"/>
        </w:trPr>
        <w:tc>
          <w:tcPr>
            <w:tcW w:w="3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Loans evaluated individually</w:t>
            </w:r>
          </w:p>
        </w:tc>
        <w:tc>
          <w:tcPr>
            <w:tcW w:w="22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Verdana" w:cs="Verdana" w:eastAsia="Verdana" w:hAnsi="Verdana"/>
                <w:sz w:val="14"/>
                <w:szCs w:val="14"/>
                <w:color w:val="auto"/>
              </w:rPr>
              <w:t>Commercial loans: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C&amp;I and other commercial</w:t>
            </w:r>
          </w:p>
        </w:tc>
        <w:tc>
          <w:tcPr>
            <w:tcW w:w="220" w:type="dxa"/>
            <w:vAlign w:val="bottom"/>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7,127</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1,224</w:t>
            </w:r>
          </w:p>
        </w:tc>
        <w:tc>
          <w:tcPr>
            <w:tcW w:w="260" w:type="dxa"/>
            <w:vAlign w:val="bottom"/>
            <w:gridSpan w:val="2"/>
            <w:shd w:val="clear" w:color="auto" w:fill="E0E7ED"/>
          </w:tcPr>
          <w:p>
            <w:pPr>
              <w:jc w:val="right"/>
              <w:ind w:right="29"/>
              <w:spacing w:after="0"/>
              <w:rPr>
                <w:sz w:val="20"/>
                <w:szCs w:val="20"/>
                <w:color w:val="auto"/>
              </w:rPr>
            </w:pPr>
            <w:r>
              <w:rPr>
                <w:rFonts w:ascii="Verdana" w:cs="Verdana" w:eastAsia="Verdana" w:hAnsi="Verdana"/>
                <w:sz w:val="14"/>
                <w:szCs w:val="14"/>
                <w:color w:val="auto"/>
              </w:rPr>
              <w:t>$</w:t>
            </w:r>
          </w:p>
        </w:tc>
        <w:tc>
          <w:tcPr>
            <w:tcW w:w="98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2,456</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3,680</w:t>
            </w:r>
          </w:p>
        </w:tc>
        <w:tc>
          <w:tcPr>
            <w:tcW w:w="60" w:type="dxa"/>
            <w:vAlign w:val="bottom"/>
            <w:shd w:val="clear" w:color="auto" w:fill="E0E7ED"/>
          </w:tcPr>
          <w:p>
            <w:pPr>
              <w:spacing w:after="0"/>
              <w:rPr>
                <w:sz w:val="18"/>
                <w:szCs w:val="18"/>
                <w:color w:val="auto"/>
              </w:rPr>
            </w:pP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1,840</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5,014</w:t>
            </w:r>
          </w:p>
        </w:tc>
        <w:tc>
          <w:tcPr>
            <w:tcW w:w="0" w:type="dxa"/>
            <w:vAlign w:val="bottom"/>
          </w:tcPr>
          <w:p>
            <w:pPr>
              <w:spacing w:after="0"/>
              <w:rPr>
                <w:sz w:val="1"/>
                <w:szCs w:val="1"/>
                <w:color w:val="auto"/>
              </w:rPr>
            </w:pPr>
          </w:p>
        </w:tc>
      </w:tr>
      <w:tr>
        <w:trPr>
          <w:trHeight w:val="207"/>
        </w:trPr>
        <w:tc>
          <w:tcPr>
            <w:tcW w:w="3980" w:type="dxa"/>
            <w:vAlign w:val="bottom"/>
          </w:tcPr>
          <w:p>
            <w:pPr>
              <w:ind w:left="280"/>
              <w:spacing w:after="0"/>
              <w:rPr>
                <w:sz w:val="20"/>
                <w:szCs w:val="20"/>
                <w:color w:val="auto"/>
              </w:rPr>
            </w:pPr>
            <w:r>
              <w:rPr>
                <w:rFonts w:ascii="Verdana" w:cs="Verdana" w:eastAsia="Verdana" w:hAnsi="Verdana"/>
                <w:sz w:val="14"/>
                <w:szCs w:val="14"/>
                <w:color w:val="auto"/>
              </w:rPr>
              <w:t>CRE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17,999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4"/>
              <w:spacing w:after="0"/>
              <w:rPr>
                <w:sz w:val="20"/>
                <w:szCs w:val="20"/>
                <w:color w:val="auto"/>
              </w:rPr>
            </w:pPr>
            <w:r>
              <w:rPr>
                <w:rFonts w:ascii="Verdana" w:cs="Verdana" w:eastAsia="Verdana" w:hAnsi="Verdana"/>
                <w:sz w:val="14"/>
                <w:szCs w:val="14"/>
                <w:color w:val="auto"/>
              </w:rPr>
              <w:t>15,000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15,000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3,882</w:t>
            </w:r>
          </w:p>
        </w:tc>
        <w:tc>
          <w:tcPr>
            <w:tcW w:w="0" w:type="dxa"/>
            <w:vAlign w:val="bottom"/>
          </w:tcPr>
          <w:p>
            <w:pPr>
              <w:spacing w:after="0"/>
              <w:rPr>
                <w:sz w:val="1"/>
                <w:szCs w:val="1"/>
                <w:color w:val="auto"/>
              </w:rPr>
            </w:pPr>
          </w:p>
        </w:tc>
      </w:tr>
      <w:tr>
        <w:trPr>
          <w:trHeight w:val="208"/>
        </w:trPr>
        <w:tc>
          <w:tcPr>
            <w:tcW w:w="3980" w:type="dxa"/>
            <w:vAlign w:val="bottom"/>
            <w:tcBorders>
              <w:top w:val="single" w:sz="8" w:color="E0E7ED"/>
            </w:tcBorders>
            <w:shd w:val="clear" w:color="auto" w:fill="E0E7ED"/>
          </w:tcPr>
          <w:p>
            <w:pPr>
              <w:ind w:left="140"/>
              <w:spacing w:after="0"/>
              <w:rPr>
                <w:sz w:val="20"/>
                <w:szCs w:val="20"/>
                <w:color w:val="auto"/>
              </w:rPr>
            </w:pPr>
            <w:r>
              <w:rPr>
                <w:rFonts w:ascii="Verdana" w:cs="Verdana" w:eastAsia="Verdana" w:hAnsi="Verdana"/>
                <w:sz w:val="14"/>
                <w:szCs w:val="14"/>
                <w:color w:val="auto"/>
              </w:rPr>
              <w:t>Commercial loans evaluated individually</w:t>
            </w:r>
          </w:p>
        </w:tc>
        <w:tc>
          <w:tcPr>
            <w:tcW w:w="220" w:type="dxa"/>
            <w:vAlign w:val="bottom"/>
            <w:tcBorders>
              <w:top w:val="single" w:sz="8" w:color="auto"/>
              <w:bottom w:val="single" w:sz="8" w:color="auto"/>
            </w:tcBorders>
            <w:shd w:val="clear" w:color="auto" w:fill="E0E7ED"/>
          </w:tcPr>
          <w:p>
            <w:pPr>
              <w:spacing w:after="0"/>
              <w:rPr>
                <w:sz w:val="18"/>
                <w:szCs w:val="18"/>
                <w:color w:val="auto"/>
              </w:rPr>
            </w:pP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25,126</w:t>
            </w:r>
          </w:p>
        </w:tc>
        <w:tc>
          <w:tcPr>
            <w:tcW w:w="80" w:type="dxa"/>
            <w:vAlign w:val="bottom"/>
            <w:tcBorders>
              <w:top w:val="single" w:sz="8" w:color="E0E7ED"/>
            </w:tcBorders>
            <w:shd w:val="clear" w:color="auto" w:fill="E0E7ED"/>
          </w:tcPr>
          <w:p>
            <w:pPr>
              <w:spacing w:after="0"/>
              <w:rPr>
                <w:sz w:val="18"/>
                <w:szCs w:val="18"/>
                <w:color w:val="auto"/>
              </w:rPr>
            </w:pPr>
          </w:p>
        </w:tc>
        <w:tc>
          <w:tcPr>
            <w:tcW w:w="200" w:type="dxa"/>
            <w:vAlign w:val="bottom"/>
            <w:tcBorders>
              <w:top w:val="single" w:sz="8" w:color="auto"/>
              <w:bottom w:val="single" w:sz="8" w:color="auto"/>
            </w:tcBorders>
            <w:shd w:val="clear" w:color="auto" w:fill="E0E7ED"/>
          </w:tcPr>
          <w:p>
            <w:pPr>
              <w:spacing w:after="0"/>
              <w:rPr>
                <w:sz w:val="18"/>
                <w:szCs w:val="18"/>
                <w:color w:val="auto"/>
              </w:rPr>
            </w:pPr>
          </w:p>
        </w:tc>
        <w:tc>
          <w:tcPr>
            <w:tcW w:w="96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16,224</w:t>
            </w:r>
          </w:p>
        </w:tc>
        <w:tc>
          <w:tcPr>
            <w:tcW w:w="60" w:type="dxa"/>
            <w:vAlign w:val="bottom"/>
            <w:tcBorders>
              <w:top w:val="single" w:sz="8" w:color="E0E7ED"/>
            </w:tcBorders>
            <w:shd w:val="clear" w:color="auto" w:fill="E0E7ED"/>
          </w:tcPr>
          <w:p>
            <w:pPr>
              <w:spacing w:after="0"/>
              <w:rPr>
                <w:sz w:val="18"/>
                <w:szCs w:val="18"/>
                <w:color w:val="auto"/>
              </w:rPr>
            </w:pPr>
          </w:p>
        </w:tc>
        <w:tc>
          <w:tcPr>
            <w:tcW w:w="200" w:type="dxa"/>
            <w:vAlign w:val="bottom"/>
            <w:tcBorders>
              <w:top w:val="single" w:sz="8" w:color="auto"/>
              <w:bottom w:val="single" w:sz="8" w:color="auto"/>
            </w:tcBorders>
            <w:shd w:val="clear" w:color="auto" w:fill="E0E7ED"/>
          </w:tcPr>
          <w:p>
            <w:pPr>
              <w:spacing w:after="0"/>
              <w:rPr>
                <w:sz w:val="18"/>
                <w:szCs w:val="18"/>
                <w:color w:val="auto"/>
              </w:rPr>
            </w:pPr>
          </w:p>
        </w:tc>
        <w:tc>
          <w:tcPr>
            <w:tcW w:w="980" w:type="dxa"/>
            <w:vAlign w:val="bottom"/>
            <w:tcBorders>
              <w:top w:val="single" w:sz="8" w:color="auto"/>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2,456</w:t>
            </w:r>
          </w:p>
        </w:tc>
        <w:tc>
          <w:tcPr>
            <w:tcW w:w="60" w:type="dxa"/>
            <w:vAlign w:val="bottom"/>
            <w:tcBorders>
              <w:top w:val="single" w:sz="8" w:color="E0E7ED"/>
            </w:tcBorders>
            <w:shd w:val="clear" w:color="auto" w:fill="E0E7ED"/>
          </w:tcPr>
          <w:p>
            <w:pPr>
              <w:spacing w:after="0"/>
              <w:rPr>
                <w:sz w:val="18"/>
                <w:szCs w:val="18"/>
                <w:color w:val="auto"/>
              </w:rPr>
            </w:pPr>
          </w:p>
        </w:tc>
        <w:tc>
          <w:tcPr>
            <w:tcW w:w="260" w:type="dxa"/>
            <w:vAlign w:val="bottom"/>
            <w:tcBorders>
              <w:top w:val="single" w:sz="8" w:color="auto"/>
              <w:bottom w:val="single" w:sz="8" w:color="auto"/>
            </w:tcBorders>
            <w:shd w:val="clear" w:color="auto" w:fill="E0E7ED"/>
          </w:tcPr>
          <w:p>
            <w:pPr>
              <w:spacing w:after="0"/>
              <w:rPr>
                <w:sz w:val="18"/>
                <w:szCs w:val="18"/>
                <w:color w:val="auto"/>
              </w:rPr>
            </w:pPr>
          </w:p>
        </w:tc>
        <w:tc>
          <w:tcPr>
            <w:tcW w:w="9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18,680</w:t>
            </w:r>
          </w:p>
        </w:tc>
        <w:tc>
          <w:tcPr>
            <w:tcW w:w="60" w:type="dxa"/>
            <w:vAlign w:val="bottom"/>
            <w:tcBorders>
              <w:top w:val="single" w:sz="8" w:color="E0E7ED"/>
            </w:tcBorders>
            <w:shd w:val="clear" w:color="auto" w:fill="E0E7ED"/>
          </w:tcPr>
          <w:p>
            <w:pPr>
              <w:spacing w:after="0"/>
              <w:rPr>
                <w:sz w:val="18"/>
                <w:szCs w:val="18"/>
                <w:color w:val="auto"/>
              </w:rPr>
            </w:pPr>
          </w:p>
        </w:tc>
        <w:tc>
          <w:tcPr>
            <w:tcW w:w="200" w:type="dxa"/>
            <w:vAlign w:val="bottom"/>
            <w:tcBorders>
              <w:top w:val="single" w:sz="8" w:color="auto"/>
              <w:bottom w:val="single" w:sz="8" w:color="auto"/>
            </w:tcBorders>
            <w:shd w:val="clear" w:color="auto" w:fill="E0E7ED"/>
          </w:tcPr>
          <w:p>
            <w:pPr>
              <w:spacing w:after="0"/>
              <w:rPr>
                <w:sz w:val="18"/>
                <w:szCs w:val="18"/>
                <w:color w:val="auto"/>
              </w:rPr>
            </w:pPr>
          </w:p>
        </w:tc>
        <w:tc>
          <w:tcPr>
            <w:tcW w:w="98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1,840</w:t>
            </w:r>
          </w:p>
        </w:tc>
        <w:tc>
          <w:tcPr>
            <w:tcW w:w="6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bottom w:val="single" w:sz="8" w:color="auto"/>
            </w:tcBorders>
            <w:shd w:val="clear" w:color="auto" w:fill="E0E7ED"/>
          </w:tcPr>
          <w:p>
            <w:pPr>
              <w:spacing w:after="0"/>
              <w:rPr>
                <w:sz w:val="18"/>
                <w:szCs w:val="18"/>
                <w:color w:val="auto"/>
              </w:rPr>
            </w:pPr>
          </w:p>
        </w:tc>
        <w:tc>
          <w:tcPr>
            <w:tcW w:w="9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8,896</w:t>
            </w:r>
          </w:p>
        </w:tc>
        <w:tc>
          <w:tcPr>
            <w:tcW w:w="0" w:type="dxa"/>
            <w:vAlign w:val="bottom"/>
          </w:tcPr>
          <w:p>
            <w:pPr>
              <w:spacing w:after="0"/>
              <w:rPr>
                <w:sz w:val="1"/>
                <w:szCs w:val="1"/>
                <w:color w:val="auto"/>
              </w:rPr>
            </w:pPr>
          </w:p>
        </w:tc>
      </w:tr>
      <w:tr>
        <w:trPr>
          <w:trHeight w:val="187"/>
        </w:trPr>
        <w:tc>
          <w:tcPr>
            <w:tcW w:w="3980" w:type="dxa"/>
            <w:vAlign w:val="bottom"/>
          </w:tcPr>
          <w:p>
            <w:pPr>
              <w:ind w:left="140"/>
              <w:spacing w:after="0"/>
              <w:rPr>
                <w:sz w:val="20"/>
                <w:szCs w:val="20"/>
                <w:color w:val="auto"/>
              </w:rPr>
            </w:pPr>
            <w:r>
              <w:rPr>
                <w:rFonts w:ascii="Verdana" w:cs="Verdana" w:eastAsia="Verdana" w:hAnsi="Verdana"/>
                <w:sz w:val="14"/>
                <w:szCs w:val="14"/>
                <w:color w:val="auto"/>
              </w:rPr>
              <w:t>Retail loans: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real estate</w:t>
            </w:r>
          </w:p>
        </w:tc>
        <w:tc>
          <w:tcPr>
            <w:tcW w:w="220" w:type="dxa"/>
            <w:vAlign w:val="bottom"/>
            <w:tcBorders>
              <w:bottom w:val="single" w:sz="8" w:color="auto"/>
            </w:tcBorders>
            <w:shd w:val="clear" w:color="auto" w:fill="E0E7ED"/>
          </w:tcPr>
          <w:p>
            <w:pPr>
              <w:spacing w:after="0"/>
              <w:rPr>
                <w:sz w:val="18"/>
                <w:szCs w:val="18"/>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1,152</w:t>
            </w:r>
          </w:p>
        </w:tc>
        <w:tc>
          <w:tcPr>
            <w:tcW w:w="8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96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1,128</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1,128</w:t>
            </w:r>
          </w:p>
        </w:tc>
        <w:tc>
          <w:tcPr>
            <w:tcW w:w="60" w:type="dxa"/>
            <w:vAlign w:val="bottom"/>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276</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loans evaluated individually</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1,152</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1,128</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1,128</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276</w:t>
            </w:r>
          </w:p>
        </w:tc>
        <w:tc>
          <w:tcPr>
            <w:tcW w:w="0" w:type="dxa"/>
            <w:vAlign w:val="bottom"/>
          </w:tcPr>
          <w:p>
            <w:pPr>
              <w:spacing w:after="0"/>
              <w:rPr>
                <w:sz w:val="1"/>
                <w:szCs w:val="1"/>
                <w:color w:val="auto"/>
              </w:rPr>
            </w:pPr>
          </w:p>
        </w:tc>
      </w:tr>
      <w:tr>
        <w:trPr>
          <w:trHeight w:val="228"/>
        </w:trPr>
        <w:tc>
          <w:tcPr>
            <w:tcW w:w="3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loans evaluated individually</w:t>
            </w:r>
          </w:p>
        </w:tc>
        <w:tc>
          <w:tcPr>
            <w:tcW w:w="220" w:type="dxa"/>
            <w:vAlign w:val="bottom"/>
            <w:tcBorders>
              <w:bottom w:val="single" w:sz="8" w:color="auto"/>
            </w:tcBorders>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26,278</w:t>
            </w:r>
          </w:p>
        </w:tc>
        <w:tc>
          <w:tcPr>
            <w:tcW w:w="80" w:type="dxa"/>
            <w:vAlign w:val="bottom"/>
            <w:tcBorders>
              <w:bottom w:val="single" w:sz="8" w:color="E0E7ED"/>
            </w:tcBorders>
            <w:shd w:val="clear" w:color="auto" w:fill="E0E7ED"/>
          </w:tcPr>
          <w:p>
            <w:pPr>
              <w:spacing w:after="0"/>
              <w:rPr>
                <w:sz w:val="19"/>
                <w:szCs w:val="19"/>
                <w:color w:val="auto"/>
              </w:rPr>
            </w:pP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6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17,352</w:t>
            </w:r>
          </w:p>
        </w:tc>
        <w:tc>
          <w:tcPr>
            <w:tcW w:w="60" w:type="dxa"/>
            <w:vAlign w:val="bottom"/>
            <w:tcBorders>
              <w:bottom w:val="single" w:sz="8" w:color="E0E7ED"/>
            </w:tcBorders>
            <w:shd w:val="clear" w:color="auto" w:fill="E0E7ED"/>
          </w:tcPr>
          <w:p>
            <w:pPr>
              <w:spacing w:after="0"/>
              <w:rPr>
                <w:sz w:val="19"/>
                <w:szCs w:val="19"/>
                <w:color w:val="auto"/>
              </w:rPr>
            </w:pP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2,456</w:t>
            </w:r>
          </w:p>
        </w:tc>
        <w:tc>
          <w:tcPr>
            <w:tcW w:w="60" w:type="dxa"/>
            <w:vAlign w:val="bottom"/>
            <w:tcBorders>
              <w:bottom w:val="single" w:sz="8" w:color="E0E7ED"/>
            </w:tcBorders>
            <w:shd w:val="clear" w:color="auto" w:fill="E0E7ED"/>
          </w:tcPr>
          <w:p>
            <w:pPr>
              <w:spacing w:after="0"/>
              <w:rPr>
                <w:sz w:val="19"/>
                <w:szCs w:val="19"/>
                <w:color w:val="auto"/>
              </w:rPr>
            </w:pPr>
          </w:p>
        </w:tc>
        <w:tc>
          <w:tcPr>
            <w:tcW w:w="260" w:type="dxa"/>
            <w:vAlign w:val="bottom"/>
            <w:tcBorders>
              <w:bottom w:val="single" w:sz="8" w:color="auto"/>
            </w:tcBorders>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19,808</w:t>
            </w:r>
          </w:p>
        </w:tc>
        <w:tc>
          <w:tcPr>
            <w:tcW w:w="60" w:type="dxa"/>
            <w:vAlign w:val="bottom"/>
            <w:tcBorders>
              <w:bottom w:val="single" w:sz="8" w:color="E0E7ED"/>
            </w:tcBorders>
            <w:shd w:val="clear" w:color="auto" w:fill="E0E7ED"/>
          </w:tcPr>
          <w:p>
            <w:pPr>
              <w:spacing w:after="0"/>
              <w:rPr>
                <w:sz w:val="19"/>
                <w:szCs w:val="19"/>
                <w:color w:val="auto"/>
              </w:rPr>
            </w:pPr>
          </w:p>
        </w:tc>
        <w:tc>
          <w:tcPr>
            <w:tcW w:w="200" w:type="dxa"/>
            <w:vAlign w:val="bottom"/>
            <w:tcBorders>
              <w:bottom w:val="single" w:sz="8" w:color="auto"/>
            </w:tcBorders>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1,840</w:t>
            </w:r>
          </w:p>
        </w:tc>
        <w:tc>
          <w:tcPr>
            <w:tcW w:w="60" w:type="dxa"/>
            <w:vAlign w:val="bottom"/>
            <w:tcBorders>
              <w:bottom w:val="single" w:sz="8" w:color="E0E7ED"/>
            </w:tcBorders>
            <w:shd w:val="clear" w:color="auto" w:fill="E0E7ED"/>
          </w:tcPr>
          <w:p>
            <w:pPr>
              <w:spacing w:after="0"/>
              <w:rPr>
                <w:sz w:val="19"/>
                <w:szCs w:val="19"/>
                <w:color w:val="auto"/>
              </w:rPr>
            </w:pPr>
          </w:p>
        </w:tc>
        <w:tc>
          <w:tcPr>
            <w:tcW w:w="18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9,172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300"/>
              <w:spacing w:after="0"/>
              <w:rPr>
                <w:sz w:val="20"/>
                <w:szCs w:val="20"/>
                <w:color w:val="auto"/>
              </w:rPr>
            </w:pPr>
            <w:r>
              <w:rPr>
                <w:rFonts w:ascii="Verdana" w:cs="Verdana" w:eastAsia="Verdana" w:hAnsi="Verdana"/>
                <w:sz w:val="10"/>
                <w:szCs w:val="10"/>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6"/>
              </w:rPr>
              <w:t>Unpaid</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0"/>
                <w:szCs w:val="10"/>
                <w:b w:val="1"/>
                <w:bCs w:val="1"/>
                <w:color w:val="auto"/>
                <w:w w:val="98"/>
              </w:rPr>
              <w:t>Recorded Investment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16"/>
              <w:spacing w:after="0"/>
              <w:rPr>
                <w:sz w:val="20"/>
                <w:szCs w:val="20"/>
                <w:color w:val="auto"/>
              </w:rPr>
            </w:pPr>
            <w:r>
              <w:rPr>
                <w:rFonts w:ascii="Verdana" w:cs="Verdana" w:eastAsia="Verdana" w:hAnsi="Verdana"/>
                <w:sz w:val="10"/>
                <w:szCs w:val="10"/>
                <w:b w:val="1"/>
                <w:bCs w:val="1"/>
                <w:color w:val="auto"/>
                <w:w w:val="95"/>
              </w:rPr>
              <w:t>Average</w:t>
            </w:r>
          </w:p>
        </w:tc>
        <w:tc>
          <w:tcPr>
            <w:tcW w:w="0" w:type="dxa"/>
            <w:vAlign w:val="bottom"/>
          </w:tcPr>
          <w:p>
            <w:pPr>
              <w:spacing w:after="0"/>
              <w:rPr>
                <w:sz w:val="1"/>
                <w:szCs w:val="1"/>
                <w:color w:val="auto"/>
              </w:rPr>
            </w:pPr>
          </w:p>
        </w:tc>
      </w:tr>
      <w:tr>
        <w:trPr>
          <w:trHeight w:val="104"/>
        </w:trPr>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300"/>
              <w:spacing w:after="0" w:line="104" w:lineRule="exact"/>
              <w:rPr>
                <w:sz w:val="20"/>
                <w:szCs w:val="20"/>
                <w:color w:val="auto"/>
              </w:rPr>
            </w:pPr>
            <w:r>
              <w:rPr>
                <w:rFonts w:ascii="Verdana" w:cs="Verdana" w:eastAsia="Verdana" w:hAnsi="Verdana"/>
                <w:sz w:val="10"/>
                <w:szCs w:val="10"/>
                <w:b w:val="1"/>
                <w:bCs w:val="1"/>
                <w:color w:val="auto"/>
              </w:rPr>
              <w:t>Principal</w:t>
            </w:r>
          </w:p>
        </w:tc>
        <w:tc>
          <w:tcPr>
            <w:tcW w:w="200" w:type="dxa"/>
            <w:vAlign w:val="bottom"/>
          </w:tcPr>
          <w:p>
            <w:pPr>
              <w:spacing w:after="0"/>
              <w:rPr>
                <w:sz w:val="9"/>
                <w:szCs w:val="9"/>
                <w:color w:val="auto"/>
              </w:rPr>
            </w:pPr>
          </w:p>
        </w:tc>
        <w:tc>
          <w:tcPr>
            <w:tcW w:w="960" w:type="dxa"/>
            <w:vAlign w:val="bottom"/>
          </w:tcPr>
          <w:p>
            <w:pPr>
              <w:jc w:val="center"/>
              <w:ind w:right="134"/>
              <w:spacing w:after="0" w:line="104" w:lineRule="exact"/>
              <w:rPr>
                <w:sz w:val="20"/>
                <w:szCs w:val="20"/>
                <w:color w:val="auto"/>
              </w:rPr>
            </w:pPr>
            <w:r>
              <w:rPr>
                <w:rFonts w:ascii="Verdana" w:cs="Verdana" w:eastAsia="Verdana" w:hAnsi="Verdana"/>
                <w:sz w:val="10"/>
                <w:szCs w:val="10"/>
                <w:b w:val="1"/>
                <w:bCs w:val="1"/>
                <w:color w:val="auto"/>
                <w:w w:val="97"/>
              </w:rPr>
              <w:t>With No</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260"/>
              <w:spacing w:after="0" w:line="104" w:lineRule="exact"/>
              <w:rPr>
                <w:sz w:val="20"/>
                <w:szCs w:val="20"/>
                <w:color w:val="auto"/>
              </w:rPr>
            </w:pPr>
            <w:r>
              <w:rPr>
                <w:rFonts w:ascii="Verdana" w:cs="Verdana" w:eastAsia="Verdana" w:hAnsi="Verdana"/>
                <w:sz w:val="10"/>
                <w:szCs w:val="10"/>
                <w:b w:val="1"/>
                <w:bCs w:val="1"/>
                <w:color w:val="auto"/>
                <w:w w:val="98"/>
              </w:rPr>
              <w:t>With</w:t>
            </w:r>
          </w:p>
        </w:tc>
        <w:tc>
          <w:tcPr>
            <w:tcW w:w="26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Verdana" w:cs="Verdana" w:eastAsia="Verdana" w:hAnsi="Verdana"/>
                <w:sz w:val="10"/>
                <w:szCs w:val="10"/>
                <w:b w:val="1"/>
                <w:bCs w:val="1"/>
                <w:color w:val="auto"/>
              </w:rPr>
              <w:t>Total</w:t>
            </w:r>
          </w:p>
        </w:tc>
        <w:tc>
          <w:tcPr>
            <w:tcW w:w="200" w:type="dxa"/>
            <w:vAlign w:val="bottom"/>
          </w:tcPr>
          <w:p>
            <w:pPr>
              <w:spacing w:after="0"/>
              <w:rPr>
                <w:sz w:val="9"/>
                <w:szCs w:val="9"/>
                <w:color w:val="auto"/>
              </w:rPr>
            </w:pPr>
          </w:p>
        </w:tc>
        <w:tc>
          <w:tcPr>
            <w:tcW w:w="1040" w:type="dxa"/>
            <w:vAlign w:val="bottom"/>
            <w:gridSpan w:val="2"/>
          </w:tcPr>
          <w:p>
            <w:pPr>
              <w:jc w:val="center"/>
              <w:ind w:right="260"/>
              <w:spacing w:after="0" w:line="104" w:lineRule="exact"/>
              <w:rPr>
                <w:sz w:val="20"/>
                <w:szCs w:val="20"/>
                <w:color w:val="auto"/>
              </w:rPr>
            </w:pPr>
            <w:r>
              <w:rPr>
                <w:rFonts w:ascii="Verdana" w:cs="Verdana" w:eastAsia="Verdana" w:hAnsi="Verdana"/>
                <w:sz w:val="10"/>
                <w:szCs w:val="10"/>
                <w:b w:val="1"/>
                <w:bCs w:val="1"/>
                <w:color w:val="auto"/>
                <w:w w:val="97"/>
              </w:rPr>
              <w:t>Related</w:t>
            </w:r>
          </w:p>
        </w:tc>
        <w:tc>
          <w:tcPr>
            <w:tcW w:w="180" w:type="dxa"/>
            <w:vAlign w:val="bottom"/>
          </w:tcPr>
          <w:p>
            <w:pPr>
              <w:spacing w:after="0"/>
              <w:rPr>
                <w:sz w:val="9"/>
                <w:szCs w:val="9"/>
                <w:color w:val="auto"/>
              </w:rPr>
            </w:pPr>
          </w:p>
        </w:tc>
        <w:tc>
          <w:tcPr>
            <w:tcW w:w="980" w:type="dxa"/>
            <w:vAlign w:val="bottom"/>
          </w:tcPr>
          <w:p>
            <w:pPr>
              <w:jc w:val="center"/>
              <w:ind w:right="116"/>
              <w:spacing w:after="0" w:line="104" w:lineRule="exact"/>
              <w:rPr>
                <w:sz w:val="20"/>
                <w:szCs w:val="20"/>
                <w:color w:val="auto"/>
              </w:rPr>
            </w:pPr>
            <w:r>
              <w:rPr>
                <w:rFonts w:ascii="Verdana" w:cs="Verdana" w:eastAsia="Verdana" w:hAnsi="Verdana"/>
                <w:sz w:val="10"/>
                <w:szCs w:val="10"/>
                <w:b w:val="1"/>
                <w:bCs w:val="1"/>
                <w:color w:val="auto"/>
                <w:w w:val="98"/>
              </w:rPr>
              <w:t>Recorded</w:t>
            </w: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Verdana" w:cs="Verdana" w:eastAsia="Verdana" w:hAnsi="Verdana"/>
                <w:sz w:val="10"/>
                <w:szCs w:val="10"/>
                <w:b w:val="1"/>
                <w:bCs w:val="1"/>
                <w:color w:val="auto"/>
                <w:w w:val="95"/>
              </w:rPr>
              <w:t>Balance</w:t>
            </w:r>
          </w:p>
        </w:tc>
        <w:tc>
          <w:tcPr>
            <w:tcW w:w="200" w:type="dxa"/>
            <w:vAlign w:val="bottom"/>
          </w:tcPr>
          <w:p>
            <w:pPr>
              <w:spacing w:after="0"/>
              <w:rPr>
                <w:sz w:val="11"/>
                <w:szCs w:val="11"/>
                <w:color w:val="auto"/>
              </w:rPr>
            </w:pPr>
          </w:p>
        </w:tc>
        <w:tc>
          <w:tcPr>
            <w:tcW w:w="960" w:type="dxa"/>
            <w:vAlign w:val="bottom"/>
          </w:tcPr>
          <w:p>
            <w:pPr>
              <w:jc w:val="center"/>
              <w:ind w:right="134"/>
              <w:spacing w:after="0"/>
              <w:rPr>
                <w:sz w:val="20"/>
                <w:szCs w:val="20"/>
                <w:color w:val="auto"/>
              </w:rPr>
            </w:pPr>
            <w:r>
              <w:rPr>
                <w:rFonts w:ascii="Verdana" w:cs="Verdana" w:eastAsia="Verdana" w:hAnsi="Verdana"/>
                <w:sz w:val="10"/>
                <w:szCs w:val="10"/>
                <w:b w:val="1"/>
                <w:bCs w:val="1"/>
                <w:color w:val="auto"/>
                <w:w w:val="97"/>
              </w:rPr>
              <w:t>Allowance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Verdana" w:cs="Verdana" w:eastAsia="Verdana" w:hAnsi="Verdana"/>
                <w:sz w:val="10"/>
                <w:szCs w:val="10"/>
                <w:b w:val="1"/>
                <w:bCs w:val="1"/>
                <w:color w:val="auto"/>
              </w:rPr>
              <w:t>Allowance</w:t>
            </w: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Verdana" w:cs="Verdana" w:eastAsia="Verdana" w:hAnsi="Verdana"/>
                <w:sz w:val="10"/>
                <w:szCs w:val="10"/>
                <w:b w:val="1"/>
                <w:bCs w:val="1"/>
                <w:color w:val="auto"/>
              </w:rPr>
              <w:t>Allowance</w:t>
            </w:r>
          </w:p>
        </w:tc>
        <w:tc>
          <w:tcPr>
            <w:tcW w:w="180" w:type="dxa"/>
            <w:vAlign w:val="bottom"/>
          </w:tcPr>
          <w:p>
            <w:pPr>
              <w:spacing w:after="0"/>
              <w:rPr>
                <w:sz w:val="11"/>
                <w:szCs w:val="11"/>
                <w:color w:val="auto"/>
              </w:rPr>
            </w:pPr>
          </w:p>
        </w:tc>
        <w:tc>
          <w:tcPr>
            <w:tcW w:w="980" w:type="dxa"/>
            <w:vAlign w:val="bottom"/>
          </w:tcPr>
          <w:p>
            <w:pPr>
              <w:jc w:val="center"/>
              <w:ind w:right="116"/>
              <w:spacing w:after="0"/>
              <w:rPr>
                <w:sz w:val="20"/>
                <w:szCs w:val="20"/>
                <w:color w:val="auto"/>
              </w:rPr>
            </w:pPr>
            <w:r>
              <w:rPr>
                <w:rFonts w:ascii="Verdana" w:cs="Verdana" w:eastAsia="Verdana" w:hAnsi="Verdana"/>
                <w:sz w:val="10"/>
                <w:szCs w:val="10"/>
                <w:b w:val="1"/>
                <w:bCs w:val="1"/>
                <w:color w:val="auto"/>
                <w:w w:val="98"/>
              </w:rPr>
              <w:t>Investment</w:t>
            </w:r>
          </w:p>
        </w:tc>
        <w:tc>
          <w:tcPr>
            <w:tcW w:w="0" w:type="dxa"/>
            <w:vAlign w:val="bottom"/>
          </w:tcPr>
          <w:p>
            <w:pPr>
              <w:spacing w:after="0"/>
              <w:rPr>
                <w:sz w:val="1"/>
                <w:szCs w:val="1"/>
                <w:color w:val="auto"/>
              </w:rPr>
            </w:pPr>
          </w:p>
        </w:tc>
      </w:tr>
      <w:tr>
        <w:trPr>
          <w:trHeight w:val="197"/>
        </w:trPr>
        <w:tc>
          <w:tcPr>
            <w:tcW w:w="3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Loans evaluated individually</w:t>
            </w:r>
          </w:p>
        </w:tc>
        <w:tc>
          <w:tcPr>
            <w:tcW w:w="220" w:type="dxa"/>
            <w:vAlign w:val="bottom"/>
            <w:tcBorders>
              <w:top w:val="single" w:sz="8" w:color="auto"/>
            </w:tcBorders>
            <w:shd w:val="clear" w:color="auto" w:fill="E0E7ED"/>
          </w:tcPr>
          <w:p>
            <w:pPr>
              <w:spacing w:after="0"/>
              <w:rPr>
                <w:sz w:val="17"/>
                <w:szCs w:val="17"/>
                <w:color w:val="auto"/>
              </w:rPr>
            </w:pPr>
          </w:p>
        </w:tc>
        <w:tc>
          <w:tcPr>
            <w:tcW w:w="9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6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9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98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Verdana" w:cs="Verdana" w:eastAsia="Verdana" w:hAnsi="Verdana"/>
                <w:sz w:val="14"/>
                <w:szCs w:val="14"/>
                <w:color w:val="auto"/>
              </w:rPr>
              <w:t>Commercial loans: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C&amp;I and other commercial</w:t>
            </w:r>
          </w:p>
        </w:tc>
        <w:tc>
          <w:tcPr>
            <w:tcW w:w="220" w:type="dxa"/>
            <w:vAlign w:val="bottom"/>
            <w:shd w:val="clear" w:color="auto" w:fill="E0E7ED"/>
          </w:tcPr>
          <w:p>
            <w:pPr>
              <w:jc w:val="right"/>
              <w:ind w:right="49"/>
              <w:spacing w:after="0"/>
              <w:rPr>
                <w:sz w:val="20"/>
                <w:szCs w:val="20"/>
                <w:color w:val="auto"/>
              </w:rPr>
            </w:pPr>
            <w:r>
              <w:rPr>
                <w:rFonts w:ascii="Verdana" w:cs="Verdana" w:eastAsia="Verdana" w:hAnsi="Verdana"/>
                <w:sz w:val="14"/>
                <w:szCs w:val="14"/>
                <w:color w:val="auto"/>
                <w:w w:val="88"/>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7,283</w:t>
            </w: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585</w:t>
            </w:r>
          </w:p>
        </w:tc>
        <w:tc>
          <w:tcPr>
            <w:tcW w:w="260" w:type="dxa"/>
            <w:vAlign w:val="bottom"/>
            <w:gridSpan w:val="2"/>
            <w:shd w:val="clear" w:color="auto" w:fill="E0E7ED"/>
          </w:tcPr>
          <w:p>
            <w:pPr>
              <w:jc w:val="right"/>
              <w:ind w:right="29"/>
              <w:spacing w:after="0"/>
              <w:rPr>
                <w:sz w:val="20"/>
                <w:szCs w:val="20"/>
                <w:color w:val="auto"/>
              </w:rPr>
            </w:pPr>
            <w:r>
              <w:rPr>
                <w:rFonts w:ascii="Verdana" w:cs="Verdana" w:eastAsia="Verdana" w:hAnsi="Verdana"/>
                <w:sz w:val="14"/>
                <w:szCs w:val="14"/>
                <w:color w:val="auto"/>
              </w:rPr>
              <w:t>$</w:t>
            </w:r>
          </w:p>
        </w:tc>
        <w:tc>
          <w:tcPr>
            <w:tcW w:w="98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1,785</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2,370</w:t>
            </w:r>
          </w:p>
        </w:tc>
        <w:tc>
          <w:tcPr>
            <w:tcW w:w="60" w:type="dxa"/>
            <w:vAlign w:val="bottom"/>
            <w:shd w:val="clear" w:color="auto" w:fill="E0E7ED"/>
          </w:tcPr>
          <w:p>
            <w:pPr>
              <w:spacing w:after="0"/>
              <w:rPr>
                <w:sz w:val="18"/>
                <w:szCs w:val="18"/>
                <w:color w:val="auto"/>
              </w:rPr>
            </w:pP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785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5,244</w:t>
            </w:r>
          </w:p>
        </w:tc>
        <w:tc>
          <w:tcPr>
            <w:tcW w:w="0" w:type="dxa"/>
            <w:vAlign w:val="bottom"/>
          </w:tcPr>
          <w:p>
            <w:pPr>
              <w:spacing w:after="0"/>
              <w:rPr>
                <w:sz w:val="1"/>
                <w:szCs w:val="1"/>
                <w:color w:val="auto"/>
              </w:rPr>
            </w:pPr>
          </w:p>
        </w:tc>
      </w:tr>
      <w:tr>
        <w:trPr>
          <w:trHeight w:val="207"/>
        </w:trPr>
        <w:tc>
          <w:tcPr>
            <w:tcW w:w="3980" w:type="dxa"/>
            <w:vAlign w:val="bottom"/>
          </w:tcPr>
          <w:p>
            <w:pPr>
              <w:ind w:left="280"/>
              <w:spacing w:after="0"/>
              <w:rPr>
                <w:sz w:val="20"/>
                <w:szCs w:val="20"/>
                <w:color w:val="auto"/>
              </w:rPr>
            </w:pPr>
            <w:r>
              <w:rPr>
                <w:rFonts w:ascii="Verdana" w:cs="Verdana" w:eastAsia="Verdana" w:hAnsi="Verdana"/>
                <w:sz w:val="14"/>
                <w:szCs w:val="14"/>
                <w:color w:val="auto"/>
              </w:rPr>
              <w:t>CRE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Verdana" w:cs="Verdana" w:eastAsia="Verdana" w:hAnsi="Verdana"/>
                <w:sz w:val="14"/>
                <w:szCs w:val="14"/>
                <w:color w:val="auto"/>
              </w:rPr>
              <w:t>2,600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4"/>
              <w:spacing w:after="0"/>
              <w:rPr>
                <w:sz w:val="20"/>
                <w:szCs w:val="20"/>
                <w:color w:val="auto"/>
              </w:rPr>
            </w:pPr>
            <w:r>
              <w:rPr>
                <w:rFonts w:ascii="Verdana" w:cs="Verdana" w:eastAsia="Verdana" w:hAnsi="Verdana"/>
                <w:sz w:val="14"/>
                <w:szCs w:val="14"/>
                <w:color w:val="auto"/>
              </w:rPr>
              <w:t>610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Verdana" w:cs="Verdana" w:eastAsia="Verdana" w:hAnsi="Verdana"/>
                <w:sz w:val="14"/>
                <w:szCs w:val="14"/>
                <w:color w:val="auto"/>
              </w:rPr>
              <w:t>85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695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Verdana" w:cs="Verdana" w:eastAsia="Verdana" w:hAnsi="Verdana"/>
                <w:sz w:val="14"/>
                <w:szCs w:val="14"/>
                <w:color w:val="auto"/>
              </w:rPr>
              <w:t>85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3,865</w:t>
            </w: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Real estate construction</w:t>
            </w:r>
          </w:p>
        </w:tc>
        <w:tc>
          <w:tcPr>
            <w:tcW w:w="220" w:type="dxa"/>
            <w:vAlign w:val="bottom"/>
            <w:shd w:val="clear" w:color="auto" w:fill="E0E7ED"/>
          </w:tcPr>
          <w:p>
            <w:pPr>
              <w:spacing w:after="0"/>
              <w:rPr>
                <w:sz w:val="18"/>
                <w:szCs w:val="18"/>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20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10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260" w:type="dxa"/>
            <w:vAlign w:val="bottom"/>
            <w:shd w:val="clear" w:color="auto" w:fill="E0E7ED"/>
          </w:tcPr>
          <w:p>
            <w:pPr>
              <w:spacing w:after="0"/>
              <w:rPr>
                <w:sz w:val="18"/>
                <w:szCs w:val="18"/>
                <w:color w:val="auto"/>
              </w:rPr>
            </w:pPr>
          </w:p>
        </w:tc>
        <w:tc>
          <w:tcPr>
            <w:tcW w:w="9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4"/>
                <w:szCs w:val="14"/>
                <w:color w:val="auto"/>
              </w:rPr>
              <w:t>—</w:t>
            </w:r>
          </w:p>
        </w:tc>
        <w:tc>
          <w:tcPr>
            <w:tcW w:w="200" w:type="dxa"/>
            <w:vAlign w:val="bottom"/>
            <w:shd w:val="clear" w:color="auto" w:fill="E0E7ED"/>
          </w:tcPr>
          <w:p>
            <w:pPr>
              <w:spacing w:after="0"/>
              <w:rPr>
                <w:sz w:val="18"/>
                <w:szCs w:val="18"/>
                <w:color w:val="auto"/>
              </w:rPr>
            </w:pPr>
          </w:p>
        </w:tc>
        <w:tc>
          <w:tcPr>
            <w:tcW w:w="10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Commercial loans evaluated individually</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9,883</w:t>
            </w:r>
          </w:p>
        </w:tc>
        <w:tc>
          <w:tcPr>
            <w:tcW w:w="80" w:type="dxa"/>
            <w:vAlign w:val="bottom"/>
            <w:tcBorders>
              <w:bottom w:val="single" w:sz="8" w:color="E0E7ED"/>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1,195</w:t>
            </w:r>
          </w:p>
        </w:tc>
        <w:tc>
          <w:tcPr>
            <w:tcW w:w="60" w:type="dxa"/>
            <w:vAlign w:val="bottom"/>
            <w:tcBorders>
              <w:bottom w:val="single" w:sz="8" w:color="E0E7ED"/>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1,870</w:t>
            </w:r>
          </w:p>
        </w:tc>
        <w:tc>
          <w:tcPr>
            <w:tcW w:w="60" w:type="dxa"/>
            <w:vAlign w:val="bottom"/>
            <w:tcBorders>
              <w:bottom w:val="single" w:sz="8" w:color="E0E7ED"/>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3,065</w:t>
            </w:r>
          </w:p>
        </w:tc>
        <w:tc>
          <w:tcPr>
            <w:tcW w:w="60" w:type="dxa"/>
            <w:vAlign w:val="bottom"/>
            <w:tcBorders>
              <w:bottom w:val="single" w:sz="8" w:color="E0E7ED"/>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870</w:t>
            </w:r>
          </w:p>
        </w:tc>
        <w:tc>
          <w:tcPr>
            <w:tcW w:w="60" w:type="dxa"/>
            <w:vAlign w:val="bottom"/>
            <w:tcBorders>
              <w:bottom w:val="single" w:sz="8" w:color="E0E7ED"/>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9,158</w:t>
            </w:r>
          </w:p>
        </w:tc>
        <w:tc>
          <w:tcPr>
            <w:tcW w:w="0" w:type="dxa"/>
            <w:vAlign w:val="bottom"/>
          </w:tcPr>
          <w:p>
            <w:pPr>
              <w:spacing w:after="0"/>
              <w:rPr>
                <w:sz w:val="1"/>
                <w:szCs w:val="1"/>
                <w:color w:val="auto"/>
              </w:rPr>
            </w:pPr>
          </w:p>
        </w:tc>
      </w:tr>
      <w:tr>
        <w:trPr>
          <w:trHeight w:val="198"/>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loans:</w:t>
            </w:r>
          </w:p>
        </w:tc>
        <w:tc>
          <w:tcPr>
            <w:tcW w:w="220" w:type="dxa"/>
            <w:vAlign w:val="bottom"/>
            <w:shd w:val="clear" w:color="auto" w:fill="E0E7ED"/>
          </w:tcPr>
          <w:p>
            <w:pPr>
              <w:spacing w:after="0"/>
              <w:rPr>
                <w:sz w:val="17"/>
                <w:szCs w:val="17"/>
                <w:color w:val="auto"/>
              </w:rPr>
            </w:pPr>
          </w:p>
        </w:tc>
        <w:tc>
          <w:tcPr>
            <w:tcW w:w="9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90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8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80" w:type="dxa"/>
            <w:vAlign w:val="bottom"/>
            <w:tcBorders>
              <w:bottom w:val="single" w:sz="8" w:color="E0E7ED"/>
            </w:tcBorders>
          </w:tcPr>
          <w:p>
            <w:pPr>
              <w:ind w:left="280"/>
              <w:spacing w:after="0"/>
              <w:rPr>
                <w:sz w:val="20"/>
                <w:szCs w:val="20"/>
                <w:color w:val="auto"/>
              </w:rPr>
            </w:pPr>
            <w:r>
              <w:rPr>
                <w:rFonts w:ascii="Verdana" w:cs="Verdana" w:eastAsia="Verdana" w:hAnsi="Verdana"/>
                <w:sz w:val="14"/>
                <w:szCs w:val="14"/>
                <w:color w:val="auto"/>
              </w:rPr>
              <w:t>Retail real estate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213</w:t>
            </w:r>
          </w:p>
        </w:tc>
        <w:tc>
          <w:tcPr>
            <w:tcW w:w="8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61</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25</w:t>
            </w:r>
          </w:p>
        </w:tc>
        <w:tc>
          <w:tcPr>
            <w:tcW w:w="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86</w:t>
            </w:r>
          </w:p>
        </w:tc>
        <w:tc>
          <w:tcPr>
            <w:tcW w:w="60" w:type="dxa"/>
            <w:vAlign w:val="bottom"/>
            <w:tcBorders>
              <w:bottom w:val="single" w:sz="8" w:color="E0E7E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25</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790</w:t>
            </w:r>
          </w:p>
        </w:tc>
        <w:tc>
          <w:tcPr>
            <w:tcW w:w="0" w:type="dxa"/>
            <w:vAlign w:val="bottom"/>
          </w:tcPr>
          <w:p>
            <w:pPr>
              <w:spacing w:after="0"/>
              <w:rPr>
                <w:sz w:val="1"/>
                <w:szCs w:val="1"/>
                <w:color w:val="auto"/>
              </w:rPr>
            </w:pPr>
          </w:p>
        </w:tc>
      </w:tr>
      <w:tr>
        <w:trPr>
          <w:trHeight w:val="203"/>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loans evaluated individually</w:t>
            </w:r>
          </w:p>
        </w:tc>
        <w:tc>
          <w:tcPr>
            <w:tcW w:w="220" w:type="dxa"/>
            <w:vAlign w:val="bottom"/>
            <w:tcBorders>
              <w:bottom w:val="single" w:sz="8" w:color="auto"/>
            </w:tcBorders>
            <w:shd w:val="clear" w:color="auto" w:fill="E0E7ED"/>
          </w:tcPr>
          <w:p>
            <w:pPr>
              <w:spacing w:after="0"/>
              <w:rPr>
                <w:sz w:val="17"/>
                <w:szCs w:val="17"/>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213</w:t>
            </w:r>
          </w:p>
        </w:tc>
        <w:tc>
          <w:tcPr>
            <w:tcW w:w="8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6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61</w:t>
            </w:r>
          </w:p>
        </w:tc>
        <w:tc>
          <w:tcPr>
            <w:tcW w:w="6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25</w:t>
            </w:r>
          </w:p>
        </w:tc>
        <w:tc>
          <w:tcPr>
            <w:tcW w:w="60" w:type="dxa"/>
            <w:vAlign w:val="bottom"/>
            <w:shd w:val="clear" w:color="auto" w:fill="E0E7ED"/>
          </w:tcPr>
          <w:p>
            <w:pPr>
              <w:spacing w:after="0"/>
              <w:rPr>
                <w:sz w:val="17"/>
                <w:szCs w:val="17"/>
                <w:color w:val="auto"/>
              </w:rPr>
            </w:pPr>
          </w:p>
        </w:tc>
        <w:tc>
          <w:tcPr>
            <w:tcW w:w="260" w:type="dxa"/>
            <w:vAlign w:val="bottom"/>
            <w:tcBorders>
              <w:bottom w:val="single" w:sz="8" w:color="auto"/>
            </w:tcBorders>
            <w:shd w:val="clear" w:color="auto" w:fill="E0E7ED"/>
          </w:tcPr>
          <w:p>
            <w:pPr>
              <w:spacing w:after="0"/>
              <w:rPr>
                <w:sz w:val="17"/>
                <w:szCs w:val="17"/>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86</w:t>
            </w:r>
          </w:p>
        </w:tc>
        <w:tc>
          <w:tcPr>
            <w:tcW w:w="6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8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25</w:t>
            </w:r>
          </w:p>
        </w:tc>
        <w:tc>
          <w:tcPr>
            <w:tcW w:w="6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790</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Verdana" w:cs="Verdana" w:eastAsia="Verdana" w:hAnsi="Verdana"/>
                <w:sz w:val="14"/>
                <w:szCs w:val="14"/>
                <w:color w:val="auto"/>
              </w:rPr>
              <w:t>Total loans evaluated individually</w:t>
            </w: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920" w:type="dxa"/>
            <w:vAlign w:val="bottom"/>
          </w:tcPr>
          <w:p>
            <w:pPr>
              <w:jc w:val="right"/>
              <w:spacing w:after="0"/>
              <w:rPr>
                <w:sz w:val="20"/>
                <w:szCs w:val="20"/>
                <w:color w:val="auto"/>
              </w:rPr>
            </w:pPr>
            <w:r>
              <w:rPr>
                <w:rFonts w:ascii="Verdana" w:cs="Verdana" w:eastAsia="Verdana" w:hAnsi="Verdana"/>
                <w:sz w:val="14"/>
                <w:szCs w:val="14"/>
                <w:color w:val="auto"/>
              </w:rPr>
              <w:t>10,096</w:t>
            </w:r>
          </w:p>
        </w:tc>
        <w:tc>
          <w:tcPr>
            <w:tcW w:w="8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ind w:right="14"/>
              <w:spacing w:after="0"/>
              <w:rPr>
                <w:sz w:val="20"/>
                <w:szCs w:val="20"/>
                <w:color w:val="auto"/>
              </w:rPr>
            </w:pPr>
            <w:r>
              <w:rPr>
                <w:rFonts w:ascii="Verdana" w:cs="Verdana" w:eastAsia="Verdana" w:hAnsi="Verdana"/>
                <w:sz w:val="14"/>
                <w:szCs w:val="14"/>
                <w:color w:val="auto"/>
              </w:rPr>
              <w:t>1,256</w:t>
            </w:r>
          </w:p>
        </w:tc>
        <w:tc>
          <w:tcPr>
            <w:tcW w:w="260" w:type="dxa"/>
            <w:vAlign w:val="bottom"/>
            <w:gridSpan w:val="2"/>
          </w:tcPr>
          <w:p>
            <w:pPr>
              <w:jc w:val="right"/>
              <w:ind w:right="29"/>
              <w:spacing w:after="0"/>
              <w:rPr>
                <w:sz w:val="20"/>
                <w:szCs w:val="20"/>
                <w:color w:val="auto"/>
              </w:rPr>
            </w:pPr>
            <w:r>
              <w:rPr>
                <w:rFonts w:ascii="Verdana" w:cs="Verdana" w:eastAsia="Verdana" w:hAnsi="Verdana"/>
                <w:sz w:val="14"/>
                <w:szCs w:val="14"/>
                <w:color w:val="auto"/>
              </w:rPr>
              <w:t>$</w:t>
            </w:r>
          </w:p>
        </w:tc>
        <w:tc>
          <w:tcPr>
            <w:tcW w:w="980" w:type="dxa"/>
            <w:vAlign w:val="bottom"/>
          </w:tcPr>
          <w:p>
            <w:pPr>
              <w:jc w:val="right"/>
              <w:ind w:right="16"/>
              <w:spacing w:after="0"/>
              <w:rPr>
                <w:sz w:val="20"/>
                <w:szCs w:val="20"/>
                <w:color w:val="auto"/>
              </w:rPr>
            </w:pPr>
            <w:r>
              <w:rPr>
                <w:rFonts w:ascii="Verdana" w:cs="Verdana" w:eastAsia="Verdana" w:hAnsi="Verdana"/>
                <w:sz w:val="14"/>
                <w:szCs w:val="14"/>
                <w:color w:val="auto"/>
              </w:rPr>
              <w:t>1,895</w:t>
            </w:r>
          </w:p>
        </w:tc>
        <w:tc>
          <w:tcPr>
            <w:tcW w:w="60" w:type="dxa"/>
            <w:vAlign w:val="bottom"/>
          </w:tcPr>
          <w:p>
            <w:pPr>
              <w:spacing w:after="0"/>
              <w:rPr>
                <w:sz w:val="18"/>
                <w:szCs w:val="18"/>
                <w:color w:val="auto"/>
              </w:rPr>
            </w:pPr>
          </w:p>
        </w:tc>
        <w:tc>
          <w:tcPr>
            <w:tcW w:w="260" w:type="dxa"/>
            <w:vAlign w:val="bottom"/>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tcPr>
          <w:p>
            <w:pPr>
              <w:jc w:val="right"/>
              <w:spacing w:after="0"/>
              <w:rPr>
                <w:sz w:val="20"/>
                <w:szCs w:val="20"/>
                <w:color w:val="auto"/>
              </w:rPr>
            </w:pPr>
            <w:r>
              <w:rPr>
                <w:rFonts w:ascii="Verdana" w:cs="Verdana" w:eastAsia="Verdana" w:hAnsi="Verdana"/>
                <w:sz w:val="14"/>
                <w:szCs w:val="14"/>
                <w:color w:val="auto"/>
              </w:rPr>
              <w:t>3,151</w:t>
            </w:r>
          </w:p>
        </w:tc>
        <w:tc>
          <w:tcPr>
            <w:tcW w:w="6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Verdana" w:cs="Verdana" w:eastAsia="Verdana" w:hAnsi="Verdana"/>
                <w:sz w:val="14"/>
                <w:szCs w:val="14"/>
                <w:color w:val="auto"/>
                <w:w w:val="88"/>
              </w:rPr>
              <w:t>$</w:t>
            </w:r>
          </w:p>
        </w:tc>
        <w:tc>
          <w:tcPr>
            <w:tcW w:w="980" w:type="dxa"/>
            <w:vAlign w:val="bottom"/>
          </w:tcPr>
          <w:p>
            <w:pPr>
              <w:jc w:val="right"/>
              <w:ind w:right="14"/>
              <w:spacing w:after="0"/>
              <w:rPr>
                <w:sz w:val="20"/>
                <w:szCs w:val="20"/>
                <w:color w:val="auto"/>
              </w:rPr>
            </w:pPr>
            <w:r>
              <w:rPr>
                <w:rFonts w:ascii="Verdana" w:cs="Verdana" w:eastAsia="Verdana" w:hAnsi="Verdana"/>
                <w:sz w:val="14"/>
                <w:szCs w:val="14"/>
                <w:color w:val="auto"/>
              </w:rPr>
              <w:t>895</w:t>
            </w:r>
          </w:p>
        </w:tc>
        <w:tc>
          <w:tcPr>
            <w:tcW w:w="6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tcPr>
          <w:p>
            <w:pPr>
              <w:jc w:val="right"/>
              <w:spacing w:after="0"/>
              <w:rPr>
                <w:sz w:val="20"/>
                <w:szCs w:val="20"/>
                <w:color w:val="auto"/>
              </w:rPr>
            </w:pPr>
            <w:r>
              <w:rPr>
                <w:rFonts w:ascii="Verdana" w:cs="Verdana" w:eastAsia="Verdana" w:hAnsi="Verdana"/>
                <w:sz w:val="14"/>
                <w:szCs w:val="14"/>
                <w:color w:val="auto"/>
              </w:rPr>
              <w:t>9,948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2" w:name="page133"/>
    <w:bookmarkEnd w:id="13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Allowance for Credit Losses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22"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following table summarizes activity in the ACL attributable to each lending activity. Allocation of a portion of the ACL to one lending activity does not preclude its availability to absorb losses in other lending activities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8"/>
              </w:rPr>
              <w:t>C&amp;I and Other</w:t>
            </w:r>
          </w:p>
        </w:tc>
        <w:tc>
          <w:tcPr>
            <w:tcW w:w="30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Verdana" w:cs="Verdana" w:eastAsia="Verdana" w:hAnsi="Verdana"/>
                <w:sz w:val="10"/>
                <w:szCs w:val="10"/>
                <w:b w:val="1"/>
                <w:bCs w:val="1"/>
                <w:color w:val="auto"/>
              </w:rPr>
              <w:t>CRE</w:t>
            </w:r>
          </w:p>
        </w:tc>
        <w:tc>
          <w:tcPr>
            <w:tcW w:w="180" w:type="dxa"/>
            <w:vAlign w:val="bottom"/>
          </w:tcPr>
          <w:p>
            <w:pPr>
              <w:spacing w:after="0"/>
              <w:rPr>
                <w:sz w:val="10"/>
                <w:szCs w:val="10"/>
                <w:color w:val="auto"/>
              </w:rPr>
            </w:pPr>
          </w:p>
        </w:tc>
        <w:tc>
          <w:tcPr>
            <w:tcW w:w="106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7"/>
              </w:rPr>
              <w:t>Real Estate</w:t>
            </w:r>
          </w:p>
        </w:tc>
        <w:tc>
          <w:tcPr>
            <w:tcW w:w="18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8"/>
              </w:rPr>
              <w:t>Retail</w:t>
            </w: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Verdana" w:cs="Verdana" w:eastAsia="Verdana" w:hAnsi="Verdana"/>
                <w:sz w:val="10"/>
                <w:szCs w:val="10"/>
                <w:b w:val="1"/>
                <w:bCs w:val="1"/>
                <w:color w:val="auto"/>
              </w:rPr>
              <w:t>Retail Other</w:t>
            </w:r>
          </w:p>
        </w:tc>
        <w:tc>
          <w:tcPr>
            <w:tcW w:w="260" w:type="dxa"/>
            <w:vAlign w:val="bottom"/>
          </w:tcPr>
          <w:p>
            <w:pPr>
              <w:spacing w:after="0"/>
              <w:rPr>
                <w:sz w:val="10"/>
                <w:szCs w:val="10"/>
                <w:color w:val="auto"/>
              </w:rPr>
            </w:pPr>
          </w:p>
        </w:tc>
        <w:tc>
          <w:tcPr>
            <w:tcW w:w="900" w:type="dxa"/>
            <w:vAlign w:val="bottom"/>
            <w:vMerge w:val="restart"/>
          </w:tcPr>
          <w:p>
            <w:pPr>
              <w:jc w:val="right"/>
              <w:ind w:right="371"/>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9"/>
              </w:rPr>
              <w:t>Commercial</w:t>
            </w:r>
          </w:p>
        </w:tc>
        <w:tc>
          <w:tcPr>
            <w:tcW w:w="3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7"/>
              </w:rPr>
              <w:t>Construction</w:t>
            </w:r>
          </w:p>
        </w:tc>
        <w:tc>
          <w:tcPr>
            <w:tcW w:w="18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rPr>
              <w:t>Real Estate</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2021</w:t>
            </w: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top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23,855</w:t>
            </w:r>
          </w:p>
        </w:tc>
        <w:tc>
          <w:tcPr>
            <w:tcW w:w="60" w:type="dxa"/>
            <w:vAlign w:val="bottom"/>
            <w:tcBorders>
              <w:top w:val="single" w:sz="8" w:color="E0E7ED"/>
            </w:tcBorders>
            <w:shd w:val="clear" w:color="auto" w:fill="E0E7ED"/>
          </w:tcPr>
          <w:p>
            <w:pPr>
              <w:spacing w:after="0"/>
              <w:rPr>
                <w:sz w:val="18"/>
                <w:szCs w:val="18"/>
                <w:color w:val="auto"/>
              </w:rPr>
            </w:pPr>
          </w:p>
        </w:tc>
        <w:tc>
          <w:tcPr>
            <w:tcW w:w="300" w:type="dxa"/>
            <w:vAlign w:val="bottom"/>
            <w:tcBorders>
              <w:top w:val="single" w:sz="8" w:color="auto"/>
            </w:tcBorders>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86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38,249</w:t>
            </w:r>
          </w:p>
        </w:tc>
        <w:tc>
          <w:tcPr>
            <w:tcW w:w="6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top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5,102</w:t>
            </w:r>
          </w:p>
        </w:tc>
        <w:tc>
          <w:tcPr>
            <w:tcW w:w="6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17,589</w:t>
            </w:r>
          </w:p>
        </w:tc>
        <w:tc>
          <w:tcPr>
            <w:tcW w:w="6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top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3,092</w:t>
            </w:r>
          </w:p>
        </w:tc>
        <w:tc>
          <w:tcPr>
            <w:tcW w:w="60" w:type="dxa"/>
            <w:vAlign w:val="bottom"/>
            <w:tcBorders>
              <w:top w:val="single" w:sz="8" w:color="E0E7ED"/>
            </w:tcBorders>
            <w:shd w:val="clear" w:color="auto" w:fill="E0E7ED"/>
          </w:tcPr>
          <w:p>
            <w:pPr>
              <w:spacing w:after="0"/>
              <w:rPr>
                <w:sz w:val="18"/>
                <w:szCs w:val="18"/>
                <w:color w:val="auto"/>
              </w:rPr>
            </w:pPr>
          </w:p>
        </w:tc>
        <w:tc>
          <w:tcPr>
            <w:tcW w:w="260" w:type="dxa"/>
            <w:vAlign w:val="bottom"/>
            <w:tcBorders>
              <w:top w:val="single" w:sz="8" w:color="auto"/>
            </w:tcBorders>
            <w:shd w:val="clear" w:color="auto" w:fill="E0E7ED"/>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87,887</w:t>
            </w: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Verdana" w:cs="Verdana" w:eastAsia="Verdana" w:hAnsi="Verdana"/>
                <w:sz w:val="14"/>
                <w:szCs w:val="14"/>
                <w:color w:val="auto"/>
              </w:rPr>
              <w:t>Provision for credit losses</w:t>
            </w:r>
          </w:p>
        </w:tc>
        <w:tc>
          <w:tcPr>
            <w:tcW w:w="140" w:type="dxa"/>
            <w:vAlign w:val="bottom"/>
          </w:tcPr>
          <w:p>
            <w:pPr>
              <w:spacing w:after="0"/>
              <w:rPr>
                <w:sz w:val="17"/>
                <w:szCs w:val="17"/>
                <w:color w:val="auto"/>
              </w:rPr>
            </w:pPr>
          </w:p>
        </w:tc>
        <w:tc>
          <w:tcPr>
            <w:tcW w:w="1020" w:type="dxa"/>
            <w:vAlign w:val="bottom"/>
          </w:tcPr>
          <w:p>
            <w:pPr>
              <w:jc w:val="right"/>
              <w:ind w:right="12"/>
              <w:spacing w:after="0"/>
              <w:rPr>
                <w:sz w:val="20"/>
                <w:szCs w:val="20"/>
                <w:color w:val="auto"/>
              </w:rPr>
            </w:pPr>
            <w:r>
              <w:rPr>
                <w:rFonts w:ascii="Verdana" w:cs="Verdana" w:eastAsia="Verdana" w:hAnsi="Verdana"/>
                <w:sz w:val="14"/>
                <w:szCs w:val="14"/>
                <w:color w:val="auto"/>
              </w:rPr>
              <w:t>497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Verdana" w:cs="Verdana" w:eastAsia="Verdana" w:hAnsi="Verdana"/>
                <w:sz w:val="14"/>
                <w:szCs w:val="14"/>
                <w:color w:val="auto"/>
              </w:rPr>
              <w:t>892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2"/>
              <w:spacing w:after="0"/>
              <w:rPr>
                <w:sz w:val="20"/>
                <w:szCs w:val="20"/>
                <w:color w:val="auto"/>
              </w:rPr>
            </w:pPr>
            <w:r>
              <w:rPr>
                <w:rFonts w:ascii="Verdana" w:cs="Verdana" w:eastAsia="Verdana" w:hAnsi="Verdana"/>
                <w:sz w:val="14"/>
                <w:szCs w:val="14"/>
                <w:color w:val="auto"/>
              </w:rPr>
              <w:t>1,142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219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1"/>
              <w:spacing w:after="0"/>
              <w:rPr>
                <w:sz w:val="20"/>
                <w:szCs w:val="20"/>
                <w:color w:val="auto"/>
              </w:rPr>
            </w:pPr>
            <w:r>
              <w:rPr>
                <w:rFonts w:ascii="Verdana" w:cs="Verdana" w:eastAsia="Verdana" w:hAnsi="Verdana"/>
                <w:sz w:val="14"/>
                <w:szCs w:val="14"/>
                <w:color w:val="auto"/>
              </w:rPr>
              <w:t>1,873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4,623</w:t>
            </w: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Charged-off</w:t>
            </w: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(1,069)</w:t>
            </w:r>
          </w:p>
        </w:tc>
        <w:tc>
          <w:tcPr>
            <w:tcW w:w="6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(1,375)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(251)</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(461)</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(3,179)</w:t>
            </w:r>
          </w:p>
        </w:tc>
        <w:tc>
          <w:tcPr>
            <w:tcW w:w="0" w:type="dxa"/>
            <w:vAlign w:val="bottom"/>
          </w:tcPr>
          <w:p>
            <w:pPr>
              <w:spacing w:after="0"/>
              <w:rPr>
                <w:sz w:val="1"/>
                <w:szCs w:val="1"/>
                <w:color w:val="auto"/>
              </w:rPr>
            </w:pPr>
          </w:p>
        </w:tc>
      </w:tr>
      <w:tr>
        <w:trPr>
          <w:trHeight w:val="207"/>
        </w:trPr>
        <w:tc>
          <w:tcPr>
            <w:tcW w:w="3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Recoveries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577</w:t>
            </w:r>
          </w:p>
        </w:tc>
        <w:tc>
          <w:tcPr>
            <w:tcW w:w="6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533</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236</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636</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295</w:t>
            </w:r>
          </w:p>
        </w:tc>
        <w:tc>
          <w:tcPr>
            <w:tcW w:w="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2,277</w:t>
            </w:r>
          </w:p>
        </w:tc>
        <w:tc>
          <w:tcPr>
            <w:tcW w:w="0" w:type="dxa"/>
            <w:vAlign w:val="bottom"/>
          </w:tcPr>
          <w:p>
            <w:pPr>
              <w:spacing w:after="0"/>
              <w:rPr>
                <w:sz w:val="1"/>
                <w:szCs w:val="1"/>
                <w:color w:val="auto"/>
              </w:rPr>
            </w:pPr>
          </w:p>
        </w:tc>
      </w:tr>
      <w:tr>
        <w:trPr>
          <w:trHeight w:val="208"/>
        </w:trPr>
        <w:tc>
          <w:tcPr>
            <w:tcW w:w="3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2022</w:t>
            </w: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23,860</w:t>
            </w:r>
          </w:p>
        </w:tc>
        <w:tc>
          <w:tcPr>
            <w:tcW w:w="6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38,299</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6,457</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18,193</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4,799</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91,608</w:t>
            </w: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Verdana" w:cs="Verdana" w:eastAsia="Verdana" w:hAnsi="Verdana"/>
                <w:sz w:val="14"/>
                <w:szCs w:val="14"/>
                <w:color w:val="auto"/>
              </w:rPr>
              <w:t>Provision for credit losses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(727)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Verdana" w:cs="Verdana" w:eastAsia="Verdana" w:hAnsi="Verdana"/>
                <w:sz w:val="14"/>
                <w:szCs w:val="14"/>
                <w:color w:val="auto"/>
              </w:rPr>
              <w:t>(2,455)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(1,465)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7,922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(876)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2,399</w:t>
            </w:r>
          </w:p>
        </w:tc>
        <w:tc>
          <w:tcPr>
            <w:tcW w:w="0" w:type="dxa"/>
            <w:vAlign w:val="bottom"/>
          </w:tcPr>
          <w:p>
            <w:pPr>
              <w:spacing w:after="0"/>
              <w:rPr>
                <w:sz w:val="1"/>
                <w:szCs w:val="1"/>
                <w:color w:val="auto"/>
              </w:rPr>
            </w:pPr>
          </w:p>
        </w:tc>
      </w:tr>
      <w:tr>
        <w:trPr>
          <w:trHeight w:val="218"/>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Charged-off</w:t>
            </w: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(2,429)</w:t>
            </w:r>
          </w:p>
        </w:tc>
        <w:tc>
          <w:tcPr>
            <w:tcW w:w="6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(953)</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(407)</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(629)</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(4,418)</w:t>
            </w:r>
          </w:p>
        </w:tc>
        <w:tc>
          <w:tcPr>
            <w:tcW w:w="0" w:type="dxa"/>
            <w:vAlign w:val="bottom"/>
          </w:tcPr>
          <w:p>
            <w:pPr>
              <w:spacing w:after="0"/>
              <w:rPr>
                <w:sz w:val="1"/>
                <w:szCs w:val="1"/>
                <w:color w:val="auto"/>
              </w:rPr>
            </w:pPr>
          </w:p>
        </w:tc>
      </w:tr>
      <w:tr>
        <w:trPr>
          <w:trHeight w:val="207"/>
        </w:trPr>
        <w:tc>
          <w:tcPr>
            <w:tcW w:w="3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Recoveries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552</w:t>
            </w:r>
          </w:p>
        </w:tc>
        <w:tc>
          <w:tcPr>
            <w:tcW w:w="6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574</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171</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590</w:t>
            </w:r>
          </w:p>
        </w:tc>
        <w:tc>
          <w:tcPr>
            <w:tcW w:w="60" w:type="dxa"/>
            <w:vAlign w:val="bottom"/>
            <w:tcBorders>
              <w:bottom w:val="single" w:sz="8" w:color="E0E7E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264</w:t>
            </w:r>
          </w:p>
        </w:tc>
        <w:tc>
          <w:tcPr>
            <w:tcW w:w="60" w:type="dxa"/>
            <w:vAlign w:val="bottom"/>
            <w:tcBorders>
              <w:bottom w:val="single" w:sz="8" w:color="E0E7E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2,151</w:t>
            </w:r>
          </w:p>
        </w:tc>
        <w:tc>
          <w:tcPr>
            <w:tcW w:w="0" w:type="dxa"/>
            <w:vAlign w:val="bottom"/>
          </w:tcPr>
          <w:p>
            <w:pPr>
              <w:spacing w:after="0"/>
              <w:rPr>
                <w:sz w:val="1"/>
                <w:szCs w:val="1"/>
                <w:color w:val="auto"/>
              </w:rPr>
            </w:pPr>
          </w:p>
        </w:tc>
      </w:tr>
      <w:tr>
        <w:trPr>
          <w:trHeight w:val="208"/>
        </w:trPr>
        <w:tc>
          <w:tcPr>
            <w:tcW w:w="39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ACL balance, December 31, 2023</w:t>
            </w: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21,256</w:t>
            </w:r>
          </w:p>
        </w:tc>
        <w:tc>
          <w:tcPr>
            <w:tcW w:w="6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86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35,465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5,163</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26,298</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3,558</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91,740</w:t>
            </w:r>
          </w:p>
        </w:tc>
        <w:tc>
          <w:tcPr>
            <w:tcW w:w="0" w:type="dxa"/>
            <w:vAlign w:val="bottom"/>
          </w:tcPr>
          <w:p>
            <w:pPr>
              <w:spacing w:after="0"/>
              <w:rPr>
                <w:sz w:val="1"/>
                <w:szCs w:val="1"/>
                <w:color w:val="auto"/>
              </w:rPr>
            </w:pPr>
          </w:p>
        </w:tc>
      </w:tr>
      <w:tr>
        <w:trPr>
          <w:trHeight w:val="212"/>
        </w:trPr>
        <w:tc>
          <w:tcPr>
            <w:tcW w:w="3980" w:type="dxa"/>
            <w:vAlign w:val="bottom"/>
          </w:tcPr>
          <w:p>
            <w:pPr>
              <w:ind w:left="140"/>
              <w:spacing w:after="0" w:line="212" w:lineRule="exact"/>
              <w:rPr>
                <w:sz w:val="20"/>
                <w:szCs w:val="20"/>
                <w:color w:val="auto"/>
              </w:rPr>
            </w:pPr>
            <w:r>
              <w:rPr>
                <w:rFonts w:ascii="Verdana" w:cs="Verdana" w:eastAsia="Verdana" w:hAnsi="Verdana"/>
                <w:sz w:val="14"/>
                <w:szCs w:val="14"/>
                <w:color w:val="auto"/>
              </w:rPr>
              <w:t>Day 1 PCD</w:t>
            </w:r>
            <w:r>
              <w:rPr>
                <w:rFonts w:ascii="Verdana" w:cs="Verdana" w:eastAsia="Verdana" w:hAnsi="Verdana"/>
                <w:sz w:val="18"/>
                <w:szCs w:val="18"/>
                <w:color w:val="auto"/>
                <w:vertAlign w:val="superscript"/>
              </w:rPr>
              <w:t>1</w:t>
            </w:r>
          </w:p>
        </w:tc>
        <w:tc>
          <w:tcPr>
            <w:tcW w:w="14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Verdana" w:cs="Verdana" w:eastAsia="Verdana" w:hAnsi="Verdana"/>
                <w:sz w:val="14"/>
                <w:szCs w:val="14"/>
                <w:color w:val="auto"/>
              </w:rPr>
              <w:t>824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Verdana" w:cs="Verdana" w:eastAsia="Verdana" w:hAnsi="Verdana"/>
                <w:sz w:val="14"/>
                <w:szCs w:val="14"/>
                <w:color w:val="auto"/>
              </w:rPr>
              <w:t>322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Verdana" w:cs="Verdana" w:eastAsia="Verdana" w:hAnsi="Verdana"/>
                <w:sz w:val="14"/>
                <w:szCs w:val="14"/>
                <w:color w:val="auto"/>
              </w:rPr>
              <w:t>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1,243</w:t>
            </w:r>
          </w:p>
        </w:tc>
        <w:tc>
          <w:tcPr>
            <w:tcW w:w="0" w:type="dxa"/>
            <w:vAlign w:val="bottom"/>
          </w:tcPr>
          <w:p>
            <w:pPr>
              <w:spacing w:after="0"/>
              <w:rPr>
                <w:sz w:val="1"/>
                <w:szCs w:val="1"/>
                <w:color w:val="auto"/>
              </w:rPr>
            </w:pPr>
          </w:p>
        </w:tc>
      </w:tr>
      <w:tr>
        <w:trPr>
          <w:trHeight w:val="212"/>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Provision for credit losses</w:t>
            </w:r>
          </w:p>
        </w:tc>
        <w:tc>
          <w:tcPr>
            <w:tcW w:w="14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14,455</w:t>
            </w:r>
          </w:p>
        </w:tc>
        <w:tc>
          <w:tcPr>
            <w:tcW w:w="6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8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(318)</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(1,885)</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(3,031)</w:t>
            </w:r>
          </w:p>
        </w:tc>
        <w:tc>
          <w:tcPr>
            <w:tcW w:w="6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(631)</w:t>
            </w:r>
          </w:p>
        </w:tc>
        <w:tc>
          <w:tcPr>
            <w:tcW w:w="6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9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8,590</w:t>
            </w:r>
          </w:p>
        </w:tc>
        <w:tc>
          <w:tcPr>
            <w:tcW w:w="0" w:type="dxa"/>
            <w:vAlign w:val="bottom"/>
          </w:tcPr>
          <w:p>
            <w:pPr>
              <w:spacing w:after="0"/>
              <w:rPr>
                <w:sz w:val="1"/>
                <w:szCs w:val="1"/>
                <w:color w:val="auto"/>
              </w:rPr>
            </w:pPr>
          </w:p>
        </w:tc>
      </w:tr>
      <w:tr>
        <w:trPr>
          <w:trHeight w:val="207"/>
        </w:trPr>
        <w:tc>
          <w:tcPr>
            <w:tcW w:w="3980" w:type="dxa"/>
            <w:vAlign w:val="bottom"/>
          </w:tcPr>
          <w:p>
            <w:pPr>
              <w:ind w:left="140"/>
              <w:spacing w:after="0"/>
              <w:rPr>
                <w:sz w:val="20"/>
                <w:szCs w:val="20"/>
                <w:color w:val="auto"/>
              </w:rPr>
            </w:pPr>
            <w:r>
              <w:rPr>
                <w:rFonts w:ascii="Verdana" w:cs="Verdana" w:eastAsia="Verdana" w:hAnsi="Verdana"/>
                <w:sz w:val="14"/>
                <w:szCs w:val="14"/>
                <w:color w:val="auto"/>
              </w:rPr>
              <w:t>Charged-off</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(15,453)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Verdana" w:cs="Verdana" w:eastAsia="Verdana" w:hAnsi="Verdana"/>
                <w:sz w:val="14"/>
                <w:szCs w:val="14"/>
                <w:color w:val="auto"/>
              </w:rPr>
              <w:t>(3,314)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Verdana" w:cs="Verdana" w:eastAsia="Verdana" w:hAnsi="Verdana"/>
                <w:sz w:val="14"/>
                <w:szCs w:val="14"/>
                <w:color w:val="auto"/>
              </w:rPr>
              <w:t>(168)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(631)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Verdana" w:cs="Verdana" w:eastAsia="Verdana" w:hAnsi="Verdana"/>
                <w:sz w:val="14"/>
                <w:szCs w:val="14"/>
                <w:color w:val="auto"/>
              </w:rPr>
              <w:t>(19,566)</w:t>
            </w:r>
          </w:p>
        </w:tc>
        <w:tc>
          <w:tcPr>
            <w:tcW w:w="0" w:type="dxa"/>
            <w:vAlign w:val="bottom"/>
          </w:tcPr>
          <w:p>
            <w:pPr>
              <w:spacing w:after="0"/>
              <w:rPr>
                <w:sz w:val="1"/>
                <w:szCs w:val="1"/>
                <w:color w:val="auto"/>
              </w:rPr>
            </w:pPr>
          </w:p>
        </w:tc>
      </w:tr>
      <w:tr>
        <w:trPr>
          <w:trHeight w:val="212"/>
        </w:trPr>
        <w:tc>
          <w:tcPr>
            <w:tcW w:w="3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Recoveries</w:t>
            </w:r>
          </w:p>
        </w:tc>
        <w:tc>
          <w:tcPr>
            <w:tcW w:w="14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507</w:t>
            </w:r>
          </w:p>
        </w:tc>
        <w:tc>
          <w:tcPr>
            <w:tcW w:w="6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8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146</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67</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516</w:t>
            </w:r>
          </w:p>
        </w:tc>
        <w:tc>
          <w:tcPr>
            <w:tcW w:w="60" w:type="dxa"/>
            <w:vAlign w:val="bottom"/>
            <w:shd w:val="clear" w:color="auto" w:fill="E0E7ED"/>
          </w:tcPr>
          <w:p>
            <w:pPr>
              <w:spacing w:after="0"/>
              <w:rPr>
                <w:sz w:val="18"/>
                <w:szCs w:val="18"/>
                <w:color w:val="auto"/>
              </w:rPr>
            </w:pPr>
          </w:p>
        </w:tc>
        <w:tc>
          <w:tcPr>
            <w:tcW w:w="18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161</w:t>
            </w:r>
          </w:p>
        </w:tc>
        <w:tc>
          <w:tcPr>
            <w:tcW w:w="60" w:type="dxa"/>
            <w:vAlign w:val="bottom"/>
            <w:shd w:val="clear" w:color="auto" w:fill="E0E7ED"/>
          </w:tcPr>
          <w:p>
            <w:pPr>
              <w:spacing w:after="0"/>
              <w:rPr>
                <w:sz w:val="18"/>
                <w:szCs w:val="18"/>
                <w:color w:val="auto"/>
              </w:rPr>
            </w:pPr>
          </w:p>
        </w:tc>
        <w:tc>
          <w:tcPr>
            <w:tcW w:w="260" w:type="dxa"/>
            <w:vAlign w:val="bottom"/>
            <w:tcBorders>
              <w:bottom w:val="single" w:sz="8" w:color="auto"/>
            </w:tcBorders>
            <w:shd w:val="clear" w:color="auto" w:fill="E0E7ED"/>
          </w:tcPr>
          <w:p>
            <w:pPr>
              <w:spacing w:after="0"/>
              <w:rPr>
                <w:sz w:val="18"/>
                <w:szCs w:val="18"/>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1,397</w:t>
            </w:r>
          </w:p>
        </w:tc>
        <w:tc>
          <w:tcPr>
            <w:tcW w:w="0" w:type="dxa"/>
            <w:vAlign w:val="bottom"/>
          </w:tcPr>
          <w:p>
            <w:pPr>
              <w:spacing w:after="0"/>
              <w:rPr>
                <w:sz w:val="1"/>
                <w:szCs w:val="1"/>
                <w:color w:val="auto"/>
              </w:rPr>
            </w:pPr>
          </w:p>
        </w:tc>
      </w:tr>
      <w:tr>
        <w:trPr>
          <w:trHeight w:val="208"/>
        </w:trPr>
        <w:tc>
          <w:tcPr>
            <w:tcW w:w="3980" w:type="dxa"/>
            <w:vAlign w:val="bottom"/>
          </w:tcPr>
          <w:p>
            <w:pPr>
              <w:ind w:left="20"/>
              <w:spacing w:after="0"/>
              <w:rPr>
                <w:sz w:val="20"/>
                <w:szCs w:val="20"/>
                <w:color w:val="auto"/>
              </w:rPr>
            </w:pPr>
            <w:r>
              <w:rPr>
                <w:rFonts w:ascii="Verdana" w:cs="Verdana" w:eastAsia="Verdana" w:hAnsi="Verdana"/>
                <w:sz w:val="14"/>
                <w:szCs w:val="14"/>
                <w:b w:val="1"/>
                <w:bCs w:val="1"/>
                <w:color w:val="auto"/>
              </w:rPr>
              <w:t>ACL balance, December 31, 2024</w:t>
            </w: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21,589</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Verdana" w:cs="Verdana" w:eastAsia="Verdana" w:hAnsi="Verdana"/>
                <w:sz w:val="14"/>
                <w:szCs w:val="14"/>
                <w:color w:val="auto"/>
                <w:w w:val="88"/>
              </w:rPr>
              <w:t>$</w:t>
            </w:r>
          </w:p>
        </w:tc>
        <w:tc>
          <w:tcPr>
            <w:tcW w:w="8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32,301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3,345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w w:val="88"/>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23,711</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2,458</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Verdana" w:cs="Verdana" w:eastAsia="Verdana" w:hAnsi="Verdana"/>
                <w:sz w:val="14"/>
                <w:szCs w:val="14"/>
                <w:color w:val="auto"/>
                <w:w w:val="88"/>
              </w:rPr>
              <w:t>$</w:t>
            </w:r>
          </w:p>
        </w:tc>
        <w:tc>
          <w:tcPr>
            <w:tcW w:w="9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83,404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w:t>
      </w:r>
    </w:p>
    <w:p>
      <w:pPr>
        <w:ind w:left="380" w:hanging="248"/>
        <w:spacing w:after="0"/>
        <w:tabs>
          <w:tab w:leader="none" w:pos="380" w:val="left"/>
        </w:tabs>
        <w:numPr>
          <w:ilvl w:val="0"/>
          <w:numId w:val="40"/>
        </w:numPr>
        <w:rPr>
          <w:rFonts w:ascii="Verdana" w:cs="Verdana" w:eastAsia="Verdana" w:hAnsi="Verdana"/>
          <w:sz w:val="10"/>
          <w:szCs w:val="10"/>
          <w:color w:val="auto"/>
        </w:rPr>
      </w:pPr>
      <w:r>
        <w:rPr>
          <w:rFonts w:ascii="Verdana" w:cs="Verdana" w:eastAsia="Verdana" w:hAnsi="Verdana"/>
          <w:sz w:val="10"/>
          <w:szCs w:val="10"/>
          <w:color w:val="auto"/>
        </w:rPr>
        <w:t>The Day 1 PCD is attributable to the M&amp;M acquisition, finalized April 1, 2024.</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3" w:name="page134"/>
    <w:bookmarkEnd w:id="13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tables present the ACL and amortized cost of portfolio loans by loan category and lending activity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0"/>
                <w:szCs w:val="10"/>
                <w:b w:val="1"/>
                <w:bCs w:val="1"/>
                <w:color w:val="auto"/>
              </w:rPr>
              <w:t>As of December 31, 2024</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Verdana" w:cs="Verdana" w:eastAsia="Verdana" w:hAnsi="Verdana"/>
                <w:sz w:val="10"/>
                <w:szCs w:val="10"/>
                <w:b w:val="1"/>
                <w:bCs w:val="1"/>
                <w:color w:val="auto"/>
                <w:w w:val="98"/>
              </w:rPr>
              <w:t>Portfolio Loans</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6"/>
          </w:tcPr>
          <w:p>
            <w:pPr>
              <w:jc w:val="center"/>
              <w:ind w:left="576"/>
              <w:spacing w:after="0"/>
              <w:rPr>
                <w:sz w:val="20"/>
                <w:szCs w:val="20"/>
                <w:color w:val="auto"/>
              </w:rPr>
            </w:pPr>
            <w:r>
              <w:rPr>
                <w:rFonts w:ascii="Verdana" w:cs="Verdana" w:eastAsia="Verdana" w:hAnsi="Verdana"/>
                <w:sz w:val="10"/>
                <w:szCs w:val="10"/>
                <w:b w:val="1"/>
                <w:bCs w:val="1"/>
                <w:color w:val="auto"/>
                <w:w w:val="98"/>
              </w:rPr>
              <w:t>ACL Attributed to Portfolio Loans</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tcPr>
          <w:p>
            <w:pPr>
              <w:jc w:val="center"/>
              <w:ind w:right="240"/>
              <w:spacing w:after="0" w:line="92" w:lineRule="exact"/>
              <w:rPr>
                <w:sz w:val="20"/>
                <w:szCs w:val="20"/>
                <w:color w:val="auto"/>
              </w:rPr>
            </w:pPr>
            <w:r>
              <w:rPr>
                <w:rFonts w:ascii="Verdana" w:cs="Verdana" w:eastAsia="Verdana" w:hAnsi="Verdana"/>
                <w:sz w:val="10"/>
                <w:szCs w:val="10"/>
                <w:b w:val="1"/>
                <w:bCs w:val="1"/>
                <w:color w:val="auto"/>
                <w:w w:val="99"/>
              </w:rPr>
              <w:t>Collectively</w:t>
            </w:r>
          </w:p>
        </w:tc>
        <w:tc>
          <w:tcPr>
            <w:tcW w:w="120" w:type="dxa"/>
            <w:vAlign w:val="bottom"/>
          </w:tcPr>
          <w:p>
            <w:pPr>
              <w:spacing w:after="0"/>
              <w:rPr>
                <w:sz w:val="7"/>
                <w:szCs w:val="7"/>
                <w:color w:val="auto"/>
              </w:rPr>
            </w:pPr>
          </w:p>
        </w:tc>
        <w:tc>
          <w:tcPr>
            <w:tcW w:w="1100" w:type="dxa"/>
            <w:vAlign w:val="bottom"/>
            <w:gridSpan w:val="2"/>
          </w:tcPr>
          <w:p>
            <w:pPr>
              <w:jc w:val="center"/>
              <w:ind w:right="200"/>
              <w:spacing w:after="0" w:line="92" w:lineRule="exact"/>
              <w:rPr>
                <w:sz w:val="20"/>
                <w:szCs w:val="20"/>
                <w:color w:val="auto"/>
              </w:rPr>
            </w:pPr>
            <w:r>
              <w:rPr>
                <w:rFonts w:ascii="Verdana" w:cs="Verdana" w:eastAsia="Verdana" w:hAnsi="Verdana"/>
                <w:sz w:val="10"/>
                <w:szCs w:val="10"/>
                <w:b w:val="1"/>
                <w:bCs w:val="1"/>
                <w:color w:val="auto"/>
                <w:w w:val="98"/>
              </w:rPr>
              <w:t>Individually</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tcPr>
          <w:p>
            <w:pPr>
              <w:jc w:val="center"/>
              <w:ind w:right="220"/>
              <w:spacing w:after="0" w:line="92" w:lineRule="exact"/>
              <w:rPr>
                <w:sz w:val="20"/>
                <w:szCs w:val="20"/>
                <w:color w:val="auto"/>
              </w:rPr>
            </w:pPr>
            <w:r>
              <w:rPr>
                <w:rFonts w:ascii="Verdana" w:cs="Verdana" w:eastAsia="Verdana" w:hAnsi="Verdana"/>
                <w:sz w:val="10"/>
                <w:szCs w:val="10"/>
                <w:b w:val="1"/>
                <w:bCs w:val="1"/>
                <w:color w:val="auto"/>
                <w:w w:val="99"/>
              </w:rPr>
              <w:t>Collectively</w:t>
            </w:r>
          </w:p>
        </w:tc>
        <w:tc>
          <w:tcPr>
            <w:tcW w:w="160" w:type="dxa"/>
            <w:vAlign w:val="bottom"/>
          </w:tcPr>
          <w:p>
            <w:pPr>
              <w:spacing w:after="0"/>
              <w:rPr>
                <w:sz w:val="7"/>
                <w:szCs w:val="7"/>
                <w:color w:val="auto"/>
              </w:rPr>
            </w:pPr>
          </w:p>
        </w:tc>
        <w:tc>
          <w:tcPr>
            <w:tcW w:w="1080" w:type="dxa"/>
            <w:vAlign w:val="bottom"/>
            <w:gridSpan w:val="2"/>
          </w:tcPr>
          <w:p>
            <w:pPr>
              <w:jc w:val="center"/>
              <w:ind w:right="220"/>
              <w:spacing w:after="0" w:line="92" w:lineRule="exact"/>
              <w:rPr>
                <w:sz w:val="20"/>
                <w:szCs w:val="20"/>
                <w:color w:val="auto"/>
              </w:rPr>
            </w:pPr>
            <w:r>
              <w:rPr>
                <w:rFonts w:ascii="Verdana" w:cs="Verdana" w:eastAsia="Verdana" w:hAnsi="Verdana"/>
                <w:sz w:val="10"/>
                <w:szCs w:val="10"/>
                <w:b w:val="1"/>
                <w:bCs w:val="1"/>
                <w:color w:val="auto"/>
                <w:w w:val="98"/>
              </w:rPr>
              <w:t>Individually</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120" w:type="dxa"/>
            <w:vAlign w:val="bottom"/>
          </w:tcPr>
          <w:p>
            <w:pPr>
              <w:spacing w:after="0"/>
              <w:rPr>
                <w:sz w:val="8"/>
                <w:szCs w:val="8"/>
                <w:color w:val="auto"/>
              </w:rPr>
            </w:pPr>
          </w:p>
        </w:tc>
        <w:tc>
          <w:tcPr>
            <w:tcW w:w="1100" w:type="dxa"/>
            <w:vAlign w:val="bottom"/>
            <w:gridSpan w:val="2"/>
          </w:tcPr>
          <w:p>
            <w:pPr>
              <w:jc w:val="center"/>
              <w:ind w:right="20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240" w:type="dxa"/>
            <w:vAlign w:val="bottom"/>
          </w:tcPr>
          <w:p>
            <w:pPr>
              <w:spacing w:after="0"/>
              <w:rPr>
                <w:sz w:val="8"/>
                <w:szCs w:val="8"/>
                <w:color w:val="auto"/>
              </w:rPr>
            </w:pPr>
          </w:p>
        </w:tc>
        <w:tc>
          <w:tcPr>
            <w:tcW w:w="1000" w:type="dxa"/>
            <w:vAlign w:val="bottom"/>
            <w:gridSpan w:val="2"/>
            <w:vMerge w:val="restart"/>
          </w:tcPr>
          <w:p>
            <w:pPr>
              <w:ind w:left="200"/>
              <w:spacing w:after="0"/>
              <w:rPr>
                <w:sz w:val="20"/>
                <w:szCs w:val="20"/>
                <w:color w:val="auto"/>
              </w:rPr>
            </w:pPr>
            <w:r>
              <w:rPr>
                <w:rFonts w:ascii="Verdana" w:cs="Verdana" w:eastAsia="Verdana" w:hAnsi="Verdana"/>
                <w:sz w:val="10"/>
                <w:szCs w:val="10"/>
                <w:b w:val="1"/>
                <w:bCs w:val="1"/>
                <w:color w:val="auto"/>
              </w:rPr>
              <w:t>Total</w:t>
            </w:r>
          </w:p>
        </w:tc>
        <w:tc>
          <w:tcPr>
            <w:tcW w:w="160" w:type="dxa"/>
            <w:vAlign w:val="bottom"/>
          </w:tcPr>
          <w:p>
            <w:pPr>
              <w:spacing w:after="0"/>
              <w:rPr>
                <w:sz w:val="8"/>
                <w:szCs w:val="8"/>
                <w:color w:val="auto"/>
              </w:rPr>
            </w:pPr>
          </w:p>
        </w:tc>
        <w:tc>
          <w:tcPr>
            <w:tcW w:w="1060" w:type="dxa"/>
            <w:vAlign w:val="bottom"/>
            <w:gridSpan w:val="2"/>
          </w:tcPr>
          <w:p>
            <w:pPr>
              <w:jc w:val="center"/>
              <w:ind w:right="24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160" w:type="dxa"/>
            <w:vAlign w:val="bottom"/>
          </w:tcPr>
          <w:p>
            <w:pPr>
              <w:spacing w:after="0"/>
              <w:rPr>
                <w:sz w:val="8"/>
                <w:szCs w:val="8"/>
                <w:color w:val="auto"/>
              </w:rPr>
            </w:pPr>
          </w:p>
        </w:tc>
        <w:tc>
          <w:tcPr>
            <w:tcW w:w="1080" w:type="dxa"/>
            <w:vAlign w:val="bottom"/>
            <w:gridSpan w:val="2"/>
          </w:tcPr>
          <w:p>
            <w:pPr>
              <w:jc w:val="center"/>
              <w:ind w:right="22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360" w:type="dxa"/>
            <w:vAlign w:val="bottom"/>
          </w:tcPr>
          <w:p>
            <w:pPr>
              <w:spacing w:after="0"/>
              <w:rPr>
                <w:sz w:val="8"/>
                <w:szCs w:val="8"/>
                <w:color w:val="auto"/>
              </w:rPr>
            </w:pPr>
          </w:p>
        </w:tc>
        <w:tc>
          <w:tcPr>
            <w:tcW w:w="800" w:type="dxa"/>
            <w:vAlign w:val="bottom"/>
            <w:vMerge w:val="restart"/>
          </w:tcPr>
          <w:p>
            <w:pPr>
              <w:jc w:val="right"/>
              <w:ind w:right="37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8"/>
              </w:rPr>
              <w:t>Impairment</w:t>
            </w:r>
          </w:p>
        </w:tc>
        <w:tc>
          <w:tcPr>
            <w:tcW w:w="12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8"/>
              </w:rPr>
              <w:t>Impairment</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8"/>
              </w:rPr>
              <w:t>Impairment</w:t>
            </w:r>
          </w:p>
        </w:tc>
        <w:tc>
          <w:tcPr>
            <w:tcW w:w="16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8"/>
              </w:rPr>
              <w:t>Impairment</w:t>
            </w:r>
          </w:p>
        </w:tc>
        <w:tc>
          <w:tcPr>
            <w:tcW w:w="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Portfolio loans and related ACL</w:t>
            </w: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8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Verdana" w:cs="Verdana" w:eastAsia="Verdana" w:hAnsi="Verdana"/>
                <w:sz w:val="14"/>
                <w:szCs w:val="14"/>
                <w:color w:val="auto"/>
              </w:rPr>
              <w:t>Commercial loans: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C&amp;I and other commercial</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1,900,835</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4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3,680</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1,904,515</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19,749</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1,840</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8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21,589</w:t>
            </w:r>
          </w:p>
        </w:tc>
        <w:tc>
          <w:tcPr>
            <w:tcW w:w="0" w:type="dxa"/>
            <w:vAlign w:val="bottom"/>
          </w:tcPr>
          <w:p>
            <w:pPr>
              <w:spacing w:after="0"/>
              <w:rPr>
                <w:sz w:val="1"/>
                <w:szCs w:val="1"/>
                <w:color w:val="auto"/>
              </w:rPr>
            </w:pPr>
          </w:p>
        </w:tc>
      </w:tr>
      <w:tr>
        <w:trPr>
          <w:trHeight w:val="207"/>
        </w:trPr>
        <w:tc>
          <w:tcPr>
            <w:tcW w:w="3960" w:type="dxa"/>
            <w:vAlign w:val="bottom"/>
          </w:tcPr>
          <w:p>
            <w:pPr>
              <w:ind w:left="280"/>
              <w:spacing w:after="0"/>
              <w:rPr>
                <w:sz w:val="20"/>
                <w:szCs w:val="20"/>
                <w:color w:val="auto"/>
              </w:rPr>
            </w:pPr>
            <w:r>
              <w:rPr>
                <w:rFonts w:ascii="Verdana" w:cs="Verdana" w:eastAsia="Verdana" w:hAnsi="Verdana"/>
                <w:sz w:val="14"/>
                <w:szCs w:val="14"/>
                <w:color w:val="auto"/>
              </w:rPr>
              <w:t>CRE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3,254,564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Verdana" w:cs="Verdana" w:eastAsia="Verdana" w:hAnsi="Verdana"/>
                <w:sz w:val="14"/>
                <w:szCs w:val="14"/>
                <w:color w:val="auto"/>
              </w:rPr>
              <w:t>15,000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Verdana" w:cs="Verdana" w:eastAsia="Verdana" w:hAnsi="Verdana"/>
                <w:sz w:val="14"/>
                <w:szCs w:val="14"/>
                <w:color w:val="auto"/>
              </w:rPr>
              <w:t>3,269,564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32,301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Verdana" w:cs="Verdana" w:eastAsia="Verdana" w:hAnsi="Verdana"/>
                <w:sz w:val="14"/>
                <w:szCs w:val="14"/>
                <w:color w:val="auto"/>
              </w:rPr>
              <w:t>32,301</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Real estate construction</w:t>
            </w: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378,209</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1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378,209</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3,345</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3,345</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Commercial loans and related ACL</w:t>
            </w: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5,533,608</w:t>
            </w:r>
          </w:p>
        </w:tc>
        <w:tc>
          <w:tcPr>
            <w:tcW w:w="80" w:type="dxa"/>
            <w:vAlign w:val="bottom"/>
            <w:tcBorders>
              <w:bottom w:val="single" w:sz="8" w:color="E0E7ED"/>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18,680</w:t>
            </w:r>
          </w:p>
        </w:tc>
        <w:tc>
          <w:tcPr>
            <w:tcW w:w="60" w:type="dxa"/>
            <w:vAlign w:val="bottom"/>
            <w:tcBorders>
              <w:bottom w:val="single" w:sz="8" w:color="E0E7E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5,552,288</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55,395</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1,840</w:t>
            </w:r>
          </w:p>
        </w:tc>
        <w:tc>
          <w:tcPr>
            <w:tcW w:w="60" w:type="dxa"/>
            <w:vAlign w:val="bottom"/>
            <w:tcBorders>
              <w:bottom w:val="single" w:sz="8" w:color="E0E7ED"/>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57,235</w:t>
            </w:r>
          </w:p>
        </w:tc>
        <w:tc>
          <w:tcPr>
            <w:tcW w:w="0" w:type="dxa"/>
            <w:vAlign w:val="bottom"/>
          </w:tcPr>
          <w:p>
            <w:pPr>
              <w:spacing w:after="0"/>
              <w:rPr>
                <w:sz w:val="1"/>
                <w:szCs w:val="1"/>
                <w:color w:val="auto"/>
              </w:rPr>
            </w:pPr>
          </w:p>
        </w:tc>
      </w:tr>
      <w:tr>
        <w:trPr>
          <w:trHeight w:val="198"/>
        </w:trPr>
        <w:tc>
          <w:tcPr>
            <w:tcW w:w="39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Retail loans:</w:t>
            </w:r>
          </w:p>
        </w:tc>
        <w:tc>
          <w:tcPr>
            <w:tcW w:w="1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80"/>
              <w:spacing w:after="0"/>
              <w:rPr>
                <w:sz w:val="20"/>
                <w:szCs w:val="20"/>
                <w:color w:val="auto"/>
              </w:rPr>
            </w:pPr>
            <w:r>
              <w:rPr>
                <w:rFonts w:ascii="Verdana" w:cs="Verdana" w:eastAsia="Verdana" w:hAnsi="Verdana"/>
                <w:sz w:val="14"/>
                <w:szCs w:val="14"/>
                <w:color w:val="auto"/>
              </w:rPr>
              <w:t>Retail real estate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1,695,329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Verdana" w:cs="Verdana" w:eastAsia="Verdana" w:hAnsi="Verdana"/>
                <w:sz w:val="14"/>
                <w:szCs w:val="14"/>
                <w:color w:val="auto"/>
              </w:rPr>
              <w:t>1,128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Verdana" w:cs="Verdana" w:eastAsia="Verdana" w:hAnsi="Verdana"/>
                <w:sz w:val="14"/>
                <w:szCs w:val="14"/>
                <w:color w:val="auto"/>
              </w:rPr>
              <w:t>1,696,457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23,711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Verdana" w:cs="Verdana" w:eastAsia="Verdana" w:hAnsi="Verdana"/>
                <w:sz w:val="14"/>
                <w:szCs w:val="14"/>
                <w:color w:val="auto"/>
              </w:rPr>
              <w:t>23,711</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other</w:t>
            </w: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448,342</w:t>
            </w:r>
          </w:p>
        </w:tc>
        <w:tc>
          <w:tcPr>
            <w:tcW w:w="80" w:type="dxa"/>
            <w:vAlign w:val="bottom"/>
            <w:shd w:val="clear" w:color="auto" w:fill="E0E7ED"/>
          </w:tcPr>
          <w:p>
            <w:pPr>
              <w:spacing w:after="0"/>
              <w:rPr>
                <w:sz w:val="18"/>
                <w:szCs w:val="18"/>
                <w:color w:val="auto"/>
              </w:rPr>
            </w:pPr>
          </w:p>
        </w:tc>
        <w:tc>
          <w:tcPr>
            <w:tcW w:w="12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2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448,342</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2,458</w:t>
            </w:r>
          </w:p>
        </w:tc>
        <w:tc>
          <w:tcPr>
            <w:tcW w:w="60" w:type="dxa"/>
            <w:vAlign w:val="bottom"/>
            <w:shd w:val="clear" w:color="auto" w:fill="E0E7ED"/>
          </w:tcPr>
          <w:p>
            <w:pPr>
              <w:spacing w:after="0"/>
              <w:rPr>
                <w:sz w:val="18"/>
                <w:szCs w:val="18"/>
                <w:color w:val="auto"/>
              </w:rPr>
            </w:pPr>
          </w:p>
        </w:tc>
        <w:tc>
          <w:tcPr>
            <w:tcW w:w="1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2,458</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Verdana" w:cs="Verdana" w:eastAsia="Verdana" w:hAnsi="Verdana"/>
                <w:sz w:val="14"/>
                <w:szCs w:val="14"/>
                <w:color w:val="auto"/>
              </w:rPr>
              <w:t>Retail loans and related ACL</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2,143,671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Verdana" w:cs="Verdana" w:eastAsia="Verdana" w:hAnsi="Verdana"/>
                <w:sz w:val="14"/>
                <w:szCs w:val="14"/>
                <w:color w:val="auto"/>
              </w:rPr>
              <w:t>1,128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Verdana" w:cs="Verdana" w:eastAsia="Verdana" w:hAnsi="Verdana"/>
                <w:sz w:val="14"/>
                <w:szCs w:val="14"/>
                <w:color w:val="auto"/>
              </w:rPr>
              <w:t>2,144,799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26,169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Verdana" w:cs="Verdana" w:eastAsia="Verdana" w:hAnsi="Verdana"/>
                <w:sz w:val="14"/>
                <w:szCs w:val="14"/>
                <w:color w:val="auto"/>
              </w:rPr>
              <w:t>26,169</w:t>
            </w:r>
          </w:p>
        </w:tc>
        <w:tc>
          <w:tcPr>
            <w:tcW w:w="0" w:type="dxa"/>
            <w:vAlign w:val="bottom"/>
          </w:tcPr>
          <w:p>
            <w:pPr>
              <w:spacing w:after="0"/>
              <w:rPr>
                <w:sz w:val="1"/>
                <w:szCs w:val="1"/>
                <w:color w:val="auto"/>
              </w:rPr>
            </w:pPr>
          </w:p>
        </w:tc>
      </w:tr>
      <w:tr>
        <w:trPr>
          <w:trHeight w:val="233"/>
        </w:trPr>
        <w:tc>
          <w:tcPr>
            <w:tcW w:w="39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Portfolio loans and related ACL</w:t>
            </w: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7,677,279</w:t>
            </w:r>
          </w:p>
        </w:tc>
        <w:tc>
          <w:tcPr>
            <w:tcW w:w="80" w:type="dxa"/>
            <w:vAlign w:val="bottom"/>
            <w:tcBorders>
              <w:top w:val="single" w:sz="8" w:color="E0E7ED"/>
              <w:bottom w:val="single" w:sz="8" w:color="E0E7ED"/>
            </w:tcBorders>
            <w:shd w:val="clear" w:color="auto" w:fill="E0E7ED"/>
          </w:tcPr>
          <w:p>
            <w:pPr>
              <w:spacing w:after="0"/>
              <w:rPr>
                <w:sz w:val="19"/>
                <w:szCs w:val="19"/>
                <w:color w:val="auto"/>
              </w:rPr>
            </w:pPr>
          </w:p>
        </w:tc>
        <w:tc>
          <w:tcPr>
            <w:tcW w:w="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40" w:type="dxa"/>
            <w:vAlign w:val="bottom"/>
            <w:tcBorders>
              <w:top w:val="single" w:sz="8" w:color="auto"/>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19,808</w:t>
            </w:r>
          </w:p>
        </w:tc>
        <w:tc>
          <w:tcPr>
            <w:tcW w:w="60" w:type="dxa"/>
            <w:vAlign w:val="bottom"/>
            <w:tcBorders>
              <w:top w:val="single" w:sz="8" w:color="E0E7ED"/>
              <w:bottom w:val="single" w:sz="8" w:color="E0E7ED"/>
            </w:tcBorders>
            <w:shd w:val="clear" w:color="auto" w:fill="E0E7ED"/>
          </w:tcPr>
          <w:p>
            <w:pPr>
              <w:spacing w:after="0"/>
              <w:rPr>
                <w:sz w:val="19"/>
                <w:szCs w:val="19"/>
                <w:color w:val="auto"/>
              </w:rPr>
            </w:pPr>
          </w:p>
        </w:tc>
        <w:tc>
          <w:tcPr>
            <w:tcW w:w="240" w:type="dxa"/>
            <w:vAlign w:val="bottom"/>
            <w:tcBorders>
              <w:top w:val="single" w:sz="8" w:color="auto"/>
              <w:bottom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top w:val="single" w:sz="8" w:color="auto"/>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7,697,087</w:t>
            </w:r>
          </w:p>
        </w:tc>
        <w:tc>
          <w:tcPr>
            <w:tcW w:w="60" w:type="dxa"/>
            <w:vAlign w:val="bottom"/>
            <w:tcBorders>
              <w:top w:val="single" w:sz="8" w:color="E0E7ED"/>
              <w:bottom w:val="single" w:sz="8" w:color="E0E7ED"/>
            </w:tcBorders>
            <w:shd w:val="clear" w:color="auto" w:fill="E0E7ED"/>
          </w:tcPr>
          <w:p>
            <w:pPr>
              <w:spacing w:after="0"/>
              <w:rPr>
                <w:sz w:val="19"/>
                <w:szCs w:val="19"/>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81,564</w:t>
            </w:r>
          </w:p>
        </w:tc>
        <w:tc>
          <w:tcPr>
            <w:tcW w:w="60" w:type="dxa"/>
            <w:vAlign w:val="bottom"/>
            <w:tcBorders>
              <w:top w:val="single" w:sz="8" w:color="E0E7ED"/>
              <w:bottom w:val="single" w:sz="8" w:color="E0E7ED"/>
            </w:tcBorders>
            <w:shd w:val="clear" w:color="auto" w:fill="E0E7ED"/>
          </w:tcPr>
          <w:p>
            <w:pPr>
              <w:spacing w:after="0"/>
              <w:rPr>
                <w:sz w:val="19"/>
                <w:szCs w:val="19"/>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top w:val="single" w:sz="8" w:color="auto"/>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1,840</w:t>
            </w:r>
          </w:p>
        </w:tc>
        <w:tc>
          <w:tcPr>
            <w:tcW w:w="60" w:type="dxa"/>
            <w:vAlign w:val="bottom"/>
            <w:tcBorders>
              <w:top w:val="single" w:sz="8" w:color="E0E7ED"/>
              <w:bottom w:val="single" w:sz="8" w:color="E0E7ED"/>
            </w:tcBorders>
            <w:shd w:val="clear" w:color="auto" w:fill="E0E7ED"/>
          </w:tcPr>
          <w:p>
            <w:pPr>
              <w:spacing w:after="0"/>
              <w:rPr>
                <w:sz w:val="19"/>
                <w:szCs w:val="19"/>
                <w:color w:val="auto"/>
              </w:rPr>
            </w:pPr>
          </w:p>
        </w:tc>
        <w:tc>
          <w:tcPr>
            <w:tcW w:w="360" w:type="dxa"/>
            <w:vAlign w:val="bottom"/>
            <w:tcBorders>
              <w:top w:val="single" w:sz="8" w:color="auto"/>
              <w:bottom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83,404</w:t>
            </w:r>
          </w:p>
        </w:tc>
        <w:tc>
          <w:tcPr>
            <w:tcW w:w="0" w:type="dxa"/>
            <w:vAlign w:val="bottom"/>
          </w:tcPr>
          <w:p>
            <w:pPr>
              <w:spacing w:after="0"/>
              <w:rPr>
                <w:sz w:val="1"/>
                <w:szCs w:val="1"/>
                <w:color w:val="auto"/>
              </w:rPr>
            </w:pPr>
          </w:p>
        </w:tc>
      </w:tr>
      <w:tr>
        <w:trPr>
          <w:trHeight w:val="20"/>
        </w:trPr>
        <w:tc>
          <w:tcPr>
            <w:tcW w:w="39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160" w:type="dxa"/>
            <w:vAlign w:val="bottom"/>
            <w:tcBorders>
              <w:top w:val="single" w:sz="8" w:color="E0E7ED"/>
              <w:bottom w:val="single" w:sz="8" w:color="auto"/>
            </w:tcBorders>
            <w:gridSpan w:val="2"/>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0"/>
                <w:szCs w:val="10"/>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Verdana" w:cs="Verdana" w:eastAsia="Verdana" w:hAnsi="Verdana"/>
                <w:sz w:val="10"/>
                <w:szCs w:val="10"/>
                <w:b w:val="1"/>
                <w:bCs w:val="1"/>
                <w:color w:val="auto"/>
                <w:w w:val="98"/>
              </w:rPr>
              <w:t>Portfolio Loans</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6"/>
          </w:tcPr>
          <w:p>
            <w:pPr>
              <w:jc w:val="center"/>
              <w:ind w:left="576"/>
              <w:spacing w:after="0"/>
              <w:rPr>
                <w:sz w:val="20"/>
                <w:szCs w:val="20"/>
                <w:color w:val="auto"/>
              </w:rPr>
            </w:pPr>
            <w:r>
              <w:rPr>
                <w:rFonts w:ascii="Verdana" w:cs="Verdana" w:eastAsia="Verdana" w:hAnsi="Verdana"/>
                <w:sz w:val="10"/>
                <w:szCs w:val="10"/>
                <w:b w:val="1"/>
                <w:bCs w:val="1"/>
                <w:color w:val="auto"/>
                <w:w w:val="98"/>
              </w:rPr>
              <w:t>ACL Attributed to Portfolio Loans</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3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tcPr>
          <w:p>
            <w:pPr>
              <w:jc w:val="center"/>
              <w:ind w:right="240"/>
              <w:spacing w:after="0" w:line="92" w:lineRule="exact"/>
              <w:rPr>
                <w:sz w:val="20"/>
                <w:szCs w:val="20"/>
                <w:color w:val="auto"/>
              </w:rPr>
            </w:pPr>
            <w:r>
              <w:rPr>
                <w:rFonts w:ascii="Verdana" w:cs="Verdana" w:eastAsia="Verdana" w:hAnsi="Verdana"/>
                <w:sz w:val="10"/>
                <w:szCs w:val="10"/>
                <w:b w:val="1"/>
                <w:bCs w:val="1"/>
                <w:color w:val="auto"/>
                <w:w w:val="99"/>
              </w:rPr>
              <w:t>Collectively</w:t>
            </w:r>
          </w:p>
        </w:tc>
        <w:tc>
          <w:tcPr>
            <w:tcW w:w="120" w:type="dxa"/>
            <w:vAlign w:val="bottom"/>
          </w:tcPr>
          <w:p>
            <w:pPr>
              <w:spacing w:after="0"/>
              <w:rPr>
                <w:sz w:val="7"/>
                <w:szCs w:val="7"/>
                <w:color w:val="auto"/>
              </w:rPr>
            </w:pPr>
          </w:p>
        </w:tc>
        <w:tc>
          <w:tcPr>
            <w:tcW w:w="1100" w:type="dxa"/>
            <w:vAlign w:val="bottom"/>
            <w:gridSpan w:val="2"/>
          </w:tcPr>
          <w:p>
            <w:pPr>
              <w:jc w:val="center"/>
              <w:ind w:right="200"/>
              <w:spacing w:after="0" w:line="92" w:lineRule="exact"/>
              <w:rPr>
                <w:sz w:val="20"/>
                <w:szCs w:val="20"/>
                <w:color w:val="auto"/>
              </w:rPr>
            </w:pPr>
            <w:r>
              <w:rPr>
                <w:rFonts w:ascii="Verdana" w:cs="Verdana" w:eastAsia="Verdana" w:hAnsi="Verdana"/>
                <w:sz w:val="10"/>
                <w:szCs w:val="10"/>
                <w:b w:val="1"/>
                <w:bCs w:val="1"/>
                <w:color w:val="auto"/>
                <w:w w:val="98"/>
              </w:rPr>
              <w:t>Individually</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tcPr>
          <w:p>
            <w:pPr>
              <w:jc w:val="center"/>
              <w:ind w:right="220"/>
              <w:spacing w:after="0" w:line="92" w:lineRule="exact"/>
              <w:rPr>
                <w:sz w:val="20"/>
                <w:szCs w:val="20"/>
                <w:color w:val="auto"/>
              </w:rPr>
            </w:pPr>
            <w:r>
              <w:rPr>
                <w:rFonts w:ascii="Verdana" w:cs="Verdana" w:eastAsia="Verdana" w:hAnsi="Verdana"/>
                <w:sz w:val="10"/>
                <w:szCs w:val="10"/>
                <w:b w:val="1"/>
                <w:bCs w:val="1"/>
                <w:color w:val="auto"/>
                <w:w w:val="99"/>
              </w:rPr>
              <w:t>Collectively</w:t>
            </w:r>
          </w:p>
        </w:tc>
        <w:tc>
          <w:tcPr>
            <w:tcW w:w="160" w:type="dxa"/>
            <w:vAlign w:val="bottom"/>
          </w:tcPr>
          <w:p>
            <w:pPr>
              <w:spacing w:after="0"/>
              <w:rPr>
                <w:sz w:val="7"/>
                <w:szCs w:val="7"/>
                <w:color w:val="auto"/>
              </w:rPr>
            </w:pPr>
          </w:p>
        </w:tc>
        <w:tc>
          <w:tcPr>
            <w:tcW w:w="1080" w:type="dxa"/>
            <w:vAlign w:val="bottom"/>
            <w:gridSpan w:val="2"/>
          </w:tcPr>
          <w:p>
            <w:pPr>
              <w:jc w:val="center"/>
              <w:ind w:right="220"/>
              <w:spacing w:after="0" w:line="92" w:lineRule="exact"/>
              <w:rPr>
                <w:sz w:val="20"/>
                <w:szCs w:val="20"/>
                <w:color w:val="auto"/>
              </w:rPr>
            </w:pPr>
            <w:r>
              <w:rPr>
                <w:rFonts w:ascii="Verdana" w:cs="Verdana" w:eastAsia="Verdana" w:hAnsi="Verdana"/>
                <w:sz w:val="10"/>
                <w:szCs w:val="10"/>
                <w:b w:val="1"/>
                <w:bCs w:val="1"/>
                <w:color w:val="auto"/>
                <w:w w:val="98"/>
              </w:rPr>
              <w:t>Individually</w:t>
            </w: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120" w:type="dxa"/>
            <w:vAlign w:val="bottom"/>
          </w:tcPr>
          <w:p>
            <w:pPr>
              <w:spacing w:after="0"/>
              <w:rPr>
                <w:sz w:val="8"/>
                <w:szCs w:val="8"/>
                <w:color w:val="auto"/>
              </w:rPr>
            </w:pPr>
          </w:p>
        </w:tc>
        <w:tc>
          <w:tcPr>
            <w:tcW w:w="1100" w:type="dxa"/>
            <w:vAlign w:val="bottom"/>
            <w:gridSpan w:val="2"/>
          </w:tcPr>
          <w:p>
            <w:pPr>
              <w:jc w:val="center"/>
              <w:ind w:right="20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240" w:type="dxa"/>
            <w:vAlign w:val="bottom"/>
          </w:tcPr>
          <w:p>
            <w:pPr>
              <w:spacing w:after="0"/>
              <w:rPr>
                <w:sz w:val="8"/>
                <w:szCs w:val="8"/>
                <w:color w:val="auto"/>
              </w:rPr>
            </w:pPr>
          </w:p>
        </w:tc>
        <w:tc>
          <w:tcPr>
            <w:tcW w:w="1000" w:type="dxa"/>
            <w:vAlign w:val="bottom"/>
            <w:gridSpan w:val="2"/>
            <w:vMerge w:val="restart"/>
          </w:tcPr>
          <w:p>
            <w:pPr>
              <w:ind w:left="200"/>
              <w:spacing w:after="0"/>
              <w:rPr>
                <w:sz w:val="20"/>
                <w:szCs w:val="20"/>
                <w:color w:val="auto"/>
              </w:rPr>
            </w:pPr>
            <w:r>
              <w:rPr>
                <w:rFonts w:ascii="Verdana" w:cs="Verdana" w:eastAsia="Verdana" w:hAnsi="Verdana"/>
                <w:sz w:val="10"/>
                <w:szCs w:val="10"/>
                <w:b w:val="1"/>
                <w:bCs w:val="1"/>
                <w:color w:val="auto"/>
              </w:rPr>
              <w:t>Total</w:t>
            </w:r>
          </w:p>
        </w:tc>
        <w:tc>
          <w:tcPr>
            <w:tcW w:w="160" w:type="dxa"/>
            <w:vAlign w:val="bottom"/>
          </w:tcPr>
          <w:p>
            <w:pPr>
              <w:spacing w:after="0"/>
              <w:rPr>
                <w:sz w:val="8"/>
                <w:szCs w:val="8"/>
                <w:color w:val="auto"/>
              </w:rPr>
            </w:pPr>
          </w:p>
        </w:tc>
        <w:tc>
          <w:tcPr>
            <w:tcW w:w="1060" w:type="dxa"/>
            <w:vAlign w:val="bottom"/>
            <w:gridSpan w:val="2"/>
          </w:tcPr>
          <w:p>
            <w:pPr>
              <w:jc w:val="center"/>
              <w:ind w:right="24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160" w:type="dxa"/>
            <w:vAlign w:val="bottom"/>
          </w:tcPr>
          <w:p>
            <w:pPr>
              <w:spacing w:after="0"/>
              <w:rPr>
                <w:sz w:val="8"/>
                <w:szCs w:val="8"/>
                <w:color w:val="auto"/>
              </w:rPr>
            </w:pPr>
          </w:p>
        </w:tc>
        <w:tc>
          <w:tcPr>
            <w:tcW w:w="1080" w:type="dxa"/>
            <w:vAlign w:val="bottom"/>
            <w:gridSpan w:val="2"/>
          </w:tcPr>
          <w:p>
            <w:pPr>
              <w:jc w:val="center"/>
              <w:ind w:right="220"/>
              <w:spacing w:after="0" w:line="96" w:lineRule="exact"/>
              <w:rPr>
                <w:sz w:val="20"/>
                <w:szCs w:val="20"/>
                <w:color w:val="auto"/>
              </w:rPr>
            </w:pPr>
            <w:r>
              <w:rPr>
                <w:rFonts w:ascii="Verdana" w:cs="Verdana" w:eastAsia="Verdana" w:hAnsi="Verdana"/>
                <w:sz w:val="10"/>
                <w:szCs w:val="10"/>
                <w:b w:val="1"/>
                <w:bCs w:val="1"/>
                <w:color w:val="auto"/>
                <w:w w:val="98"/>
              </w:rPr>
              <w:t>Evaluated for</w:t>
            </w:r>
          </w:p>
        </w:tc>
        <w:tc>
          <w:tcPr>
            <w:tcW w:w="360" w:type="dxa"/>
            <w:vAlign w:val="bottom"/>
          </w:tcPr>
          <w:p>
            <w:pPr>
              <w:spacing w:after="0"/>
              <w:rPr>
                <w:sz w:val="8"/>
                <w:szCs w:val="8"/>
                <w:color w:val="auto"/>
              </w:rPr>
            </w:pPr>
          </w:p>
        </w:tc>
        <w:tc>
          <w:tcPr>
            <w:tcW w:w="800" w:type="dxa"/>
            <w:vAlign w:val="bottom"/>
            <w:vMerge w:val="restart"/>
          </w:tcPr>
          <w:p>
            <w:pPr>
              <w:jc w:val="right"/>
              <w:ind w:right="37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8"/>
              </w:rPr>
              <w:t>Impairment</w:t>
            </w:r>
          </w:p>
        </w:tc>
        <w:tc>
          <w:tcPr>
            <w:tcW w:w="12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Verdana" w:cs="Verdana" w:eastAsia="Verdana" w:hAnsi="Verdana"/>
                <w:sz w:val="10"/>
                <w:szCs w:val="10"/>
                <w:b w:val="1"/>
                <w:bCs w:val="1"/>
                <w:color w:val="auto"/>
                <w:w w:val="98"/>
              </w:rPr>
              <w:t>Impairment</w:t>
            </w: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Verdana" w:cs="Verdana" w:eastAsia="Verdana" w:hAnsi="Verdana"/>
                <w:sz w:val="10"/>
                <w:szCs w:val="10"/>
                <w:b w:val="1"/>
                <w:bCs w:val="1"/>
                <w:color w:val="auto"/>
                <w:w w:val="98"/>
              </w:rPr>
              <w:t>Impairment</w:t>
            </w:r>
          </w:p>
        </w:tc>
        <w:tc>
          <w:tcPr>
            <w:tcW w:w="16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Verdana" w:cs="Verdana" w:eastAsia="Verdana" w:hAnsi="Verdana"/>
                <w:sz w:val="10"/>
                <w:szCs w:val="10"/>
                <w:b w:val="1"/>
                <w:bCs w:val="1"/>
                <w:color w:val="auto"/>
                <w:w w:val="98"/>
              </w:rPr>
              <w:t>Impairment</w:t>
            </w:r>
          </w:p>
        </w:tc>
        <w:tc>
          <w:tcPr>
            <w:tcW w:w="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Portfolio loans and related ACL</w:t>
            </w: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0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16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6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8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Verdana" w:cs="Verdana" w:eastAsia="Verdana" w:hAnsi="Verdana"/>
                <w:sz w:val="14"/>
                <w:szCs w:val="14"/>
                <w:color w:val="auto"/>
              </w:rPr>
              <w:t>Commercial loans: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C&amp;I and other commercial</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1,833,624</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4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2,370</w:t>
            </w:r>
          </w:p>
        </w:tc>
        <w:tc>
          <w:tcPr>
            <w:tcW w:w="60" w:type="dxa"/>
            <w:vAlign w:val="bottom"/>
            <w:shd w:val="clear" w:color="auto" w:fill="E0E7ED"/>
          </w:tcPr>
          <w:p>
            <w:pPr>
              <w:spacing w:after="0"/>
              <w:rPr>
                <w:sz w:val="18"/>
                <w:szCs w:val="18"/>
                <w:color w:val="auto"/>
              </w:rPr>
            </w:pPr>
          </w:p>
        </w:tc>
        <w:tc>
          <w:tcPr>
            <w:tcW w:w="240" w:type="dxa"/>
            <w:vAlign w:val="bottom"/>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1,835,994</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20,471</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ind w:right="15"/>
              <w:spacing w:after="0"/>
              <w:rPr>
                <w:sz w:val="20"/>
                <w:szCs w:val="20"/>
                <w:color w:val="auto"/>
              </w:rPr>
            </w:pPr>
            <w:r>
              <w:rPr>
                <w:rFonts w:ascii="Verdana" w:cs="Verdana" w:eastAsia="Verdana" w:hAnsi="Verdana"/>
                <w:sz w:val="14"/>
                <w:szCs w:val="14"/>
                <w:color w:val="auto"/>
              </w:rPr>
              <w:t>785</w:t>
            </w:r>
          </w:p>
        </w:tc>
        <w:tc>
          <w:tcPr>
            <w:tcW w:w="6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8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21,256</w:t>
            </w:r>
          </w:p>
        </w:tc>
        <w:tc>
          <w:tcPr>
            <w:tcW w:w="0" w:type="dxa"/>
            <w:vAlign w:val="bottom"/>
          </w:tcPr>
          <w:p>
            <w:pPr>
              <w:spacing w:after="0"/>
              <w:rPr>
                <w:sz w:val="1"/>
                <w:szCs w:val="1"/>
                <w:color w:val="auto"/>
              </w:rPr>
            </w:pPr>
          </w:p>
        </w:tc>
      </w:tr>
      <w:tr>
        <w:trPr>
          <w:trHeight w:val="207"/>
        </w:trPr>
        <w:tc>
          <w:tcPr>
            <w:tcW w:w="3960" w:type="dxa"/>
            <w:vAlign w:val="bottom"/>
          </w:tcPr>
          <w:p>
            <w:pPr>
              <w:ind w:left="280"/>
              <w:spacing w:after="0"/>
              <w:rPr>
                <w:sz w:val="20"/>
                <w:szCs w:val="20"/>
                <w:color w:val="auto"/>
              </w:rPr>
            </w:pPr>
            <w:r>
              <w:rPr>
                <w:rFonts w:ascii="Verdana" w:cs="Verdana" w:eastAsia="Verdana" w:hAnsi="Verdana"/>
                <w:sz w:val="14"/>
                <w:szCs w:val="14"/>
                <w:color w:val="auto"/>
              </w:rPr>
              <w:t>CRE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3,336,642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Verdana" w:cs="Verdana" w:eastAsia="Verdana" w:hAnsi="Verdana"/>
                <w:sz w:val="14"/>
                <w:szCs w:val="14"/>
                <w:color w:val="auto"/>
              </w:rPr>
              <w:t>695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Verdana" w:cs="Verdana" w:eastAsia="Verdana" w:hAnsi="Verdana"/>
                <w:sz w:val="14"/>
                <w:szCs w:val="14"/>
                <w:color w:val="auto"/>
              </w:rPr>
              <w:t>3,337,337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35,380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Verdana" w:cs="Verdana" w:eastAsia="Verdana" w:hAnsi="Verdana"/>
                <w:sz w:val="14"/>
                <w:szCs w:val="14"/>
                <w:color w:val="auto"/>
              </w:rPr>
              <w:t>85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Verdana" w:cs="Verdana" w:eastAsia="Verdana" w:hAnsi="Verdana"/>
                <w:sz w:val="14"/>
                <w:szCs w:val="14"/>
                <w:color w:val="auto"/>
              </w:rPr>
              <w:t>35,465</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Real estate construction</w:t>
            </w: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461,717</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1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461,717</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5,163</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5,163</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Commercial loans and related ACL</w:t>
            </w: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5,631,983</w:t>
            </w:r>
          </w:p>
        </w:tc>
        <w:tc>
          <w:tcPr>
            <w:tcW w:w="80" w:type="dxa"/>
            <w:vAlign w:val="bottom"/>
            <w:tcBorders>
              <w:bottom w:val="single" w:sz="8" w:color="E0E7ED"/>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3,065</w:t>
            </w:r>
          </w:p>
        </w:tc>
        <w:tc>
          <w:tcPr>
            <w:tcW w:w="60" w:type="dxa"/>
            <w:vAlign w:val="bottom"/>
            <w:tcBorders>
              <w:bottom w:val="single" w:sz="8" w:color="E0E7E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5,635,048</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61,014</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870</w:t>
            </w:r>
          </w:p>
        </w:tc>
        <w:tc>
          <w:tcPr>
            <w:tcW w:w="60" w:type="dxa"/>
            <w:vAlign w:val="bottom"/>
            <w:tcBorders>
              <w:bottom w:val="single" w:sz="8" w:color="E0E7ED"/>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61,884</w:t>
            </w:r>
          </w:p>
        </w:tc>
        <w:tc>
          <w:tcPr>
            <w:tcW w:w="0" w:type="dxa"/>
            <w:vAlign w:val="bottom"/>
          </w:tcPr>
          <w:p>
            <w:pPr>
              <w:spacing w:after="0"/>
              <w:rPr>
                <w:sz w:val="1"/>
                <w:szCs w:val="1"/>
                <w:color w:val="auto"/>
              </w:rPr>
            </w:pPr>
          </w:p>
        </w:tc>
      </w:tr>
      <w:tr>
        <w:trPr>
          <w:trHeight w:val="198"/>
        </w:trPr>
        <w:tc>
          <w:tcPr>
            <w:tcW w:w="39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Retail loans:</w:t>
            </w:r>
          </w:p>
        </w:tc>
        <w:tc>
          <w:tcPr>
            <w:tcW w:w="1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0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60" w:type="dxa"/>
            <w:vAlign w:val="bottom"/>
            <w:shd w:val="clear" w:color="auto" w:fill="E0E7ED"/>
          </w:tcPr>
          <w:p>
            <w:pPr>
              <w:spacing w:after="0"/>
              <w:rPr>
                <w:sz w:val="17"/>
                <w:szCs w:val="17"/>
                <w:color w:val="auto"/>
              </w:rPr>
            </w:pPr>
          </w:p>
        </w:tc>
        <w:tc>
          <w:tcPr>
            <w:tcW w:w="36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80"/>
              <w:spacing w:after="0"/>
              <w:rPr>
                <w:sz w:val="20"/>
                <w:szCs w:val="20"/>
                <w:color w:val="auto"/>
              </w:rPr>
            </w:pPr>
            <w:r>
              <w:rPr>
                <w:rFonts w:ascii="Verdana" w:cs="Verdana" w:eastAsia="Verdana" w:hAnsi="Verdana"/>
                <w:sz w:val="14"/>
                <w:szCs w:val="14"/>
                <w:color w:val="auto"/>
              </w:rPr>
              <w:t>Retail real estate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1,720,369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Verdana" w:cs="Verdana" w:eastAsia="Verdana" w:hAnsi="Verdana"/>
                <w:sz w:val="14"/>
                <w:szCs w:val="14"/>
                <w:color w:val="auto"/>
              </w:rPr>
              <w:t>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Verdana" w:cs="Verdana" w:eastAsia="Verdana" w:hAnsi="Verdana"/>
                <w:sz w:val="14"/>
                <w:szCs w:val="14"/>
                <w:color w:val="auto"/>
              </w:rPr>
              <w:t>1,720,455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Verdana" w:cs="Verdana" w:eastAsia="Verdana" w:hAnsi="Verdana"/>
                <w:sz w:val="14"/>
                <w:szCs w:val="14"/>
                <w:color w:val="auto"/>
              </w:rPr>
              <w:t>26,273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Verdana" w:cs="Verdana" w:eastAsia="Verdana" w:hAnsi="Verdana"/>
                <w:sz w:val="14"/>
                <w:szCs w:val="14"/>
                <w:color w:val="auto"/>
              </w:rPr>
              <w:t>25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Verdana" w:cs="Verdana" w:eastAsia="Verdana" w:hAnsi="Verdana"/>
                <w:sz w:val="14"/>
                <w:szCs w:val="14"/>
                <w:color w:val="auto"/>
              </w:rPr>
              <w:t>26,298</w:t>
            </w:r>
          </w:p>
        </w:tc>
        <w:tc>
          <w:tcPr>
            <w:tcW w:w="0" w:type="dxa"/>
            <w:vAlign w:val="bottom"/>
          </w:tcPr>
          <w:p>
            <w:pPr>
              <w:spacing w:after="0"/>
              <w:rPr>
                <w:sz w:val="1"/>
                <w:szCs w:val="1"/>
                <w:color w:val="auto"/>
              </w:rPr>
            </w:pPr>
          </w:p>
        </w:tc>
      </w:tr>
      <w:tr>
        <w:trPr>
          <w:trHeight w:val="212"/>
        </w:trPr>
        <w:tc>
          <w:tcPr>
            <w:tcW w:w="39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Retail other</w:t>
            </w: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295,531</w:t>
            </w:r>
          </w:p>
        </w:tc>
        <w:tc>
          <w:tcPr>
            <w:tcW w:w="8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11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240" w:type="dxa"/>
            <w:vAlign w:val="bottom"/>
            <w:shd w:val="clear" w:color="auto" w:fill="E0E7ED"/>
          </w:tcPr>
          <w:p>
            <w:pPr>
              <w:spacing w:after="0"/>
              <w:rPr>
                <w:sz w:val="18"/>
                <w:szCs w:val="18"/>
                <w:color w:val="auto"/>
              </w:rPr>
            </w:pP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295,531</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3,558</w:t>
            </w:r>
          </w:p>
        </w:tc>
        <w:tc>
          <w:tcPr>
            <w:tcW w:w="6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108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3,558</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Retail loans and related ACL</w:t>
            </w: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2,015,900</w:t>
            </w:r>
          </w:p>
        </w:tc>
        <w:tc>
          <w:tcPr>
            <w:tcW w:w="80" w:type="dxa"/>
            <w:vAlign w:val="bottom"/>
            <w:tcBorders>
              <w:bottom w:val="single" w:sz="8" w:color="E0E7ED"/>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86</w:t>
            </w:r>
          </w:p>
        </w:tc>
        <w:tc>
          <w:tcPr>
            <w:tcW w:w="60" w:type="dxa"/>
            <w:vAlign w:val="bottom"/>
            <w:tcBorders>
              <w:bottom w:val="single" w:sz="8" w:color="E0E7E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2,015,986</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29,831</w:t>
            </w:r>
          </w:p>
        </w:tc>
        <w:tc>
          <w:tcPr>
            <w:tcW w:w="60" w:type="dxa"/>
            <w:vAlign w:val="bottom"/>
            <w:tcBorders>
              <w:bottom w:val="single" w:sz="8" w:color="E0E7ED"/>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Verdana" w:cs="Verdana" w:eastAsia="Verdana" w:hAnsi="Verdana"/>
                <w:sz w:val="14"/>
                <w:szCs w:val="14"/>
                <w:color w:val="auto"/>
              </w:rPr>
              <w:t>25</w:t>
            </w:r>
          </w:p>
        </w:tc>
        <w:tc>
          <w:tcPr>
            <w:tcW w:w="60" w:type="dxa"/>
            <w:vAlign w:val="bottom"/>
            <w:tcBorders>
              <w:bottom w:val="single" w:sz="8" w:color="E0E7ED"/>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29,856</w:t>
            </w:r>
          </w:p>
        </w:tc>
        <w:tc>
          <w:tcPr>
            <w:tcW w:w="0" w:type="dxa"/>
            <w:vAlign w:val="bottom"/>
          </w:tcPr>
          <w:p>
            <w:pPr>
              <w:spacing w:after="0"/>
              <w:rPr>
                <w:sz w:val="1"/>
                <w:szCs w:val="1"/>
                <w:color w:val="auto"/>
              </w:rPr>
            </w:pPr>
          </w:p>
        </w:tc>
      </w:tr>
      <w:tr>
        <w:trPr>
          <w:trHeight w:val="233"/>
        </w:trPr>
        <w:tc>
          <w:tcPr>
            <w:tcW w:w="3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Portfolio loans and related ACL</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7,647,883</w:t>
            </w:r>
          </w:p>
        </w:tc>
        <w:tc>
          <w:tcPr>
            <w:tcW w:w="80" w:type="dxa"/>
            <w:vAlign w:val="bottom"/>
            <w:tcBorders>
              <w:bottom w:val="single" w:sz="8" w:color="E0E7ED"/>
            </w:tcBorders>
            <w:shd w:val="clear" w:color="auto" w:fill="E0E7ED"/>
          </w:tcPr>
          <w:p>
            <w:pPr>
              <w:spacing w:after="0"/>
              <w:rPr>
                <w:sz w:val="19"/>
                <w:szCs w:val="19"/>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3,151</w:t>
            </w:r>
          </w:p>
        </w:tc>
        <w:tc>
          <w:tcPr>
            <w:tcW w:w="60" w:type="dxa"/>
            <w:vAlign w:val="bottom"/>
            <w:tcBorders>
              <w:bottom w:val="single" w:sz="8" w:color="E0E7ED"/>
            </w:tcBorders>
            <w:shd w:val="clear" w:color="auto" w:fill="E0E7ED"/>
          </w:tcPr>
          <w:p>
            <w:pPr>
              <w:spacing w:after="0"/>
              <w:rPr>
                <w:sz w:val="19"/>
                <w:szCs w:val="19"/>
                <w:color w:val="auto"/>
              </w:rPr>
            </w:pPr>
          </w:p>
        </w:tc>
        <w:tc>
          <w:tcPr>
            <w:tcW w:w="240" w:type="dxa"/>
            <w:vAlign w:val="bottom"/>
            <w:tcBorders>
              <w:bottom w:val="single" w:sz="8" w:color="auto"/>
            </w:tcBorders>
            <w:shd w:val="clear" w:color="auto" w:fill="E0E7ED"/>
          </w:tcPr>
          <w:p>
            <w:pPr>
              <w:jc w:val="right"/>
              <w:ind w:right="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7,651,034</w:t>
            </w:r>
          </w:p>
        </w:tc>
        <w:tc>
          <w:tcPr>
            <w:tcW w:w="60" w:type="dxa"/>
            <w:vAlign w:val="bottom"/>
            <w:tcBorders>
              <w:bottom w:val="single" w:sz="8" w:color="E0E7ED"/>
            </w:tcBorders>
            <w:shd w:val="clear" w:color="auto" w:fill="E0E7ED"/>
          </w:tcPr>
          <w:p>
            <w:pPr>
              <w:spacing w:after="0"/>
              <w:rPr>
                <w:sz w:val="19"/>
                <w:szCs w:val="19"/>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90,845</w:t>
            </w:r>
          </w:p>
        </w:tc>
        <w:tc>
          <w:tcPr>
            <w:tcW w:w="60" w:type="dxa"/>
            <w:vAlign w:val="bottom"/>
            <w:tcBorders>
              <w:bottom w:val="single" w:sz="8" w:color="E0E7ED"/>
            </w:tcBorders>
            <w:shd w:val="clear" w:color="auto" w:fill="E0E7ED"/>
          </w:tcPr>
          <w:p>
            <w:pPr>
              <w:spacing w:after="0"/>
              <w:rPr>
                <w:sz w:val="19"/>
                <w:szCs w:val="19"/>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4"/>
                <w:szCs w:val="14"/>
                <w:color w:val="auto"/>
              </w:rPr>
              <w:t>895</w:t>
            </w:r>
          </w:p>
        </w:tc>
        <w:tc>
          <w:tcPr>
            <w:tcW w:w="60" w:type="dxa"/>
            <w:vAlign w:val="bottom"/>
            <w:tcBorders>
              <w:bottom w:val="single" w:sz="8" w:color="E0E7ED"/>
            </w:tcBorders>
            <w:shd w:val="clear" w:color="auto" w:fill="E0E7ED"/>
          </w:tcPr>
          <w:p>
            <w:pPr>
              <w:spacing w:after="0"/>
              <w:rPr>
                <w:sz w:val="19"/>
                <w:szCs w:val="19"/>
                <w:color w:val="auto"/>
              </w:rPr>
            </w:pPr>
          </w:p>
        </w:tc>
        <w:tc>
          <w:tcPr>
            <w:tcW w:w="360" w:type="dxa"/>
            <w:vAlign w:val="bottom"/>
            <w:tcBorders>
              <w:bottom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91,740</w:t>
            </w:r>
          </w:p>
        </w:tc>
        <w:tc>
          <w:tcPr>
            <w:tcW w:w="0" w:type="dxa"/>
            <w:vAlign w:val="bottom"/>
          </w:tcPr>
          <w:p>
            <w:pPr>
              <w:spacing w:after="0"/>
              <w:rPr>
                <w:sz w:val="1"/>
                <w:szCs w:val="1"/>
                <w:color w:val="auto"/>
              </w:rPr>
            </w:pPr>
          </w:p>
        </w:tc>
      </w:tr>
      <w:tr>
        <w:trPr>
          <w:trHeight w:val="20"/>
        </w:trPr>
        <w:tc>
          <w:tcPr>
            <w:tcW w:w="39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6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4" w:name="page135"/>
    <w:bookmarkEnd w:id="13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5. OTHER REAL ESTATE OWNED AND OTHER REPOSSESSED ASSETS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OREO and other repossessed assets represent properties and other assets acquired through foreclosure or other proceedings in settlement of loans and is included in other assets in the accompanying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The following table summarizes the composition of Busey’s OREO and other repossessed asset balances as of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940" w:type="dxa"/>
            <w:vAlign w:val="bottom"/>
            <w:tcBorders>
              <w:bottom w:val="single" w:sz="8" w:color="auto"/>
            </w:tcBorders>
          </w:tcPr>
          <w:p>
            <w:pPr>
              <w:spacing w:after="0"/>
              <w:rPr>
                <w:sz w:val="11"/>
                <w:szCs w:val="11"/>
                <w:color w:val="auto"/>
              </w:rPr>
            </w:pPr>
          </w:p>
        </w:tc>
      </w:tr>
      <w:tr>
        <w:trPr>
          <w:trHeight w:val="131"/>
        </w:trPr>
        <w:tc>
          <w:tcPr>
            <w:tcW w:w="822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2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OREO</w:t>
            </w:r>
          </w:p>
        </w:tc>
        <w:tc>
          <w:tcPr>
            <w:tcW w:w="94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54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r>
      <w:tr>
        <w:trPr>
          <w:trHeight w:val="207"/>
        </w:trPr>
        <w:tc>
          <w:tcPr>
            <w:tcW w:w="82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Residential</w:t>
            </w:r>
          </w:p>
        </w:tc>
        <w:tc>
          <w:tcPr>
            <w:tcW w:w="940" w:type="dxa"/>
            <w:vAlign w:val="bottom"/>
            <w:tcBorders>
              <w:bottom w:val="single" w:sz="8" w:color="auto"/>
            </w:tcBorders>
          </w:tcPr>
          <w:p>
            <w:pPr>
              <w:jc w:val="right"/>
              <w:ind w:right="756"/>
              <w:spacing w:after="0"/>
              <w:rPr>
                <w:sz w:val="20"/>
                <w:szCs w:val="20"/>
                <w:color w:val="auto"/>
              </w:rPr>
            </w:pPr>
            <w:r>
              <w:rPr>
                <w:rFonts w:ascii="Verdana" w:cs="Verdana" w:eastAsia="Verdana" w:hAnsi="Verdana"/>
                <w:sz w:val="14"/>
                <w:szCs w:val="14"/>
                <w:color w:val="auto"/>
              </w:rPr>
              <w:t>$</w:t>
            </w:r>
          </w:p>
        </w:tc>
        <w:tc>
          <w:tcPr>
            <w:tcW w:w="5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63</w:t>
            </w:r>
          </w:p>
        </w:tc>
        <w:tc>
          <w:tcPr>
            <w:tcW w:w="80" w:type="dxa"/>
            <w:vAlign w:val="bottom"/>
            <w:tcBorders>
              <w:bottom w:val="single" w:sz="8" w:color="E0E7ED"/>
            </w:tcBorders>
          </w:tcPr>
          <w:p>
            <w:pPr>
              <w:spacing w:after="0"/>
              <w:rPr>
                <w:sz w:val="17"/>
                <w:szCs w:val="17"/>
                <w:color w:val="auto"/>
              </w:rPr>
            </w:pPr>
          </w:p>
        </w:tc>
        <w:tc>
          <w:tcPr>
            <w:tcW w:w="540" w:type="dxa"/>
            <w:vAlign w:val="bottom"/>
            <w:tcBorders>
              <w:bottom w:val="single" w:sz="8" w:color="auto"/>
            </w:tcBorders>
          </w:tcPr>
          <w:p>
            <w:pPr>
              <w:jc w:val="right"/>
              <w:ind w:right="3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125</w:t>
            </w:r>
          </w:p>
        </w:tc>
      </w:tr>
      <w:tr>
        <w:trPr>
          <w:trHeight w:val="233"/>
        </w:trPr>
        <w:tc>
          <w:tcPr>
            <w:tcW w:w="82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OREO and other repossessed assets</w:t>
            </w:r>
          </w:p>
        </w:tc>
        <w:tc>
          <w:tcPr>
            <w:tcW w:w="940" w:type="dxa"/>
            <w:vAlign w:val="bottom"/>
            <w:tcBorders>
              <w:bottom w:val="single" w:sz="8" w:color="auto"/>
            </w:tcBorders>
            <w:shd w:val="clear" w:color="auto" w:fill="E0E7ED"/>
          </w:tcPr>
          <w:p>
            <w:pPr>
              <w:jc w:val="right"/>
              <w:ind w:right="756"/>
              <w:spacing w:after="0"/>
              <w:rPr>
                <w:sz w:val="20"/>
                <w:szCs w:val="20"/>
                <w:color w:val="auto"/>
              </w:rPr>
            </w:pPr>
            <w:r>
              <w:rPr>
                <w:rFonts w:ascii="Verdana" w:cs="Verdana" w:eastAsia="Verdana" w:hAnsi="Verdana"/>
                <w:sz w:val="14"/>
                <w:szCs w:val="14"/>
                <w:color w:val="auto"/>
              </w:rPr>
              <w:t>$</w:t>
            </w:r>
          </w:p>
        </w:tc>
        <w:tc>
          <w:tcPr>
            <w:tcW w:w="5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63</w:t>
            </w:r>
          </w:p>
        </w:tc>
        <w:tc>
          <w:tcPr>
            <w:tcW w:w="80" w:type="dxa"/>
            <w:vAlign w:val="bottom"/>
            <w:tcBorders>
              <w:bottom w:val="single" w:sz="8" w:color="E0E7ED"/>
            </w:tcBorders>
            <w:shd w:val="clear" w:color="auto" w:fill="E0E7ED"/>
          </w:tcPr>
          <w:p>
            <w:pPr>
              <w:spacing w:after="0"/>
              <w:rPr>
                <w:sz w:val="19"/>
                <w:szCs w:val="19"/>
                <w:color w:val="auto"/>
              </w:rPr>
            </w:pPr>
          </w:p>
        </w:tc>
        <w:tc>
          <w:tcPr>
            <w:tcW w:w="540" w:type="dxa"/>
            <w:vAlign w:val="bottom"/>
            <w:tcBorders>
              <w:bottom w:val="single" w:sz="8" w:color="auto"/>
            </w:tcBorders>
            <w:shd w:val="clear" w:color="auto" w:fill="E0E7ED"/>
          </w:tcPr>
          <w:p>
            <w:pPr>
              <w:jc w:val="right"/>
              <w:ind w:right="3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125</w:t>
            </w:r>
          </w:p>
        </w:tc>
      </w:tr>
      <w:tr>
        <w:trPr>
          <w:trHeight w:val="20"/>
        </w:trPr>
        <w:tc>
          <w:tcPr>
            <w:tcW w:w="822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summarizes changes in the OREO and other repossessed assets balance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100" w:type="dxa"/>
            <w:vAlign w:val="bottom"/>
            <w:tcBorders>
              <w:bottom w:val="single" w:sz="8" w:color="auto"/>
            </w:tcBorders>
          </w:tcPr>
          <w:p>
            <w:pPr>
              <w:jc w:val="right"/>
              <w:ind w:right="96"/>
              <w:spacing w:after="0"/>
              <w:rPr>
                <w:sz w:val="20"/>
                <w:szCs w:val="20"/>
                <w:color w:val="auto"/>
              </w:rPr>
            </w:pPr>
            <w:r>
              <w:rPr>
                <w:rFonts w:ascii="Verdana" w:cs="Verdana" w:eastAsia="Verdana" w:hAnsi="Verdana"/>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2"/>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OREO and other repossessed assets at January 1</w:t>
            </w:r>
          </w:p>
        </w:tc>
        <w:tc>
          <w:tcPr>
            <w:tcW w:w="1100" w:type="dxa"/>
            <w:vAlign w:val="bottom"/>
            <w:shd w:val="clear" w:color="auto" w:fill="E0E7ED"/>
          </w:tcPr>
          <w:p>
            <w:pPr>
              <w:jc w:val="right"/>
              <w:ind w:right="936"/>
              <w:spacing w:after="0"/>
              <w:rPr>
                <w:sz w:val="20"/>
                <w:szCs w:val="20"/>
                <w:color w:val="auto"/>
              </w:rPr>
            </w:pPr>
            <w:r>
              <w:rPr>
                <w:rFonts w:ascii="Verdana" w:cs="Verdana" w:eastAsia="Verdana" w:hAnsi="Verdana"/>
                <w:sz w:val="14"/>
                <w:szCs w:val="14"/>
                <w:color w:val="auto"/>
                <w:w w:val="88"/>
              </w:rPr>
              <w:t>$</w:t>
            </w:r>
          </w:p>
        </w:tc>
        <w:tc>
          <w:tcPr>
            <w:tcW w:w="50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125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850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4,416</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Additions, transfers from loans</w:t>
            </w:r>
          </w:p>
        </w:tc>
        <w:tc>
          <w:tcPr>
            <w:tcW w:w="110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Verdana" w:cs="Verdana" w:eastAsia="Verdana" w:hAnsi="Verdana"/>
                <w:sz w:val="14"/>
                <w:szCs w:val="14"/>
                <w:color w:val="auto"/>
              </w:rPr>
              <w:t>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175</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Sales</w:t>
            </w:r>
          </w:p>
        </w:tc>
        <w:tc>
          <w:tcPr>
            <w:tcW w:w="1100" w:type="dxa"/>
            <w:vAlign w:val="bottom"/>
            <w:shd w:val="clear" w:color="auto" w:fill="E0E7ED"/>
          </w:tcPr>
          <w:p>
            <w:pPr>
              <w:spacing w:after="0"/>
              <w:rPr>
                <w:sz w:val="18"/>
                <w:szCs w:val="18"/>
                <w:color w:val="auto"/>
              </w:rPr>
            </w:pPr>
          </w:p>
        </w:tc>
        <w:tc>
          <w:tcPr>
            <w:tcW w:w="5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(770)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(2,565)</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Cash payments collected</w:t>
            </w:r>
          </w:p>
        </w:tc>
        <w:tc>
          <w:tcPr>
            <w:tcW w:w="1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rPr>
              <w:t>(4)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(565)</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Impairment of OREO and other repossessed assets</w:t>
            </w:r>
          </w:p>
        </w:tc>
        <w:tc>
          <w:tcPr>
            <w:tcW w:w="1100" w:type="dxa"/>
            <w:vAlign w:val="bottom"/>
            <w:shd w:val="clear" w:color="auto" w:fill="E0E7ED"/>
          </w:tcPr>
          <w:p>
            <w:pPr>
              <w:spacing w:after="0"/>
              <w:rPr>
                <w:sz w:val="18"/>
                <w:szCs w:val="18"/>
                <w:color w:val="auto"/>
              </w:rPr>
            </w:pPr>
          </w:p>
        </w:tc>
        <w:tc>
          <w:tcPr>
            <w:tcW w:w="5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(611)</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OREO and other repossessed assets at December 31</w:t>
            </w: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Verdana" w:cs="Verdana" w:eastAsia="Verdana" w:hAnsi="Verdana"/>
                <w:sz w:val="14"/>
                <w:szCs w:val="14"/>
                <w:color w:val="auto"/>
                <w:w w:val="88"/>
              </w:rPr>
              <w:t>$</w:t>
            </w:r>
          </w:p>
        </w:tc>
        <w:tc>
          <w:tcPr>
            <w:tcW w:w="500" w:type="dxa"/>
            <w:vAlign w:val="bottom"/>
            <w:tcBorders>
              <w:top w:val="single" w:sz="8" w:color="auto"/>
              <w:bottom w:val="single" w:sz="8" w:color="auto"/>
            </w:tcBorders>
          </w:tcPr>
          <w:p>
            <w:pPr>
              <w:jc w:val="right"/>
              <w:ind w:right="9"/>
              <w:spacing w:after="0"/>
              <w:rPr>
                <w:sz w:val="20"/>
                <w:szCs w:val="20"/>
                <w:color w:val="auto"/>
              </w:rPr>
            </w:pPr>
            <w:r>
              <w:rPr>
                <w:rFonts w:ascii="Verdana" w:cs="Verdana" w:eastAsia="Verdana" w:hAnsi="Verdana"/>
                <w:sz w:val="14"/>
                <w:szCs w:val="14"/>
                <w:color w:val="auto"/>
              </w:rPr>
              <w:t>63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125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850</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recorded investment in residential real estate loans that were in the process of foreclosure was $0.4 million as of December 31, 2024, and $0.3 million as of December 31, 2023. Busey follows Federal Housing Finance Agency guidelines on single-family foreclosures and real estate owned evictions on portfolio loans.</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Busey incurs operating expenses for, and may have income from, OREO and other repossessed assets. Upon sale, Busey may recognize a gain or loss on the sale of OREO and other repossessed assets. The table below summarizes the effect of these activities, included in other expense on Busey’s </w:t>
      </w:r>
      <w:r>
        <w:rPr>
          <w:rFonts w:ascii="Verdana" w:cs="Verdana" w:eastAsia="Verdana" w:hAnsi="Verdana"/>
          <w:sz w:val="14"/>
          <w:szCs w:val="14"/>
          <w:u w:val="single" w:color="auto"/>
          <w:color w:val="0000FF"/>
        </w:rPr>
        <w:t>Consolidated</w:t>
      </w:r>
      <w:r>
        <w:rPr>
          <w:rFonts w:ascii="Verdana" w:cs="Verdana" w:eastAsia="Verdana" w:hAnsi="Verdana"/>
          <w:sz w:val="14"/>
          <w:szCs w:val="14"/>
          <w:color w:val="auto"/>
        </w:rPr>
        <w:t xml:space="preserve"> </w:t>
      </w:r>
      <w:r>
        <w:rPr>
          <w:rFonts w:ascii="Verdana" w:cs="Verdana" w:eastAsia="Verdana" w:hAnsi="Verdana"/>
          <w:sz w:val="14"/>
          <w:szCs w:val="14"/>
          <w:u w:val="single" w:color="auto"/>
          <w:color w:val="0000FF"/>
        </w:rPr>
        <w:t>Statements of Income</w:t>
      </w:r>
      <w:r>
        <w:rPr>
          <w:rFonts w:ascii="Verdana" w:cs="Verdana" w:eastAsia="Verdana" w:hAnsi="Verdana"/>
          <w:sz w:val="14"/>
          <w:szCs w:val="14"/>
          <w:color w:val="0000FF"/>
        </w:rPr>
        <w:t xml:space="preserve"> </w:t>
      </w:r>
      <w:r>
        <w:rPr>
          <w:rFonts w:ascii="Verdana" w:cs="Verdana" w:eastAsia="Verdana" w:hAnsi="Verdana"/>
          <w:sz w:val="14"/>
          <w:szCs w:val="14"/>
          <w:i w:val="1"/>
          <w:iCs w:val="1"/>
          <w:color w:val="000000"/>
        </w:rPr>
        <w:t>(dollars in thousands)</w:t>
      </w:r>
      <w:r>
        <w:rPr>
          <w:rFonts w:ascii="Verdana" w:cs="Verdana" w:eastAsia="Verdana" w:hAnsi="Verdana"/>
          <w:sz w:val="14"/>
          <w:szCs w:val="14"/>
          <w:color w:val="000000"/>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100" w:type="dxa"/>
            <w:vAlign w:val="bottom"/>
            <w:tcBorders>
              <w:bottom w:val="single" w:sz="8" w:color="auto"/>
            </w:tcBorders>
          </w:tcPr>
          <w:p>
            <w:pPr>
              <w:jc w:val="right"/>
              <w:ind w:right="96"/>
              <w:spacing w:after="0"/>
              <w:rPr>
                <w:sz w:val="20"/>
                <w:szCs w:val="20"/>
                <w:color w:val="auto"/>
              </w:rPr>
            </w:pPr>
            <w:r>
              <w:rPr>
                <w:rFonts w:ascii="Verdana" w:cs="Verdana" w:eastAsia="Verdana" w:hAnsi="Verdana"/>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Activity for OREO and other repossessed assets</w:t>
            </w:r>
          </w:p>
        </w:tc>
        <w:tc>
          <w:tcPr>
            <w:tcW w:w="1100" w:type="dxa"/>
            <w:vAlign w:val="bottom"/>
            <w:shd w:val="clear" w:color="auto" w:fill="E0E7ED"/>
          </w:tcPr>
          <w:p>
            <w:pPr>
              <w:spacing w:after="0"/>
              <w:rPr>
                <w:sz w:val="17"/>
                <w:szCs w:val="17"/>
                <w:color w:val="auto"/>
              </w:rPr>
            </w:pPr>
          </w:p>
        </w:tc>
        <w:tc>
          <w:tcPr>
            <w:tcW w:w="5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Net gain (loss) on sales</w:t>
            </w:r>
          </w:p>
        </w:tc>
        <w:tc>
          <w:tcPr>
            <w:tcW w:w="1100" w:type="dxa"/>
            <w:vAlign w:val="bottom"/>
          </w:tcPr>
          <w:p>
            <w:pPr>
              <w:jc w:val="right"/>
              <w:ind w:right="936"/>
              <w:spacing w:after="0"/>
              <w:rPr>
                <w:sz w:val="20"/>
                <w:szCs w:val="20"/>
                <w:color w:val="auto"/>
              </w:rPr>
            </w:pPr>
            <w:r>
              <w:rPr>
                <w:rFonts w:ascii="Verdana" w:cs="Verdana" w:eastAsia="Verdana" w:hAnsi="Verdana"/>
                <w:sz w:val="14"/>
                <w:szCs w:val="14"/>
                <w:color w:val="auto"/>
                <w:w w:val="88"/>
              </w:rPr>
              <w:t>$</w:t>
            </w:r>
          </w:p>
        </w:tc>
        <w:tc>
          <w:tcPr>
            <w:tcW w:w="500" w:type="dxa"/>
            <w:vAlign w:val="bottom"/>
          </w:tcPr>
          <w:p>
            <w:pPr>
              <w:ind w:left="160"/>
              <w:spacing w:after="0"/>
              <w:rPr>
                <w:sz w:val="20"/>
                <w:szCs w:val="20"/>
                <w:color w:val="auto"/>
              </w:rPr>
            </w:pPr>
            <w:r>
              <w:rPr>
                <w:rFonts w:ascii="Verdana" w:cs="Verdana" w:eastAsia="Verdana" w:hAnsi="Verdana"/>
                <w:sz w:val="14"/>
                <w:szCs w:val="14"/>
                <w:color w:val="auto"/>
              </w:rPr>
              <w:t>585</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(54)</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(665)</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Operating income (expense), net</w:t>
            </w:r>
          </w:p>
        </w:tc>
        <w:tc>
          <w:tcPr>
            <w:tcW w:w="1100" w:type="dxa"/>
            <w:vAlign w:val="bottom"/>
            <w:tcBorders>
              <w:bottom w:val="single" w:sz="8" w:color="auto"/>
            </w:tcBorders>
            <w:shd w:val="clear" w:color="auto" w:fill="E0E7ED"/>
          </w:tcPr>
          <w:p>
            <w:pPr>
              <w:spacing w:after="0"/>
              <w:rPr>
                <w:sz w:val="18"/>
                <w:szCs w:val="18"/>
                <w:color w:val="auto"/>
              </w:rPr>
            </w:pPr>
          </w:p>
        </w:tc>
        <w:tc>
          <w:tcPr>
            <w:tcW w:w="500" w:type="dxa"/>
            <w:vAlign w:val="bottom"/>
            <w:tcBorders>
              <w:bottom w:val="single" w:sz="8" w:color="auto"/>
            </w:tcBorders>
            <w:shd w:val="clear" w:color="auto" w:fill="E0E7ED"/>
          </w:tcPr>
          <w:p>
            <w:pPr>
              <w:ind w:left="160"/>
              <w:spacing w:after="0"/>
              <w:rPr>
                <w:sz w:val="20"/>
                <w:szCs w:val="20"/>
                <w:color w:val="auto"/>
              </w:rPr>
            </w:pPr>
            <w:r>
              <w:rPr>
                <w:rFonts w:ascii="Verdana" w:cs="Verdana" w:eastAsia="Verdana" w:hAnsi="Verdana"/>
                <w:sz w:val="14"/>
                <w:szCs w:val="14"/>
                <w:color w:val="auto"/>
              </w:rPr>
              <w:t>(17)</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(67)</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(248)</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Activity for OREO and other repossessed assets</w:t>
            </w:r>
          </w:p>
        </w:tc>
        <w:tc>
          <w:tcPr>
            <w:tcW w:w="1100" w:type="dxa"/>
            <w:vAlign w:val="bottom"/>
            <w:tcBorders>
              <w:bottom w:val="single" w:sz="8" w:color="auto"/>
            </w:tcBorders>
          </w:tcPr>
          <w:p>
            <w:pPr>
              <w:jc w:val="right"/>
              <w:ind w:right="936"/>
              <w:spacing w:after="0"/>
              <w:rPr>
                <w:sz w:val="20"/>
                <w:szCs w:val="20"/>
                <w:color w:val="auto"/>
              </w:rPr>
            </w:pPr>
            <w:r>
              <w:rPr>
                <w:rFonts w:ascii="Verdana" w:cs="Verdana" w:eastAsia="Verdana" w:hAnsi="Verdana"/>
                <w:sz w:val="14"/>
                <w:szCs w:val="14"/>
                <w:color w:val="auto"/>
                <w:w w:val="88"/>
              </w:rPr>
              <w:t>$</w:t>
            </w:r>
          </w:p>
        </w:tc>
        <w:tc>
          <w:tcPr>
            <w:tcW w:w="500" w:type="dxa"/>
            <w:vAlign w:val="bottom"/>
            <w:tcBorders>
              <w:bottom w:val="single" w:sz="8" w:color="auto"/>
            </w:tcBorders>
          </w:tcPr>
          <w:p>
            <w:pPr>
              <w:ind w:left="160"/>
              <w:spacing w:after="0"/>
              <w:rPr>
                <w:sz w:val="20"/>
                <w:szCs w:val="20"/>
                <w:color w:val="auto"/>
              </w:rPr>
            </w:pPr>
            <w:r>
              <w:rPr>
                <w:rFonts w:ascii="Verdana" w:cs="Verdana" w:eastAsia="Verdana" w:hAnsi="Verdana"/>
                <w:sz w:val="14"/>
                <w:szCs w:val="14"/>
                <w:color w:val="auto"/>
              </w:rPr>
              <w:t>568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(913)</w:t>
            </w:r>
          </w:p>
        </w:tc>
      </w:tr>
      <w:tr>
        <w:trPr>
          <w:trHeight w:val="20"/>
        </w:trPr>
        <w:tc>
          <w:tcPr>
            <w:tcW w:w="6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5" w:name="page136"/>
    <w:bookmarkEnd w:id="13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6. PREMISES AND EQUIPMENT</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Premises and equipment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Premises and equipment</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Land and improvements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42,565</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43,076</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Buildings and improvements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130,185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128,322</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Furniture and equipment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53,945</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51,077</w:t>
            </w:r>
          </w:p>
        </w:tc>
      </w:tr>
      <w:tr>
        <w:trPr>
          <w:trHeight w:val="20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Premises and equipment, gross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226,695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222,475</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Accumulated depreciation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107,875</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99,881</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Premises and equipment, net</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118,820</w:t>
            </w:r>
          </w:p>
        </w:tc>
        <w:tc>
          <w:tcPr>
            <w:tcW w:w="100" w:type="dxa"/>
            <w:vAlign w:val="bottom"/>
            <w:tcBorders>
              <w:bottom w:val="single" w:sz="8" w:color="E0E7ED"/>
            </w:tcBorders>
            <w:shd w:val="clear" w:color="auto" w:fill="E0E7ED"/>
          </w:tcPr>
          <w:p>
            <w:pPr>
              <w:spacing w:after="0"/>
              <w:rPr>
                <w:sz w:val="19"/>
                <w:szCs w:val="19"/>
                <w:color w:val="auto"/>
              </w:rPr>
            </w:pPr>
          </w:p>
        </w:tc>
        <w:tc>
          <w:tcPr>
            <w:tcW w:w="560" w:type="dxa"/>
            <w:vAlign w:val="bottom"/>
            <w:tcBorders>
              <w:bottom w:val="single" w:sz="8" w:color="auto"/>
            </w:tcBorders>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122,594</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Depreciation expense is presented in the table below for the periods indicated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0"/>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Depreciation expense</w:t>
            </w:r>
          </w:p>
        </w:tc>
        <w:tc>
          <w:tcPr>
            <w:tcW w:w="1020" w:type="dxa"/>
            <w:vAlign w:val="bottom"/>
            <w:shd w:val="clear" w:color="auto" w:fill="E0E7ED"/>
          </w:tcPr>
          <w:p>
            <w:pPr>
              <w:jc w:val="right"/>
              <w:ind w:right="860"/>
              <w:spacing w:after="0"/>
              <w:rPr>
                <w:sz w:val="20"/>
                <w:szCs w:val="20"/>
                <w:color w:val="auto"/>
              </w:rPr>
            </w:pPr>
            <w:r>
              <w:rPr>
                <w:rFonts w:ascii="Verdana" w:cs="Verdana" w:eastAsia="Verdana" w:hAnsi="Verdana"/>
                <w:sz w:val="14"/>
                <w:szCs w:val="14"/>
                <w:color w:val="auto"/>
                <w:w w:val="88"/>
              </w:rPr>
              <w:t>$</w:t>
            </w:r>
          </w:p>
        </w:tc>
        <w:tc>
          <w:tcPr>
            <w:tcW w:w="58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9,503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20"/>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9,488</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10,482</w:t>
            </w: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7. LEASES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 as The Lessee</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has operating leases consisting primarily of equipment leases and real estate leases for banking centers, ATM locations, and office space. The following table summarizes lease related balances Busey reported in its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7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29"/>
              <w:spacing w:after="0"/>
              <w:rPr>
                <w:sz w:val="20"/>
                <w:szCs w:val="20"/>
                <w:color w:val="auto"/>
              </w:rPr>
            </w:pPr>
            <w:r>
              <w:rPr>
                <w:rFonts w:ascii="Verdana" w:cs="Verdana" w:eastAsia="Verdana" w:hAnsi="Verdana"/>
                <w:sz w:val="10"/>
                <w:szCs w:val="10"/>
                <w:b w:val="1"/>
                <w:bCs w:val="1"/>
                <w:color w:val="auto"/>
              </w:rPr>
              <w:t>As of December 31,</w:t>
            </w:r>
          </w:p>
        </w:tc>
        <w:tc>
          <w:tcPr>
            <w:tcW w:w="1100" w:type="dxa"/>
            <w:vAlign w:val="bottom"/>
            <w:tcBorders>
              <w:bottom w:val="single" w:sz="8" w:color="auto"/>
            </w:tcBorders>
          </w:tcPr>
          <w:p>
            <w:pPr>
              <w:spacing w:after="0"/>
              <w:rPr>
                <w:sz w:val="11"/>
                <w:szCs w:val="11"/>
                <w:color w:val="auto"/>
              </w:rPr>
            </w:pPr>
          </w:p>
        </w:tc>
      </w:tr>
      <w:tr>
        <w:trPr>
          <w:trHeight w:val="131"/>
        </w:trPr>
        <w:tc>
          <w:tcPr>
            <w:tcW w:w="778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55"/>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53"/>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77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Lease balances</w:t>
            </w:r>
          </w:p>
        </w:tc>
        <w:tc>
          <w:tcPr>
            <w:tcW w:w="420" w:type="dxa"/>
            <w:vAlign w:val="bottom"/>
            <w:shd w:val="clear" w:color="auto" w:fill="E0E7ED"/>
          </w:tcPr>
          <w:p>
            <w:pPr>
              <w:spacing w:after="0"/>
              <w:rPr>
                <w:sz w:val="17"/>
                <w:szCs w:val="17"/>
                <w:color w:val="auto"/>
              </w:rPr>
            </w:pPr>
          </w:p>
        </w:tc>
        <w:tc>
          <w:tcPr>
            <w:tcW w:w="13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60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r>
      <w:tr>
        <w:trPr>
          <w:trHeight w:val="207"/>
        </w:trPr>
        <w:tc>
          <w:tcPr>
            <w:tcW w:w="7780" w:type="dxa"/>
            <w:vAlign w:val="bottom"/>
          </w:tcPr>
          <w:p>
            <w:pPr>
              <w:ind w:left="140"/>
              <w:spacing w:after="0"/>
              <w:rPr>
                <w:sz w:val="20"/>
                <w:szCs w:val="20"/>
                <w:color w:val="auto"/>
              </w:rPr>
            </w:pPr>
            <w:r>
              <w:rPr>
                <w:rFonts w:ascii="Verdana" w:cs="Verdana" w:eastAsia="Verdana" w:hAnsi="Verdana"/>
                <w:sz w:val="14"/>
                <w:szCs w:val="14"/>
                <w:color w:val="auto"/>
              </w:rPr>
              <w:t>Right of use assets</w:t>
            </w: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5"/>
              <w:spacing w:after="0"/>
              <w:rPr>
                <w:sz w:val="20"/>
                <w:szCs w:val="20"/>
                <w:color w:val="auto"/>
              </w:rPr>
            </w:pPr>
            <w:r>
              <w:rPr>
                <w:rFonts w:ascii="Verdana" w:cs="Verdana" w:eastAsia="Verdana" w:hAnsi="Verdana"/>
                <w:sz w:val="14"/>
                <w:szCs w:val="14"/>
                <w:color w:val="auto"/>
              </w:rPr>
              <w:t>10,608</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3"/>
              <w:spacing w:after="0"/>
              <w:rPr>
                <w:sz w:val="20"/>
                <w:szCs w:val="20"/>
                <w:color w:val="auto"/>
              </w:rPr>
            </w:pPr>
            <w:r>
              <w:rPr>
                <w:rFonts w:ascii="Verdana" w:cs="Verdana" w:eastAsia="Verdana" w:hAnsi="Verdana"/>
                <w:sz w:val="14"/>
                <w:szCs w:val="14"/>
                <w:color w:val="auto"/>
              </w:rPr>
              <w:t>11,027</w:t>
            </w:r>
          </w:p>
        </w:tc>
      </w:tr>
      <w:tr>
        <w:trPr>
          <w:trHeight w:val="218"/>
        </w:trPr>
        <w:tc>
          <w:tcPr>
            <w:tcW w:w="77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Lease liabilities</w:t>
            </w: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ind w:right="155"/>
              <w:spacing w:after="0"/>
              <w:rPr>
                <w:sz w:val="20"/>
                <w:szCs w:val="20"/>
                <w:color w:val="auto"/>
              </w:rPr>
            </w:pPr>
            <w:r>
              <w:rPr>
                <w:rFonts w:ascii="Verdana" w:cs="Verdana" w:eastAsia="Verdana" w:hAnsi="Verdana"/>
                <w:sz w:val="14"/>
                <w:szCs w:val="14"/>
                <w:color w:val="auto"/>
              </w:rPr>
              <w:t>11,040</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53"/>
              <w:spacing w:after="0"/>
              <w:rPr>
                <w:sz w:val="20"/>
                <w:szCs w:val="20"/>
                <w:color w:val="auto"/>
              </w:rPr>
            </w:pPr>
            <w:r>
              <w:rPr>
                <w:rFonts w:ascii="Verdana" w:cs="Verdana" w:eastAsia="Verdana" w:hAnsi="Verdana"/>
                <w:sz w:val="14"/>
                <w:szCs w:val="14"/>
                <w:color w:val="auto"/>
              </w:rPr>
              <w:t>11,308</w:t>
            </w:r>
          </w:p>
        </w:tc>
      </w:tr>
      <w:tr>
        <w:trPr>
          <w:trHeight w:val="212"/>
        </w:trPr>
        <w:tc>
          <w:tcPr>
            <w:tcW w:w="7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778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Lease terms</w:t>
            </w: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r>
      <w:tr>
        <w:trPr>
          <w:trHeight w:val="207"/>
        </w:trPr>
        <w:tc>
          <w:tcPr>
            <w:tcW w:w="7780" w:type="dxa"/>
            <w:vAlign w:val="bottom"/>
          </w:tcPr>
          <w:p>
            <w:pPr>
              <w:ind w:left="140"/>
              <w:spacing w:after="0"/>
              <w:rPr>
                <w:sz w:val="20"/>
                <w:szCs w:val="20"/>
                <w:color w:val="auto"/>
              </w:rPr>
            </w:pPr>
            <w:r>
              <w:rPr>
                <w:rFonts w:ascii="Verdana" w:cs="Verdana" w:eastAsia="Verdana" w:hAnsi="Verdana"/>
                <w:sz w:val="14"/>
                <w:szCs w:val="14"/>
                <w:color w:val="auto"/>
              </w:rPr>
              <w:t>Year through which lease terms extend</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2039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Verdana" w:cs="Verdana" w:eastAsia="Verdana" w:hAnsi="Verdana"/>
                <w:sz w:val="14"/>
                <w:szCs w:val="14"/>
                <w:color w:val="auto"/>
              </w:rPr>
              <w:t>2037</w:t>
            </w:r>
          </w:p>
        </w:tc>
      </w:tr>
      <w:tr>
        <w:trPr>
          <w:trHeight w:val="218"/>
        </w:trPr>
        <w:tc>
          <w:tcPr>
            <w:tcW w:w="77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remaining lease term</w:t>
            </w:r>
          </w:p>
        </w:tc>
        <w:tc>
          <w:tcPr>
            <w:tcW w:w="42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4"/>
                <w:szCs w:val="14"/>
                <w:color w:val="auto"/>
              </w:rPr>
              <w:t>7.55 years</w:t>
            </w: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8.39 years</w:t>
            </w:r>
          </w:p>
        </w:tc>
      </w:tr>
      <w:tr>
        <w:trPr>
          <w:trHeight w:val="201"/>
        </w:trPr>
        <w:tc>
          <w:tcPr>
            <w:tcW w:w="7780" w:type="dxa"/>
            <w:vAlign w:val="bottom"/>
          </w:tcPr>
          <w:p>
            <w:pPr>
              <w:ind w:left="140"/>
              <w:spacing w:after="0"/>
              <w:rPr>
                <w:sz w:val="20"/>
                <w:szCs w:val="20"/>
                <w:color w:val="auto"/>
              </w:rPr>
            </w:pPr>
            <w:r>
              <w:rPr>
                <w:rFonts w:ascii="Verdana" w:cs="Verdana" w:eastAsia="Verdana" w:hAnsi="Verdana"/>
                <w:sz w:val="14"/>
                <w:szCs w:val="14"/>
                <w:color w:val="auto"/>
              </w:rPr>
              <w:t>Weighted average discount rate</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3.77 %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Verdana" w:cs="Verdana" w:eastAsia="Verdana" w:hAnsi="Verdana"/>
                <w:sz w:val="14"/>
                <w:szCs w:val="14"/>
                <w:color w:val="auto"/>
              </w:rPr>
              <w:t>3.59 %</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6" w:name="page137"/>
    <w:bookmarkEnd w:id="13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following table presents lease costs, which are included in net occupancy and equipment expense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94"/>
              <w:spacing w:after="0"/>
              <w:rPr>
                <w:sz w:val="20"/>
                <w:szCs w:val="20"/>
                <w:color w:val="auto"/>
              </w:rPr>
            </w:pPr>
            <w:r>
              <w:rPr>
                <w:rFonts w:ascii="Verdana" w:cs="Verdana" w:eastAsia="Verdana" w:hAnsi="Verdana"/>
                <w:sz w:val="10"/>
                <w:szCs w:val="10"/>
                <w:b w:val="1"/>
                <w:bCs w:val="1"/>
                <w:color w:val="auto"/>
                <w:w w:val="98"/>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Lease costs</w:t>
            </w: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Operating lease costs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4"/>
              <w:spacing w:after="0"/>
              <w:rPr>
                <w:sz w:val="20"/>
                <w:szCs w:val="20"/>
                <w:color w:val="auto"/>
              </w:rPr>
            </w:pPr>
            <w:r>
              <w:rPr>
                <w:rFonts w:ascii="Verdana" w:cs="Verdana" w:eastAsia="Verdana" w:hAnsi="Verdana"/>
                <w:sz w:val="14"/>
                <w:szCs w:val="14"/>
                <w:color w:val="auto"/>
              </w:rPr>
              <w:t>2,352</w:t>
            </w:r>
          </w:p>
        </w:tc>
        <w:tc>
          <w:tcPr>
            <w:tcW w:w="80" w:type="dxa"/>
            <w:vAlign w:val="bottom"/>
          </w:tcPr>
          <w:p>
            <w:pPr>
              <w:spacing w:after="0"/>
              <w:rPr>
                <w:sz w:val="17"/>
                <w:szCs w:val="17"/>
                <w:color w:val="auto"/>
              </w:rPr>
            </w:pPr>
          </w:p>
        </w:tc>
        <w:tc>
          <w:tcPr>
            <w:tcW w:w="380" w:type="dxa"/>
            <w:vAlign w:val="bottom"/>
          </w:tcPr>
          <w:p>
            <w:pPr>
              <w:jc w:val="right"/>
              <w:ind w:right="218"/>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2,395</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2,495</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Variable lease costs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58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38</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365</w:t>
            </w: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Short-term lease costs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83</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50</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w:t>
            </w: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lease cost</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2,493</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18"/>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2,483</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2,882</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r>
        <w:trPr>
          <w:trHeight w:val="355"/>
        </w:trPr>
        <w:tc>
          <w:tcPr>
            <w:tcW w:w="8020" w:type="dxa"/>
            <w:vAlign w:val="bottom"/>
            <w:gridSpan w:val="4"/>
          </w:tcPr>
          <w:p>
            <w:pPr>
              <w:spacing w:after="0"/>
              <w:rPr>
                <w:sz w:val="20"/>
                <w:szCs w:val="20"/>
                <w:color w:val="auto"/>
              </w:rPr>
            </w:pPr>
            <w:r>
              <w:rPr>
                <w:rFonts w:ascii="Verdana" w:cs="Verdana" w:eastAsia="Verdana" w:hAnsi="Verdana"/>
                <w:sz w:val="14"/>
                <w:szCs w:val="14"/>
                <w:color w:val="auto"/>
              </w:rPr>
              <w:t xml:space="preserve">Cash paid for amounts included in the measurement of lease liabilities was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0"/>
        </w:trPr>
        <w:tc>
          <w:tcPr>
            <w:tcW w:w="6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294"/>
              <w:spacing w:after="0"/>
              <w:rPr>
                <w:sz w:val="20"/>
                <w:szCs w:val="20"/>
                <w:color w:val="auto"/>
              </w:rPr>
            </w:pPr>
            <w:r>
              <w:rPr>
                <w:rFonts w:ascii="Verdana" w:cs="Verdana" w:eastAsia="Verdana" w:hAnsi="Verdana"/>
                <w:sz w:val="10"/>
                <w:szCs w:val="10"/>
                <w:b w:val="1"/>
                <w:bCs w:val="1"/>
                <w:color w:val="auto"/>
                <w:w w:val="98"/>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Cash flows related to leases</w:t>
            </w: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Operating lease cash flows – Fixed payments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4"/>
              <w:spacing w:after="0"/>
              <w:rPr>
                <w:sz w:val="20"/>
                <w:szCs w:val="20"/>
                <w:color w:val="auto"/>
              </w:rPr>
            </w:pPr>
            <w:r>
              <w:rPr>
                <w:rFonts w:ascii="Verdana" w:cs="Verdana" w:eastAsia="Verdana" w:hAnsi="Verdana"/>
                <w:sz w:val="14"/>
                <w:szCs w:val="14"/>
                <w:color w:val="auto"/>
              </w:rPr>
              <w:t>2,194</w:t>
            </w:r>
          </w:p>
        </w:tc>
        <w:tc>
          <w:tcPr>
            <w:tcW w:w="80" w:type="dxa"/>
            <w:vAlign w:val="bottom"/>
          </w:tcPr>
          <w:p>
            <w:pPr>
              <w:spacing w:after="0"/>
              <w:rPr>
                <w:sz w:val="17"/>
                <w:szCs w:val="17"/>
                <w:color w:val="auto"/>
              </w:rPr>
            </w:pPr>
          </w:p>
        </w:tc>
        <w:tc>
          <w:tcPr>
            <w:tcW w:w="380" w:type="dxa"/>
            <w:vAlign w:val="bottom"/>
          </w:tcPr>
          <w:p>
            <w:pPr>
              <w:jc w:val="right"/>
              <w:ind w:right="218"/>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2,290</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3,080</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Operating lease cash flows – Liability reduction</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1,798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1,883</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2,285</w:t>
            </w:r>
          </w:p>
        </w:tc>
      </w:tr>
      <w:tr>
        <w:trPr>
          <w:trHeight w:val="187"/>
        </w:trPr>
        <w:tc>
          <w:tcPr>
            <w:tcW w:w="6340" w:type="dxa"/>
            <w:vAlign w:val="bottom"/>
          </w:tcPr>
          <w:p>
            <w:pPr>
              <w:ind w:left="140"/>
              <w:spacing w:after="0"/>
              <w:rPr>
                <w:sz w:val="20"/>
                <w:szCs w:val="20"/>
                <w:color w:val="auto"/>
              </w:rPr>
            </w:pPr>
            <w:r>
              <w:rPr>
                <w:rFonts w:ascii="Verdana" w:cs="Verdana" w:eastAsia="Verdana" w:hAnsi="Verdana"/>
                <w:sz w:val="14"/>
                <w:szCs w:val="14"/>
                <w:color w:val="auto"/>
              </w:rPr>
              <w:t>Right of use assets obtained during the period in exchange for operating lease</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4"/>
        </w:trPr>
        <w:tc>
          <w:tcPr>
            <w:tcW w:w="6340" w:type="dxa"/>
            <w:vAlign w:val="bottom"/>
          </w:tcPr>
          <w:p>
            <w:pPr>
              <w:ind w:left="140"/>
              <w:spacing w:after="0"/>
              <w:rPr>
                <w:sz w:val="20"/>
                <w:szCs w:val="20"/>
                <w:color w:val="auto"/>
              </w:rPr>
            </w:pPr>
            <w:r>
              <w:rPr>
                <w:rFonts w:ascii="Verdana" w:cs="Verdana" w:eastAsia="Verdana" w:hAnsi="Verdana"/>
                <w:sz w:val="14"/>
                <w:szCs w:val="14"/>
                <w:color w:val="auto"/>
              </w:rPr>
              <w:t>liabilities</w:t>
            </w:r>
            <w:r>
              <w:rPr>
                <w:rFonts w:ascii="Verdana" w:cs="Verdana" w:eastAsia="Verdana" w:hAnsi="Verdana"/>
                <w:sz w:val="9"/>
                <w:szCs w:val="9"/>
                <w:color w:val="auto"/>
              </w:rPr>
              <w:t>1</w:t>
            </w:r>
          </w:p>
        </w:tc>
        <w:tc>
          <w:tcPr>
            <w:tcW w:w="38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Verdana" w:cs="Verdana" w:eastAsia="Verdana" w:hAnsi="Verdana"/>
                <w:sz w:val="14"/>
                <w:szCs w:val="14"/>
                <w:color w:val="auto"/>
              </w:rPr>
              <w:t>1,579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6,206</w:t>
            </w: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line="242" w:lineRule="auto"/>
        <w:tabs>
          <w:tab w:leader="none" w:pos="373" w:val="left"/>
        </w:tabs>
        <w:numPr>
          <w:ilvl w:val="0"/>
          <w:numId w:val="41"/>
        </w:numPr>
        <w:rPr>
          <w:rFonts w:ascii="Verdana" w:cs="Verdana" w:eastAsia="Verdana" w:hAnsi="Verdana"/>
          <w:sz w:val="10"/>
          <w:szCs w:val="10"/>
          <w:color w:val="auto"/>
        </w:rPr>
      </w:pPr>
      <w:r>
        <w:rPr>
          <w:rFonts w:ascii="Verdana" w:cs="Verdana" w:eastAsia="Verdana" w:hAnsi="Verdana"/>
          <w:sz w:val="10"/>
          <w:szCs w:val="10"/>
          <w:color w:val="auto"/>
        </w:rPr>
        <w:t xml:space="preserve">The year ended December 31, 2024, included $0.1 million right of use assets recognized in connection with the acquisition of M&amp;M (see </w:t>
      </w:r>
      <w:r>
        <w:rPr>
          <w:rFonts w:ascii="Verdana" w:cs="Verdana" w:eastAsia="Verdana" w:hAnsi="Verdana"/>
          <w:sz w:val="10"/>
          <w:szCs w:val="10"/>
          <w:i w:val="1"/>
          <w:iCs w:val="1"/>
          <w:color w:val="auto"/>
        </w:rPr>
        <w:t>“</w:t>
      </w:r>
      <w:r>
        <w:rPr>
          <w:rFonts w:ascii="Verdana" w:cs="Verdana" w:eastAsia="Verdana" w:hAnsi="Verdana"/>
          <w:sz w:val="10"/>
          <w:szCs w:val="10"/>
          <w:i w:val="1"/>
          <w:iCs w:val="1"/>
          <w:u w:val="single" w:color="auto"/>
          <w:color w:val="0000FF"/>
        </w:rPr>
        <w:t>Note 2. Mergers and Acquisitions</w:t>
      </w:r>
      <w:r>
        <w:rPr>
          <w:rFonts w:ascii="Verdana" w:cs="Verdana" w:eastAsia="Verdana" w:hAnsi="Verdana"/>
          <w:sz w:val="10"/>
          <w:szCs w:val="10"/>
          <w:i w:val="1"/>
          <w:iCs w:val="1"/>
          <w:color w:val="auto"/>
        </w:rPr>
        <w:t>”</w:t>
      </w:r>
      <w:r>
        <w:rPr>
          <w:rFonts w:ascii="Verdana" w:cs="Verdana" w:eastAsia="Verdana" w:hAnsi="Verdana"/>
          <w:sz w:val="10"/>
          <w:szCs w:val="10"/>
          <w:color w:val="auto"/>
        </w:rPr>
        <w:t>), and an additional $0.7 million recognized in connection with a lease amendment that was executed subsequent to the acquisition of M&amp;M for a lease that was obtained in the acquisition.</w:t>
      </w:r>
    </w:p>
    <w:p>
      <w:pPr>
        <w:spacing w:after="0" w:line="137"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Busey was obligated under noncancelable operating leases for office space and other commitments. Future undiscounted lease payments with initial terms of one year or more, were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right"/>
              <w:ind w:right="593"/>
              <w:spacing w:after="0"/>
              <w:rPr>
                <w:sz w:val="20"/>
                <w:szCs w:val="20"/>
                <w:color w:val="auto"/>
              </w:rPr>
            </w:pPr>
            <w:r>
              <w:rPr>
                <w:rFonts w:ascii="Verdana" w:cs="Verdana" w:eastAsia="Verdana" w:hAnsi="Verdana"/>
                <w:sz w:val="10"/>
                <w:szCs w:val="10"/>
                <w:b w:val="1"/>
                <w:bCs w:val="1"/>
                <w:color w:val="auto"/>
              </w:rPr>
              <w:t>As of</w:t>
            </w:r>
          </w:p>
        </w:tc>
      </w:tr>
      <w:tr>
        <w:trPr>
          <w:trHeight w:val="133"/>
        </w:trPr>
        <w:tc>
          <w:tcPr>
            <w:tcW w:w="9700" w:type="dxa"/>
            <w:vAlign w:val="bottom"/>
            <w:tcBorders>
              <w:bottom w:val="single" w:sz="8" w:color="E0E7ED"/>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73"/>
              <w:spacing w:after="0"/>
              <w:rPr>
                <w:sz w:val="20"/>
                <w:szCs w:val="20"/>
                <w:color w:val="auto"/>
              </w:rPr>
            </w:pPr>
            <w:r>
              <w:rPr>
                <w:rFonts w:ascii="Verdana" w:cs="Verdana" w:eastAsia="Verdana" w:hAnsi="Verdana"/>
                <w:sz w:val="10"/>
                <w:szCs w:val="10"/>
                <w:b w:val="1"/>
                <w:bCs w:val="1"/>
                <w:color w:val="auto"/>
              </w:rPr>
              <w:t>December 31, 2024</w:t>
            </w:r>
          </w:p>
        </w:tc>
      </w:tr>
      <w:tr>
        <w:trPr>
          <w:trHeight w:val="197"/>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Rent commitments</w:t>
            </w:r>
          </w:p>
        </w:tc>
        <w:tc>
          <w:tcPr>
            <w:tcW w:w="160" w:type="dxa"/>
            <w:vAlign w:val="bottom"/>
            <w:shd w:val="clear" w:color="auto" w:fill="E0E7ED"/>
          </w:tcPr>
          <w:p>
            <w:pPr>
              <w:spacing w:after="0"/>
              <w:rPr>
                <w:sz w:val="17"/>
                <w:szCs w:val="17"/>
                <w:color w:val="auto"/>
              </w:rPr>
            </w:pPr>
          </w:p>
        </w:tc>
        <w:tc>
          <w:tcPr>
            <w:tcW w:w="1420" w:type="dxa"/>
            <w:vAlign w:val="bottom"/>
            <w:shd w:val="clear" w:color="auto" w:fill="E0E7ED"/>
          </w:tcPr>
          <w:p>
            <w:pPr>
              <w:spacing w:after="0"/>
              <w:rPr>
                <w:sz w:val="17"/>
                <w:szCs w:val="17"/>
                <w:color w:val="auto"/>
              </w:rPr>
            </w:pPr>
          </w:p>
        </w:tc>
      </w:tr>
      <w:tr>
        <w:trPr>
          <w:trHeight w:val="207"/>
        </w:trPr>
        <w:tc>
          <w:tcPr>
            <w:tcW w:w="9700" w:type="dxa"/>
            <w:vAlign w:val="bottom"/>
          </w:tcPr>
          <w:p>
            <w:pPr>
              <w:jc w:val="right"/>
              <w:ind w:right="9129"/>
              <w:spacing w:after="0"/>
              <w:rPr>
                <w:sz w:val="20"/>
                <w:szCs w:val="20"/>
                <w:color w:val="auto"/>
              </w:rPr>
            </w:pPr>
            <w:r>
              <w:rPr>
                <w:rFonts w:ascii="Verdana" w:cs="Verdana" w:eastAsia="Verdana" w:hAnsi="Verdana"/>
                <w:sz w:val="14"/>
                <w:szCs w:val="14"/>
                <w:color w:val="auto"/>
              </w:rPr>
              <w:t>2025</w:t>
            </w: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420" w:type="dxa"/>
            <w:vAlign w:val="bottom"/>
          </w:tcPr>
          <w:p>
            <w:pPr>
              <w:jc w:val="right"/>
              <w:spacing w:after="0"/>
              <w:rPr>
                <w:sz w:val="20"/>
                <w:szCs w:val="20"/>
                <w:color w:val="auto"/>
              </w:rPr>
            </w:pPr>
            <w:r>
              <w:rPr>
                <w:rFonts w:ascii="Verdana" w:cs="Verdana" w:eastAsia="Verdana" w:hAnsi="Verdana"/>
                <w:sz w:val="14"/>
                <w:szCs w:val="14"/>
                <w:color w:val="auto"/>
              </w:rPr>
              <w:t>2,082</w:t>
            </w:r>
          </w:p>
        </w:tc>
      </w:tr>
      <w:tr>
        <w:trPr>
          <w:trHeight w:val="218"/>
        </w:trPr>
        <w:tc>
          <w:tcPr>
            <w:tcW w:w="9700" w:type="dxa"/>
            <w:vAlign w:val="bottom"/>
            <w:shd w:val="clear" w:color="auto" w:fill="E0E7ED"/>
          </w:tcPr>
          <w:p>
            <w:pPr>
              <w:jc w:val="right"/>
              <w:ind w:right="9129"/>
              <w:spacing w:after="0"/>
              <w:rPr>
                <w:sz w:val="20"/>
                <w:szCs w:val="20"/>
                <w:color w:val="auto"/>
              </w:rPr>
            </w:pPr>
            <w:r>
              <w:rPr>
                <w:rFonts w:ascii="Verdana" w:cs="Verdana" w:eastAsia="Verdana" w:hAnsi="Verdana"/>
                <w:sz w:val="14"/>
                <w:szCs w:val="14"/>
                <w:color w:val="auto"/>
              </w:rPr>
              <w:t>2026</w:t>
            </w:r>
          </w:p>
        </w:tc>
        <w:tc>
          <w:tcPr>
            <w:tcW w:w="160" w:type="dxa"/>
            <w:vAlign w:val="bottom"/>
            <w:shd w:val="clear" w:color="auto" w:fill="E0E7ED"/>
          </w:tcPr>
          <w:p>
            <w:pPr>
              <w:spacing w:after="0"/>
              <w:rPr>
                <w:sz w:val="18"/>
                <w:szCs w:val="18"/>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1,774</w:t>
            </w:r>
          </w:p>
        </w:tc>
      </w:tr>
      <w:tr>
        <w:trPr>
          <w:trHeight w:val="207"/>
        </w:trPr>
        <w:tc>
          <w:tcPr>
            <w:tcW w:w="9700" w:type="dxa"/>
            <w:vAlign w:val="bottom"/>
          </w:tcPr>
          <w:p>
            <w:pPr>
              <w:jc w:val="right"/>
              <w:ind w:right="9129"/>
              <w:spacing w:after="0"/>
              <w:rPr>
                <w:sz w:val="20"/>
                <w:szCs w:val="20"/>
                <w:color w:val="auto"/>
              </w:rPr>
            </w:pPr>
            <w:r>
              <w:rPr>
                <w:rFonts w:ascii="Verdana" w:cs="Verdana" w:eastAsia="Verdana" w:hAnsi="Verdana"/>
                <w:sz w:val="14"/>
                <w:szCs w:val="14"/>
                <w:color w:val="auto"/>
              </w:rPr>
              <w:t>2027</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Verdana" w:cs="Verdana" w:eastAsia="Verdana" w:hAnsi="Verdana"/>
                <w:sz w:val="14"/>
                <w:szCs w:val="14"/>
                <w:color w:val="auto"/>
              </w:rPr>
              <w:t>1,558</w:t>
            </w:r>
          </w:p>
        </w:tc>
      </w:tr>
      <w:tr>
        <w:trPr>
          <w:trHeight w:val="218"/>
        </w:trPr>
        <w:tc>
          <w:tcPr>
            <w:tcW w:w="9700" w:type="dxa"/>
            <w:vAlign w:val="bottom"/>
            <w:shd w:val="clear" w:color="auto" w:fill="E0E7ED"/>
          </w:tcPr>
          <w:p>
            <w:pPr>
              <w:jc w:val="right"/>
              <w:ind w:right="9129"/>
              <w:spacing w:after="0"/>
              <w:rPr>
                <w:sz w:val="20"/>
                <w:szCs w:val="20"/>
                <w:color w:val="auto"/>
              </w:rPr>
            </w:pPr>
            <w:r>
              <w:rPr>
                <w:rFonts w:ascii="Verdana" w:cs="Verdana" w:eastAsia="Verdana" w:hAnsi="Verdana"/>
                <w:sz w:val="14"/>
                <w:szCs w:val="14"/>
                <w:color w:val="auto"/>
              </w:rPr>
              <w:t>2028</w:t>
            </w:r>
          </w:p>
        </w:tc>
        <w:tc>
          <w:tcPr>
            <w:tcW w:w="160" w:type="dxa"/>
            <w:vAlign w:val="bottom"/>
            <w:shd w:val="clear" w:color="auto" w:fill="E0E7ED"/>
          </w:tcPr>
          <w:p>
            <w:pPr>
              <w:spacing w:after="0"/>
              <w:rPr>
                <w:sz w:val="18"/>
                <w:szCs w:val="18"/>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1,495</w:t>
            </w:r>
          </w:p>
        </w:tc>
      </w:tr>
      <w:tr>
        <w:trPr>
          <w:trHeight w:val="207"/>
        </w:trPr>
        <w:tc>
          <w:tcPr>
            <w:tcW w:w="9700" w:type="dxa"/>
            <w:vAlign w:val="bottom"/>
          </w:tcPr>
          <w:p>
            <w:pPr>
              <w:jc w:val="right"/>
              <w:ind w:right="9129"/>
              <w:spacing w:after="0"/>
              <w:rPr>
                <w:sz w:val="20"/>
                <w:szCs w:val="20"/>
                <w:color w:val="auto"/>
              </w:rPr>
            </w:pPr>
            <w:r>
              <w:rPr>
                <w:rFonts w:ascii="Verdana" w:cs="Verdana" w:eastAsia="Verdana" w:hAnsi="Verdana"/>
                <w:sz w:val="14"/>
                <w:szCs w:val="14"/>
                <w:color w:val="auto"/>
              </w:rPr>
              <w:t>2029</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Verdana" w:cs="Verdana" w:eastAsia="Verdana" w:hAnsi="Verdana"/>
                <w:sz w:val="14"/>
                <w:szCs w:val="14"/>
                <w:color w:val="auto"/>
              </w:rPr>
              <w:t>1,505</w:t>
            </w:r>
          </w:p>
        </w:tc>
      </w:tr>
      <w:tr>
        <w:trPr>
          <w:trHeight w:val="212"/>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Thereafter</w:t>
            </w:r>
          </w:p>
        </w:tc>
        <w:tc>
          <w:tcPr>
            <w:tcW w:w="160" w:type="dxa"/>
            <w:vAlign w:val="bottom"/>
            <w:tcBorders>
              <w:bottom w:val="single" w:sz="8" w:color="auto"/>
            </w:tcBorders>
            <w:shd w:val="clear" w:color="auto" w:fill="E0E7ED"/>
          </w:tcPr>
          <w:p>
            <w:pPr>
              <w:spacing w:after="0"/>
              <w:rPr>
                <w:sz w:val="18"/>
                <w:szCs w:val="18"/>
                <w:color w:val="auto"/>
              </w:rPr>
            </w:pPr>
          </w:p>
        </w:tc>
        <w:tc>
          <w:tcPr>
            <w:tcW w:w="14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4,376</w:t>
            </w:r>
          </w:p>
        </w:tc>
      </w:tr>
      <w:tr>
        <w:trPr>
          <w:trHeight w:val="203"/>
        </w:trPr>
        <w:tc>
          <w:tcPr>
            <w:tcW w:w="9700" w:type="dxa"/>
            <w:vAlign w:val="bottom"/>
          </w:tcPr>
          <w:p>
            <w:pPr>
              <w:ind w:left="20"/>
              <w:spacing w:after="0"/>
              <w:rPr>
                <w:sz w:val="20"/>
                <w:szCs w:val="20"/>
                <w:color w:val="auto"/>
              </w:rPr>
            </w:pPr>
            <w:r>
              <w:rPr>
                <w:rFonts w:ascii="Verdana" w:cs="Verdana" w:eastAsia="Verdana" w:hAnsi="Verdana"/>
                <w:sz w:val="14"/>
                <w:szCs w:val="14"/>
                <w:color w:val="auto"/>
              </w:rPr>
              <w:t>Total undiscounted cash flows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Verdana" w:cs="Verdana" w:eastAsia="Verdana" w:hAnsi="Verdana"/>
                <w:sz w:val="14"/>
                <w:szCs w:val="14"/>
                <w:color w:val="auto"/>
              </w:rPr>
              <w:t>12,790</w:t>
            </w:r>
          </w:p>
        </w:tc>
      </w:tr>
      <w:tr>
        <w:trPr>
          <w:trHeight w:val="212"/>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Less: Amounts representing interest</w:t>
            </w:r>
          </w:p>
        </w:tc>
        <w:tc>
          <w:tcPr>
            <w:tcW w:w="160" w:type="dxa"/>
            <w:vAlign w:val="bottom"/>
            <w:tcBorders>
              <w:bottom w:val="single" w:sz="8" w:color="auto"/>
            </w:tcBorders>
            <w:shd w:val="clear" w:color="auto" w:fill="E0E7ED"/>
          </w:tcPr>
          <w:p>
            <w:pPr>
              <w:spacing w:after="0"/>
              <w:rPr>
                <w:sz w:val="18"/>
                <w:szCs w:val="18"/>
                <w:color w:val="auto"/>
              </w:rPr>
            </w:pPr>
          </w:p>
        </w:tc>
        <w:tc>
          <w:tcPr>
            <w:tcW w:w="14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1,750</w:t>
            </w:r>
          </w:p>
        </w:tc>
      </w:tr>
      <w:tr>
        <w:trPr>
          <w:trHeight w:val="208"/>
        </w:trPr>
        <w:tc>
          <w:tcPr>
            <w:tcW w:w="9700" w:type="dxa"/>
            <w:vAlign w:val="bottom"/>
          </w:tcPr>
          <w:p>
            <w:pPr>
              <w:ind w:left="20"/>
              <w:spacing w:after="0"/>
              <w:rPr>
                <w:sz w:val="20"/>
                <w:szCs w:val="20"/>
                <w:color w:val="auto"/>
              </w:rPr>
            </w:pPr>
            <w:r>
              <w:rPr>
                <w:rFonts w:ascii="Verdana" w:cs="Verdana" w:eastAsia="Verdana" w:hAnsi="Verdana"/>
                <w:sz w:val="14"/>
                <w:szCs w:val="14"/>
                <w:color w:val="auto"/>
              </w:rPr>
              <w:t>Present value of net future minimum lease payments</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4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11,040</w:t>
            </w: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7" w:name="page138"/>
    <w:bookmarkEnd w:id="13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Busey as The Lessor</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leases office and parking spaces to outside parties. Revenues recorded in connection with these leases, reported in other income on Busey’s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000000"/>
        </w:rPr>
        <w:t>, are summarized as follows</w:t>
      </w:r>
      <w:r>
        <w:rPr>
          <w:rFonts w:ascii="Verdana" w:cs="Verdana" w:eastAsia="Verdana" w:hAnsi="Verdana"/>
          <w:sz w:val="14"/>
          <w:szCs w:val="14"/>
          <w:color w:val="0000FF"/>
        </w:rPr>
        <w:t xml:space="preserve"> </w:t>
      </w:r>
      <w:r>
        <w:rPr>
          <w:rFonts w:ascii="Verdana" w:cs="Verdana" w:eastAsia="Verdana" w:hAnsi="Verdana"/>
          <w:sz w:val="14"/>
          <w:szCs w:val="14"/>
          <w:i w:val="1"/>
          <w:iCs w:val="1"/>
          <w:color w:val="000000"/>
        </w:rPr>
        <w:t>(dollars in thousands)</w:t>
      </w:r>
      <w:r>
        <w:rPr>
          <w:rFonts w:ascii="Verdana" w:cs="Verdana" w:eastAsia="Verdana" w:hAnsi="Verdana"/>
          <w:sz w:val="14"/>
          <w:szCs w:val="14"/>
          <w:color w:val="000000"/>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100" w:type="dxa"/>
            <w:vAlign w:val="bottom"/>
            <w:tcBorders>
              <w:bottom w:val="single" w:sz="8" w:color="auto"/>
            </w:tcBorders>
          </w:tcPr>
          <w:p>
            <w:pPr>
              <w:jc w:val="right"/>
              <w:ind w:right="100"/>
              <w:spacing w:after="0"/>
              <w:rPr>
                <w:sz w:val="20"/>
                <w:szCs w:val="20"/>
                <w:color w:val="auto"/>
              </w:rPr>
            </w:pPr>
            <w:r>
              <w:rPr>
                <w:rFonts w:ascii="Verdana" w:cs="Verdana" w:eastAsia="Verdana" w:hAnsi="Verdana"/>
                <w:sz w:val="10"/>
                <w:szCs w:val="10"/>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0"/>
              <w:spacing w:after="0"/>
              <w:rPr>
                <w:sz w:val="20"/>
                <w:szCs w:val="20"/>
                <w:color w:val="auto"/>
              </w:rPr>
            </w:pPr>
            <w:r>
              <w:rPr>
                <w:rFonts w:ascii="Verdana" w:cs="Verdana" w:eastAsia="Verdana" w:hAnsi="Verdana"/>
                <w:sz w:val="10"/>
                <w:szCs w:val="10"/>
                <w:b w:val="1"/>
                <w:bCs w:val="1"/>
                <w:color w:val="auto"/>
              </w:rPr>
              <w:t>2022</w:t>
            </w:r>
          </w:p>
        </w:tc>
      </w:tr>
      <w:tr>
        <w:trPr>
          <w:trHeight w:val="208"/>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Rental income</w:t>
            </w:r>
          </w:p>
        </w:tc>
        <w:tc>
          <w:tcPr>
            <w:tcW w:w="1100" w:type="dxa"/>
            <w:vAlign w:val="bottom"/>
            <w:shd w:val="clear" w:color="auto" w:fill="E0E7ED"/>
          </w:tcPr>
          <w:p>
            <w:pPr>
              <w:jc w:val="right"/>
              <w:ind w:right="940"/>
              <w:spacing w:after="0"/>
              <w:rPr>
                <w:sz w:val="20"/>
                <w:szCs w:val="20"/>
                <w:color w:val="auto"/>
              </w:rPr>
            </w:pPr>
            <w:r>
              <w:rPr>
                <w:rFonts w:ascii="Verdana" w:cs="Verdana" w:eastAsia="Verdana" w:hAnsi="Verdana"/>
                <w:sz w:val="14"/>
                <w:szCs w:val="14"/>
                <w:color w:val="auto"/>
                <w:w w:val="88"/>
              </w:rPr>
              <w:t>$</w:t>
            </w:r>
          </w:p>
        </w:tc>
        <w:tc>
          <w:tcPr>
            <w:tcW w:w="50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820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20"/>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724</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707</w:t>
            </w: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Noncancellable terms for these leases, all of which are operating leases, extend through 2030. Under the terms of these lease agreements, Busey is entitled to receive aggregate future minimum lease payments as shown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right"/>
              <w:ind w:right="594"/>
              <w:spacing w:after="0"/>
              <w:rPr>
                <w:sz w:val="20"/>
                <w:szCs w:val="20"/>
                <w:color w:val="auto"/>
              </w:rPr>
            </w:pPr>
            <w:r>
              <w:rPr>
                <w:rFonts w:ascii="Verdana" w:cs="Verdana" w:eastAsia="Verdana" w:hAnsi="Verdana"/>
                <w:sz w:val="10"/>
                <w:szCs w:val="10"/>
                <w:b w:val="1"/>
                <w:bCs w:val="1"/>
                <w:color w:val="auto"/>
              </w:rPr>
              <w:t>As of</w:t>
            </w:r>
          </w:p>
        </w:tc>
      </w:tr>
      <w:tr>
        <w:trPr>
          <w:trHeight w:val="133"/>
        </w:trPr>
        <w:tc>
          <w:tcPr>
            <w:tcW w:w="9700" w:type="dxa"/>
            <w:vAlign w:val="bottom"/>
            <w:tcBorders>
              <w:bottom w:val="single" w:sz="8" w:color="E0E7ED"/>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74"/>
              <w:spacing w:after="0"/>
              <w:rPr>
                <w:sz w:val="20"/>
                <w:szCs w:val="20"/>
                <w:color w:val="auto"/>
              </w:rPr>
            </w:pPr>
            <w:r>
              <w:rPr>
                <w:rFonts w:ascii="Verdana" w:cs="Verdana" w:eastAsia="Verdana" w:hAnsi="Verdana"/>
                <w:sz w:val="10"/>
                <w:szCs w:val="10"/>
                <w:b w:val="1"/>
                <w:bCs w:val="1"/>
                <w:color w:val="auto"/>
              </w:rPr>
              <w:t>December 31, 2024</w:t>
            </w:r>
          </w:p>
        </w:tc>
      </w:tr>
      <w:tr>
        <w:trPr>
          <w:trHeight w:val="197"/>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Rents to be received</w:t>
            </w:r>
          </w:p>
        </w:tc>
        <w:tc>
          <w:tcPr>
            <w:tcW w:w="160" w:type="dxa"/>
            <w:vAlign w:val="bottom"/>
            <w:shd w:val="clear" w:color="auto" w:fill="E0E7ED"/>
          </w:tcPr>
          <w:p>
            <w:pPr>
              <w:spacing w:after="0"/>
              <w:rPr>
                <w:sz w:val="17"/>
                <w:szCs w:val="17"/>
                <w:color w:val="auto"/>
              </w:rPr>
            </w:pPr>
          </w:p>
        </w:tc>
        <w:tc>
          <w:tcPr>
            <w:tcW w:w="1420" w:type="dxa"/>
            <w:vAlign w:val="bottom"/>
            <w:shd w:val="clear" w:color="auto" w:fill="E0E7ED"/>
          </w:tcPr>
          <w:p>
            <w:pPr>
              <w:spacing w:after="0"/>
              <w:rPr>
                <w:sz w:val="17"/>
                <w:szCs w:val="17"/>
                <w:color w:val="auto"/>
              </w:rPr>
            </w:pPr>
          </w:p>
        </w:tc>
      </w:tr>
      <w:tr>
        <w:trPr>
          <w:trHeight w:val="207"/>
        </w:trPr>
        <w:tc>
          <w:tcPr>
            <w:tcW w:w="9700" w:type="dxa"/>
            <w:vAlign w:val="bottom"/>
          </w:tcPr>
          <w:p>
            <w:pPr>
              <w:ind w:left="140"/>
              <w:spacing w:after="0"/>
              <w:rPr>
                <w:sz w:val="20"/>
                <w:szCs w:val="20"/>
                <w:color w:val="auto"/>
              </w:rPr>
            </w:pPr>
            <w:r>
              <w:rPr>
                <w:rFonts w:ascii="Verdana" w:cs="Verdana" w:eastAsia="Verdana" w:hAnsi="Verdana"/>
                <w:sz w:val="14"/>
                <w:szCs w:val="14"/>
                <w:color w:val="auto"/>
              </w:rPr>
              <w:t>2025</w:t>
            </w:r>
          </w:p>
        </w:tc>
        <w:tc>
          <w:tcPr>
            <w:tcW w:w="160" w:type="dxa"/>
            <w:vAlign w:val="bottom"/>
          </w:tcPr>
          <w:p>
            <w:pPr>
              <w:jc w:val="right"/>
              <w:spacing w:after="0"/>
              <w:rPr>
                <w:sz w:val="20"/>
                <w:szCs w:val="20"/>
                <w:color w:val="auto"/>
              </w:rPr>
            </w:pPr>
            <w:r>
              <w:rPr>
                <w:rFonts w:ascii="Verdana" w:cs="Verdana" w:eastAsia="Verdana" w:hAnsi="Verdana"/>
                <w:sz w:val="14"/>
                <w:szCs w:val="14"/>
                <w:color w:val="auto"/>
                <w:w w:val="88"/>
              </w:rPr>
              <w:t>$</w:t>
            </w:r>
          </w:p>
        </w:tc>
        <w:tc>
          <w:tcPr>
            <w:tcW w:w="1420" w:type="dxa"/>
            <w:vAlign w:val="bottom"/>
          </w:tcPr>
          <w:p>
            <w:pPr>
              <w:jc w:val="right"/>
              <w:spacing w:after="0"/>
              <w:rPr>
                <w:sz w:val="20"/>
                <w:szCs w:val="20"/>
                <w:color w:val="auto"/>
              </w:rPr>
            </w:pPr>
            <w:r>
              <w:rPr>
                <w:rFonts w:ascii="Verdana" w:cs="Verdana" w:eastAsia="Verdana" w:hAnsi="Verdana"/>
                <w:sz w:val="14"/>
                <w:szCs w:val="14"/>
                <w:color w:val="auto"/>
              </w:rPr>
              <w:t>782</w:t>
            </w:r>
          </w:p>
        </w:tc>
      </w:tr>
      <w:tr>
        <w:trPr>
          <w:trHeight w:val="218"/>
        </w:trPr>
        <w:tc>
          <w:tcPr>
            <w:tcW w:w="97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2026</w:t>
            </w:r>
          </w:p>
        </w:tc>
        <w:tc>
          <w:tcPr>
            <w:tcW w:w="160" w:type="dxa"/>
            <w:vAlign w:val="bottom"/>
            <w:shd w:val="clear" w:color="auto" w:fill="E0E7ED"/>
          </w:tcPr>
          <w:p>
            <w:pPr>
              <w:spacing w:after="0"/>
              <w:rPr>
                <w:sz w:val="18"/>
                <w:szCs w:val="18"/>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603</w:t>
            </w:r>
          </w:p>
        </w:tc>
      </w:tr>
      <w:tr>
        <w:trPr>
          <w:trHeight w:val="207"/>
        </w:trPr>
        <w:tc>
          <w:tcPr>
            <w:tcW w:w="9700" w:type="dxa"/>
            <w:vAlign w:val="bottom"/>
          </w:tcPr>
          <w:p>
            <w:pPr>
              <w:ind w:left="140"/>
              <w:spacing w:after="0"/>
              <w:rPr>
                <w:sz w:val="20"/>
                <w:szCs w:val="20"/>
                <w:color w:val="auto"/>
              </w:rPr>
            </w:pPr>
            <w:r>
              <w:rPr>
                <w:rFonts w:ascii="Verdana" w:cs="Verdana" w:eastAsia="Verdana" w:hAnsi="Verdana"/>
                <w:sz w:val="14"/>
                <w:szCs w:val="14"/>
                <w:color w:val="auto"/>
              </w:rPr>
              <w:t>2027</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Verdana" w:cs="Verdana" w:eastAsia="Verdana" w:hAnsi="Verdana"/>
                <w:sz w:val="14"/>
                <w:szCs w:val="14"/>
                <w:color w:val="auto"/>
              </w:rPr>
              <w:t>403</w:t>
            </w:r>
          </w:p>
        </w:tc>
      </w:tr>
      <w:tr>
        <w:trPr>
          <w:trHeight w:val="218"/>
        </w:trPr>
        <w:tc>
          <w:tcPr>
            <w:tcW w:w="97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2028</w:t>
            </w:r>
          </w:p>
        </w:tc>
        <w:tc>
          <w:tcPr>
            <w:tcW w:w="160" w:type="dxa"/>
            <w:vAlign w:val="bottom"/>
            <w:shd w:val="clear" w:color="auto" w:fill="E0E7ED"/>
          </w:tcPr>
          <w:p>
            <w:pPr>
              <w:spacing w:after="0"/>
              <w:rPr>
                <w:sz w:val="18"/>
                <w:szCs w:val="18"/>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290</w:t>
            </w:r>
          </w:p>
        </w:tc>
      </w:tr>
      <w:tr>
        <w:trPr>
          <w:trHeight w:val="207"/>
        </w:trPr>
        <w:tc>
          <w:tcPr>
            <w:tcW w:w="9700" w:type="dxa"/>
            <w:vAlign w:val="bottom"/>
          </w:tcPr>
          <w:p>
            <w:pPr>
              <w:ind w:left="140"/>
              <w:spacing w:after="0"/>
              <w:rPr>
                <w:sz w:val="20"/>
                <w:szCs w:val="20"/>
                <w:color w:val="auto"/>
              </w:rPr>
            </w:pPr>
            <w:r>
              <w:rPr>
                <w:rFonts w:ascii="Verdana" w:cs="Verdana" w:eastAsia="Verdana" w:hAnsi="Verdana"/>
                <w:sz w:val="14"/>
                <w:szCs w:val="14"/>
                <w:color w:val="auto"/>
              </w:rPr>
              <w:t>2029</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Verdana" w:cs="Verdana" w:eastAsia="Verdana" w:hAnsi="Verdana"/>
                <w:sz w:val="14"/>
                <w:szCs w:val="14"/>
                <w:color w:val="auto"/>
              </w:rPr>
              <w:t>109</w:t>
            </w:r>
          </w:p>
        </w:tc>
      </w:tr>
      <w:tr>
        <w:trPr>
          <w:trHeight w:val="212"/>
        </w:trPr>
        <w:tc>
          <w:tcPr>
            <w:tcW w:w="97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Thereafter</w:t>
            </w:r>
          </w:p>
        </w:tc>
        <w:tc>
          <w:tcPr>
            <w:tcW w:w="160" w:type="dxa"/>
            <w:vAlign w:val="bottom"/>
            <w:tcBorders>
              <w:bottom w:val="single" w:sz="8" w:color="auto"/>
            </w:tcBorders>
            <w:shd w:val="clear" w:color="auto" w:fill="E0E7ED"/>
          </w:tcPr>
          <w:p>
            <w:pPr>
              <w:spacing w:after="0"/>
              <w:rPr>
                <w:sz w:val="18"/>
                <w:szCs w:val="18"/>
                <w:color w:val="auto"/>
              </w:rPr>
            </w:pPr>
          </w:p>
        </w:tc>
        <w:tc>
          <w:tcPr>
            <w:tcW w:w="14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w:t>
            </w:r>
          </w:p>
        </w:tc>
      </w:tr>
      <w:tr>
        <w:trPr>
          <w:trHeight w:val="208"/>
        </w:trPr>
        <w:tc>
          <w:tcPr>
            <w:tcW w:w="9700" w:type="dxa"/>
            <w:vAlign w:val="bottom"/>
          </w:tcPr>
          <w:p>
            <w:pPr>
              <w:ind w:left="20"/>
              <w:spacing w:after="0"/>
              <w:rPr>
                <w:sz w:val="20"/>
                <w:szCs w:val="20"/>
                <w:color w:val="auto"/>
              </w:rPr>
            </w:pPr>
            <w:r>
              <w:rPr>
                <w:rFonts w:ascii="Verdana" w:cs="Verdana" w:eastAsia="Verdana" w:hAnsi="Verdana"/>
                <w:sz w:val="14"/>
                <w:szCs w:val="14"/>
                <w:color w:val="auto"/>
              </w:rPr>
              <w:t>Total lease payments from operating leases</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4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2,214</w:t>
            </w: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8. GOODWILL AND OTHER INTANGIBLE ASSETS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Goodwill</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goodwill is associated with its three operating segments, Banking, Wealth Management, and FirsTech. Goodwill is tested annually for impairment, and as part of this analysis, the reporting unit's carrying value is compared to its estimated fair value. Based on the impairment testing performed at December 31, 2024, there were no indicators of potential impairment.</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During the year ended December 31, 2024, in connection with the acquisition of M&amp;M, Busey recorded goodwill totaling $15.8 million and other intangible assets of $6.3 million, both in the Banking segment. Busey did not record any new goodwill or other intangible assets during the year ended December 31, 2023.</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carrying amount of goodwill by operating segment is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Goodwill</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Banking</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310,595</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294,773</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Wealth Management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14,108</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14,108</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FirsTech</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8,992</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8,992</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goodwill</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333,695</w:t>
            </w:r>
          </w:p>
        </w:tc>
        <w:tc>
          <w:tcPr>
            <w:tcW w:w="100" w:type="dxa"/>
            <w:vAlign w:val="bottom"/>
            <w:tcBorders>
              <w:bottom w:val="single" w:sz="8" w:color="E0E7ED"/>
            </w:tcBorders>
            <w:shd w:val="clear" w:color="auto" w:fill="E0E7ED"/>
          </w:tcPr>
          <w:p>
            <w:pPr>
              <w:spacing w:after="0"/>
              <w:rPr>
                <w:sz w:val="19"/>
                <w:szCs w:val="19"/>
                <w:color w:val="auto"/>
              </w:rPr>
            </w:pPr>
          </w:p>
        </w:tc>
        <w:tc>
          <w:tcPr>
            <w:tcW w:w="560" w:type="dxa"/>
            <w:vAlign w:val="bottom"/>
            <w:tcBorders>
              <w:bottom w:val="single" w:sz="8" w:color="auto"/>
            </w:tcBorders>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317,873</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Indefinite-lived intangible assets, such as goodwill, are not amortized. Goodwill is Busey's only indefinite-lived intangible asset.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8" w:name="page139"/>
    <w:bookmarkEnd w:id="13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Intangible Assets</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Core deposit and customer relationship intangible assets are amortized over the estimated period during which Busey expects to benefit from the assets.</w:t>
      </w:r>
    </w:p>
    <w:p>
      <w:pPr>
        <w:spacing w:after="0"/>
        <w:rPr>
          <w:sz w:val="20"/>
          <w:szCs w:val="20"/>
          <w:color w:val="auto"/>
        </w:rPr>
      </w:pPr>
      <w:r>
        <w:rPr>
          <w:rFonts w:ascii="Verdana" w:cs="Verdana" w:eastAsia="Verdana" w:hAnsi="Verdana"/>
          <w:sz w:val="14"/>
          <w:szCs w:val="14"/>
          <w:color w:val="auto"/>
        </w:rPr>
        <w:t xml:space="preserve">Intangible asset disclosures are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2024</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restart"/>
          </w:tcPr>
          <w:p>
            <w:pPr>
              <w:jc w:val="center"/>
              <w:ind w:right="380"/>
              <w:spacing w:after="0"/>
              <w:rPr>
                <w:sz w:val="20"/>
                <w:szCs w:val="20"/>
                <w:color w:val="auto"/>
              </w:rPr>
            </w:pPr>
            <w:r>
              <w:rPr>
                <w:rFonts w:ascii="Verdana" w:cs="Verdana" w:eastAsia="Verdana" w:hAnsi="Verdana"/>
                <w:sz w:val="10"/>
                <w:szCs w:val="10"/>
                <w:b w:val="1"/>
                <w:bCs w:val="1"/>
                <w:color w:val="auto"/>
                <w:w w:val="99"/>
              </w:rPr>
              <w:t>Core deposit</w:t>
            </w: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4" w:lineRule="exact"/>
              <w:rPr>
                <w:sz w:val="20"/>
                <w:szCs w:val="20"/>
                <w:color w:val="auto"/>
              </w:rPr>
            </w:pPr>
            <w:r>
              <w:rPr>
                <w:rFonts w:ascii="Verdana" w:cs="Verdana" w:eastAsia="Verdana" w:hAnsi="Verdana"/>
                <w:sz w:val="10"/>
                <w:szCs w:val="10"/>
                <w:b w:val="1"/>
                <w:bCs w:val="1"/>
                <w:color w:val="auto"/>
                <w:w w:val="99"/>
              </w:rPr>
              <w:t>Customer</w:t>
            </w: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6" w:lineRule="exact"/>
              <w:rPr>
                <w:sz w:val="20"/>
                <w:szCs w:val="20"/>
                <w:color w:val="auto"/>
              </w:rPr>
            </w:pPr>
            <w:r>
              <w:rPr>
                <w:rFonts w:ascii="Verdana" w:cs="Verdana" w:eastAsia="Verdana" w:hAnsi="Verdana"/>
                <w:sz w:val="10"/>
                <w:szCs w:val="10"/>
                <w:b w:val="1"/>
                <w:bCs w:val="1"/>
                <w:color w:val="auto"/>
                <w:w w:val="98"/>
              </w:rPr>
              <w:t>relationship</w:t>
            </w:r>
          </w:p>
        </w:tc>
        <w:tc>
          <w:tcPr>
            <w:tcW w:w="380" w:type="dxa"/>
            <w:vAlign w:val="bottom"/>
          </w:tcPr>
          <w:p>
            <w:pPr>
              <w:spacing w:after="0"/>
              <w:rPr>
                <w:sz w:val="8"/>
                <w:szCs w:val="8"/>
                <w:color w:val="auto"/>
              </w:rPr>
            </w:pPr>
          </w:p>
        </w:tc>
        <w:tc>
          <w:tcPr>
            <w:tcW w:w="1200" w:type="dxa"/>
            <w:vAlign w:val="bottom"/>
            <w:vMerge w:val="restart"/>
          </w:tcPr>
          <w:p>
            <w:pPr>
              <w:jc w:val="right"/>
              <w:ind w:right="595"/>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6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Intangible Assets</w:t>
            </w:r>
          </w:p>
        </w:tc>
        <w:tc>
          <w:tcPr>
            <w:tcW w:w="280" w:type="dxa"/>
            <w:vAlign w:val="bottom"/>
            <w:tcBorders>
              <w:top w:val="single" w:sz="8" w:color="auto"/>
            </w:tcBorders>
            <w:shd w:val="clear" w:color="auto" w:fill="E0E7ED"/>
          </w:tcPr>
          <w:p>
            <w:pPr>
              <w:spacing w:after="0"/>
              <w:rPr>
                <w:sz w:val="17"/>
                <w:szCs w:val="17"/>
                <w:color w:val="auto"/>
              </w:rPr>
            </w:pPr>
          </w:p>
        </w:tc>
        <w:tc>
          <w:tcPr>
            <w:tcW w:w="13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Intangible assets, gross</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8"/>
              <w:spacing w:after="0"/>
              <w:rPr>
                <w:sz w:val="20"/>
                <w:szCs w:val="20"/>
                <w:color w:val="auto"/>
              </w:rPr>
            </w:pPr>
            <w:r>
              <w:rPr>
                <w:rFonts w:ascii="Verdana" w:cs="Verdana" w:eastAsia="Verdana" w:hAnsi="Verdana"/>
                <w:sz w:val="14"/>
                <w:szCs w:val="14"/>
                <w:color w:val="auto"/>
              </w:rPr>
              <w:t>105,411</w:t>
            </w:r>
          </w:p>
        </w:tc>
        <w:tc>
          <w:tcPr>
            <w:tcW w:w="8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33,138</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138,549</w:t>
            </w:r>
          </w:p>
        </w:tc>
        <w:tc>
          <w:tcPr>
            <w:tcW w:w="0" w:type="dxa"/>
            <w:vAlign w:val="bottom"/>
          </w:tcPr>
          <w:p>
            <w:pPr>
              <w:spacing w:after="0"/>
              <w:rPr>
                <w:sz w:val="1"/>
                <w:szCs w:val="1"/>
                <w:color w:val="auto"/>
              </w:rPr>
            </w:pP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Accumulated amortization</w:t>
            </w:r>
          </w:p>
        </w:tc>
        <w:tc>
          <w:tcPr>
            <w:tcW w:w="2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4"/>
                <w:szCs w:val="14"/>
                <w:color w:val="auto"/>
              </w:rPr>
              <w:t>78,831</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27,438</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106,269</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Intangible assets, net</w:t>
            </w:r>
          </w:p>
        </w:tc>
        <w:tc>
          <w:tcPr>
            <w:tcW w:w="28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4"/>
                <w:szCs w:val="14"/>
                <w:color w:val="auto"/>
              </w:rPr>
              <w:t>26,580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5,700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32,280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2023</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restart"/>
          </w:tcPr>
          <w:p>
            <w:pPr>
              <w:jc w:val="center"/>
              <w:ind w:right="380"/>
              <w:spacing w:after="0"/>
              <w:rPr>
                <w:sz w:val="20"/>
                <w:szCs w:val="20"/>
                <w:color w:val="auto"/>
              </w:rPr>
            </w:pPr>
            <w:r>
              <w:rPr>
                <w:rFonts w:ascii="Verdana" w:cs="Verdana" w:eastAsia="Verdana" w:hAnsi="Verdana"/>
                <w:sz w:val="10"/>
                <w:szCs w:val="10"/>
                <w:b w:val="1"/>
                <w:bCs w:val="1"/>
                <w:color w:val="auto"/>
                <w:w w:val="99"/>
              </w:rPr>
              <w:t>Core deposit</w:t>
            </w: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4" w:lineRule="exact"/>
              <w:rPr>
                <w:sz w:val="20"/>
                <w:szCs w:val="20"/>
                <w:color w:val="auto"/>
              </w:rPr>
            </w:pPr>
            <w:r>
              <w:rPr>
                <w:rFonts w:ascii="Verdana" w:cs="Verdana" w:eastAsia="Verdana" w:hAnsi="Verdana"/>
                <w:sz w:val="10"/>
                <w:szCs w:val="10"/>
                <w:b w:val="1"/>
                <w:bCs w:val="1"/>
                <w:color w:val="auto"/>
                <w:w w:val="99"/>
              </w:rPr>
              <w:t>Customer</w:t>
            </w: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6" w:lineRule="exact"/>
              <w:rPr>
                <w:sz w:val="20"/>
                <w:szCs w:val="20"/>
                <w:color w:val="auto"/>
              </w:rPr>
            </w:pPr>
            <w:r>
              <w:rPr>
                <w:rFonts w:ascii="Verdana" w:cs="Verdana" w:eastAsia="Verdana" w:hAnsi="Verdana"/>
                <w:sz w:val="10"/>
                <w:szCs w:val="10"/>
                <w:b w:val="1"/>
                <w:bCs w:val="1"/>
                <w:color w:val="auto"/>
                <w:w w:val="98"/>
              </w:rPr>
              <w:t>relationship</w:t>
            </w:r>
          </w:p>
        </w:tc>
        <w:tc>
          <w:tcPr>
            <w:tcW w:w="380" w:type="dxa"/>
            <w:vAlign w:val="bottom"/>
          </w:tcPr>
          <w:p>
            <w:pPr>
              <w:spacing w:after="0"/>
              <w:rPr>
                <w:sz w:val="8"/>
                <w:szCs w:val="8"/>
                <w:color w:val="auto"/>
              </w:rPr>
            </w:pPr>
          </w:p>
        </w:tc>
        <w:tc>
          <w:tcPr>
            <w:tcW w:w="1200" w:type="dxa"/>
            <w:vAlign w:val="bottom"/>
            <w:vMerge w:val="restart"/>
          </w:tcPr>
          <w:p>
            <w:pPr>
              <w:jc w:val="right"/>
              <w:ind w:right="595"/>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6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Intangible Assets</w:t>
            </w:r>
          </w:p>
        </w:tc>
        <w:tc>
          <w:tcPr>
            <w:tcW w:w="280" w:type="dxa"/>
            <w:vAlign w:val="bottom"/>
            <w:tcBorders>
              <w:top w:val="single" w:sz="8" w:color="auto"/>
            </w:tcBorders>
            <w:shd w:val="clear" w:color="auto" w:fill="E0E7ED"/>
          </w:tcPr>
          <w:p>
            <w:pPr>
              <w:spacing w:after="0"/>
              <w:rPr>
                <w:sz w:val="17"/>
                <w:szCs w:val="17"/>
                <w:color w:val="auto"/>
              </w:rPr>
            </w:pPr>
          </w:p>
        </w:tc>
        <w:tc>
          <w:tcPr>
            <w:tcW w:w="13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Intangible assets, gross</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8"/>
              <w:spacing w:after="0"/>
              <w:rPr>
                <w:sz w:val="20"/>
                <w:szCs w:val="20"/>
                <w:color w:val="auto"/>
              </w:rPr>
            </w:pPr>
            <w:r>
              <w:rPr>
                <w:rFonts w:ascii="Verdana" w:cs="Verdana" w:eastAsia="Verdana" w:hAnsi="Verdana"/>
                <w:sz w:val="14"/>
                <w:szCs w:val="14"/>
                <w:color w:val="auto"/>
              </w:rPr>
              <w:t>99,065</w:t>
            </w:r>
          </w:p>
        </w:tc>
        <w:tc>
          <w:tcPr>
            <w:tcW w:w="8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33,138</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132,203</w:t>
            </w:r>
          </w:p>
        </w:tc>
        <w:tc>
          <w:tcPr>
            <w:tcW w:w="0" w:type="dxa"/>
            <w:vAlign w:val="bottom"/>
          </w:tcPr>
          <w:p>
            <w:pPr>
              <w:spacing w:after="0"/>
              <w:rPr>
                <w:sz w:val="1"/>
                <w:szCs w:val="1"/>
                <w:color w:val="auto"/>
              </w:rPr>
            </w:pP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Accumulated amortization</w:t>
            </w:r>
          </w:p>
        </w:tc>
        <w:tc>
          <w:tcPr>
            <w:tcW w:w="2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4"/>
                <w:szCs w:val="14"/>
                <w:color w:val="auto"/>
              </w:rPr>
              <w:t>71,092</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25,120</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96,212</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Intangible assets, net</w:t>
            </w:r>
          </w:p>
        </w:tc>
        <w:tc>
          <w:tcPr>
            <w:tcW w:w="28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4"/>
                <w:szCs w:val="14"/>
                <w:color w:val="auto"/>
              </w:rPr>
              <w:t>27,973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8,018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35,991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Amortization expense related to intangible assets, as reflected on Busey's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xml:space="preserve">, is presented in the table below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Amortization Expense</w:t>
            </w:r>
          </w:p>
        </w:tc>
        <w:tc>
          <w:tcPr>
            <w:tcW w:w="980" w:type="dxa"/>
            <w:vAlign w:val="bottom"/>
            <w:shd w:val="clear" w:color="auto" w:fill="E0E7ED"/>
          </w:tcPr>
          <w:p>
            <w:pPr>
              <w:spacing w:after="0"/>
              <w:rPr>
                <w:sz w:val="17"/>
                <w:szCs w:val="17"/>
                <w:color w:val="auto"/>
              </w:rPr>
            </w:pPr>
          </w:p>
        </w:tc>
        <w:tc>
          <w:tcPr>
            <w:tcW w:w="6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Core deposit intangible</w:t>
            </w:r>
          </w:p>
        </w:tc>
        <w:tc>
          <w:tcPr>
            <w:tcW w:w="980" w:type="dxa"/>
            <w:vAlign w:val="bottom"/>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tcPr>
          <w:p>
            <w:pPr>
              <w:jc w:val="right"/>
              <w:ind w:right="9"/>
              <w:spacing w:after="0"/>
              <w:rPr>
                <w:sz w:val="20"/>
                <w:szCs w:val="20"/>
                <w:color w:val="auto"/>
              </w:rPr>
            </w:pPr>
            <w:r>
              <w:rPr>
                <w:rFonts w:ascii="Verdana" w:cs="Verdana" w:eastAsia="Verdana" w:hAnsi="Verdana"/>
                <w:sz w:val="14"/>
                <w:szCs w:val="14"/>
                <w:color w:val="auto"/>
              </w:rPr>
              <w:t>7,739</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7,616</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8,315</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Customer relationship intangible</w:t>
            </w:r>
          </w:p>
        </w:tc>
        <w:tc>
          <w:tcPr>
            <w:tcW w:w="980" w:type="dxa"/>
            <w:vAlign w:val="bottom"/>
            <w:tcBorders>
              <w:bottom w:val="single" w:sz="8" w:color="auto"/>
            </w:tcBorders>
            <w:shd w:val="clear" w:color="auto" w:fill="E0E7ED"/>
          </w:tcPr>
          <w:p>
            <w:pPr>
              <w:spacing w:after="0"/>
              <w:rPr>
                <w:sz w:val="18"/>
                <w:szCs w:val="18"/>
                <w:color w:val="auto"/>
              </w:rPr>
            </w:pPr>
          </w:p>
        </w:tc>
        <w:tc>
          <w:tcPr>
            <w:tcW w:w="62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2,318</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2,816</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3,313</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Amortization of intangible assets</w:t>
            </w:r>
          </w:p>
        </w:tc>
        <w:tc>
          <w:tcPr>
            <w:tcW w:w="980" w:type="dxa"/>
            <w:vAlign w:val="bottom"/>
            <w:tcBorders>
              <w:bottom w:val="single" w:sz="8" w:color="auto"/>
            </w:tcBorders>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10,057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10,432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11,628</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Future expense for the amortization of intangible assets, as estimated, is summarized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2024</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restart"/>
          </w:tcPr>
          <w:p>
            <w:pPr>
              <w:jc w:val="center"/>
              <w:ind w:right="380"/>
              <w:spacing w:after="0"/>
              <w:rPr>
                <w:sz w:val="20"/>
                <w:szCs w:val="20"/>
                <w:color w:val="auto"/>
              </w:rPr>
            </w:pPr>
            <w:r>
              <w:rPr>
                <w:rFonts w:ascii="Verdana" w:cs="Verdana" w:eastAsia="Verdana" w:hAnsi="Verdana"/>
                <w:sz w:val="10"/>
                <w:szCs w:val="10"/>
                <w:b w:val="1"/>
                <w:bCs w:val="1"/>
                <w:color w:val="auto"/>
                <w:w w:val="99"/>
              </w:rPr>
              <w:t>Core deposit</w:t>
            </w: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4" w:lineRule="exact"/>
              <w:rPr>
                <w:sz w:val="20"/>
                <w:szCs w:val="20"/>
                <w:color w:val="auto"/>
              </w:rPr>
            </w:pPr>
            <w:r>
              <w:rPr>
                <w:rFonts w:ascii="Verdana" w:cs="Verdana" w:eastAsia="Verdana" w:hAnsi="Verdana"/>
                <w:sz w:val="10"/>
                <w:szCs w:val="10"/>
                <w:b w:val="1"/>
                <w:bCs w:val="1"/>
                <w:color w:val="auto"/>
                <w:w w:val="99"/>
              </w:rPr>
              <w:t>Customer</w:t>
            </w: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jc w:val="center"/>
              <w:ind w:right="380"/>
              <w:spacing w:after="0" w:line="96" w:lineRule="exact"/>
              <w:rPr>
                <w:sz w:val="20"/>
                <w:szCs w:val="20"/>
                <w:color w:val="auto"/>
              </w:rPr>
            </w:pPr>
            <w:r>
              <w:rPr>
                <w:rFonts w:ascii="Verdana" w:cs="Verdana" w:eastAsia="Verdana" w:hAnsi="Verdana"/>
                <w:sz w:val="10"/>
                <w:szCs w:val="10"/>
                <w:b w:val="1"/>
                <w:bCs w:val="1"/>
                <w:color w:val="auto"/>
                <w:w w:val="98"/>
              </w:rPr>
              <w:t>relationship</w:t>
            </w:r>
          </w:p>
        </w:tc>
        <w:tc>
          <w:tcPr>
            <w:tcW w:w="380" w:type="dxa"/>
            <w:vAlign w:val="bottom"/>
          </w:tcPr>
          <w:p>
            <w:pPr>
              <w:spacing w:after="0"/>
              <w:rPr>
                <w:sz w:val="8"/>
                <w:szCs w:val="8"/>
                <w:color w:val="auto"/>
              </w:rPr>
            </w:pPr>
          </w:p>
        </w:tc>
        <w:tc>
          <w:tcPr>
            <w:tcW w:w="1200" w:type="dxa"/>
            <w:vAlign w:val="bottom"/>
            <w:vMerge w:val="restart"/>
          </w:tcPr>
          <w:p>
            <w:pPr>
              <w:jc w:val="right"/>
              <w:ind w:right="592"/>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6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280" w:type="dxa"/>
            <w:vAlign w:val="bottom"/>
          </w:tcPr>
          <w:p>
            <w:pPr>
              <w:spacing w:after="0"/>
              <w:rPr>
                <w:sz w:val="11"/>
                <w:szCs w:val="11"/>
                <w:color w:val="auto"/>
              </w:rPr>
            </w:pPr>
          </w:p>
        </w:tc>
        <w:tc>
          <w:tcPr>
            <w:tcW w:w="1400" w:type="dxa"/>
            <w:vAlign w:val="bottom"/>
            <w:gridSpan w:val="2"/>
          </w:tcPr>
          <w:p>
            <w:pPr>
              <w:jc w:val="center"/>
              <w:ind w:right="360"/>
              <w:spacing w:after="0"/>
              <w:rPr>
                <w:sz w:val="20"/>
                <w:szCs w:val="20"/>
                <w:color w:val="auto"/>
              </w:rPr>
            </w:pPr>
            <w:r>
              <w:rPr>
                <w:rFonts w:ascii="Verdana" w:cs="Verdana" w:eastAsia="Verdana" w:hAnsi="Verdana"/>
                <w:sz w:val="10"/>
                <w:szCs w:val="10"/>
                <w:b w:val="1"/>
                <w:bCs w:val="1"/>
                <w:color w:val="auto"/>
                <w:w w:val="99"/>
              </w:rPr>
              <w:t>intangible</w:t>
            </w:r>
          </w:p>
        </w:tc>
        <w:tc>
          <w:tcPr>
            <w:tcW w:w="3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Estimated amortization expense</w:t>
            </w:r>
          </w:p>
        </w:tc>
        <w:tc>
          <w:tcPr>
            <w:tcW w:w="280" w:type="dxa"/>
            <w:vAlign w:val="bottom"/>
            <w:tcBorders>
              <w:top w:val="single" w:sz="8" w:color="auto"/>
            </w:tcBorders>
            <w:shd w:val="clear" w:color="auto" w:fill="E0E7ED"/>
          </w:tcPr>
          <w:p>
            <w:pPr>
              <w:spacing w:after="0"/>
              <w:rPr>
                <w:sz w:val="17"/>
                <w:szCs w:val="17"/>
                <w:color w:val="auto"/>
              </w:rPr>
            </w:pPr>
          </w:p>
        </w:tc>
        <w:tc>
          <w:tcPr>
            <w:tcW w:w="13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2025</w:t>
            </w:r>
          </w:p>
        </w:tc>
        <w:tc>
          <w:tcPr>
            <w:tcW w:w="280" w:type="dxa"/>
            <w:vAlign w:val="bottom"/>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Pr>
          <w:p>
            <w:pPr>
              <w:jc w:val="right"/>
              <w:ind w:right="14"/>
              <w:spacing w:after="0"/>
              <w:rPr>
                <w:sz w:val="20"/>
                <w:szCs w:val="20"/>
                <w:color w:val="auto"/>
              </w:rPr>
            </w:pPr>
            <w:r>
              <w:rPr>
                <w:rFonts w:ascii="Verdana" w:cs="Verdana" w:eastAsia="Verdana" w:hAnsi="Verdana"/>
                <w:sz w:val="14"/>
                <w:szCs w:val="14"/>
                <w:color w:val="auto"/>
              </w:rPr>
              <w:t>6,895</w:t>
            </w:r>
          </w:p>
        </w:tc>
        <w:tc>
          <w:tcPr>
            <w:tcW w:w="8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1,887</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8,782</w:t>
            </w:r>
          </w:p>
        </w:tc>
        <w:tc>
          <w:tcPr>
            <w:tcW w:w="0" w:type="dxa"/>
            <w:vAlign w:val="bottom"/>
          </w:tcPr>
          <w:p>
            <w:pPr>
              <w:spacing w:after="0"/>
              <w:rPr>
                <w:sz w:val="1"/>
                <w:szCs w:val="1"/>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2026</w:t>
            </w:r>
          </w:p>
        </w:tc>
        <w:tc>
          <w:tcPr>
            <w:tcW w:w="2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6,035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1,479</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7,514</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2027</w:t>
            </w:r>
          </w:p>
        </w:tc>
        <w:tc>
          <w:tcPr>
            <w:tcW w:w="28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Verdana" w:cs="Verdana" w:eastAsia="Verdana" w:hAnsi="Verdana"/>
                <w:sz w:val="14"/>
                <w:szCs w:val="14"/>
                <w:color w:val="auto"/>
              </w:rPr>
              <w:t>5,200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1,091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6,291</w:t>
            </w:r>
          </w:p>
        </w:tc>
        <w:tc>
          <w:tcPr>
            <w:tcW w:w="0" w:type="dxa"/>
            <w:vAlign w:val="bottom"/>
          </w:tcPr>
          <w:p>
            <w:pPr>
              <w:spacing w:after="0"/>
              <w:rPr>
                <w:sz w:val="1"/>
                <w:szCs w:val="1"/>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2028</w:t>
            </w:r>
          </w:p>
        </w:tc>
        <w:tc>
          <w:tcPr>
            <w:tcW w:w="280" w:type="dxa"/>
            <w:vAlign w:val="bottom"/>
            <w:shd w:val="clear" w:color="auto" w:fill="E0E7ED"/>
          </w:tcPr>
          <w:p>
            <w:pPr>
              <w:spacing w:after="0"/>
              <w:rPr>
                <w:sz w:val="18"/>
                <w:szCs w:val="18"/>
                <w:color w:val="auto"/>
              </w:rPr>
            </w:pPr>
          </w:p>
        </w:tc>
        <w:tc>
          <w:tcPr>
            <w:tcW w:w="132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4,365</w:t>
            </w:r>
          </w:p>
        </w:tc>
        <w:tc>
          <w:tcPr>
            <w:tcW w:w="80" w:type="dxa"/>
            <w:vAlign w:val="bottom"/>
            <w:shd w:val="clear" w:color="auto" w:fill="E0E7ED"/>
          </w:tcPr>
          <w:p>
            <w:pPr>
              <w:spacing w:after="0"/>
              <w:rPr>
                <w:sz w:val="18"/>
                <w:szCs w:val="18"/>
                <w:color w:val="auto"/>
              </w:rPr>
            </w:pPr>
          </w:p>
        </w:tc>
        <w:tc>
          <w:tcPr>
            <w:tcW w:w="28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703</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5,068</w:t>
            </w: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2029</w:t>
            </w:r>
          </w:p>
        </w:tc>
        <w:tc>
          <w:tcPr>
            <w:tcW w:w="28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Verdana" w:cs="Verdana" w:eastAsia="Verdana" w:hAnsi="Verdana"/>
                <w:sz w:val="14"/>
                <w:szCs w:val="14"/>
                <w:color w:val="auto"/>
              </w:rPr>
              <w:t>1,719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360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2,079</w:t>
            </w:r>
          </w:p>
        </w:tc>
        <w:tc>
          <w:tcPr>
            <w:tcW w:w="0" w:type="dxa"/>
            <w:vAlign w:val="bottom"/>
          </w:tcPr>
          <w:p>
            <w:pPr>
              <w:spacing w:after="0"/>
              <w:rPr>
                <w:sz w:val="1"/>
                <w:szCs w:val="1"/>
                <w:color w:val="auto"/>
              </w:rPr>
            </w:pP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Thereafter</w:t>
            </w:r>
          </w:p>
        </w:tc>
        <w:tc>
          <w:tcPr>
            <w:tcW w:w="280" w:type="dxa"/>
            <w:vAlign w:val="bottom"/>
            <w:tcBorders>
              <w:bottom w:val="single" w:sz="8" w:color="auto"/>
            </w:tcBorders>
            <w:shd w:val="clear" w:color="auto" w:fill="E0E7ED"/>
          </w:tcPr>
          <w:p>
            <w:pPr>
              <w:spacing w:after="0"/>
              <w:rPr>
                <w:sz w:val="18"/>
                <w:szCs w:val="18"/>
                <w:color w:val="auto"/>
              </w:rPr>
            </w:pPr>
          </w:p>
        </w:tc>
        <w:tc>
          <w:tcPr>
            <w:tcW w:w="13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4"/>
                <w:szCs w:val="14"/>
                <w:color w:val="auto"/>
              </w:rPr>
              <w:t>2,366</w:t>
            </w:r>
          </w:p>
        </w:tc>
        <w:tc>
          <w:tcPr>
            <w:tcW w:w="80" w:type="dxa"/>
            <w:vAlign w:val="bottom"/>
            <w:shd w:val="clear" w:color="auto" w:fill="E0E7ED"/>
          </w:tcPr>
          <w:p>
            <w:pPr>
              <w:spacing w:after="0"/>
              <w:rPr>
                <w:sz w:val="18"/>
                <w:szCs w:val="18"/>
                <w:color w:val="auto"/>
              </w:rPr>
            </w:pPr>
          </w:p>
        </w:tc>
        <w:tc>
          <w:tcPr>
            <w:tcW w:w="28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180</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2,546</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Total estimated amortization expense</w:t>
            </w:r>
          </w:p>
        </w:tc>
        <w:tc>
          <w:tcPr>
            <w:tcW w:w="280" w:type="dxa"/>
            <w:vAlign w:val="bottom"/>
            <w:tcBorders>
              <w:bottom w:val="single" w:sz="8" w:color="auto"/>
            </w:tcBorders>
          </w:tcPr>
          <w:p>
            <w:pPr>
              <w:jc w:val="right"/>
              <w:ind w:right="109"/>
              <w:spacing w:after="0"/>
              <w:rPr>
                <w:sz w:val="20"/>
                <w:szCs w:val="20"/>
                <w:color w:val="auto"/>
              </w:rPr>
            </w:pPr>
            <w:r>
              <w:rPr>
                <w:rFonts w:ascii="Verdana" w:cs="Verdana" w:eastAsia="Verdana" w:hAnsi="Verdana"/>
                <w:sz w:val="14"/>
                <w:szCs w:val="14"/>
                <w:color w:val="auto"/>
                <w:w w:val="88"/>
              </w:rPr>
              <w:t>$</w:t>
            </w:r>
          </w:p>
        </w:tc>
        <w:tc>
          <w:tcPr>
            <w:tcW w:w="13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4"/>
                <w:szCs w:val="14"/>
                <w:color w:val="auto"/>
              </w:rPr>
              <w:t>26,580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Verdana" w:cs="Verdana" w:eastAsia="Verdana" w:hAnsi="Verdana"/>
                <w:sz w:val="14"/>
                <w:szCs w:val="14"/>
                <w:color w:val="auto"/>
                <w:w w:val="88"/>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5,700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32,280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9" w:name="page140"/>
    <w:bookmarkEnd w:id="13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9. DEPOSITS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composition of Busey’s deposits is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513"/>
              <w:spacing w:after="0"/>
              <w:rPr>
                <w:sz w:val="20"/>
                <w:szCs w:val="20"/>
                <w:color w:val="auto"/>
              </w:rPr>
            </w:pPr>
            <w:r>
              <w:rPr>
                <w:rFonts w:ascii="Verdana" w:cs="Verdana" w:eastAsia="Verdana" w:hAnsi="Verdana"/>
                <w:sz w:val="10"/>
                <w:szCs w:val="10"/>
                <w:b w:val="1"/>
                <w:bCs w:val="1"/>
                <w:color w:val="auto"/>
                <w:w w:val="98"/>
              </w:rPr>
              <w:t>2023</w:t>
            </w:r>
          </w:p>
        </w:tc>
        <w:tc>
          <w:tcPr>
            <w:tcW w:w="0" w:type="dxa"/>
            <w:vAlign w:val="bottom"/>
          </w:tcPr>
          <w:p>
            <w:pPr>
              <w:spacing w:after="0"/>
              <w:rPr>
                <w:sz w:val="1"/>
                <w:szCs w:val="1"/>
                <w:color w:val="auto"/>
              </w:rPr>
            </w:pP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Deposits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Noninterest-bearing demand deposits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2,719,907</w:t>
            </w:r>
          </w:p>
        </w:tc>
        <w:tc>
          <w:tcPr>
            <w:tcW w:w="100" w:type="dxa"/>
            <w:vAlign w:val="bottom"/>
          </w:tcPr>
          <w:p>
            <w:pPr>
              <w:spacing w:after="0"/>
              <w:rPr>
                <w:sz w:val="17"/>
                <w:szCs w:val="17"/>
                <w:color w:val="auto"/>
              </w:rPr>
            </w:pPr>
          </w:p>
        </w:tc>
        <w:tc>
          <w:tcPr>
            <w:tcW w:w="560" w:type="dxa"/>
            <w:vAlign w:val="bottom"/>
          </w:tcPr>
          <w:p>
            <w:pPr>
              <w:jc w:val="right"/>
              <w:ind w:right="393"/>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2,834,655</w:t>
            </w:r>
          </w:p>
        </w:tc>
        <w:tc>
          <w:tcPr>
            <w:tcW w:w="0" w:type="dxa"/>
            <w:vAlign w:val="bottom"/>
          </w:tcPr>
          <w:p>
            <w:pPr>
              <w:spacing w:after="0"/>
              <w:rPr>
                <w:sz w:val="1"/>
                <w:szCs w:val="1"/>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Interest-bearing transaction deposits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2,423,237</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2,717,139</w:t>
            </w: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Saving deposits and money market deposits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3,348,711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2,920,088</w:t>
            </w:r>
          </w:p>
        </w:tc>
        <w:tc>
          <w:tcPr>
            <w:tcW w:w="0" w:type="dxa"/>
            <w:vAlign w:val="bottom"/>
          </w:tcPr>
          <w:p>
            <w:pPr>
              <w:spacing w:after="0"/>
              <w:rPr>
                <w:sz w:val="1"/>
                <w:szCs w:val="1"/>
                <w:color w:val="auto"/>
              </w:rPr>
            </w:pPr>
          </w:p>
        </w:tc>
      </w:tr>
      <w:tr>
        <w:trPr>
          <w:trHeight w:val="212"/>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Time deposits</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1,490,635</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1,819,274</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Total deposits</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9,982,490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93"/>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10,291,156</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Verdana" w:cs="Verdana" w:eastAsia="Verdana" w:hAnsi="Verdana"/>
                <w:sz w:val="14"/>
                <w:szCs w:val="14"/>
                <w:color w:val="auto"/>
              </w:rPr>
              <w:t xml:space="preserve">Additional information about Busey’s deposits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513"/>
              <w:spacing w:after="0"/>
              <w:rPr>
                <w:sz w:val="20"/>
                <w:szCs w:val="20"/>
                <w:color w:val="auto"/>
              </w:rPr>
            </w:pPr>
            <w:r>
              <w:rPr>
                <w:rFonts w:ascii="Verdana" w:cs="Verdana" w:eastAsia="Verdana" w:hAnsi="Verdana"/>
                <w:sz w:val="10"/>
                <w:szCs w:val="10"/>
                <w:b w:val="1"/>
                <w:bCs w:val="1"/>
                <w:color w:val="auto"/>
                <w:w w:val="98"/>
              </w:rPr>
              <w:t>2023</w:t>
            </w:r>
          </w:p>
        </w:tc>
        <w:tc>
          <w:tcPr>
            <w:tcW w:w="0" w:type="dxa"/>
            <w:vAlign w:val="bottom"/>
          </w:tcPr>
          <w:p>
            <w:pPr>
              <w:spacing w:after="0"/>
              <w:rPr>
                <w:sz w:val="1"/>
                <w:szCs w:val="1"/>
                <w:color w:val="auto"/>
              </w:rPr>
            </w:pPr>
          </w:p>
        </w:tc>
      </w:tr>
      <w:tr>
        <w:trPr>
          <w:trHeight w:val="20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Brokered savings deposits and money market deposits</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6,002</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jc w:val="right"/>
              <w:ind w:right="393"/>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6,001</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Verdana" w:cs="Verdana" w:eastAsia="Verdana" w:hAnsi="Verdana"/>
                <w:sz w:val="14"/>
                <w:szCs w:val="14"/>
                <w:color w:val="auto"/>
              </w:rPr>
              <w:t>Brokered time deposits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7,088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285</w:t>
            </w:r>
          </w:p>
        </w:tc>
        <w:tc>
          <w:tcPr>
            <w:tcW w:w="0" w:type="dxa"/>
            <w:vAlign w:val="bottom"/>
          </w:tcPr>
          <w:p>
            <w:pPr>
              <w:spacing w:after="0"/>
              <w:rPr>
                <w:sz w:val="1"/>
                <w:szCs w:val="1"/>
                <w:color w:val="auto"/>
              </w:rPr>
            </w:pPr>
          </w:p>
        </w:tc>
      </w:tr>
      <w:tr>
        <w:trPr>
          <w:trHeight w:val="21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Total time deposits with a minimum denomination of $100,000</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860,193</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1,072,189</w:t>
            </w:r>
          </w:p>
        </w:tc>
        <w:tc>
          <w:tcPr>
            <w:tcW w:w="0" w:type="dxa"/>
            <w:vAlign w:val="bottom"/>
          </w:tcPr>
          <w:p>
            <w:pPr>
              <w:spacing w:after="0"/>
              <w:rPr>
                <w:sz w:val="1"/>
                <w:szCs w:val="1"/>
                <w:color w:val="auto"/>
              </w:rPr>
            </w:pPr>
          </w:p>
        </w:tc>
      </w:tr>
      <w:tr>
        <w:trPr>
          <w:trHeight w:val="201"/>
        </w:trPr>
        <w:tc>
          <w:tcPr>
            <w:tcW w:w="8020" w:type="dxa"/>
            <w:vAlign w:val="bottom"/>
          </w:tcPr>
          <w:p>
            <w:pPr>
              <w:ind w:left="20"/>
              <w:spacing w:after="0"/>
              <w:rPr>
                <w:sz w:val="20"/>
                <w:szCs w:val="20"/>
                <w:color w:val="auto"/>
              </w:rPr>
            </w:pPr>
            <w:r>
              <w:rPr>
                <w:rFonts w:ascii="Verdana" w:cs="Verdana" w:eastAsia="Verdana" w:hAnsi="Verdana"/>
                <w:sz w:val="14"/>
                <w:szCs w:val="14"/>
                <w:color w:val="auto"/>
              </w:rPr>
              <w:t>Total time deposits with a minimum denomination that meets or exceeds the FDIC insurance limit of $250,000</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334,503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386,286</w:t>
            </w:r>
          </w:p>
        </w:tc>
        <w:tc>
          <w:tcPr>
            <w:tcW w:w="0" w:type="dxa"/>
            <w:vAlign w:val="bottom"/>
          </w:tcPr>
          <w:p>
            <w:pPr>
              <w:spacing w:after="0"/>
              <w:rPr>
                <w:sz w:val="1"/>
                <w:szCs w:val="1"/>
                <w:color w:val="auto"/>
              </w:rPr>
            </w:pPr>
          </w:p>
        </w:tc>
      </w:tr>
      <w:tr>
        <w:trPr>
          <w:trHeight w:val="403"/>
        </w:trPr>
        <w:tc>
          <w:tcPr>
            <w:tcW w:w="8020" w:type="dxa"/>
            <w:vAlign w:val="bottom"/>
          </w:tcPr>
          <w:p>
            <w:pPr>
              <w:spacing w:after="0"/>
              <w:rPr>
                <w:sz w:val="20"/>
                <w:szCs w:val="20"/>
                <w:color w:val="auto"/>
              </w:rPr>
            </w:pPr>
            <w:r>
              <w:rPr>
                <w:rFonts w:ascii="Verdana" w:cs="Verdana" w:eastAsia="Verdana" w:hAnsi="Verdana"/>
                <w:sz w:val="14"/>
                <w:szCs w:val="14"/>
                <w:color w:val="auto"/>
              </w:rPr>
              <w:t xml:space="preserve">Scheduled maturities of time deposits are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center"/>
              <w:ind w:right="513"/>
              <w:spacing w:after="0"/>
              <w:rPr>
                <w:sz w:val="20"/>
                <w:szCs w:val="20"/>
                <w:color w:val="auto"/>
              </w:rPr>
            </w:pPr>
            <w:r>
              <w:rPr>
                <w:rFonts w:ascii="Verdana" w:cs="Verdana" w:eastAsia="Verdana" w:hAnsi="Verdana"/>
                <w:sz w:val="10"/>
                <w:szCs w:val="10"/>
                <w:b w:val="1"/>
                <w:bCs w:val="1"/>
                <w:color w:val="auto"/>
                <w:w w:val="98"/>
              </w:rPr>
              <w:t>As of</w:t>
            </w:r>
          </w:p>
        </w:tc>
        <w:tc>
          <w:tcPr>
            <w:tcW w:w="0" w:type="dxa"/>
            <w:vAlign w:val="bottom"/>
          </w:tcPr>
          <w:p>
            <w:pPr>
              <w:spacing w:after="0"/>
              <w:rPr>
                <w:sz w:val="1"/>
                <w:szCs w:val="1"/>
                <w:color w:val="auto"/>
              </w:rPr>
            </w:pPr>
          </w:p>
        </w:tc>
      </w:tr>
      <w:tr>
        <w:trPr>
          <w:trHeight w:val="133"/>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E0E7ED"/>
            </w:tcBorders>
          </w:tcPr>
          <w:p>
            <w:pPr>
              <w:spacing w:after="0"/>
              <w:rPr>
                <w:sz w:val="11"/>
                <w:szCs w:val="11"/>
                <w:color w:val="auto"/>
              </w:rPr>
            </w:pPr>
          </w:p>
        </w:tc>
        <w:tc>
          <w:tcPr>
            <w:tcW w:w="1200" w:type="dxa"/>
            <w:vAlign w:val="bottom"/>
            <w:tcBorders>
              <w:bottom w:val="single" w:sz="8" w:color="E0E7ED"/>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0"/>
                <w:szCs w:val="10"/>
                <w:b w:val="1"/>
                <w:bCs w:val="1"/>
                <w:color w:val="auto"/>
              </w:rPr>
              <w:t>December 31, 2024</w:t>
            </w:r>
          </w:p>
        </w:tc>
        <w:tc>
          <w:tcPr>
            <w:tcW w:w="0" w:type="dxa"/>
            <w:vAlign w:val="bottom"/>
          </w:tcPr>
          <w:p>
            <w:pPr>
              <w:spacing w:after="0"/>
              <w:rPr>
                <w:sz w:val="1"/>
                <w:szCs w:val="1"/>
                <w:color w:val="auto"/>
              </w:rPr>
            </w:pP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Time deposits by schedule of maturities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2025</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93"/>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1,427,748</w:t>
            </w:r>
          </w:p>
        </w:tc>
        <w:tc>
          <w:tcPr>
            <w:tcW w:w="0" w:type="dxa"/>
            <w:vAlign w:val="bottom"/>
          </w:tcPr>
          <w:p>
            <w:pPr>
              <w:spacing w:after="0"/>
              <w:rPr>
                <w:sz w:val="1"/>
                <w:szCs w:val="1"/>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2026</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33,459</w:t>
            </w: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2027</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14,964</w:t>
            </w:r>
          </w:p>
        </w:tc>
        <w:tc>
          <w:tcPr>
            <w:tcW w:w="0" w:type="dxa"/>
            <w:vAlign w:val="bottom"/>
          </w:tcPr>
          <w:p>
            <w:pPr>
              <w:spacing w:after="0"/>
              <w:rPr>
                <w:sz w:val="1"/>
                <w:szCs w:val="1"/>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2028</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8,178</w:t>
            </w:r>
          </w:p>
        </w:tc>
        <w:tc>
          <w:tcPr>
            <w:tcW w:w="0" w:type="dxa"/>
            <w:vAlign w:val="bottom"/>
          </w:tcPr>
          <w:p>
            <w:pPr>
              <w:spacing w:after="0"/>
              <w:rPr>
                <w:sz w:val="1"/>
                <w:szCs w:val="1"/>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2029</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5,838</w:t>
            </w:r>
          </w:p>
        </w:tc>
        <w:tc>
          <w:tcPr>
            <w:tcW w:w="0" w:type="dxa"/>
            <w:vAlign w:val="bottom"/>
          </w:tcPr>
          <w:p>
            <w:pPr>
              <w:spacing w:after="0"/>
              <w:rPr>
                <w:sz w:val="1"/>
                <w:szCs w:val="1"/>
                <w:color w:val="auto"/>
              </w:rPr>
            </w:pPr>
          </w:p>
        </w:tc>
      </w:tr>
      <w:tr>
        <w:trPr>
          <w:trHeight w:val="212"/>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Thereafter</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448</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Time deposits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93"/>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1,490,635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0" w:name="page141"/>
    <w:bookmarkEnd w:id="14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10. BORROWINGS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Securities Sold Under Agreements to Repurchase</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7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49"/>
              <w:spacing w:after="0"/>
              <w:rPr>
                <w:sz w:val="20"/>
                <w:szCs w:val="20"/>
                <w:color w:val="auto"/>
              </w:rPr>
            </w:pPr>
            <w:r>
              <w:rPr>
                <w:rFonts w:ascii="Verdana" w:cs="Verdana" w:eastAsia="Verdana" w:hAnsi="Verdana"/>
                <w:sz w:val="10"/>
                <w:szCs w:val="10"/>
                <w:b w:val="1"/>
                <w:bCs w:val="1"/>
                <w:color w:val="auto"/>
              </w:rPr>
              <w:t>As of December 31,</w:t>
            </w:r>
          </w:p>
        </w:tc>
        <w:tc>
          <w:tcPr>
            <w:tcW w:w="1100" w:type="dxa"/>
            <w:vAlign w:val="bottom"/>
            <w:tcBorders>
              <w:bottom w:val="single" w:sz="8" w:color="auto"/>
            </w:tcBorders>
          </w:tcPr>
          <w:p>
            <w:pPr>
              <w:spacing w:after="0"/>
              <w:rPr>
                <w:sz w:val="11"/>
                <w:szCs w:val="11"/>
                <w:color w:val="auto"/>
              </w:rPr>
            </w:pPr>
          </w:p>
        </w:tc>
      </w:tr>
      <w:tr>
        <w:trPr>
          <w:trHeight w:val="131"/>
        </w:trPr>
        <w:tc>
          <w:tcPr>
            <w:tcW w:w="776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6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56"/>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77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Securities sold under agreements to repurchase</w:t>
            </w: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60"/>
              <w:spacing w:after="0"/>
              <w:rPr>
                <w:sz w:val="20"/>
                <w:szCs w:val="20"/>
                <w:color w:val="auto"/>
              </w:rPr>
            </w:pPr>
            <w:r>
              <w:rPr>
                <w:rFonts w:ascii="Verdana" w:cs="Verdana" w:eastAsia="Verdana" w:hAnsi="Verdana"/>
                <w:sz w:val="14"/>
                <w:szCs w:val="14"/>
                <w:color w:val="auto"/>
              </w:rPr>
              <w:t>155,610</w:t>
            </w:r>
          </w:p>
        </w:tc>
        <w:tc>
          <w:tcPr>
            <w:tcW w:w="80" w:type="dxa"/>
            <w:vAlign w:val="bottom"/>
            <w:shd w:val="clear" w:color="auto" w:fill="E0E7ED"/>
          </w:tcPr>
          <w:p>
            <w:pPr>
              <w:spacing w:after="0"/>
              <w:rPr>
                <w:sz w:val="18"/>
                <w:szCs w:val="18"/>
                <w:color w:val="auto"/>
              </w:rPr>
            </w:pPr>
          </w:p>
        </w:tc>
        <w:tc>
          <w:tcPr>
            <w:tcW w:w="620" w:type="dxa"/>
            <w:vAlign w:val="bottom"/>
            <w:shd w:val="clear" w:color="auto" w:fill="E0E7ED"/>
          </w:tcPr>
          <w:p>
            <w:pPr>
              <w:jc w:val="right"/>
              <w:ind w:right="449"/>
              <w:spacing w:after="0"/>
              <w:rPr>
                <w:sz w:val="20"/>
                <w:szCs w:val="20"/>
                <w:color w:val="auto"/>
              </w:rPr>
            </w:pPr>
            <w:r>
              <w:rPr>
                <w:rFonts w:ascii="Verdana" w:cs="Verdana" w:eastAsia="Verdana" w:hAnsi="Verdana"/>
                <w:sz w:val="14"/>
                <w:szCs w:val="14"/>
                <w:color w:val="auto"/>
                <w:w w:val="88"/>
              </w:rPr>
              <w:t>$</w:t>
            </w:r>
          </w:p>
        </w:tc>
        <w:tc>
          <w:tcPr>
            <w:tcW w:w="1100" w:type="dxa"/>
            <w:vAlign w:val="bottom"/>
            <w:shd w:val="clear" w:color="auto" w:fill="E0E7ED"/>
          </w:tcPr>
          <w:p>
            <w:pPr>
              <w:jc w:val="right"/>
              <w:ind w:right="156"/>
              <w:spacing w:after="0"/>
              <w:rPr>
                <w:sz w:val="20"/>
                <w:szCs w:val="20"/>
                <w:color w:val="auto"/>
              </w:rPr>
            </w:pPr>
            <w:r>
              <w:rPr>
                <w:rFonts w:ascii="Verdana" w:cs="Verdana" w:eastAsia="Verdana" w:hAnsi="Verdana"/>
                <w:sz w:val="14"/>
                <w:szCs w:val="14"/>
                <w:color w:val="auto"/>
              </w:rPr>
              <w:t>187,396</w:t>
            </w:r>
          </w:p>
        </w:tc>
      </w:tr>
      <w:tr>
        <w:trPr>
          <w:trHeight w:val="201"/>
        </w:trPr>
        <w:tc>
          <w:tcPr>
            <w:tcW w:w="7760" w:type="dxa"/>
            <w:vAlign w:val="bottom"/>
          </w:tcPr>
          <w:p>
            <w:pPr>
              <w:ind w:left="20"/>
              <w:spacing w:after="0"/>
              <w:rPr>
                <w:sz w:val="20"/>
                <w:szCs w:val="20"/>
                <w:color w:val="auto"/>
              </w:rPr>
            </w:pPr>
            <w:r>
              <w:rPr>
                <w:rFonts w:ascii="Verdana" w:cs="Verdana" w:eastAsia="Verdana" w:hAnsi="Verdana"/>
                <w:sz w:val="14"/>
                <w:szCs w:val="14"/>
                <w:color w:val="auto"/>
              </w:rPr>
              <w:t>Weighted average rate for securities sold under agreements to repurchase</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2.63 %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Verdana" w:cs="Verdana" w:eastAsia="Verdana" w:hAnsi="Verdana"/>
                <w:sz w:val="14"/>
                <w:szCs w:val="14"/>
                <w:color w:val="auto"/>
              </w:rPr>
              <w:t>3.26 %</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Term Loan</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On May 28, 2021, Busey entered into a Second Amended and Restated Credit Agreement, pursuant to which Busey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annual interest rate for the loans was established at 1.80% plus the one-month forward-looking term rate based on SOFR. The agreement has subsequently been amended twice to extend the termination date for the revolving line of credit, which is currently April 30, 2025.</w:t>
      </w:r>
    </w:p>
    <w:p>
      <w:pPr>
        <w:spacing w:after="0" w:line="297"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During the first quarter of 2024, Busey paid the full $30.0 million balance remaining on the Term Loan, at which time the Term Loan carried interest at a rate of 7.13%. As of December 31, 2024, there was no balance outstanding on the revolving credit facility. The revolving credit facility incurs a non-usage fee based on any undrawn amounts.</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Short-Term Borrowings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Busey’s short-term borrowings may include loans maturing within one year of the loan origination date, as well as the current portion of long-term debt that is due within 12 months. Short-term borrowings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p>
      <w:pPr>
        <w:jc w:val="center"/>
        <w:ind w:left="8000"/>
        <w:spacing w:after="0"/>
        <w:rPr>
          <w:sz w:val="20"/>
          <w:szCs w:val="20"/>
          <w:color w:val="auto"/>
        </w:rPr>
      </w:pPr>
      <w:r>
        <w:rPr>
          <w:rFonts w:ascii="Verdana" w:cs="Verdana" w:eastAsia="Verdana" w:hAnsi="Verdana"/>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12700</wp:posOffset>
            </wp:positionV>
            <wp:extent cx="207518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7" w:lineRule="exact"/>
        <w:rPr>
          <w:sz w:val="20"/>
          <w:szCs w:val="20"/>
          <w:color w:val="auto"/>
        </w:rPr>
      </w:pPr>
    </w:p>
    <w:p>
      <w:pPr>
        <w:ind w:left="8680"/>
        <w:spacing w:after="0"/>
        <w:tabs>
          <w:tab w:leader="none" w:pos="10320" w:val="left"/>
        </w:tabs>
        <w:rPr>
          <w:sz w:val="20"/>
          <w:szCs w:val="20"/>
          <w:color w:val="auto"/>
        </w:rPr>
      </w:pPr>
      <w:r>
        <w:rPr>
          <w:rFonts w:ascii="Verdana" w:cs="Verdana" w:eastAsia="Verdana" w:hAnsi="Verdana"/>
          <w:sz w:val="10"/>
          <w:szCs w:val="10"/>
          <w:b w:val="1"/>
          <w:bCs w:val="1"/>
          <w:color w:val="auto"/>
        </w:rPr>
        <w:t>2024</w:t>
      </w:r>
      <w:r>
        <w:rPr>
          <w:sz w:val="20"/>
          <w:szCs w:val="20"/>
          <w:color w:val="auto"/>
        </w:rPr>
        <w:tab/>
      </w:r>
      <w:r>
        <w:rPr>
          <w:rFonts w:ascii="Verdana" w:cs="Verdana" w:eastAsia="Verdana" w:hAnsi="Verdana"/>
          <w:sz w:val="10"/>
          <w:szCs w:val="1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41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8000" w:val="left"/>
          <w:tab w:leader="none" w:pos="9380" w:val="left"/>
          <w:tab w:leader="none" w:pos="9680" w:val="left"/>
          <w:tab w:leader="none" w:pos="10700" w:val="left"/>
        </w:tabs>
        <w:rPr>
          <w:sz w:val="20"/>
          <w:szCs w:val="20"/>
          <w:color w:val="auto"/>
        </w:rPr>
      </w:pPr>
      <w:r>
        <w:rPr>
          <w:rFonts w:ascii="Verdana" w:cs="Verdana" w:eastAsia="Verdana" w:hAnsi="Verdana"/>
          <w:sz w:val="14"/>
          <w:szCs w:val="14"/>
          <w:color w:val="auto"/>
        </w:rPr>
        <w:t>Term Loan, current portion due within 12 months</w:t>
      </w:r>
      <w:r>
        <w:rPr>
          <w:sz w:val="20"/>
          <w:szCs w:val="20"/>
          <w:color w:val="auto"/>
        </w:rPr>
        <w:tab/>
      </w:r>
      <w:r>
        <w:rPr>
          <w:rFonts w:ascii="Verdana" w:cs="Verdana" w:eastAsia="Verdana" w:hAnsi="Verdana"/>
          <w:sz w:val="14"/>
          <w:szCs w:val="14"/>
          <w:color w:val="auto"/>
        </w:rPr>
        <w:t>$</w:t>
      </w:r>
      <w:r>
        <w:rPr>
          <w:sz w:val="20"/>
          <w:szCs w:val="20"/>
          <w:color w:val="auto"/>
        </w:rPr>
        <w:tab/>
      </w:r>
      <w:r>
        <w:rPr>
          <w:rFonts w:ascii="Verdana" w:cs="Verdana" w:eastAsia="Verdana" w:hAnsi="Verdana"/>
          <w:sz w:val="14"/>
          <w:szCs w:val="14"/>
          <w:color w:val="auto"/>
        </w:rPr>
        <w:t>—</w:t>
        <w:tab/>
        <w:t>$</w:t>
      </w:r>
      <w:r>
        <w:rPr>
          <w:sz w:val="20"/>
          <w:szCs w:val="20"/>
          <w:color w:val="auto"/>
        </w:rPr>
        <w:tab/>
      </w:r>
      <w:r>
        <w:rPr>
          <w:rFonts w:ascii="Verdana" w:cs="Verdana" w:eastAsia="Verdana" w:hAnsi="Verdana"/>
          <w:sz w:val="14"/>
          <w:szCs w:val="14"/>
          <w:color w:val="auto"/>
        </w:rPr>
        <w:t>12,000</w:t>
      </w:r>
    </w:p>
    <w:p>
      <w:pPr>
        <w:spacing w:after="0" w:line="233"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Federal funds purchased are short-term borrowings that generally mature between one day and 90 days. During the first quarter of 2024, Busey purchased federal funds to test operational availability to access funds if needed. Busey had no federal funds purchased as of December 31, 2024, or 2023.</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1" w:name="page142"/>
    <w:bookmarkEnd w:id="14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Long-Term Debt</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long-term debt consists of loans maturing more than one year from the loan origination date, excluding the current portion that is due within</w:t>
      </w:r>
    </w:p>
    <w:p>
      <w:pPr>
        <w:spacing w:after="0"/>
        <w:rPr>
          <w:sz w:val="20"/>
          <w:szCs w:val="20"/>
          <w:color w:val="auto"/>
        </w:rPr>
      </w:pPr>
      <w:r>
        <w:rPr>
          <w:rFonts w:ascii="Verdana" w:cs="Verdana" w:eastAsia="Verdana" w:hAnsi="Verdana"/>
          <w:sz w:val="14"/>
          <w:szCs w:val="14"/>
          <w:color w:val="auto"/>
        </w:rPr>
        <w:t xml:space="preserve">12 months. Long-term debt is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p>
      <w:pPr>
        <w:jc w:val="center"/>
        <w:ind w:left="8000"/>
        <w:spacing w:after="0"/>
        <w:rPr>
          <w:sz w:val="20"/>
          <w:szCs w:val="20"/>
          <w:color w:val="auto"/>
        </w:rPr>
      </w:pPr>
      <w:r>
        <w:rPr>
          <w:rFonts w:ascii="Verdana" w:cs="Verdana" w:eastAsia="Verdana" w:hAnsi="Verdana"/>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5089525</wp:posOffset>
            </wp:positionH>
            <wp:positionV relativeFrom="paragraph">
              <wp:posOffset>12700</wp:posOffset>
            </wp:positionV>
            <wp:extent cx="207518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7" w:lineRule="exact"/>
        <w:rPr>
          <w:sz w:val="20"/>
          <w:szCs w:val="20"/>
          <w:color w:val="auto"/>
        </w:rPr>
      </w:pPr>
    </w:p>
    <w:p>
      <w:pPr>
        <w:ind w:left="8680"/>
        <w:spacing w:after="0"/>
        <w:tabs>
          <w:tab w:leader="none" w:pos="10320" w:val="left"/>
        </w:tabs>
        <w:rPr>
          <w:sz w:val="20"/>
          <w:szCs w:val="20"/>
          <w:color w:val="auto"/>
        </w:rPr>
      </w:pPr>
      <w:r>
        <w:rPr>
          <w:rFonts w:ascii="Verdana" w:cs="Verdana" w:eastAsia="Verdana" w:hAnsi="Verdana"/>
          <w:sz w:val="10"/>
          <w:szCs w:val="10"/>
          <w:b w:val="1"/>
          <w:bCs w:val="1"/>
          <w:color w:val="auto"/>
        </w:rPr>
        <w:t>2024</w:t>
      </w:r>
      <w:r>
        <w:rPr>
          <w:sz w:val="20"/>
          <w:szCs w:val="20"/>
          <w:color w:val="auto"/>
        </w:rPr>
        <w:tab/>
      </w:r>
      <w:r>
        <w:rPr>
          <w:rFonts w:ascii="Verdana" w:cs="Verdana" w:eastAsia="Verdana" w:hAnsi="Verdana"/>
          <w:sz w:val="10"/>
          <w:szCs w:val="1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41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8000" w:val="left"/>
          <w:tab w:leader="none" w:pos="9380" w:val="left"/>
          <w:tab w:leader="none" w:pos="9680" w:val="left"/>
          <w:tab w:leader="none" w:pos="10700" w:val="left"/>
        </w:tabs>
        <w:rPr>
          <w:sz w:val="20"/>
          <w:szCs w:val="20"/>
          <w:color w:val="auto"/>
        </w:rPr>
      </w:pPr>
      <w:r>
        <w:rPr>
          <w:rFonts w:ascii="Verdana" w:cs="Verdana" w:eastAsia="Verdana" w:hAnsi="Verdana"/>
          <w:sz w:val="14"/>
          <w:szCs w:val="14"/>
          <w:color w:val="auto"/>
        </w:rPr>
        <w:t>Term Loan</w:t>
      </w:r>
      <w:r>
        <w:rPr>
          <w:sz w:val="20"/>
          <w:szCs w:val="20"/>
          <w:color w:val="auto"/>
        </w:rPr>
        <w:tab/>
      </w:r>
      <w:r>
        <w:rPr>
          <w:rFonts w:ascii="Verdana" w:cs="Verdana" w:eastAsia="Verdana" w:hAnsi="Verdana"/>
          <w:sz w:val="14"/>
          <w:szCs w:val="14"/>
          <w:color w:val="auto"/>
        </w:rPr>
        <w:t>$</w:t>
      </w:r>
      <w:r>
        <w:rPr>
          <w:sz w:val="20"/>
          <w:szCs w:val="20"/>
          <w:color w:val="auto"/>
        </w:rPr>
        <w:tab/>
      </w:r>
      <w:r>
        <w:rPr>
          <w:rFonts w:ascii="Verdana" w:cs="Verdana" w:eastAsia="Verdana" w:hAnsi="Verdana"/>
          <w:sz w:val="14"/>
          <w:szCs w:val="14"/>
          <w:color w:val="auto"/>
        </w:rPr>
        <w:t>—</w:t>
        <w:tab/>
        <w:t>$</w:t>
      </w:r>
      <w:r>
        <w:rPr>
          <w:sz w:val="20"/>
          <w:szCs w:val="20"/>
          <w:color w:val="auto"/>
        </w:rPr>
        <w:tab/>
      </w:r>
      <w:r>
        <w:rPr>
          <w:rFonts w:ascii="Verdana" w:cs="Verdana" w:eastAsia="Verdana" w:hAnsi="Verdana"/>
          <w:sz w:val="14"/>
          <w:szCs w:val="14"/>
          <w:color w:val="auto"/>
        </w:rPr>
        <w:t>18,000</w:t>
      </w:r>
    </w:p>
    <w:p>
      <w:pPr>
        <w:spacing w:after="0" w:line="23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Subordinated Notes</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23"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expected to be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123"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 xml:space="preserve">Associated with the M&amp;M acquisition completed on April 1, 2024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 Mergers and Acquisitions</w:t>
      </w:r>
      <w:r>
        <w:rPr>
          <w:rFonts w:ascii="Verdana" w:cs="Verdana" w:eastAsia="Verdana" w:hAnsi="Verdana"/>
          <w:sz w:val="14"/>
          <w:szCs w:val="14"/>
          <w:i w:val="1"/>
          <w:iCs w:val="1"/>
          <w:color w:val="auto"/>
        </w:rPr>
        <w:t>”</w:t>
      </w:r>
      <w:r>
        <w:rPr>
          <w:rFonts w:ascii="Verdana" w:cs="Verdana" w:eastAsia="Verdana" w:hAnsi="Verdana"/>
          <w:sz w:val="14"/>
          <w:szCs w:val="14"/>
          <w:color w:val="auto"/>
        </w:rPr>
        <w:t>), Busey acquired $4.0 million of 5.25% fixed-to-floating rate subordinated notes maturing December 4, 2030, which qualify as Tier 2 capital for regulatory purposes. Interest on the subordinated notes accrues at a rate equal to (1) 5.25% per annum from the original issue date to December 4, 2025, and (2) a floating rate per annum equal to a benchmark rate, which is expected to be the Three-Month Term SOFR (as defined in the subordinated notes), plus a spread of 497 bps from December 4, 2025. The subordinated notes have an optional redemption, in whole or in part, on or after December 4, 2025. At December 31, 2024, there was $0.1 million of fair value discount outstanding, to be accreted through the earliest optional redemption date.</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Unamortized debt issuance costs related to Busey’s subordinated notes are presented in the following table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Unamortized debt issuance costs</w:t>
            </w:r>
          </w:p>
        </w:tc>
        <w:tc>
          <w:tcPr>
            <w:tcW w:w="100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jc w:val="center"/>
              <w:ind w:right="5189"/>
              <w:spacing w:after="0"/>
              <w:rPr>
                <w:sz w:val="20"/>
                <w:szCs w:val="20"/>
                <w:color w:val="auto"/>
              </w:rPr>
            </w:pPr>
            <w:r>
              <w:rPr>
                <w:rFonts w:ascii="Verdana" w:cs="Verdana" w:eastAsia="Verdana" w:hAnsi="Verdana"/>
                <w:sz w:val="14"/>
                <w:szCs w:val="14"/>
                <w:color w:val="auto"/>
              </w:rPr>
              <w:t>Subordinated notes issued in 2020</w:t>
            </w:r>
          </w:p>
        </w:tc>
        <w:tc>
          <w:tcPr>
            <w:tcW w:w="1000" w:type="dxa"/>
            <w:vAlign w:val="bottom"/>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222</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735</w:t>
            </w:r>
          </w:p>
        </w:tc>
      </w:tr>
      <w:tr>
        <w:trPr>
          <w:trHeight w:val="212"/>
        </w:trPr>
        <w:tc>
          <w:tcPr>
            <w:tcW w:w="8020" w:type="dxa"/>
            <w:vAlign w:val="bottom"/>
            <w:shd w:val="clear" w:color="auto" w:fill="E0E7ED"/>
          </w:tcPr>
          <w:p>
            <w:pPr>
              <w:jc w:val="center"/>
              <w:ind w:right="5189"/>
              <w:spacing w:after="0"/>
              <w:rPr>
                <w:sz w:val="20"/>
                <w:szCs w:val="20"/>
                <w:color w:val="auto"/>
              </w:rPr>
            </w:pPr>
            <w:r>
              <w:rPr>
                <w:rFonts w:ascii="Verdana" w:cs="Verdana" w:eastAsia="Verdana" w:hAnsi="Verdana"/>
                <w:sz w:val="14"/>
                <w:szCs w:val="14"/>
                <w:color w:val="auto"/>
              </w:rPr>
              <w:t>Subordinated notes issued in 2022</w:t>
            </w:r>
          </w:p>
        </w:tc>
        <w:tc>
          <w:tcPr>
            <w:tcW w:w="1000" w:type="dxa"/>
            <w:vAlign w:val="bottom"/>
            <w:tcBorders>
              <w:bottom w:val="single" w:sz="8" w:color="auto"/>
            </w:tcBorders>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1,004</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1,383</w:t>
            </w:r>
          </w:p>
        </w:tc>
      </w:tr>
      <w:tr>
        <w:trPr>
          <w:trHeight w:val="208"/>
        </w:trPr>
        <w:tc>
          <w:tcPr>
            <w:tcW w:w="8020" w:type="dxa"/>
            <w:vAlign w:val="bottom"/>
          </w:tcPr>
          <w:p>
            <w:pPr>
              <w:jc w:val="center"/>
              <w:ind w:right="5209"/>
              <w:spacing w:after="0"/>
              <w:rPr>
                <w:sz w:val="20"/>
                <w:szCs w:val="20"/>
                <w:color w:val="auto"/>
              </w:rPr>
            </w:pPr>
            <w:r>
              <w:rPr>
                <w:rFonts w:ascii="Verdana" w:cs="Verdana" w:eastAsia="Verdana" w:hAnsi="Verdana"/>
                <w:sz w:val="14"/>
                <w:szCs w:val="14"/>
                <w:color w:val="auto"/>
                <w:w w:val="99"/>
              </w:rPr>
              <w:t>Total unamortized debt issuance costs</w:t>
            </w:r>
          </w:p>
        </w:tc>
        <w:tc>
          <w:tcPr>
            <w:tcW w:w="1000" w:type="dxa"/>
            <w:vAlign w:val="bottom"/>
            <w:tcBorders>
              <w:bottom w:val="single" w:sz="8" w:color="auto"/>
            </w:tcBorders>
          </w:tcPr>
          <w:p>
            <w:pPr>
              <w:jc w:val="right"/>
              <w:ind w:right="836"/>
              <w:spacing w:after="0"/>
              <w:rPr>
                <w:sz w:val="20"/>
                <w:szCs w:val="20"/>
                <w:color w:val="auto"/>
              </w:rPr>
            </w:pPr>
            <w:r>
              <w:rPr>
                <w:rFonts w:ascii="Verdana" w:cs="Verdana" w:eastAsia="Verdana" w:hAnsi="Verdana"/>
                <w:sz w:val="14"/>
                <w:szCs w:val="14"/>
                <w:color w:val="auto"/>
                <w:w w:val="88"/>
              </w:rPr>
              <w:t>$</w:t>
            </w: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1,226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2,118</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2" w:name="page143"/>
    <w:bookmarkEnd w:id="14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11. JUNIOR SUBORDINATED DEBT OWED TO UNCONSOLIDATED TRUSTS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Busey maintains statutory trusts for the sole purpose of issuing and servicing trust preferred securities and related trust common securities. Proceeds from such issuances were used by the trusts to purchase junior subordinated notes issued by Busey, which are the sole assets of each trust. Concurrent with the issuance of the trust preferred securities, Busey issued guarantees for the benefit of the holders of the trust preferred securities. The trust preferred securities are instruments that qualify and are treated as Tier 1 regulatory capital.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Busey had $74.8 million and $72.0 million of junior subordinated debt owed to unconsolidated trusts at December 31, 2024, and 2023, respectively, maturing in 2033 through 2036. In connection with its acquisitions of Pulaski Financial Corp. in 2016 and M&amp;M in 2024, Busey has acquired similar statutory trusts and the fair value adjustment is being accreted over their weighted average remaining lives, with a balance of $2.9 million and $2.6 million remaining to be accreted as of December 31, 2024, and 2023, respectively.</w:t>
      </w:r>
    </w:p>
    <w:p>
      <w:pPr>
        <w:spacing w:after="0" w:line="127"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Busey’s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Busey making payments on the related junior subordinated notes. Busey’s obligations under the junior subordinated notes and other relevant trust agreements, in aggregate, constitute a full and unconditional guarantee by Busey of each trust’s obligations under the trust preferred securities issued by each trust. Busey has the right to defer payment of interest on the notes, in which case the distributions on the trust preferred securities will also be deferred, for up to five years, but not beyond the stated maturity date.</w:t>
      </w:r>
    </w:p>
    <w:p>
      <w:pPr>
        <w:spacing w:after="0" w:line="133"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For regulatory capital purposes, current banking regulations allow for the inclusion in Tier 1 Capital of qualifying trust preferred securities issued prior to May 19, 2010, by bank holding companies with less than $15.0 billion of assets, but do not allow for additional Tier 1 Capital to be raised through the future issuance of trust preferred securities. As of December 31, 2024, 100% of the trust preferred securities qualified as Tier 1 Capital; however, once Busey reaches $15.0 billion in assets, its trust preferred securities will no longer quality as Tier 1 Capital.</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12. REGULATORY CAPITAL</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First Busey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Capital amounts and classification also are subject to qualitative judgments by regulators about components, risk weightings, and other factors.</w:t>
      </w:r>
    </w:p>
    <w:p>
      <w:pPr>
        <w:spacing w:after="0" w:line="13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Banking regulations identify five capital categories for insured depository institutions: well capitalized, adequately capitalized, undercapitalized, significantly undercapitalized, and critically undercapitalized. As of December 31, 2024 and 2023, all capital ratios of First Busey and Busey Bank exceeded well capitalized levels under the applicable regulatory capital adequacy guidelines. Management believes that no events or changes have occurred subsequent to December 31, 2024, that would change this designation.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3" w:name="page144"/>
    <w:bookmarkEnd w:id="14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Current Expected Credit Loss Model</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Busey elected to use the deferral option, the regulatory capital impact of Busey’s transition adjustments recorded on January 1, 2020, arising from the adoption of CECL was deferred for two years. In addition, 25 percent of the ongoing impact of CECL on Busey’s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Capital Amounts and Ratios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tables summarize regulatory capital requirements applicable to Busey and its subsidiary bank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5"/>
          </w:tcPr>
          <w:p>
            <w:pPr>
              <w:ind w:left="420"/>
              <w:spacing w:after="0"/>
              <w:rPr>
                <w:sz w:val="20"/>
                <w:szCs w:val="20"/>
                <w:color w:val="auto"/>
              </w:rPr>
            </w:pPr>
            <w:r>
              <w:rPr>
                <w:rFonts w:ascii="Verdana" w:cs="Verdana" w:eastAsia="Verdana" w:hAnsi="Verdana"/>
                <w:sz w:val="10"/>
                <w:szCs w:val="10"/>
                <w:b w:val="1"/>
                <w:bCs w:val="1"/>
                <w:color w:val="auto"/>
              </w:rPr>
              <w:t>As of December 31, 2024</w:t>
            </w: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3"/>
            <w:vMerge w:val="restart"/>
          </w:tcPr>
          <w:p>
            <w:pPr>
              <w:ind w:left="860"/>
              <w:spacing w:after="0"/>
              <w:rPr>
                <w:sz w:val="20"/>
                <w:szCs w:val="20"/>
                <w:color w:val="auto"/>
              </w:rPr>
            </w:pPr>
            <w:r>
              <w:rPr>
                <w:rFonts w:ascii="Verdana" w:cs="Verdana" w:eastAsia="Verdana" w:hAnsi="Verdana"/>
                <w:sz w:val="10"/>
                <w:szCs w:val="10"/>
                <w:b w:val="1"/>
                <w:bCs w:val="1"/>
                <w:color w:val="auto"/>
              </w:rPr>
              <w:t>Minimum</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3"/>
          </w:tcPr>
          <w:p>
            <w:pPr>
              <w:jc w:val="center"/>
              <w:ind w:left="556"/>
              <w:spacing w:after="0" w:line="94" w:lineRule="exact"/>
              <w:rPr>
                <w:sz w:val="20"/>
                <w:szCs w:val="20"/>
                <w:color w:val="auto"/>
              </w:rPr>
            </w:pPr>
            <w:r>
              <w:rPr>
                <w:rFonts w:ascii="Verdana" w:cs="Verdana" w:eastAsia="Verdana" w:hAnsi="Verdana"/>
                <w:sz w:val="10"/>
                <w:szCs w:val="10"/>
                <w:b w:val="1"/>
                <w:bCs w:val="1"/>
                <w:color w:val="auto"/>
                <w:w w:val="96"/>
              </w:rPr>
              <w:t>Minimum</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gridSpan w:val="2"/>
            <w:vMerge w:val="restart"/>
          </w:tcPr>
          <w:p>
            <w:pPr>
              <w:ind w:left="940"/>
              <w:spacing w:after="0"/>
              <w:rPr>
                <w:sz w:val="20"/>
                <w:szCs w:val="20"/>
                <w:color w:val="auto"/>
              </w:rPr>
            </w:pPr>
            <w:r>
              <w:rPr>
                <w:rFonts w:ascii="Verdana" w:cs="Verdana" w:eastAsia="Verdana" w:hAnsi="Verdana"/>
                <w:sz w:val="10"/>
                <w:szCs w:val="10"/>
                <w:b w:val="1"/>
                <w:bCs w:val="1"/>
                <w:color w:val="auto"/>
                <w:w w:val="95"/>
              </w:rPr>
              <w:t>Actual</w:t>
            </w: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3"/>
          </w:tcPr>
          <w:p>
            <w:pPr>
              <w:jc w:val="center"/>
              <w:ind w:left="556"/>
              <w:spacing w:after="0" w:line="96" w:lineRule="exact"/>
              <w:rPr>
                <w:sz w:val="20"/>
                <w:szCs w:val="20"/>
                <w:color w:val="auto"/>
              </w:rPr>
            </w:pPr>
            <w:r>
              <w:rPr>
                <w:rFonts w:ascii="Verdana" w:cs="Verdana" w:eastAsia="Verdana" w:hAnsi="Verdana"/>
                <w:sz w:val="10"/>
                <w:szCs w:val="10"/>
                <w:b w:val="1"/>
                <w:bCs w:val="1"/>
                <w:color w:val="auto"/>
                <w:w w:val="97"/>
              </w:rPr>
              <w:t>To Be Well</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vMerge w:val="continue"/>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ind w:left="540"/>
              <w:spacing w:after="0"/>
              <w:rPr>
                <w:sz w:val="20"/>
                <w:szCs w:val="20"/>
                <w:color w:val="auto"/>
              </w:rPr>
            </w:pPr>
            <w:r>
              <w:rPr>
                <w:rFonts w:ascii="Verdana" w:cs="Verdana" w:eastAsia="Verdana" w:hAnsi="Verdana"/>
                <w:sz w:val="10"/>
                <w:szCs w:val="10"/>
                <w:b w:val="1"/>
                <w:bCs w:val="1"/>
                <w:color w:val="auto"/>
              </w:rPr>
              <w:t>Capital Requirement</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center"/>
              <w:ind w:left="556"/>
              <w:spacing w:after="0"/>
              <w:rPr>
                <w:sz w:val="20"/>
                <w:szCs w:val="20"/>
                <w:color w:val="auto"/>
              </w:rPr>
            </w:pPr>
            <w:r>
              <w:rPr>
                <w:rFonts w:ascii="Verdana" w:cs="Verdana" w:eastAsia="Verdana" w:hAnsi="Verdana"/>
                <w:sz w:val="10"/>
                <w:szCs w:val="10"/>
                <w:b w:val="1"/>
                <w:bCs w:val="1"/>
                <w:color w:val="auto"/>
                <w:w w:val="99"/>
              </w:rPr>
              <w:t>Capitalized</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ind w:left="220"/>
              <w:spacing w:after="0"/>
              <w:rPr>
                <w:sz w:val="20"/>
                <w:szCs w:val="20"/>
                <w:color w:val="auto"/>
              </w:rPr>
            </w:pPr>
            <w:r>
              <w:rPr>
                <w:rFonts w:ascii="Verdana" w:cs="Verdana" w:eastAsia="Verdana" w:hAnsi="Verdana"/>
                <w:sz w:val="10"/>
                <w:szCs w:val="10"/>
                <w:b w:val="1"/>
                <w:bCs w:val="1"/>
                <w:color w:val="auto"/>
              </w:rPr>
              <w:t>Amount</w:t>
            </w:r>
          </w:p>
        </w:tc>
        <w:tc>
          <w:tcPr>
            <w:tcW w:w="1240" w:type="dxa"/>
            <w:vAlign w:val="bottom"/>
          </w:tcPr>
          <w:p>
            <w:pPr>
              <w:jc w:val="right"/>
              <w:ind w:right="412"/>
              <w:spacing w:after="0"/>
              <w:rPr>
                <w:sz w:val="20"/>
                <w:szCs w:val="20"/>
                <w:color w:val="auto"/>
              </w:rPr>
            </w:pPr>
            <w:r>
              <w:rPr>
                <w:rFonts w:ascii="Verdana" w:cs="Verdana" w:eastAsia="Verdana" w:hAnsi="Verdana"/>
                <w:sz w:val="10"/>
                <w:szCs w:val="10"/>
                <w:b w:val="1"/>
                <w:bCs w:val="1"/>
                <w:color w:val="auto"/>
              </w:rPr>
              <w:t>Ratio</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gridSpan w:val="3"/>
          </w:tcPr>
          <w:p>
            <w:pPr>
              <w:ind w:left="220"/>
              <w:spacing w:after="0"/>
              <w:rPr>
                <w:sz w:val="20"/>
                <w:szCs w:val="20"/>
                <w:color w:val="auto"/>
              </w:rPr>
            </w:pPr>
            <w:r>
              <w:rPr>
                <w:rFonts w:ascii="Verdana" w:cs="Verdana" w:eastAsia="Verdana" w:hAnsi="Verdana"/>
                <w:sz w:val="10"/>
                <w:szCs w:val="10"/>
                <w:b w:val="1"/>
                <w:bCs w:val="1"/>
                <w:color w:val="auto"/>
              </w:rPr>
              <w:t>Amount</w:t>
            </w:r>
          </w:p>
        </w:tc>
        <w:tc>
          <w:tcPr>
            <w:tcW w:w="820" w:type="dxa"/>
            <w:vAlign w:val="bottom"/>
          </w:tcPr>
          <w:p>
            <w:pPr>
              <w:jc w:val="right"/>
              <w:ind w:right="412"/>
              <w:spacing w:after="0"/>
              <w:rPr>
                <w:sz w:val="20"/>
                <w:szCs w:val="20"/>
                <w:color w:val="auto"/>
              </w:rPr>
            </w:pPr>
            <w:r>
              <w:rPr>
                <w:rFonts w:ascii="Verdana" w:cs="Verdana" w:eastAsia="Verdana" w:hAnsi="Verdana"/>
                <w:sz w:val="10"/>
                <w:szCs w:val="10"/>
                <w:b w:val="1"/>
                <w:bCs w:val="1"/>
                <w:color w:val="auto"/>
              </w:rPr>
              <w:t>Ratio</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3"/>
          </w:tcPr>
          <w:p>
            <w:pPr>
              <w:ind w:left="220"/>
              <w:spacing w:after="0"/>
              <w:rPr>
                <w:sz w:val="20"/>
                <w:szCs w:val="20"/>
                <w:color w:val="auto"/>
              </w:rPr>
            </w:pPr>
            <w:r>
              <w:rPr>
                <w:rFonts w:ascii="Verdana" w:cs="Verdana" w:eastAsia="Verdana" w:hAnsi="Verdana"/>
                <w:sz w:val="10"/>
                <w:szCs w:val="10"/>
                <w:b w:val="1"/>
                <w:bCs w:val="1"/>
                <w:color w:val="auto"/>
              </w:rPr>
              <w:t>Amount</w:t>
            </w:r>
          </w:p>
        </w:tc>
        <w:tc>
          <w:tcPr>
            <w:tcW w:w="940" w:type="dxa"/>
            <w:vAlign w:val="bottom"/>
          </w:tcPr>
          <w:p>
            <w:pPr>
              <w:jc w:val="right"/>
              <w:ind w:right="412"/>
              <w:spacing w:after="0"/>
              <w:rPr>
                <w:sz w:val="20"/>
                <w:szCs w:val="20"/>
                <w:color w:val="auto"/>
              </w:rPr>
            </w:pPr>
            <w:r>
              <w:rPr>
                <w:rFonts w:ascii="Verdana" w:cs="Verdana" w:eastAsia="Verdana" w:hAnsi="Verdana"/>
                <w:sz w:val="10"/>
                <w:szCs w:val="10"/>
                <w:b w:val="1"/>
                <w:bCs w:val="1"/>
                <w:color w:val="auto"/>
              </w:rPr>
              <w:t>Ratio</w:t>
            </w:r>
          </w:p>
        </w:tc>
        <w:tc>
          <w:tcPr>
            <w:tcW w:w="0" w:type="dxa"/>
            <w:vAlign w:val="bottom"/>
          </w:tcPr>
          <w:p>
            <w:pPr>
              <w:spacing w:after="0"/>
              <w:rPr>
                <w:sz w:val="1"/>
                <w:szCs w:val="1"/>
                <w:color w:val="auto"/>
              </w:rPr>
            </w:pPr>
          </w:p>
        </w:tc>
      </w:tr>
      <w:tr>
        <w:trPr>
          <w:trHeight w:val="172"/>
        </w:trPr>
        <w:tc>
          <w:tcPr>
            <w:tcW w:w="25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Common equity Tier 1 capital</w:t>
            </w:r>
          </w:p>
        </w:tc>
        <w:tc>
          <w:tcPr>
            <w:tcW w:w="320" w:type="dxa"/>
            <w:vAlign w:val="bottom"/>
            <w:tcBorders>
              <w:top w:val="single" w:sz="8" w:color="auto"/>
            </w:tcBorders>
            <w:shd w:val="clear" w:color="auto" w:fill="E0E7ED"/>
          </w:tcPr>
          <w:p>
            <w:pPr>
              <w:spacing w:after="0"/>
              <w:rPr>
                <w:sz w:val="14"/>
                <w:szCs w:val="14"/>
                <w:color w:val="auto"/>
              </w:rPr>
            </w:pPr>
          </w:p>
        </w:tc>
        <w:tc>
          <w:tcPr>
            <w:tcW w:w="12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2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20" w:type="dxa"/>
            <w:vAlign w:val="bottom"/>
            <w:tcBorders>
              <w:top w:val="single" w:sz="8" w:color="auto"/>
            </w:tcBorders>
            <w:shd w:val="clear" w:color="auto" w:fill="E0E7ED"/>
          </w:tcPr>
          <w:p>
            <w:pPr>
              <w:spacing w:after="0"/>
              <w:rPr>
                <w:sz w:val="14"/>
                <w:szCs w:val="14"/>
                <w:color w:val="auto"/>
              </w:rPr>
            </w:pPr>
          </w:p>
        </w:tc>
        <w:tc>
          <w:tcPr>
            <w:tcW w:w="12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42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20" w:type="dxa"/>
            <w:vAlign w:val="bottom"/>
            <w:tcBorders>
              <w:top w:val="single" w:sz="8" w:color="auto"/>
            </w:tcBorders>
            <w:shd w:val="clear" w:color="auto" w:fill="E0E7ED"/>
          </w:tcPr>
          <w:p>
            <w:pPr>
              <w:spacing w:after="0"/>
              <w:rPr>
                <w:sz w:val="14"/>
                <w:szCs w:val="14"/>
                <w:color w:val="auto"/>
              </w:rPr>
            </w:pPr>
          </w:p>
        </w:tc>
        <w:tc>
          <w:tcPr>
            <w:tcW w:w="12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3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 risk weighted assets</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40"/>
              <w:spacing w:after="0"/>
              <w:rPr>
                <w:sz w:val="20"/>
                <w:szCs w:val="20"/>
                <w:color w:val="auto"/>
              </w:rPr>
            </w:pPr>
            <w:r>
              <w:rPr>
                <w:rFonts w:ascii="Verdana" w:cs="Verdana" w:eastAsia="Verdana" w:hAnsi="Verdana"/>
                <w:sz w:val="14"/>
                <w:szCs w:val="14"/>
                <w:color w:val="auto"/>
              </w:rPr>
              <w:t>First Busey</w:t>
            </w: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1,237,301</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14.10 %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ind w:left="540"/>
              <w:spacing w:after="0"/>
              <w:rPr>
                <w:sz w:val="20"/>
                <w:szCs w:val="20"/>
                <w:color w:val="auto"/>
              </w:rPr>
            </w:pPr>
            <w:r>
              <w:rPr>
                <w:rFonts w:ascii="Verdana" w:cs="Verdana" w:eastAsia="Verdana" w:hAnsi="Verdana"/>
                <w:sz w:val="14"/>
                <w:szCs w:val="14"/>
                <w:color w:val="auto"/>
              </w:rPr>
              <w:t>394,840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4.50 %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570,325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6.50 %</w:t>
            </w:r>
          </w:p>
        </w:tc>
        <w:tc>
          <w:tcPr>
            <w:tcW w:w="0" w:type="dxa"/>
            <w:vAlign w:val="bottom"/>
          </w:tcPr>
          <w:p>
            <w:pPr>
              <w:spacing w:after="0"/>
              <w:rPr>
                <w:sz w:val="1"/>
                <w:szCs w:val="1"/>
                <w:color w:val="auto"/>
              </w:rPr>
            </w:pPr>
          </w:p>
        </w:tc>
      </w:tr>
      <w:tr>
        <w:trPr>
          <w:trHeight w:val="218"/>
        </w:trPr>
        <w:tc>
          <w:tcPr>
            <w:tcW w:w="25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1,438,296</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16.46 %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ind w:left="540"/>
              <w:spacing w:after="0"/>
              <w:rPr>
                <w:sz w:val="20"/>
                <w:szCs w:val="20"/>
                <w:color w:val="auto"/>
              </w:rPr>
            </w:pPr>
            <w:r>
              <w:rPr>
                <w:rFonts w:ascii="Verdana" w:cs="Verdana" w:eastAsia="Verdana" w:hAnsi="Verdana"/>
                <w:sz w:val="14"/>
                <w:szCs w:val="14"/>
                <w:color w:val="auto"/>
              </w:rPr>
              <w:t>393,277</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4.50 %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568,067</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6.50 %</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Tier 1 capital to risk weighted</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40"/>
              <w:spacing w:after="0"/>
              <w:rPr>
                <w:sz w:val="20"/>
                <w:szCs w:val="20"/>
                <w:color w:val="auto"/>
              </w:rPr>
            </w:pPr>
            <w:r>
              <w:rPr>
                <w:rFonts w:ascii="Verdana" w:cs="Verdana" w:eastAsia="Verdana" w:hAnsi="Verdana"/>
                <w:sz w:val="14"/>
                <w:szCs w:val="14"/>
                <w:color w:val="auto"/>
              </w:rPr>
              <w:t>First Busey</w:t>
            </w: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1,314,301</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14.98 %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ind w:left="540"/>
              <w:spacing w:after="0"/>
              <w:rPr>
                <w:sz w:val="20"/>
                <w:szCs w:val="20"/>
                <w:color w:val="auto"/>
              </w:rPr>
            </w:pPr>
            <w:r>
              <w:rPr>
                <w:rFonts w:ascii="Verdana" w:cs="Verdana" w:eastAsia="Verdana" w:hAnsi="Verdana"/>
                <w:sz w:val="14"/>
                <w:szCs w:val="14"/>
                <w:color w:val="auto"/>
              </w:rPr>
              <w:t>526,453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6.00 %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701,938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8.00 %</w:t>
            </w:r>
          </w:p>
        </w:tc>
        <w:tc>
          <w:tcPr>
            <w:tcW w:w="0" w:type="dxa"/>
            <w:vAlign w:val="bottom"/>
          </w:tcPr>
          <w:p>
            <w:pPr>
              <w:spacing w:after="0"/>
              <w:rPr>
                <w:sz w:val="1"/>
                <w:szCs w:val="1"/>
                <w:color w:val="auto"/>
              </w:rPr>
            </w:pPr>
          </w:p>
        </w:tc>
      </w:tr>
      <w:tr>
        <w:trPr>
          <w:trHeight w:val="218"/>
        </w:trPr>
        <w:tc>
          <w:tcPr>
            <w:tcW w:w="25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1,438,296</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16.46 %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ind w:left="540"/>
              <w:spacing w:after="0"/>
              <w:rPr>
                <w:sz w:val="20"/>
                <w:szCs w:val="20"/>
                <w:color w:val="auto"/>
              </w:rPr>
            </w:pPr>
            <w:r>
              <w:rPr>
                <w:rFonts w:ascii="Verdana" w:cs="Verdana" w:eastAsia="Verdana" w:hAnsi="Verdana"/>
                <w:sz w:val="14"/>
                <w:szCs w:val="14"/>
                <w:color w:val="auto"/>
              </w:rPr>
              <w:t>524,369</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699,159</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8.00 %</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capital to risk weighted</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40"/>
              <w:spacing w:after="0"/>
              <w:rPr>
                <w:sz w:val="20"/>
                <w:szCs w:val="20"/>
                <w:color w:val="auto"/>
              </w:rPr>
            </w:pPr>
            <w:r>
              <w:rPr>
                <w:rFonts w:ascii="Verdana" w:cs="Verdana" w:eastAsia="Verdana" w:hAnsi="Verdana"/>
                <w:sz w:val="14"/>
                <w:szCs w:val="14"/>
                <w:color w:val="auto"/>
              </w:rPr>
              <w:t>First Busey</w:t>
            </w: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1,625,943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18.53 %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ind w:left="540"/>
              <w:spacing w:after="0"/>
              <w:rPr>
                <w:sz w:val="20"/>
                <w:szCs w:val="20"/>
                <w:color w:val="auto"/>
              </w:rPr>
            </w:pPr>
            <w:r>
              <w:rPr>
                <w:rFonts w:ascii="Verdana" w:cs="Verdana" w:eastAsia="Verdana" w:hAnsi="Verdana"/>
                <w:sz w:val="14"/>
                <w:szCs w:val="14"/>
                <w:color w:val="auto"/>
              </w:rPr>
              <w:t>701,938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8.00 %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877,422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10.00 %</w:t>
            </w:r>
          </w:p>
        </w:tc>
        <w:tc>
          <w:tcPr>
            <w:tcW w:w="0" w:type="dxa"/>
            <w:vAlign w:val="bottom"/>
          </w:tcPr>
          <w:p>
            <w:pPr>
              <w:spacing w:after="0"/>
              <w:rPr>
                <w:sz w:val="1"/>
                <w:szCs w:val="1"/>
                <w:color w:val="auto"/>
              </w:rPr>
            </w:pPr>
          </w:p>
        </w:tc>
      </w:tr>
      <w:tr>
        <w:trPr>
          <w:trHeight w:val="218"/>
        </w:trPr>
        <w:tc>
          <w:tcPr>
            <w:tcW w:w="25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1,520,938</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17.40 %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ind w:left="540"/>
              <w:spacing w:after="0"/>
              <w:rPr>
                <w:sz w:val="20"/>
                <w:szCs w:val="20"/>
                <w:color w:val="auto"/>
              </w:rPr>
            </w:pPr>
            <w:r>
              <w:rPr>
                <w:rFonts w:ascii="Verdana" w:cs="Verdana" w:eastAsia="Verdana" w:hAnsi="Verdana"/>
                <w:sz w:val="14"/>
                <w:szCs w:val="14"/>
                <w:color w:val="auto"/>
              </w:rPr>
              <w:t>699,159</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873,949</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10.00 %</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Leverage ratio of Tier 1 capital</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to average assets</w:t>
            </w: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40"/>
              <w:spacing w:after="0"/>
              <w:rPr>
                <w:sz w:val="20"/>
                <w:szCs w:val="20"/>
                <w:color w:val="auto"/>
              </w:rPr>
            </w:pPr>
            <w:r>
              <w:rPr>
                <w:rFonts w:ascii="Verdana" w:cs="Verdana" w:eastAsia="Verdana" w:hAnsi="Verdana"/>
                <w:sz w:val="14"/>
                <w:szCs w:val="14"/>
                <w:color w:val="auto"/>
              </w:rPr>
              <w:t>First Busey</w:t>
            </w: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1,314,301</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11.06 %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ind w:left="540"/>
              <w:spacing w:after="0"/>
              <w:rPr>
                <w:sz w:val="20"/>
                <w:szCs w:val="20"/>
                <w:color w:val="auto"/>
              </w:rPr>
            </w:pPr>
            <w:r>
              <w:rPr>
                <w:rFonts w:ascii="Verdana" w:cs="Verdana" w:eastAsia="Verdana" w:hAnsi="Verdana"/>
                <w:sz w:val="14"/>
                <w:szCs w:val="14"/>
                <w:color w:val="auto"/>
              </w:rPr>
              <w:t>475,348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4.00 %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ind w:left="920"/>
              <w:spacing w:after="0"/>
              <w:rPr>
                <w:sz w:val="20"/>
                <w:szCs w:val="20"/>
                <w:color w:val="auto"/>
              </w:rPr>
            </w:pPr>
            <w:r>
              <w:rPr>
                <w:rFonts w:ascii="Verdana" w:cs="Verdana" w:eastAsia="Verdana" w:hAnsi="Verdana"/>
                <w:sz w:val="14"/>
                <w:szCs w:val="14"/>
                <w:color w:val="auto"/>
              </w:rPr>
              <w:t>N/A</w:t>
            </w:r>
          </w:p>
        </w:tc>
        <w:tc>
          <w:tcPr>
            <w:tcW w:w="940" w:type="dxa"/>
            <w:vAlign w:val="bottom"/>
          </w:tcPr>
          <w:p>
            <w:pPr>
              <w:jc w:val="right"/>
              <w:spacing w:after="0"/>
              <w:rPr>
                <w:sz w:val="20"/>
                <w:szCs w:val="20"/>
                <w:color w:val="auto"/>
              </w:rPr>
            </w:pPr>
            <w:r>
              <w:rPr>
                <w:rFonts w:ascii="Verdana" w:cs="Verdana" w:eastAsia="Verdana" w:hAnsi="Verdana"/>
                <w:sz w:val="14"/>
                <w:szCs w:val="14"/>
                <w:color w:val="auto"/>
              </w:rPr>
              <w:t>N/A</w:t>
            </w:r>
          </w:p>
        </w:tc>
        <w:tc>
          <w:tcPr>
            <w:tcW w:w="0" w:type="dxa"/>
            <w:vAlign w:val="bottom"/>
          </w:tcPr>
          <w:p>
            <w:pPr>
              <w:spacing w:after="0"/>
              <w:rPr>
                <w:sz w:val="1"/>
                <w:szCs w:val="1"/>
                <w:color w:val="auto"/>
              </w:rPr>
            </w:pPr>
          </w:p>
        </w:tc>
      </w:tr>
      <w:tr>
        <w:trPr>
          <w:trHeight w:val="218"/>
        </w:trPr>
        <w:tc>
          <w:tcPr>
            <w:tcW w:w="25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1,438,296</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12.14 %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ind w:left="540"/>
              <w:spacing w:after="0"/>
              <w:rPr>
                <w:sz w:val="20"/>
                <w:szCs w:val="20"/>
                <w:color w:val="auto"/>
              </w:rPr>
            </w:pPr>
            <w:r>
              <w:rPr>
                <w:rFonts w:ascii="Verdana" w:cs="Verdana" w:eastAsia="Verdana" w:hAnsi="Verdana"/>
                <w:sz w:val="14"/>
                <w:szCs w:val="14"/>
                <w:color w:val="auto"/>
              </w:rPr>
              <w:t>473,878</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592,347</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Verdana" w:cs="Verdana" w:eastAsia="Verdana" w:hAnsi="Verdana"/>
                <w:sz w:val="14"/>
                <w:szCs w:val="14"/>
                <w:color w:val="0000FF"/>
                <w:w w:val="98"/>
              </w:rPr>
              <w:t>Table of Contents</w:t>
            </w:r>
          </w:p>
        </w:tc>
        <w:tc>
          <w:tcPr>
            <w:tcW w:w="180" w:type="dxa"/>
            <w:vAlign w:val="bottom"/>
          </w:tcPr>
          <w:p>
            <w:pPr>
              <w:spacing w:after="0"/>
              <w:rPr>
                <w:sz w:val="14"/>
                <w:szCs w:val="14"/>
                <w:color w:val="auto"/>
              </w:rPr>
            </w:pPr>
          </w:p>
        </w:tc>
        <w:tc>
          <w:tcPr>
            <w:tcW w:w="6100" w:type="dxa"/>
            <w:vAlign w:val="bottom"/>
            <w:gridSpan w:val="12"/>
          </w:tcPr>
          <w:p>
            <w:pPr>
              <w:ind w:left="20"/>
              <w:spacing w:after="0"/>
              <w:rPr>
                <w:sz w:val="20"/>
                <w:szCs w:val="20"/>
                <w:color w:val="auto"/>
              </w:rPr>
            </w:pPr>
            <w:r>
              <w:rPr>
                <w:rFonts w:ascii="Verdana" w:cs="Verdana" w:eastAsia="Verdana" w:hAnsi="Verdana"/>
                <w:sz w:val="14"/>
                <w:szCs w:val="14"/>
                <w:color w:val="0000FF"/>
              </w:rPr>
              <w:t>Contents of Item 8. Financial Statements &amp; Supplementary Data</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7"/>
          </w:tcPr>
          <w:p>
            <w:pPr>
              <w:jc w:val="center"/>
              <w:ind w:right="400"/>
              <w:spacing w:after="0"/>
              <w:rPr>
                <w:sz w:val="20"/>
                <w:szCs w:val="20"/>
                <w:color w:val="auto"/>
              </w:rPr>
            </w:pPr>
            <w:r>
              <w:rPr>
                <w:rFonts w:ascii="Verdana" w:cs="Verdana" w:eastAsia="Verdana" w:hAnsi="Verdana"/>
                <w:sz w:val="14"/>
                <w:szCs w:val="14"/>
                <w:b w:val="1"/>
                <w:bCs w:val="1"/>
                <w:color w:val="auto"/>
              </w:rPr>
              <w:t>FIRST BUSEY CORPORATION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60" w:type="dxa"/>
            <w:vAlign w:val="bottom"/>
            <w:gridSpan w:val="11"/>
          </w:tcPr>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620"/>
              <w:spacing w:after="0"/>
              <w:rPr>
                <w:sz w:val="20"/>
                <w:szCs w:val="20"/>
                <w:color w:val="auto"/>
              </w:rPr>
            </w:pPr>
            <w:r>
              <w:rPr>
                <w:rFonts w:ascii="Verdana" w:cs="Verdana" w:eastAsia="Verdana" w:hAnsi="Verdana"/>
                <w:sz w:val="10"/>
                <w:szCs w:val="10"/>
                <w:b w:val="1"/>
                <w:bCs w:val="1"/>
                <w:color w:val="auto"/>
                <w:w w:val="98"/>
              </w:rPr>
              <w:t>As of December 31, 2023</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3"/>
            <w:vMerge w:val="restart"/>
          </w:tcPr>
          <w:p>
            <w:pPr>
              <w:jc w:val="center"/>
              <w:ind w:left="211"/>
              <w:spacing w:after="0"/>
              <w:rPr>
                <w:sz w:val="20"/>
                <w:szCs w:val="20"/>
                <w:color w:val="auto"/>
              </w:rPr>
            </w:pPr>
            <w:r>
              <w:rPr>
                <w:rFonts w:ascii="Verdana" w:cs="Verdana" w:eastAsia="Verdana" w:hAnsi="Verdana"/>
                <w:sz w:val="10"/>
                <w:szCs w:val="10"/>
                <w:b w:val="1"/>
                <w:bCs w:val="1"/>
                <w:color w:val="auto"/>
                <w:w w:val="96"/>
              </w:rPr>
              <w:t>Minimum</w:t>
            </w: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3"/>
          </w:tcPr>
          <w:p>
            <w:pPr>
              <w:jc w:val="center"/>
              <w:ind w:left="556"/>
              <w:spacing w:after="0" w:line="94" w:lineRule="exact"/>
              <w:rPr>
                <w:sz w:val="20"/>
                <w:szCs w:val="20"/>
                <w:color w:val="auto"/>
              </w:rPr>
            </w:pPr>
            <w:r>
              <w:rPr>
                <w:rFonts w:ascii="Verdana" w:cs="Verdana" w:eastAsia="Verdana" w:hAnsi="Verdana"/>
                <w:sz w:val="10"/>
                <w:szCs w:val="10"/>
                <w:b w:val="1"/>
                <w:bCs w:val="1"/>
                <w:color w:val="auto"/>
                <w:w w:val="96"/>
              </w:rPr>
              <w:t>Minimum</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gridSpan w:val="2"/>
            <w:vMerge w:val="restart"/>
          </w:tcPr>
          <w:p>
            <w:pPr>
              <w:ind w:left="940"/>
              <w:spacing w:after="0"/>
              <w:rPr>
                <w:sz w:val="20"/>
                <w:szCs w:val="20"/>
                <w:color w:val="auto"/>
              </w:rPr>
            </w:pPr>
            <w:r>
              <w:rPr>
                <w:rFonts w:ascii="Verdana" w:cs="Verdana" w:eastAsia="Verdana" w:hAnsi="Verdana"/>
                <w:sz w:val="10"/>
                <w:szCs w:val="10"/>
                <w:b w:val="1"/>
                <w:bCs w:val="1"/>
                <w:color w:val="auto"/>
                <w:w w:val="95"/>
              </w:rPr>
              <w:t>Actual</w:t>
            </w: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3"/>
          </w:tcPr>
          <w:p>
            <w:pPr>
              <w:jc w:val="center"/>
              <w:ind w:left="556"/>
              <w:spacing w:after="0" w:line="96" w:lineRule="exact"/>
              <w:rPr>
                <w:sz w:val="20"/>
                <w:szCs w:val="20"/>
                <w:color w:val="auto"/>
              </w:rPr>
            </w:pPr>
            <w:r>
              <w:rPr>
                <w:rFonts w:ascii="Verdana" w:cs="Verdana" w:eastAsia="Verdana" w:hAnsi="Verdana"/>
                <w:sz w:val="10"/>
                <w:szCs w:val="10"/>
                <w:b w:val="1"/>
                <w:bCs w:val="1"/>
                <w:color w:val="auto"/>
                <w:w w:val="97"/>
              </w:rPr>
              <w:t>To Be Well</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vMerge w:val="continue"/>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300"/>
              <w:spacing w:after="0"/>
              <w:rPr>
                <w:sz w:val="20"/>
                <w:szCs w:val="20"/>
                <w:color w:val="auto"/>
              </w:rPr>
            </w:pPr>
            <w:r>
              <w:rPr>
                <w:rFonts w:ascii="Verdana" w:cs="Verdana" w:eastAsia="Verdana" w:hAnsi="Verdana"/>
                <w:sz w:val="10"/>
                <w:szCs w:val="10"/>
                <w:b w:val="1"/>
                <w:bCs w:val="1"/>
                <w:color w:val="auto"/>
              </w:rPr>
              <w:t>Capital Requirement</w:t>
            </w: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center"/>
              <w:ind w:left="556"/>
              <w:spacing w:after="0"/>
              <w:rPr>
                <w:sz w:val="20"/>
                <w:szCs w:val="20"/>
                <w:color w:val="auto"/>
              </w:rPr>
            </w:pPr>
            <w:r>
              <w:rPr>
                <w:rFonts w:ascii="Verdana" w:cs="Verdana" w:eastAsia="Verdana" w:hAnsi="Verdana"/>
                <w:sz w:val="10"/>
                <w:szCs w:val="10"/>
                <w:b w:val="1"/>
                <w:bCs w:val="1"/>
                <w:color w:val="auto"/>
                <w:w w:val="99"/>
              </w:rPr>
              <w:t>Capitalized</w:t>
            </w: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40" w:type="dxa"/>
            <w:vAlign w:val="bottom"/>
            <w:tcBorders>
              <w:bottom w:val="single" w:sz="8" w:color="E0E7ED"/>
            </w:tcBorders>
          </w:tcPr>
          <w:p>
            <w:pPr>
              <w:spacing w:after="0"/>
              <w:rPr>
                <w:sz w:val="11"/>
                <w:szCs w:val="11"/>
                <w:color w:val="auto"/>
              </w:rPr>
            </w:pPr>
          </w:p>
        </w:tc>
        <w:tc>
          <w:tcPr>
            <w:tcW w:w="180" w:type="dxa"/>
            <w:vAlign w:val="bottom"/>
            <w:tcBorders>
              <w:bottom w:val="single" w:sz="8" w:color="E0E7ED"/>
            </w:tcBorders>
          </w:tcPr>
          <w:p>
            <w:pPr>
              <w:spacing w:after="0"/>
              <w:rPr>
                <w:sz w:val="11"/>
                <w:szCs w:val="11"/>
                <w:color w:val="auto"/>
              </w:rPr>
            </w:pPr>
          </w:p>
        </w:tc>
        <w:tc>
          <w:tcPr>
            <w:tcW w:w="20" w:type="dxa"/>
            <w:vAlign w:val="bottom"/>
            <w:tcBorders>
              <w:bottom w:val="single" w:sz="8" w:color="E0E7ED"/>
            </w:tcBorders>
          </w:tcPr>
          <w:p>
            <w:pPr>
              <w:spacing w:after="0"/>
              <w:rPr>
                <w:sz w:val="11"/>
                <w:szCs w:val="11"/>
                <w:color w:val="auto"/>
              </w:rPr>
            </w:pPr>
          </w:p>
        </w:tc>
        <w:tc>
          <w:tcPr>
            <w:tcW w:w="110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73"/>
              <w:spacing w:after="0"/>
              <w:rPr>
                <w:sz w:val="20"/>
                <w:szCs w:val="20"/>
                <w:color w:val="auto"/>
              </w:rPr>
            </w:pPr>
            <w:r>
              <w:rPr>
                <w:rFonts w:ascii="Verdana" w:cs="Verdana" w:eastAsia="Verdana" w:hAnsi="Verdana"/>
                <w:sz w:val="10"/>
                <w:szCs w:val="10"/>
                <w:b w:val="1"/>
                <w:bCs w:val="1"/>
                <w:color w:val="auto"/>
              </w:rPr>
              <w:t>Amount</w:t>
            </w:r>
          </w:p>
        </w:tc>
        <w:tc>
          <w:tcPr>
            <w:tcW w:w="100" w:type="dxa"/>
            <w:vAlign w:val="bottom"/>
            <w:tcBorders>
              <w:bottom w:val="single" w:sz="8" w:color="E0E7ED"/>
            </w:tcBorders>
          </w:tcPr>
          <w:p>
            <w:pPr>
              <w:spacing w:after="0"/>
              <w:rPr>
                <w:sz w:val="11"/>
                <w:szCs w:val="11"/>
                <w:color w:val="auto"/>
              </w:rPr>
            </w:pPr>
          </w:p>
        </w:tc>
        <w:tc>
          <w:tcPr>
            <w:tcW w:w="1240" w:type="dxa"/>
            <w:vAlign w:val="bottom"/>
            <w:tcBorders>
              <w:bottom w:val="single" w:sz="8" w:color="auto"/>
            </w:tcBorders>
          </w:tcPr>
          <w:p>
            <w:pPr>
              <w:jc w:val="right"/>
              <w:ind w:right="411"/>
              <w:spacing w:after="0"/>
              <w:rPr>
                <w:sz w:val="20"/>
                <w:szCs w:val="20"/>
                <w:color w:val="auto"/>
              </w:rPr>
            </w:pPr>
            <w:r>
              <w:rPr>
                <w:rFonts w:ascii="Verdana" w:cs="Verdana" w:eastAsia="Verdana" w:hAnsi="Verdana"/>
                <w:sz w:val="10"/>
                <w:szCs w:val="10"/>
                <w:b w:val="1"/>
                <w:bCs w:val="1"/>
                <w:color w:val="auto"/>
              </w:rPr>
              <w:t>Ratio</w:t>
            </w:r>
          </w:p>
        </w:tc>
        <w:tc>
          <w:tcPr>
            <w:tcW w:w="8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220"/>
              <w:spacing w:after="0"/>
              <w:rPr>
                <w:sz w:val="20"/>
                <w:szCs w:val="20"/>
                <w:color w:val="auto"/>
              </w:rPr>
            </w:pPr>
            <w:r>
              <w:rPr>
                <w:rFonts w:ascii="Verdana" w:cs="Verdana" w:eastAsia="Verdana" w:hAnsi="Verdana"/>
                <w:sz w:val="10"/>
                <w:szCs w:val="10"/>
                <w:b w:val="1"/>
                <w:bCs w:val="1"/>
                <w:color w:val="auto"/>
              </w:rPr>
              <w:t>Amount</w:t>
            </w:r>
          </w:p>
        </w:tc>
        <w:tc>
          <w:tcPr>
            <w:tcW w:w="100" w:type="dxa"/>
            <w:vAlign w:val="bottom"/>
            <w:tcBorders>
              <w:bottom w:val="single" w:sz="8" w:color="E0E7ED"/>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12"/>
              <w:spacing w:after="0"/>
              <w:rPr>
                <w:sz w:val="20"/>
                <w:szCs w:val="20"/>
                <w:color w:val="auto"/>
              </w:rPr>
            </w:pPr>
            <w:r>
              <w:rPr>
                <w:rFonts w:ascii="Verdana" w:cs="Verdana" w:eastAsia="Verdana" w:hAnsi="Verdana"/>
                <w:sz w:val="10"/>
                <w:szCs w:val="10"/>
                <w:b w:val="1"/>
                <w:bCs w:val="1"/>
                <w:color w:val="auto"/>
              </w:rPr>
              <w:t>Ratio</w:t>
            </w:r>
          </w:p>
        </w:tc>
        <w:tc>
          <w:tcPr>
            <w:tcW w:w="8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76"/>
              <w:spacing w:after="0"/>
              <w:rPr>
                <w:sz w:val="20"/>
                <w:szCs w:val="20"/>
                <w:color w:val="auto"/>
              </w:rPr>
            </w:pPr>
            <w:r>
              <w:rPr>
                <w:rFonts w:ascii="Verdana" w:cs="Verdana" w:eastAsia="Verdana" w:hAnsi="Verdana"/>
                <w:sz w:val="10"/>
                <w:szCs w:val="10"/>
                <w:b w:val="1"/>
                <w:bCs w:val="1"/>
                <w:color w:val="auto"/>
              </w:rPr>
              <w:t>Amount</w:t>
            </w: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12"/>
              <w:spacing w:after="0"/>
              <w:rPr>
                <w:sz w:val="20"/>
                <w:szCs w:val="20"/>
                <w:color w:val="auto"/>
              </w:rPr>
            </w:pPr>
            <w:r>
              <w:rPr>
                <w:rFonts w:ascii="Verdana" w:cs="Verdana" w:eastAsia="Verdana" w:hAnsi="Verdana"/>
                <w:sz w:val="10"/>
                <w:szCs w:val="10"/>
                <w:b w:val="1"/>
                <w:bCs w:val="1"/>
                <w:color w:val="auto"/>
              </w:rPr>
              <w:t>Ratio</w:t>
            </w:r>
          </w:p>
        </w:tc>
        <w:tc>
          <w:tcPr>
            <w:tcW w:w="0" w:type="dxa"/>
            <w:vAlign w:val="bottom"/>
          </w:tcPr>
          <w:p>
            <w:pPr>
              <w:spacing w:after="0"/>
              <w:rPr>
                <w:sz w:val="1"/>
                <w:szCs w:val="1"/>
                <w:color w:val="auto"/>
              </w:rPr>
            </w:pPr>
          </w:p>
        </w:tc>
      </w:tr>
      <w:tr>
        <w:trPr>
          <w:trHeight w:val="172"/>
        </w:trPr>
        <w:tc>
          <w:tcPr>
            <w:tcW w:w="286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Common equity Tier 1 capital</w:t>
            </w:r>
          </w:p>
        </w:tc>
        <w:tc>
          <w:tcPr>
            <w:tcW w:w="12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9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420" w:type="dxa"/>
            <w:vAlign w:val="bottom"/>
            <w:shd w:val="clear" w:color="auto" w:fill="E0E7ED"/>
          </w:tcPr>
          <w:p>
            <w:pPr>
              <w:spacing w:after="0"/>
              <w:rPr>
                <w:sz w:val="14"/>
                <w:szCs w:val="14"/>
                <w:color w:val="auto"/>
              </w:rPr>
            </w:pPr>
          </w:p>
        </w:tc>
        <w:tc>
          <w:tcPr>
            <w:tcW w:w="8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94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6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to risk weighted assets</w:t>
            </w: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420" w:type="dxa"/>
            <w:vAlign w:val="bottom"/>
            <w:gridSpan w:val="2"/>
          </w:tcPr>
          <w:p>
            <w:pPr>
              <w:ind w:left="140"/>
              <w:spacing w:after="0"/>
              <w:rPr>
                <w:sz w:val="20"/>
                <w:szCs w:val="20"/>
                <w:color w:val="auto"/>
              </w:rPr>
            </w:pPr>
            <w:r>
              <w:rPr>
                <w:rFonts w:ascii="Verdana" w:cs="Verdana" w:eastAsia="Verdana" w:hAnsi="Verdana"/>
                <w:sz w:val="14"/>
                <w:szCs w:val="14"/>
                <w:color w:val="auto"/>
              </w:rPr>
              <w:t>First Busey</w:t>
            </w:r>
          </w:p>
        </w:tc>
        <w:tc>
          <w:tcPr>
            <w:tcW w:w="1440" w:type="dxa"/>
            <w:vAlign w:val="bottom"/>
            <w:gridSpan w:val="3"/>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1,155,973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13.09 %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tcPr>
          <w:p>
            <w:pPr>
              <w:ind w:left="540"/>
              <w:spacing w:after="0"/>
              <w:rPr>
                <w:sz w:val="20"/>
                <w:szCs w:val="20"/>
                <w:color w:val="auto"/>
              </w:rPr>
            </w:pPr>
            <w:r>
              <w:rPr>
                <w:rFonts w:ascii="Verdana" w:cs="Verdana" w:eastAsia="Verdana" w:hAnsi="Verdana"/>
                <w:sz w:val="14"/>
                <w:szCs w:val="14"/>
                <w:color w:val="auto"/>
              </w:rPr>
              <w:t>397,331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4.50 %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573,923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6.50 %</w:t>
            </w:r>
          </w:p>
        </w:tc>
        <w:tc>
          <w:tcPr>
            <w:tcW w:w="0" w:type="dxa"/>
            <w:vAlign w:val="bottom"/>
          </w:tcPr>
          <w:p>
            <w:pPr>
              <w:spacing w:after="0"/>
              <w:rPr>
                <w:sz w:val="1"/>
                <w:szCs w:val="1"/>
                <w:color w:val="auto"/>
              </w:rPr>
            </w:pPr>
          </w:p>
        </w:tc>
      </w:tr>
      <w:tr>
        <w:trPr>
          <w:trHeight w:val="218"/>
        </w:trPr>
        <w:tc>
          <w:tcPr>
            <w:tcW w:w="14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1440" w:type="dxa"/>
            <w:vAlign w:val="bottom"/>
            <w:gridSpan w:val="3"/>
            <w:shd w:val="clear" w:color="auto" w:fill="E0E7ED"/>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1,362,962</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15.48 %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shd w:val="clear" w:color="auto" w:fill="E0E7ED"/>
          </w:tcPr>
          <w:p>
            <w:pPr>
              <w:ind w:left="540"/>
              <w:spacing w:after="0"/>
              <w:rPr>
                <w:sz w:val="20"/>
                <w:szCs w:val="20"/>
                <w:color w:val="auto"/>
              </w:rPr>
            </w:pPr>
            <w:r>
              <w:rPr>
                <w:rFonts w:ascii="Verdana" w:cs="Verdana" w:eastAsia="Verdana" w:hAnsi="Verdana"/>
                <w:sz w:val="14"/>
                <w:szCs w:val="14"/>
                <w:color w:val="auto"/>
              </w:rPr>
              <w:t>396,128</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4.50 %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572,185</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6.50 %</w:t>
            </w:r>
          </w:p>
        </w:tc>
        <w:tc>
          <w:tcPr>
            <w:tcW w:w="0" w:type="dxa"/>
            <w:vAlign w:val="bottom"/>
          </w:tcPr>
          <w:p>
            <w:pPr>
              <w:spacing w:after="0"/>
              <w:rPr>
                <w:sz w:val="1"/>
                <w:szCs w:val="1"/>
                <w:color w:val="auto"/>
              </w:rPr>
            </w:pPr>
          </w:p>
        </w:tc>
      </w:tr>
      <w:tr>
        <w:trPr>
          <w:trHeight w:val="212"/>
        </w:trPr>
        <w:tc>
          <w:tcPr>
            <w:tcW w:w="254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6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Tier 1 capital to risk weighted</w:t>
            </w: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w:t>
            </w:r>
          </w:p>
        </w:tc>
        <w:tc>
          <w:tcPr>
            <w:tcW w:w="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420" w:type="dxa"/>
            <w:vAlign w:val="bottom"/>
            <w:gridSpan w:val="2"/>
          </w:tcPr>
          <w:p>
            <w:pPr>
              <w:ind w:left="140"/>
              <w:spacing w:after="0"/>
              <w:rPr>
                <w:sz w:val="20"/>
                <w:szCs w:val="20"/>
                <w:color w:val="auto"/>
              </w:rPr>
            </w:pPr>
            <w:r>
              <w:rPr>
                <w:rFonts w:ascii="Verdana" w:cs="Verdana" w:eastAsia="Verdana" w:hAnsi="Verdana"/>
                <w:sz w:val="14"/>
                <w:szCs w:val="14"/>
                <w:color w:val="auto"/>
              </w:rPr>
              <w:t>First Busey</w:t>
            </w:r>
          </w:p>
        </w:tc>
        <w:tc>
          <w:tcPr>
            <w:tcW w:w="1440" w:type="dxa"/>
            <w:vAlign w:val="bottom"/>
            <w:gridSpan w:val="3"/>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1,229,973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13.93 %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tcPr>
          <w:p>
            <w:pPr>
              <w:ind w:left="540"/>
              <w:spacing w:after="0"/>
              <w:rPr>
                <w:sz w:val="20"/>
                <w:szCs w:val="20"/>
                <w:color w:val="auto"/>
              </w:rPr>
            </w:pPr>
            <w:r>
              <w:rPr>
                <w:rFonts w:ascii="Verdana" w:cs="Verdana" w:eastAsia="Verdana" w:hAnsi="Verdana"/>
                <w:sz w:val="14"/>
                <w:szCs w:val="14"/>
                <w:color w:val="auto"/>
              </w:rPr>
              <w:t>529,775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6.00 %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706,367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8.00 %</w:t>
            </w:r>
          </w:p>
        </w:tc>
        <w:tc>
          <w:tcPr>
            <w:tcW w:w="0" w:type="dxa"/>
            <w:vAlign w:val="bottom"/>
          </w:tcPr>
          <w:p>
            <w:pPr>
              <w:spacing w:after="0"/>
              <w:rPr>
                <w:sz w:val="1"/>
                <w:szCs w:val="1"/>
                <w:color w:val="auto"/>
              </w:rPr>
            </w:pPr>
          </w:p>
        </w:tc>
      </w:tr>
      <w:tr>
        <w:trPr>
          <w:trHeight w:val="218"/>
        </w:trPr>
        <w:tc>
          <w:tcPr>
            <w:tcW w:w="14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1440" w:type="dxa"/>
            <w:vAlign w:val="bottom"/>
            <w:gridSpan w:val="3"/>
            <w:shd w:val="clear" w:color="auto" w:fill="E0E7ED"/>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1,362,962</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15.48 %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shd w:val="clear" w:color="auto" w:fill="E0E7ED"/>
          </w:tcPr>
          <w:p>
            <w:pPr>
              <w:ind w:left="540"/>
              <w:spacing w:after="0"/>
              <w:rPr>
                <w:sz w:val="20"/>
                <w:szCs w:val="20"/>
                <w:color w:val="auto"/>
              </w:rPr>
            </w:pPr>
            <w:r>
              <w:rPr>
                <w:rFonts w:ascii="Verdana" w:cs="Verdana" w:eastAsia="Verdana" w:hAnsi="Verdana"/>
                <w:sz w:val="14"/>
                <w:szCs w:val="14"/>
                <w:color w:val="auto"/>
              </w:rPr>
              <w:t>528,171</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704,228</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8.00 %</w:t>
            </w:r>
          </w:p>
        </w:tc>
        <w:tc>
          <w:tcPr>
            <w:tcW w:w="0" w:type="dxa"/>
            <w:vAlign w:val="bottom"/>
          </w:tcPr>
          <w:p>
            <w:pPr>
              <w:spacing w:after="0"/>
              <w:rPr>
                <w:sz w:val="1"/>
                <w:szCs w:val="1"/>
                <w:color w:val="auto"/>
              </w:rPr>
            </w:pPr>
          </w:p>
        </w:tc>
      </w:tr>
      <w:tr>
        <w:trPr>
          <w:trHeight w:val="212"/>
        </w:trPr>
        <w:tc>
          <w:tcPr>
            <w:tcW w:w="254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6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Total capital to risk weighted</w:t>
            </w: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assets</w:t>
            </w:r>
          </w:p>
        </w:tc>
        <w:tc>
          <w:tcPr>
            <w:tcW w:w="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420" w:type="dxa"/>
            <w:vAlign w:val="bottom"/>
            <w:gridSpan w:val="2"/>
          </w:tcPr>
          <w:p>
            <w:pPr>
              <w:ind w:left="140"/>
              <w:spacing w:after="0"/>
              <w:rPr>
                <w:sz w:val="20"/>
                <w:szCs w:val="20"/>
                <w:color w:val="auto"/>
              </w:rPr>
            </w:pPr>
            <w:r>
              <w:rPr>
                <w:rFonts w:ascii="Verdana" w:cs="Verdana" w:eastAsia="Verdana" w:hAnsi="Verdana"/>
                <w:sz w:val="14"/>
                <w:szCs w:val="14"/>
                <w:color w:val="auto"/>
              </w:rPr>
              <w:t>First Busey</w:t>
            </w:r>
          </w:p>
        </w:tc>
        <w:tc>
          <w:tcPr>
            <w:tcW w:w="1440" w:type="dxa"/>
            <w:vAlign w:val="bottom"/>
            <w:gridSpan w:val="3"/>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1,540,318</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17.44 %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tcPr>
          <w:p>
            <w:pPr>
              <w:ind w:left="540"/>
              <w:spacing w:after="0"/>
              <w:rPr>
                <w:sz w:val="20"/>
                <w:szCs w:val="20"/>
                <w:color w:val="auto"/>
              </w:rPr>
            </w:pPr>
            <w:r>
              <w:rPr>
                <w:rFonts w:ascii="Verdana" w:cs="Verdana" w:eastAsia="Verdana" w:hAnsi="Verdana"/>
                <w:sz w:val="14"/>
                <w:szCs w:val="14"/>
                <w:color w:val="auto"/>
              </w:rPr>
              <w:t>706,367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8.00 %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882,958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10.00 %</w:t>
            </w:r>
          </w:p>
        </w:tc>
        <w:tc>
          <w:tcPr>
            <w:tcW w:w="0" w:type="dxa"/>
            <w:vAlign w:val="bottom"/>
          </w:tcPr>
          <w:p>
            <w:pPr>
              <w:spacing w:after="0"/>
              <w:rPr>
                <w:sz w:val="1"/>
                <w:szCs w:val="1"/>
                <w:color w:val="auto"/>
              </w:rPr>
            </w:pPr>
          </w:p>
        </w:tc>
      </w:tr>
      <w:tr>
        <w:trPr>
          <w:trHeight w:val="218"/>
        </w:trPr>
        <w:tc>
          <w:tcPr>
            <w:tcW w:w="14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1440" w:type="dxa"/>
            <w:vAlign w:val="bottom"/>
            <w:gridSpan w:val="3"/>
            <w:shd w:val="clear" w:color="auto" w:fill="E0E7ED"/>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1,448,307</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16.45 %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shd w:val="clear" w:color="auto" w:fill="E0E7ED"/>
          </w:tcPr>
          <w:p>
            <w:pPr>
              <w:ind w:left="540"/>
              <w:spacing w:after="0"/>
              <w:rPr>
                <w:sz w:val="20"/>
                <w:szCs w:val="20"/>
                <w:color w:val="auto"/>
              </w:rPr>
            </w:pPr>
            <w:r>
              <w:rPr>
                <w:rFonts w:ascii="Verdana" w:cs="Verdana" w:eastAsia="Verdana" w:hAnsi="Verdana"/>
                <w:sz w:val="14"/>
                <w:szCs w:val="14"/>
                <w:color w:val="auto"/>
              </w:rPr>
              <w:t>704,228</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880,285</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10.00 %</w:t>
            </w:r>
          </w:p>
        </w:tc>
        <w:tc>
          <w:tcPr>
            <w:tcW w:w="0" w:type="dxa"/>
            <w:vAlign w:val="bottom"/>
          </w:tcPr>
          <w:p>
            <w:pPr>
              <w:spacing w:after="0"/>
              <w:rPr>
                <w:sz w:val="1"/>
                <w:szCs w:val="1"/>
                <w:color w:val="auto"/>
              </w:rPr>
            </w:pPr>
          </w:p>
        </w:tc>
      </w:tr>
      <w:tr>
        <w:trPr>
          <w:trHeight w:val="212"/>
        </w:trPr>
        <w:tc>
          <w:tcPr>
            <w:tcW w:w="254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6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Leverage ratio of Tier 1 capital</w:t>
            </w: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w w:val="99"/>
              </w:rPr>
              <w:t>to average assets</w:t>
            </w:r>
          </w:p>
        </w:tc>
        <w:tc>
          <w:tcPr>
            <w:tcW w:w="2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9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42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420" w:type="dxa"/>
            <w:vAlign w:val="bottom"/>
            <w:gridSpan w:val="2"/>
          </w:tcPr>
          <w:p>
            <w:pPr>
              <w:ind w:left="140"/>
              <w:spacing w:after="0"/>
              <w:rPr>
                <w:sz w:val="20"/>
                <w:szCs w:val="20"/>
                <w:color w:val="auto"/>
              </w:rPr>
            </w:pPr>
            <w:r>
              <w:rPr>
                <w:rFonts w:ascii="Verdana" w:cs="Verdana" w:eastAsia="Verdana" w:hAnsi="Verdana"/>
                <w:sz w:val="14"/>
                <w:szCs w:val="14"/>
                <w:color w:val="auto"/>
              </w:rPr>
              <w:t>First Busey</w:t>
            </w:r>
          </w:p>
        </w:tc>
        <w:tc>
          <w:tcPr>
            <w:tcW w:w="1440" w:type="dxa"/>
            <w:vAlign w:val="bottom"/>
            <w:gridSpan w:val="3"/>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1,229,973</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Verdana" w:cs="Verdana" w:eastAsia="Verdana" w:hAnsi="Verdana"/>
                <w:sz w:val="14"/>
                <w:szCs w:val="14"/>
                <w:color w:val="auto"/>
              </w:rPr>
              <w:t>10.08 %</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tcPr>
          <w:p>
            <w:pPr>
              <w:ind w:left="540"/>
              <w:spacing w:after="0"/>
              <w:rPr>
                <w:sz w:val="20"/>
                <w:szCs w:val="20"/>
                <w:color w:val="auto"/>
              </w:rPr>
            </w:pPr>
            <w:r>
              <w:rPr>
                <w:rFonts w:ascii="Verdana" w:cs="Verdana" w:eastAsia="Verdana" w:hAnsi="Verdana"/>
                <w:sz w:val="14"/>
                <w:szCs w:val="14"/>
                <w:color w:val="auto"/>
              </w:rPr>
              <w:t>488,315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Verdana" w:cs="Verdana" w:eastAsia="Verdana" w:hAnsi="Verdana"/>
                <w:sz w:val="14"/>
                <w:szCs w:val="14"/>
                <w:color w:val="auto"/>
              </w:rPr>
              <w:t>4.00 %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ind w:left="920"/>
              <w:spacing w:after="0"/>
              <w:rPr>
                <w:sz w:val="20"/>
                <w:szCs w:val="20"/>
                <w:color w:val="auto"/>
              </w:rPr>
            </w:pPr>
            <w:r>
              <w:rPr>
                <w:rFonts w:ascii="Verdana" w:cs="Verdana" w:eastAsia="Verdana" w:hAnsi="Verdana"/>
                <w:sz w:val="14"/>
                <w:szCs w:val="14"/>
                <w:color w:val="auto"/>
              </w:rPr>
              <w:t>N/A</w:t>
            </w:r>
          </w:p>
        </w:tc>
        <w:tc>
          <w:tcPr>
            <w:tcW w:w="940" w:type="dxa"/>
            <w:vAlign w:val="bottom"/>
          </w:tcPr>
          <w:p>
            <w:pPr>
              <w:jc w:val="right"/>
              <w:spacing w:after="0"/>
              <w:rPr>
                <w:sz w:val="20"/>
                <w:szCs w:val="20"/>
                <w:color w:val="auto"/>
              </w:rPr>
            </w:pPr>
            <w:r>
              <w:rPr>
                <w:rFonts w:ascii="Verdana" w:cs="Verdana" w:eastAsia="Verdana" w:hAnsi="Verdana"/>
                <w:sz w:val="14"/>
                <w:szCs w:val="14"/>
                <w:color w:val="auto"/>
              </w:rPr>
              <w:t>N/A</w:t>
            </w:r>
          </w:p>
        </w:tc>
        <w:tc>
          <w:tcPr>
            <w:tcW w:w="0" w:type="dxa"/>
            <w:vAlign w:val="bottom"/>
          </w:tcPr>
          <w:p>
            <w:pPr>
              <w:spacing w:after="0"/>
              <w:rPr>
                <w:sz w:val="1"/>
                <w:szCs w:val="1"/>
                <w:color w:val="auto"/>
              </w:rPr>
            </w:pPr>
          </w:p>
        </w:tc>
      </w:tr>
      <w:tr>
        <w:trPr>
          <w:trHeight w:val="218"/>
        </w:trPr>
        <w:tc>
          <w:tcPr>
            <w:tcW w:w="14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Busey Bank</w:t>
            </w:r>
          </w:p>
        </w:tc>
        <w:tc>
          <w:tcPr>
            <w:tcW w:w="1440" w:type="dxa"/>
            <w:vAlign w:val="bottom"/>
            <w:gridSpan w:val="3"/>
            <w:shd w:val="clear" w:color="auto" w:fill="E0E7ED"/>
          </w:tcPr>
          <w:p>
            <w:pPr>
              <w:jc w:val="right"/>
              <w:ind w:right="220"/>
              <w:spacing w:after="0"/>
              <w:rPr>
                <w:sz w:val="20"/>
                <w:szCs w:val="20"/>
                <w:color w:val="auto"/>
              </w:rPr>
            </w:pPr>
            <w:r>
              <w:rPr>
                <w:rFonts w:ascii="Verdana" w:cs="Verdana" w:eastAsia="Verdana" w:hAnsi="Verdana"/>
                <w:sz w:val="14"/>
                <w:szCs w:val="14"/>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1,362,962</w:t>
            </w:r>
          </w:p>
        </w:tc>
        <w:tc>
          <w:tcPr>
            <w:tcW w:w="100" w:type="dxa"/>
            <w:vAlign w:val="bottom"/>
            <w:shd w:val="clear" w:color="auto" w:fill="E0E7ED"/>
          </w:tcPr>
          <w:p>
            <w:pPr>
              <w:spacing w:after="0"/>
              <w:rPr>
                <w:sz w:val="18"/>
                <w:szCs w:val="18"/>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11.19 %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gridSpan w:val="2"/>
            <w:shd w:val="clear" w:color="auto" w:fill="E0E7ED"/>
          </w:tcPr>
          <w:p>
            <w:pPr>
              <w:ind w:left="540"/>
              <w:spacing w:after="0"/>
              <w:rPr>
                <w:sz w:val="20"/>
                <w:szCs w:val="20"/>
                <w:color w:val="auto"/>
              </w:rPr>
            </w:pPr>
            <w:r>
              <w:rPr>
                <w:rFonts w:ascii="Verdana" w:cs="Verdana" w:eastAsia="Verdana" w:hAnsi="Verdana"/>
                <w:sz w:val="14"/>
                <w:szCs w:val="14"/>
                <w:color w:val="auto"/>
              </w:rPr>
              <w:t>487,103</w:t>
            </w: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4.00 %</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608,879</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5.00 %</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Capital Conservation Buffer</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(2) Tier 1 capital to risk-weighted assets of at least 8.5%, and (3) total capital to risk-weighted assets of at least 10.5%.</w:t>
      </w:r>
    </w:p>
    <w:p>
      <w:pPr>
        <w:spacing w:after="0" w:line="12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Subsidiary Dividend Payments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First Busey Corporation’s ability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Busey Bank paid $100.0 million, $90.0 million, and $95.0 million in dividends to First Busey Corporation during the years ended December 31, 2024, 2023, and 2022, respectively.</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45" w:name="page146"/>
    <w:bookmarkEnd w:id="14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13. INCOME TAXES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Components of Busey’s income tax expense consist of the following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ind w:left="28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3"/>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Income tax expense</w:t>
            </w:r>
          </w:p>
        </w:tc>
        <w:tc>
          <w:tcPr>
            <w:tcW w:w="980" w:type="dxa"/>
            <w:vAlign w:val="bottom"/>
            <w:shd w:val="clear" w:color="auto" w:fill="E0E7ED"/>
          </w:tcPr>
          <w:p>
            <w:pPr>
              <w:spacing w:after="0"/>
              <w:rPr>
                <w:sz w:val="17"/>
                <w:szCs w:val="17"/>
                <w:color w:val="auto"/>
              </w:rPr>
            </w:pPr>
          </w:p>
        </w:tc>
        <w:tc>
          <w:tcPr>
            <w:tcW w:w="6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Current expense: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63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Federal</w:t>
            </w:r>
          </w:p>
        </w:tc>
        <w:tc>
          <w:tcPr>
            <w:tcW w:w="980" w:type="dxa"/>
            <w:vAlign w:val="bottom"/>
            <w:shd w:val="clear" w:color="auto" w:fill="E0E7ED"/>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26,696</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ind w:left="640"/>
              <w:spacing w:after="0"/>
              <w:rPr>
                <w:sz w:val="20"/>
                <w:szCs w:val="20"/>
                <w:color w:val="auto"/>
              </w:rPr>
            </w:pPr>
            <w:r>
              <w:rPr>
                <w:rFonts w:ascii="Verdana" w:cs="Verdana" w:eastAsia="Verdana" w:hAnsi="Verdana"/>
                <w:sz w:val="14"/>
                <w:szCs w:val="14"/>
                <w:color w:val="auto"/>
              </w:rPr>
              <w:t>20,139</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20,815</w:t>
            </w:r>
          </w:p>
        </w:tc>
      </w:tr>
      <w:tr>
        <w:trPr>
          <w:trHeight w:val="207"/>
        </w:trPr>
        <w:tc>
          <w:tcPr>
            <w:tcW w:w="6340" w:type="dxa"/>
            <w:vAlign w:val="bottom"/>
          </w:tcPr>
          <w:p>
            <w:pPr>
              <w:ind w:left="280"/>
              <w:spacing w:after="0"/>
              <w:rPr>
                <w:sz w:val="20"/>
                <w:szCs w:val="20"/>
                <w:color w:val="auto"/>
              </w:rPr>
            </w:pPr>
            <w:r>
              <w:rPr>
                <w:rFonts w:ascii="Verdana" w:cs="Verdana" w:eastAsia="Verdana" w:hAnsi="Verdana"/>
                <w:sz w:val="14"/>
                <w:szCs w:val="14"/>
                <w:color w:val="auto"/>
              </w:rPr>
              <w:t>State</w:t>
            </w:r>
          </w:p>
        </w:tc>
        <w:tc>
          <w:tcPr>
            <w:tcW w:w="98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Verdana" w:cs="Verdana" w:eastAsia="Verdana" w:hAnsi="Verdana"/>
                <w:sz w:val="14"/>
                <w:szCs w:val="14"/>
                <w:color w:val="auto"/>
              </w:rPr>
              <w:t>11,533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640"/>
              <w:spacing w:after="0"/>
              <w:rPr>
                <w:sz w:val="20"/>
                <w:szCs w:val="20"/>
                <w:color w:val="auto"/>
              </w:rPr>
            </w:pPr>
            <w:r>
              <w:rPr>
                <w:rFonts w:ascii="Verdana" w:cs="Verdana" w:eastAsia="Verdana" w:hAnsi="Verdana"/>
                <w:sz w:val="14"/>
                <w:szCs w:val="14"/>
                <w:color w:val="auto"/>
              </w:rPr>
              <w:t>14,120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13,883</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Deferred expense:</w:t>
            </w:r>
          </w:p>
        </w:tc>
        <w:tc>
          <w:tcPr>
            <w:tcW w:w="980" w:type="dxa"/>
            <w:vAlign w:val="bottom"/>
            <w:shd w:val="clear" w:color="auto" w:fill="E0E7ED"/>
          </w:tcPr>
          <w:p>
            <w:pPr>
              <w:spacing w:after="0"/>
              <w:rPr>
                <w:sz w:val="18"/>
                <w:szCs w:val="18"/>
                <w:color w:val="auto"/>
              </w:rPr>
            </w:pPr>
          </w:p>
        </w:tc>
        <w:tc>
          <w:tcPr>
            <w:tcW w:w="6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6340" w:type="dxa"/>
            <w:vAlign w:val="bottom"/>
          </w:tcPr>
          <w:p>
            <w:pPr>
              <w:ind w:left="280"/>
              <w:spacing w:after="0"/>
              <w:rPr>
                <w:sz w:val="20"/>
                <w:szCs w:val="20"/>
                <w:color w:val="auto"/>
              </w:rPr>
            </w:pPr>
            <w:r>
              <w:rPr>
                <w:rFonts w:ascii="Verdana" w:cs="Verdana" w:eastAsia="Verdana" w:hAnsi="Verdana"/>
                <w:sz w:val="14"/>
                <w:szCs w:val="14"/>
                <w:color w:val="auto"/>
              </w:rPr>
              <w:t>Federal</w:t>
            </w:r>
          </w:p>
        </w:tc>
        <w:tc>
          <w:tcPr>
            <w:tcW w:w="98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Verdana" w:cs="Verdana" w:eastAsia="Verdana" w:hAnsi="Verdana"/>
                <w:sz w:val="14"/>
                <w:szCs w:val="14"/>
                <w:color w:val="auto"/>
              </w:rPr>
              <w:t>1,561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640"/>
              <w:spacing w:after="0"/>
              <w:rPr>
                <w:sz w:val="20"/>
                <w:szCs w:val="20"/>
                <w:color w:val="auto"/>
              </w:rPr>
            </w:pPr>
            <w:r>
              <w:rPr>
                <w:rFonts w:ascii="Verdana" w:cs="Verdana" w:eastAsia="Verdana" w:hAnsi="Verdana"/>
                <w:sz w:val="14"/>
                <w:szCs w:val="14"/>
                <w:color w:val="auto"/>
              </w:rPr>
              <w:t>(1,557)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(700)</w:t>
            </w:r>
          </w:p>
        </w:tc>
      </w:tr>
      <w:tr>
        <w:trPr>
          <w:trHeight w:val="212"/>
        </w:trPr>
        <w:tc>
          <w:tcPr>
            <w:tcW w:w="63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State</w:t>
            </w:r>
          </w:p>
        </w:tc>
        <w:tc>
          <w:tcPr>
            <w:tcW w:w="980" w:type="dxa"/>
            <w:vAlign w:val="bottom"/>
            <w:tcBorders>
              <w:bottom w:val="single" w:sz="8" w:color="auto"/>
            </w:tcBorders>
            <w:shd w:val="clear" w:color="auto" w:fill="E0E7ED"/>
          </w:tcPr>
          <w:p>
            <w:pPr>
              <w:spacing w:after="0"/>
              <w:rPr>
                <w:sz w:val="18"/>
                <w:szCs w:val="18"/>
                <w:color w:val="auto"/>
              </w:rPr>
            </w:pPr>
          </w:p>
        </w:tc>
        <w:tc>
          <w:tcPr>
            <w:tcW w:w="6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(177)</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ind w:left="640"/>
              <w:spacing w:after="0"/>
              <w:rPr>
                <w:sz w:val="20"/>
                <w:szCs w:val="20"/>
                <w:color w:val="auto"/>
              </w:rPr>
            </w:pPr>
            <w:r>
              <w:rPr>
                <w:rFonts w:ascii="Verdana" w:cs="Verdana" w:eastAsia="Verdana" w:hAnsi="Verdana"/>
                <w:sz w:val="14"/>
                <w:szCs w:val="14"/>
                <w:color w:val="auto"/>
              </w:rPr>
              <w:t>(1,363)</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(572)</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Total income tax expense</w:t>
            </w:r>
          </w:p>
        </w:tc>
        <w:tc>
          <w:tcPr>
            <w:tcW w:w="980" w:type="dxa"/>
            <w:vAlign w:val="bottom"/>
            <w:tcBorders>
              <w:bottom w:val="single" w:sz="8" w:color="auto"/>
            </w:tcBorders>
          </w:tcPr>
          <w:p>
            <w:pPr>
              <w:jc w:val="right"/>
              <w:ind w:right="816"/>
              <w:spacing w:after="0"/>
              <w:rPr>
                <w:sz w:val="20"/>
                <w:szCs w:val="20"/>
                <w:color w:val="auto"/>
              </w:rPr>
            </w:pPr>
            <w:r>
              <w:rPr>
                <w:rFonts w:ascii="Verdana" w:cs="Verdana" w:eastAsia="Verdana" w:hAnsi="Verdana"/>
                <w:sz w:val="14"/>
                <w:szCs w:val="14"/>
                <w:color w:val="auto"/>
                <w:w w:val="88"/>
              </w:rPr>
              <w:t>$</w:t>
            </w:r>
          </w:p>
        </w:tc>
        <w:tc>
          <w:tcPr>
            <w:tcW w:w="62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39,613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ind w:left="640"/>
              <w:spacing w:after="0"/>
              <w:rPr>
                <w:sz w:val="20"/>
                <w:szCs w:val="20"/>
                <w:color w:val="auto"/>
              </w:rPr>
            </w:pPr>
            <w:r>
              <w:rPr>
                <w:rFonts w:ascii="Verdana" w:cs="Verdana" w:eastAsia="Verdana" w:hAnsi="Verdana"/>
                <w:sz w:val="14"/>
                <w:szCs w:val="14"/>
                <w:color w:val="auto"/>
              </w:rPr>
              <w:t>31,339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33,426</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 reconciliation of federal and state income taxes at statutory rates to Busey’s income taxes included in the accompanying </w:t>
      </w:r>
      <w:r>
        <w:rPr>
          <w:rFonts w:ascii="Verdana" w:cs="Verdana" w:eastAsia="Verdana" w:hAnsi="Verdana"/>
          <w:sz w:val="14"/>
          <w:szCs w:val="14"/>
          <w:u w:val="single" w:color="auto"/>
          <w:color w:val="0000FF"/>
        </w:rPr>
        <w:t>Consolidated Statements of</w:t>
      </w:r>
    </w:p>
    <w:p>
      <w:pPr>
        <w:spacing w:after="0"/>
        <w:rPr>
          <w:sz w:val="20"/>
          <w:szCs w:val="20"/>
          <w:color w:val="auto"/>
        </w:rPr>
      </w:pPr>
      <w:r>
        <w:rPr>
          <w:rFonts w:ascii="Verdana" w:cs="Verdana" w:eastAsia="Verdana" w:hAnsi="Verdana"/>
          <w:sz w:val="14"/>
          <w:szCs w:val="14"/>
          <w:u w:val="single" w:color="auto"/>
          <w:color w:val="0000FF"/>
        </w:rPr>
        <w:t>Income</w:t>
      </w:r>
      <w:r>
        <w:rPr>
          <w:rFonts w:ascii="Verdana" w:cs="Verdana" w:eastAsia="Verdana" w:hAnsi="Verdana"/>
          <w:sz w:val="14"/>
          <w:szCs w:val="14"/>
          <w:color w:val="0000FF"/>
        </w:rPr>
        <w:t xml:space="preserve"> </w:t>
      </w:r>
      <w:r>
        <w:rPr>
          <w:rFonts w:ascii="Verdana" w:cs="Verdana" w:eastAsia="Verdana" w:hAnsi="Verdana"/>
          <w:sz w:val="14"/>
          <w:szCs w:val="14"/>
          <w:color w:val="000000"/>
        </w:rPr>
        <w:t>is as follows:</w:t>
      </w:r>
    </w:p>
    <w:p>
      <w:pPr>
        <w:spacing w:after="0" w:line="170" w:lineRule="exact"/>
        <w:rPr>
          <w:sz w:val="20"/>
          <w:szCs w:val="20"/>
          <w:color w:val="auto"/>
        </w:rPr>
      </w:pPr>
    </w:p>
    <w:p>
      <w:pPr>
        <w:ind w:left="7920"/>
        <w:spacing w:after="0"/>
        <w:rPr>
          <w:sz w:val="20"/>
          <w:szCs w:val="20"/>
          <w:color w:val="auto"/>
        </w:rPr>
      </w:pPr>
      <w:r>
        <w:rPr>
          <w:rFonts w:ascii="Verdana" w:cs="Verdana" w:eastAsia="Verdana" w:hAnsi="Verdana"/>
          <w:sz w:val="10"/>
          <w:szCs w:val="10"/>
          <w:b w:val="1"/>
          <w:bCs w:val="1"/>
          <w:color w:val="auto"/>
        </w:rPr>
        <w:t>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Borders>
              <w:bottom w:val="single" w:sz="8" w:color="E0E7ED"/>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Verdana" w:cs="Verdana" w:eastAsia="Verdana" w:hAnsi="Verdana"/>
                <w:sz w:val="10"/>
                <w:szCs w:val="10"/>
                <w:b w:val="1"/>
                <w:bCs w:val="1"/>
                <w:color w:val="auto"/>
              </w:rPr>
              <w:t>2024</w:t>
            </w:r>
          </w:p>
        </w:tc>
        <w:tc>
          <w:tcPr>
            <w:tcW w:w="6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E0E7ED"/>
            </w:tcBorders>
          </w:tcPr>
          <w:p>
            <w:pPr>
              <w:spacing w:after="0"/>
              <w:rPr>
                <w:sz w:val="11"/>
                <w:szCs w:val="11"/>
                <w:color w:val="auto"/>
              </w:rPr>
            </w:pPr>
          </w:p>
        </w:tc>
        <w:tc>
          <w:tcPr>
            <w:tcW w:w="1700" w:type="dxa"/>
            <w:vAlign w:val="bottom"/>
            <w:tcBorders>
              <w:top w:val="single" w:sz="8" w:color="auto"/>
              <w:bottom w:val="single" w:sz="8" w:color="auto"/>
            </w:tcBorders>
          </w:tcPr>
          <w:p>
            <w:pPr>
              <w:jc w:val="right"/>
              <w:ind w:right="652"/>
              <w:spacing w:after="0"/>
              <w:rPr>
                <w:sz w:val="20"/>
                <w:szCs w:val="20"/>
                <w:color w:val="auto"/>
              </w:rPr>
            </w:pPr>
            <w:r>
              <w:rPr>
                <w:rFonts w:ascii="Verdana" w:cs="Verdana" w:eastAsia="Verdana" w:hAnsi="Verdana"/>
                <w:sz w:val="10"/>
                <w:szCs w:val="10"/>
                <w:b w:val="1"/>
                <w:bCs w:val="1"/>
                <w:color w:val="auto"/>
              </w:rPr>
              <w:t>2023</w:t>
            </w:r>
          </w:p>
        </w:tc>
        <w:tc>
          <w:tcPr>
            <w:tcW w:w="80" w:type="dxa"/>
            <w:vAlign w:val="bottom"/>
            <w:tcBorders>
              <w:top w:val="single" w:sz="8" w:color="auto"/>
              <w:bottom w:val="single" w:sz="8" w:color="E0E7ED"/>
            </w:tcBorders>
          </w:tcPr>
          <w:p>
            <w:pPr>
              <w:spacing w:after="0"/>
              <w:rPr>
                <w:sz w:val="11"/>
                <w:szCs w:val="11"/>
                <w:color w:val="auto"/>
              </w:rPr>
            </w:pPr>
          </w:p>
        </w:tc>
        <w:tc>
          <w:tcPr>
            <w:tcW w:w="1680" w:type="dxa"/>
            <w:vAlign w:val="bottom"/>
            <w:tcBorders>
              <w:top w:val="single" w:sz="8" w:color="auto"/>
              <w:bottom w:val="single" w:sz="8" w:color="auto"/>
            </w:tcBorders>
          </w:tcPr>
          <w:p>
            <w:pPr>
              <w:jc w:val="right"/>
              <w:ind w:right="632"/>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71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Percent of pretax income</w:t>
            </w:r>
          </w:p>
        </w:tc>
        <w:tc>
          <w:tcPr>
            <w:tcW w:w="6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70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680" w:type="dxa"/>
            <w:vAlign w:val="bottom"/>
            <w:shd w:val="clear" w:color="auto" w:fill="E0E7ED"/>
          </w:tcPr>
          <w:p>
            <w:pPr>
              <w:spacing w:after="0"/>
              <w:rPr>
                <w:sz w:val="17"/>
                <w:szCs w:val="17"/>
                <w:color w:val="auto"/>
              </w:rPr>
            </w:pPr>
          </w:p>
        </w:tc>
      </w:tr>
      <w:tr>
        <w:trPr>
          <w:trHeight w:val="207"/>
        </w:trPr>
        <w:tc>
          <w:tcPr>
            <w:tcW w:w="7120" w:type="dxa"/>
            <w:vAlign w:val="bottom"/>
            <w:gridSpan w:val="2"/>
          </w:tcPr>
          <w:p>
            <w:pPr>
              <w:ind w:left="140"/>
              <w:spacing w:after="0"/>
              <w:rPr>
                <w:sz w:val="20"/>
                <w:szCs w:val="20"/>
                <w:color w:val="auto"/>
              </w:rPr>
            </w:pPr>
            <w:r>
              <w:rPr>
                <w:rFonts w:ascii="Verdana" w:cs="Verdana" w:eastAsia="Verdana" w:hAnsi="Verdana"/>
                <w:sz w:val="14"/>
                <w:szCs w:val="14"/>
                <w:color w:val="auto"/>
              </w:rPr>
              <w:t>Income tax at federal statutory rate</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21.0 %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21.0 %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21.0 %</w:t>
            </w:r>
          </w:p>
        </w:tc>
      </w:tr>
      <w:tr>
        <w:trPr>
          <w:trHeight w:val="218"/>
        </w:trPr>
        <w:tc>
          <w:tcPr>
            <w:tcW w:w="71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Effect of:</w:t>
            </w:r>
          </w:p>
        </w:tc>
        <w:tc>
          <w:tcPr>
            <w:tcW w:w="6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r>
      <w:tr>
        <w:trPr>
          <w:trHeight w:val="207"/>
        </w:trPr>
        <w:tc>
          <w:tcPr>
            <w:tcW w:w="7120" w:type="dxa"/>
            <w:vAlign w:val="bottom"/>
            <w:gridSpan w:val="2"/>
          </w:tcPr>
          <w:p>
            <w:pPr>
              <w:ind w:left="280"/>
              <w:spacing w:after="0"/>
              <w:rPr>
                <w:sz w:val="20"/>
                <w:szCs w:val="20"/>
                <w:color w:val="auto"/>
              </w:rPr>
            </w:pPr>
            <w:r>
              <w:rPr>
                <w:rFonts w:ascii="Verdana" w:cs="Verdana" w:eastAsia="Verdana" w:hAnsi="Verdana"/>
                <w:sz w:val="14"/>
                <w:szCs w:val="14"/>
                <w:color w:val="auto"/>
              </w:rPr>
              <w:t>Tax-exempt interest, net</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(0.7)%</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(1.0)%</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(1.1)%</w:t>
            </w:r>
          </w:p>
        </w:tc>
      </w:tr>
      <w:tr>
        <w:trPr>
          <w:trHeight w:val="218"/>
        </w:trPr>
        <w:tc>
          <w:tcPr>
            <w:tcW w:w="7120" w:type="dxa"/>
            <w:vAlign w:val="bottom"/>
            <w:gridSpan w:val="2"/>
            <w:shd w:val="clear" w:color="auto" w:fill="E0E7ED"/>
          </w:tcPr>
          <w:p>
            <w:pPr>
              <w:ind w:left="280"/>
              <w:spacing w:after="0"/>
              <w:rPr>
                <w:sz w:val="20"/>
                <w:szCs w:val="20"/>
                <w:color w:val="auto"/>
              </w:rPr>
            </w:pPr>
            <w:r>
              <w:rPr>
                <w:rFonts w:ascii="Verdana" w:cs="Verdana" w:eastAsia="Verdana" w:hAnsi="Verdana"/>
                <w:sz w:val="14"/>
                <w:szCs w:val="14"/>
                <w:color w:val="auto"/>
              </w:rPr>
              <w:t>Stock incentive</w:t>
            </w:r>
          </w:p>
        </w:tc>
        <w:tc>
          <w:tcPr>
            <w:tcW w:w="7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4"/>
                <w:szCs w:val="14"/>
                <w:color w:val="auto"/>
              </w:rPr>
              <w:t>— %</w:t>
            </w: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0.2 %</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0.1 %</w:t>
            </w:r>
          </w:p>
        </w:tc>
      </w:tr>
      <w:tr>
        <w:trPr>
          <w:trHeight w:val="207"/>
        </w:trPr>
        <w:tc>
          <w:tcPr>
            <w:tcW w:w="7120" w:type="dxa"/>
            <w:vAlign w:val="bottom"/>
            <w:gridSpan w:val="2"/>
          </w:tcPr>
          <w:p>
            <w:pPr>
              <w:ind w:left="280"/>
              <w:spacing w:after="0"/>
              <w:rPr>
                <w:sz w:val="20"/>
                <w:szCs w:val="20"/>
                <w:color w:val="auto"/>
              </w:rPr>
            </w:pPr>
            <w:r>
              <w:rPr>
                <w:rFonts w:ascii="Verdana" w:cs="Verdana" w:eastAsia="Verdana" w:hAnsi="Verdana"/>
                <w:sz w:val="14"/>
                <w:szCs w:val="14"/>
                <w:color w:val="auto"/>
              </w:rPr>
              <w:t>State income taxes, net</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5.8 %</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6.5 %</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6.5 %</w:t>
            </w:r>
          </w:p>
        </w:tc>
      </w:tr>
      <w:tr>
        <w:trPr>
          <w:trHeight w:val="218"/>
        </w:trPr>
        <w:tc>
          <w:tcPr>
            <w:tcW w:w="7120" w:type="dxa"/>
            <w:vAlign w:val="bottom"/>
            <w:gridSpan w:val="2"/>
            <w:shd w:val="clear" w:color="auto" w:fill="E0E7ED"/>
          </w:tcPr>
          <w:p>
            <w:pPr>
              <w:ind w:left="280"/>
              <w:spacing w:after="0"/>
              <w:rPr>
                <w:sz w:val="20"/>
                <w:szCs w:val="20"/>
                <w:color w:val="auto"/>
              </w:rPr>
            </w:pPr>
            <w:r>
              <w:rPr>
                <w:rFonts w:ascii="Verdana" w:cs="Verdana" w:eastAsia="Verdana" w:hAnsi="Verdana"/>
                <w:sz w:val="14"/>
                <w:szCs w:val="14"/>
                <w:color w:val="auto"/>
              </w:rPr>
              <w:t>Income on bank owned life insurance</w:t>
            </w:r>
          </w:p>
        </w:tc>
        <w:tc>
          <w:tcPr>
            <w:tcW w:w="6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(0.7)%</w:t>
            </w:r>
          </w:p>
        </w:tc>
        <w:tc>
          <w:tcPr>
            <w:tcW w:w="80" w:type="dxa"/>
            <w:vAlign w:val="bottom"/>
            <w:shd w:val="clear" w:color="auto" w:fill="E0E7ED"/>
          </w:tcPr>
          <w:p>
            <w:pPr>
              <w:spacing w:after="0"/>
              <w:rPr>
                <w:sz w:val="18"/>
                <w:szCs w:val="18"/>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(0.6)%</w:t>
            </w:r>
          </w:p>
        </w:tc>
        <w:tc>
          <w:tcPr>
            <w:tcW w:w="80" w:type="dxa"/>
            <w:vAlign w:val="bottom"/>
            <w:shd w:val="clear" w:color="auto" w:fill="E0E7ED"/>
          </w:tcPr>
          <w:p>
            <w:pPr>
              <w:spacing w:after="0"/>
              <w:rPr>
                <w:sz w:val="18"/>
                <w:szCs w:val="18"/>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(0.5)%</w:t>
            </w:r>
          </w:p>
        </w:tc>
      </w:tr>
      <w:tr>
        <w:trPr>
          <w:trHeight w:val="207"/>
        </w:trPr>
        <w:tc>
          <w:tcPr>
            <w:tcW w:w="7120" w:type="dxa"/>
            <w:vAlign w:val="bottom"/>
            <w:gridSpan w:val="2"/>
          </w:tcPr>
          <w:p>
            <w:pPr>
              <w:ind w:left="280"/>
              <w:spacing w:after="0"/>
              <w:rPr>
                <w:sz w:val="20"/>
                <w:szCs w:val="20"/>
                <w:color w:val="auto"/>
              </w:rPr>
            </w:pPr>
            <w:r>
              <w:rPr>
                <w:rFonts w:ascii="Verdana" w:cs="Verdana" w:eastAsia="Verdana" w:hAnsi="Verdana"/>
                <w:sz w:val="14"/>
                <w:szCs w:val="14"/>
                <w:color w:val="auto"/>
              </w:rPr>
              <w:t>Tax credit investments</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(3.1)%</w:t>
            </w:r>
          </w:p>
        </w:tc>
        <w:tc>
          <w:tcPr>
            <w:tcW w:w="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(6.0)%</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(5.6)%</w:t>
            </w:r>
          </w:p>
        </w:tc>
      </w:tr>
      <w:tr>
        <w:trPr>
          <w:trHeight w:val="212"/>
        </w:trPr>
        <w:tc>
          <w:tcPr>
            <w:tcW w:w="60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Other, net</w:t>
            </w:r>
          </w:p>
        </w:tc>
        <w:tc>
          <w:tcPr>
            <w:tcW w:w="1060" w:type="dxa"/>
            <w:vAlign w:val="bottom"/>
            <w:tcBorders>
              <w:bottom w:val="single" w:sz="8" w:color="auto"/>
            </w:tcBorders>
            <w:shd w:val="clear" w:color="auto" w:fill="E0E7ED"/>
          </w:tcPr>
          <w:p>
            <w:pPr>
              <w:spacing w:after="0"/>
              <w:rPr>
                <w:sz w:val="18"/>
                <w:szCs w:val="18"/>
                <w:color w:val="auto"/>
              </w:rPr>
            </w:pPr>
          </w:p>
        </w:tc>
        <w:tc>
          <w:tcPr>
            <w:tcW w:w="6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3.5 %</w:t>
            </w:r>
          </w:p>
        </w:tc>
        <w:tc>
          <w:tcPr>
            <w:tcW w:w="80" w:type="dxa"/>
            <w:vAlign w:val="bottom"/>
            <w:shd w:val="clear" w:color="auto" w:fill="E0E7ED"/>
          </w:tcPr>
          <w:p>
            <w:pPr>
              <w:spacing w:after="0"/>
              <w:rPr>
                <w:sz w:val="18"/>
                <w:szCs w:val="18"/>
                <w:color w:val="auto"/>
              </w:rPr>
            </w:pPr>
          </w:p>
        </w:tc>
        <w:tc>
          <w:tcPr>
            <w:tcW w:w="17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0.3 %</w:t>
            </w:r>
          </w:p>
        </w:tc>
        <w:tc>
          <w:tcPr>
            <w:tcW w:w="80" w:type="dxa"/>
            <w:vAlign w:val="bottom"/>
            <w:shd w:val="clear" w:color="auto" w:fill="E0E7ED"/>
          </w:tcPr>
          <w:p>
            <w:pPr>
              <w:spacing w:after="0"/>
              <w:rPr>
                <w:sz w:val="18"/>
                <w:szCs w:val="18"/>
                <w:color w:val="auto"/>
              </w:rPr>
            </w:pPr>
          </w:p>
        </w:tc>
        <w:tc>
          <w:tcPr>
            <w:tcW w:w="16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0.3 %</w:t>
            </w:r>
          </w:p>
        </w:tc>
      </w:tr>
      <w:tr>
        <w:trPr>
          <w:trHeight w:val="208"/>
        </w:trPr>
        <w:tc>
          <w:tcPr>
            <w:tcW w:w="7120" w:type="dxa"/>
            <w:vAlign w:val="bottom"/>
            <w:gridSpan w:val="2"/>
          </w:tcPr>
          <w:p>
            <w:pPr>
              <w:ind w:left="20"/>
              <w:spacing w:after="0"/>
              <w:rPr>
                <w:sz w:val="20"/>
                <w:szCs w:val="20"/>
                <w:color w:val="auto"/>
              </w:rPr>
            </w:pPr>
            <w:r>
              <w:rPr>
                <w:rFonts w:ascii="Verdana" w:cs="Verdana" w:eastAsia="Verdana" w:hAnsi="Verdana"/>
                <w:sz w:val="14"/>
                <w:szCs w:val="14"/>
                <w:color w:val="auto"/>
              </w:rPr>
              <w:t>Effective income tax rate</w:t>
            </w:r>
          </w:p>
        </w:tc>
        <w:tc>
          <w:tcPr>
            <w:tcW w:w="620" w:type="dxa"/>
            <w:vAlign w:val="bottom"/>
          </w:tcPr>
          <w:p>
            <w:pPr>
              <w:jc w:val="right"/>
              <w:spacing w:after="0"/>
              <w:rPr>
                <w:sz w:val="20"/>
                <w:szCs w:val="20"/>
                <w:color w:val="auto"/>
              </w:rPr>
            </w:pPr>
            <w:r>
              <w:rPr>
                <w:rFonts w:ascii="Verdana" w:cs="Verdana" w:eastAsia="Verdana" w:hAnsi="Verdana"/>
                <w:sz w:val="14"/>
                <w:szCs w:val="14"/>
                <w:color w:val="auto"/>
              </w:rPr>
              <w:t>25.8 %</w:t>
            </w: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Verdana" w:cs="Verdana" w:eastAsia="Verdana" w:hAnsi="Verdana"/>
                <w:sz w:val="14"/>
                <w:szCs w:val="14"/>
                <w:color w:val="auto"/>
              </w:rPr>
              <w:t>20.4 %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Verdana" w:cs="Verdana" w:eastAsia="Verdana" w:hAnsi="Verdana"/>
                <w:sz w:val="14"/>
                <w:szCs w:val="14"/>
                <w:color w:val="auto"/>
              </w:rPr>
              <w:t>20.7 %</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6" w:name="page147"/>
    <w:bookmarkEnd w:id="14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Net deferred taxes, reported in other assets or other liabilities on Busey’s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include the following amounts of deferred tax assets and liabilities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0"/>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Deferred taxes</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Deferred tax 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ACL</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23,685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27,068</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Unrealized loss on cash flow hedge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7,256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6,654</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Unrealized losses on securities available for sale, net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61,479</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70,423</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Unrealized losses on securities held to maturity</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8,068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10,156</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Stock-based compensation</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6,431</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5,767</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Purchase accounting adjustments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2,076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764</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Accrued vacation</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493</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456</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Lease liabilities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2,951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3,092</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Employee costs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5,725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4,789</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Unrealized loss on equity securities</w:t>
            </w: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75</w:t>
            </w:r>
          </w:p>
        </w:tc>
      </w:tr>
      <w:tr>
        <w:trPr>
          <w:trHeight w:val="212"/>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Other</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67</w:t>
            </w:r>
          </w:p>
        </w:tc>
      </w:tr>
      <w:tr>
        <w:trPr>
          <w:trHeight w:val="203"/>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Total deferred tax assets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118,164</w:t>
            </w:r>
          </w:p>
        </w:tc>
        <w:tc>
          <w:tcPr>
            <w:tcW w:w="100" w:type="dxa"/>
            <w:vAlign w:val="bottom"/>
            <w:tcBorders>
              <w:bottom w:val="single" w:sz="8" w:color="E0E7ED"/>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129,311</w:t>
            </w:r>
          </w:p>
        </w:tc>
      </w:tr>
      <w:tr>
        <w:trPr>
          <w:trHeight w:val="198"/>
        </w:trPr>
        <w:tc>
          <w:tcPr>
            <w:tcW w:w="802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Deferred tax liabilities: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Basis in premises and equipment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(2,419)</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(2,830)</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Affordable housing partnerships and other investments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(8,011)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(8,341)</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Purchase accounting adjustments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(1,022)</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(1,133)</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Mortgage servicing assets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(745)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(1,336)</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Basis in core deposit, customer intangible assets, and asset purchase goodwill</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(3,325)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(4,709)</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Deferred loan origination costs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(3,317)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(3,691)</w:t>
            </w:r>
          </w:p>
        </w:tc>
      </w:tr>
      <w:tr>
        <w:trPr>
          <w:trHeight w:val="218"/>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Right of use assets</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(2,835)</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(3,015)</w:t>
            </w:r>
          </w:p>
        </w:tc>
      </w:tr>
      <w:tr>
        <w:trPr>
          <w:trHeight w:val="207"/>
        </w:trPr>
        <w:tc>
          <w:tcPr>
            <w:tcW w:w="8020" w:type="dxa"/>
            <w:vAlign w:val="bottom"/>
          </w:tcPr>
          <w:p>
            <w:pPr>
              <w:ind w:left="280"/>
              <w:spacing w:after="0"/>
              <w:rPr>
                <w:sz w:val="20"/>
                <w:szCs w:val="20"/>
                <w:color w:val="auto"/>
              </w:rPr>
            </w:pPr>
            <w:r>
              <w:rPr>
                <w:rFonts w:ascii="Verdana" w:cs="Verdana" w:eastAsia="Verdana" w:hAnsi="Verdana"/>
                <w:sz w:val="14"/>
                <w:szCs w:val="14"/>
                <w:color w:val="auto"/>
              </w:rPr>
              <w:t>Unrealized gain on equity securities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(172)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2"/>
        </w:trPr>
        <w:tc>
          <w:tcPr>
            <w:tcW w:w="802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Other</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(856)</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(251)</w:t>
            </w:r>
          </w:p>
        </w:tc>
      </w:tr>
      <w:tr>
        <w:trPr>
          <w:trHeight w:val="203"/>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(22,702)</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(25,306)</w:t>
            </w:r>
          </w:p>
        </w:tc>
      </w:tr>
      <w:tr>
        <w:trPr>
          <w:trHeight w:val="198"/>
        </w:trPr>
        <w:tc>
          <w:tcPr>
            <w:tcW w:w="802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12"/>
        </w:trPr>
        <w:tc>
          <w:tcPr>
            <w:tcW w:w="8020" w:type="dxa"/>
            <w:vAlign w:val="bottom"/>
          </w:tcPr>
          <w:p>
            <w:pPr>
              <w:ind w:left="20"/>
              <w:spacing w:after="0"/>
              <w:rPr>
                <w:sz w:val="20"/>
                <w:szCs w:val="20"/>
                <w:color w:val="auto"/>
              </w:rPr>
            </w:pPr>
            <w:r>
              <w:rPr>
                <w:rFonts w:ascii="Verdana" w:cs="Verdana" w:eastAsia="Verdana" w:hAnsi="Verdana"/>
                <w:sz w:val="14"/>
                <w:szCs w:val="14"/>
                <w:color w:val="auto"/>
              </w:rPr>
              <w:t>Net deferred tax asset</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95,462</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104,005</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Management believes that it is more likely than not that the net deferred tax asset included in the accompanying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will be fully realized. Busey has determined that no valuation allowance is required for any deferred tax assets as of December 31, 2024, or 2023.</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7" w:name="page148"/>
    <w:bookmarkEnd w:id="14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14. TAX CREDIT AND OTHER INVESTMENTS IN UNCONSOLIDATED ENTITIES</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Busey’s investments in unconsolidated entities and related unfunded investment obligations are reflected in other assets and other liabilities on the</w:t>
      </w:r>
    </w:p>
    <w:p>
      <w:pPr>
        <w:spacing w:after="0"/>
        <w:rPr>
          <w:sz w:val="20"/>
          <w:szCs w:val="20"/>
          <w:color w:val="auto"/>
        </w:rPr>
      </w:pP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000000"/>
        </w:rPr>
        <w:t>, and are summarized in the table below for the periods indicated</w:t>
      </w:r>
      <w:r>
        <w:rPr>
          <w:rFonts w:ascii="Verdana" w:cs="Verdana" w:eastAsia="Verdana" w:hAnsi="Verdana"/>
          <w:sz w:val="14"/>
          <w:szCs w:val="14"/>
          <w:color w:val="0000FF"/>
        </w:rPr>
        <w:t xml:space="preserve"> </w:t>
      </w:r>
      <w:r>
        <w:rPr>
          <w:rFonts w:ascii="Verdana" w:cs="Verdana" w:eastAsia="Verdana" w:hAnsi="Verdana"/>
          <w:sz w:val="14"/>
          <w:szCs w:val="14"/>
          <w:i w:val="1"/>
          <w:iCs w:val="1"/>
          <w:color w:val="000000"/>
        </w:rPr>
        <w:t>(dollars in thousands)</w:t>
      </w:r>
      <w:r>
        <w:rPr>
          <w:rFonts w:ascii="Verdana" w:cs="Verdana" w:eastAsia="Verdana" w:hAnsi="Verdana"/>
          <w:sz w:val="14"/>
          <w:szCs w:val="14"/>
          <w:color w:val="000000"/>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940" w:type="dxa"/>
            <w:vAlign w:val="bottom"/>
            <w:tcBorders>
              <w:bottom w:val="single" w:sz="8" w:color="auto"/>
            </w:tcBorders>
          </w:tcPr>
          <w:p>
            <w:pPr>
              <w:spacing w:after="0"/>
              <w:rPr>
                <w:sz w:val="11"/>
                <w:szCs w:val="11"/>
                <w:color w:val="auto"/>
              </w:rPr>
            </w:pPr>
          </w:p>
        </w:tc>
      </w:tr>
      <w:tr>
        <w:trPr>
          <w:trHeight w:val="133"/>
        </w:trPr>
        <w:tc>
          <w:tcPr>
            <w:tcW w:w="6660" w:type="dxa"/>
            <w:vAlign w:val="bottom"/>
          </w:tcPr>
          <w:p>
            <w:pPr>
              <w:spacing w:after="0"/>
              <w:rPr>
                <w:sz w:val="11"/>
                <w:szCs w:val="11"/>
                <w:color w:val="auto"/>
              </w:rPr>
            </w:pPr>
          </w:p>
        </w:tc>
        <w:tc>
          <w:tcPr>
            <w:tcW w:w="1560" w:type="dxa"/>
            <w:vAlign w:val="bottom"/>
            <w:gridSpan w:val="2"/>
          </w:tcPr>
          <w:p>
            <w:pPr>
              <w:ind w:left="500"/>
              <w:spacing w:after="0"/>
              <w:rPr>
                <w:sz w:val="20"/>
                <w:szCs w:val="20"/>
                <w:color w:val="auto"/>
              </w:rPr>
            </w:pPr>
            <w:r>
              <w:rPr>
                <w:rFonts w:ascii="Verdana" w:cs="Verdana" w:eastAsia="Verdana" w:hAnsi="Verdana"/>
                <w:sz w:val="10"/>
                <w:szCs w:val="10"/>
                <w:b w:val="1"/>
                <w:bCs w:val="1"/>
                <w:color w:val="auto"/>
              </w:rPr>
              <w:t>Location</w:t>
            </w:r>
          </w:p>
        </w:tc>
        <w:tc>
          <w:tcPr>
            <w:tcW w:w="360" w:type="dxa"/>
            <w:vAlign w:val="bottom"/>
          </w:tcPr>
          <w:p>
            <w:pPr>
              <w:spacing w:after="0"/>
              <w:rPr>
                <w:sz w:val="11"/>
                <w:szCs w:val="11"/>
                <w:color w:val="auto"/>
              </w:rPr>
            </w:pPr>
          </w:p>
        </w:tc>
        <w:tc>
          <w:tcPr>
            <w:tcW w:w="1140" w:type="dxa"/>
            <w:vAlign w:val="bottom"/>
          </w:tcPr>
          <w:p>
            <w:pPr>
              <w:jc w:val="right"/>
              <w:ind w:right="536"/>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ind w:right="534"/>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6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Investments in unconsolidated entities</w:t>
            </w:r>
          </w:p>
        </w:tc>
        <w:tc>
          <w:tcPr>
            <w:tcW w:w="14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1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540" w:type="dxa"/>
            <w:vAlign w:val="bottom"/>
            <w:tcBorders>
              <w:top w:val="single" w:sz="8" w:color="auto"/>
            </w:tcBorders>
            <w:shd w:val="clear" w:color="auto" w:fill="E0E7ED"/>
          </w:tcPr>
          <w:p>
            <w:pPr>
              <w:spacing w:after="0"/>
              <w:rPr>
                <w:sz w:val="17"/>
                <w:szCs w:val="17"/>
                <w:color w:val="auto"/>
              </w:rPr>
            </w:pPr>
          </w:p>
        </w:tc>
        <w:tc>
          <w:tcPr>
            <w:tcW w:w="940" w:type="dxa"/>
            <w:vAlign w:val="bottom"/>
            <w:tcBorders>
              <w:top w:val="single" w:sz="8" w:color="auto"/>
            </w:tcBorders>
            <w:shd w:val="clear" w:color="auto" w:fill="E0E7ED"/>
          </w:tcPr>
          <w:p>
            <w:pPr>
              <w:spacing w:after="0"/>
              <w:rPr>
                <w:sz w:val="17"/>
                <w:szCs w:val="17"/>
                <w:color w:val="auto"/>
              </w:rPr>
            </w:pPr>
          </w:p>
        </w:tc>
      </w:tr>
      <w:tr>
        <w:trPr>
          <w:trHeight w:val="207"/>
        </w:trPr>
        <w:tc>
          <w:tcPr>
            <w:tcW w:w="6660" w:type="dxa"/>
            <w:vAlign w:val="bottom"/>
          </w:tcPr>
          <w:p>
            <w:pPr>
              <w:ind w:left="140"/>
              <w:spacing w:after="0"/>
              <w:rPr>
                <w:sz w:val="20"/>
                <w:szCs w:val="20"/>
                <w:color w:val="auto"/>
              </w:rPr>
            </w:pPr>
            <w:r>
              <w:rPr>
                <w:rFonts w:ascii="Verdana" w:cs="Verdana" w:eastAsia="Verdana" w:hAnsi="Verdana"/>
                <w:sz w:val="14"/>
                <w:szCs w:val="14"/>
                <w:color w:val="auto"/>
              </w:rPr>
              <w:t>Funded investments</w:t>
            </w:r>
          </w:p>
        </w:tc>
        <w:tc>
          <w:tcPr>
            <w:tcW w:w="1560" w:type="dxa"/>
            <w:vAlign w:val="bottom"/>
            <w:gridSpan w:val="2"/>
          </w:tcPr>
          <w:p>
            <w:pPr>
              <w:ind w:left="20"/>
              <w:spacing w:after="0"/>
              <w:rPr>
                <w:sz w:val="20"/>
                <w:szCs w:val="20"/>
                <w:color w:val="auto"/>
              </w:rPr>
            </w:pPr>
            <w:r>
              <w:rPr>
                <w:rFonts w:ascii="Verdana" w:cs="Verdana" w:eastAsia="Verdana" w:hAnsi="Verdana"/>
                <w:sz w:val="14"/>
                <w:szCs w:val="14"/>
                <w:color w:val="auto"/>
              </w:rPr>
              <w:t>Other assets</w:t>
            </w: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Pr>
          <w:p>
            <w:pPr>
              <w:jc w:val="right"/>
              <w:ind w:right="16"/>
              <w:spacing w:after="0"/>
              <w:rPr>
                <w:sz w:val="20"/>
                <w:szCs w:val="20"/>
                <w:color w:val="auto"/>
              </w:rPr>
            </w:pPr>
            <w:r>
              <w:rPr>
                <w:rFonts w:ascii="Verdana" w:cs="Verdana" w:eastAsia="Verdana" w:hAnsi="Verdana"/>
                <w:sz w:val="14"/>
                <w:szCs w:val="14"/>
                <w:color w:val="auto"/>
              </w:rPr>
              <w:t>70,796</w:t>
            </w:r>
          </w:p>
        </w:tc>
        <w:tc>
          <w:tcPr>
            <w:tcW w:w="80" w:type="dxa"/>
            <w:vAlign w:val="bottom"/>
          </w:tcPr>
          <w:p>
            <w:pPr>
              <w:spacing w:after="0"/>
              <w:rPr>
                <w:sz w:val="17"/>
                <w:szCs w:val="17"/>
                <w:color w:val="auto"/>
              </w:rPr>
            </w:pPr>
          </w:p>
        </w:tc>
        <w:tc>
          <w:tcPr>
            <w:tcW w:w="540" w:type="dxa"/>
            <w:vAlign w:val="bottom"/>
          </w:tcPr>
          <w:p>
            <w:pPr>
              <w:jc w:val="right"/>
              <w:ind w:right="369"/>
              <w:spacing w:after="0"/>
              <w:rPr>
                <w:sz w:val="20"/>
                <w:szCs w:val="20"/>
                <w:color w:val="auto"/>
              </w:rPr>
            </w:pPr>
            <w:r>
              <w:rPr>
                <w:rFonts w:ascii="Verdana" w:cs="Verdana" w:eastAsia="Verdana" w:hAnsi="Verdana"/>
                <w:sz w:val="14"/>
                <w:szCs w:val="14"/>
                <w:color w:val="auto"/>
                <w:w w:val="88"/>
              </w:rPr>
              <w:t>$</w:t>
            </w:r>
          </w:p>
        </w:tc>
        <w:tc>
          <w:tcPr>
            <w:tcW w:w="940" w:type="dxa"/>
            <w:vAlign w:val="bottom"/>
          </w:tcPr>
          <w:p>
            <w:pPr>
              <w:jc w:val="right"/>
              <w:spacing w:after="0"/>
              <w:rPr>
                <w:sz w:val="20"/>
                <w:szCs w:val="20"/>
                <w:color w:val="auto"/>
              </w:rPr>
            </w:pPr>
            <w:r>
              <w:rPr>
                <w:rFonts w:ascii="Verdana" w:cs="Verdana" w:eastAsia="Verdana" w:hAnsi="Verdana"/>
                <w:sz w:val="14"/>
                <w:szCs w:val="14"/>
                <w:color w:val="auto"/>
              </w:rPr>
              <w:t>68,516</w:t>
            </w:r>
          </w:p>
        </w:tc>
      </w:tr>
      <w:tr>
        <w:trPr>
          <w:trHeight w:val="218"/>
        </w:trPr>
        <w:tc>
          <w:tcPr>
            <w:tcW w:w="6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Unfunded investments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assets</w:t>
            </w: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61,210</w:t>
            </w:r>
          </w:p>
        </w:tc>
        <w:tc>
          <w:tcPr>
            <w:tcW w:w="80" w:type="dxa"/>
            <w:vAlign w:val="bottom"/>
            <w:shd w:val="clear" w:color="auto" w:fill="E0E7ED"/>
          </w:tcPr>
          <w:p>
            <w:pPr>
              <w:spacing w:after="0"/>
              <w:rPr>
                <w:sz w:val="18"/>
                <w:szCs w:val="18"/>
                <w:color w:val="auto"/>
              </w:rPr>
            </w:pPr>
          </w:p>
        </w:tc>
        <w:tc>
          <w:tcPr>
            <w:tcW w:w="540" w:type="dxa"/>
            <w:vAlign w:val="bottom"/>
            <w:tcBorders>
              <w:bottom w:val="single" w:sz="8" w:color="auto"/>
            </w:tcBorders>
            <w:shd w:val="clear" w:color="auto" w:fill="E0E7ED"/>
          </w:tcPr>
          <w:p>
            <w:pPr>
              <w:spacing w:after="0"/>
              <w:rPr>
                <w:sz w:val="18"/>
                <w:szCs w:val="18"/>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58,552</w:t>
            </w:r>
          </w:p>
        </w:tc>
      </w:tr>
      <w:tr>
        <w:trPr>
          <w:trHeight w:val="197"/>
        </w:trPr>
        <w:tc>
          <w:tcPr>
            <w:tcW w:w="6660" w:type="dxa"/>
            <w:vAlign w:val="bottom"/>
          </w:tcPr>
          <w:p>
            <w:pPr>
              <w:ind w:left="20"/>
              <w:spacing w:after="0"/>
              <w:rPr>
                <w:sz w:val="20"/>
                <w:szCs w:val="20"/>
                <w:color w:val="auto"/>
              </w:rPr>
            </w:pPr>
            <w:r>
              <w:rPr>
                <w:rFonts w:ascii="Verdana" w:cs="Verdana" w:eastAsia="Verdana" w:hAnsi="Verdana"/>
                <w:sz w:val="14"/>
                <w:szCs w:val="14"/>
                <w:color w:val="auto"/>
              </w:rPr>
              <w:t>Investments in unconsolidated entities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132,006</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127,068</w:t>
            </w:r>
          </w:p>
        </w:tc>
      </w:tr>
      <w:tr>
        <w:trPr>
          <w:trHeight w:val="20"/>
        </w:trPr>
        <w:tc>
          <w:tcPr>
            <w:tcW w:w="666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9"/>
        </w:trPr>
        <w:tc>
          <w:tcPr>
            <w:tcW w:w="6660" w:type="dxa"/>
            <w:vAlign w:val="bottom"/>
            <w:shd w:val="clear" w:color="auto" w:fill="E0E7ED"/>
          </w:tcPr>
          <w:p>
            <w:pPr>
              <w:spacing w:after="0"/>
              <w:rPr>
                <w:sz w:val="15"/>
                <w:szCs w:val="15"/>
                <w:color w:val="auto"/>
              </w:rPr>
            </w:pPr>
          </w:p>
        </w:tc>
        <w:tc>
          <w:tcPr>
            <w:tcW w:w="14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54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r>
      <w:tr>
        <w:trPr>
          <w:trHeight w:val="207"/>
        </w:trPr>
        <w:tc>
          <w:tcPr>
            <w:tcW w:w="6660" w:type="dxa"/>
            <w:vAlign w:val="bottom"/>
          </w:tcPr>
          <w:p>
            <w:pPr>
              <w:ind w:left="20"/>
              <w:spacing w:after="0"/>
              <w:rPr>
                <w:sz w:val="20"/>
                <w:szCs w:val="20"/>
                <w:color w:val="auto"/>
              </w:rPr>
            </w:pPr>
            <w:r>
              <w:rPr>
                <w:rFonts w:ascii="Verdana" w:cs="Verdana" w:eastAsia="Verdana" w:hAnsi="Verdana"/>
                <w:sz w:val="14"/>
                <w:szCs w:val="14"/>
                <w:color w:val="auto"/>
              </w:rPr>
              <w:t>Unfunded investment obligations</w:t>
            </w:r>
          </w:p>
        </w:tc>
        <w:tc>
          <w:tcPr>
            <w:tcW w:w="1560" w:type="dxa"/>
            <w:vAlign w:val="bottom"/>
            <w:gridSpan w:val="2"/>
          </w:tcPr>
          <w:p>
            <w:pPr>
              <w:ind w:left="20"/>
              <w:spacing w:after="0"/>
              <w:rPr>
                <w:sz w:val="20"/>
                <w:szCs w:val="20"/>
                <w:color w:val="auto"/>
              </w:rPr>
            </w:pPr>
            <w:r>
              <w:rPr>
                <w:rFonts w:ascii="Verdana" w:cs="Verdana" w:eastAsia="Verdana" w:hAnsi="Verdana"/>
                <w:sz w:val="14"/>
                <w:szCs w:val="14"/>
                <w:color w:val="auto"/>
              </w:rPr>
              <w:t>Other liabilities</w:t>
            </w: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61,210</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9"/>
              <w:spacing w:after="0"/>
              <w:rPr>
                <w:sz w:val="20"/>
                <w:szCs w:val="20"/>
                <w:color w:val="auto"/>
              </w:rPr>
            </w:pPr>
            <w:r>
              <w:rPr>
                <w:rFonts w:ascii="Verdana" w:cs="Verdana" w:eastAsia="Verdana" w:hAnsi="Verdana"/>
                <w:sz w:val="14"/>
                <w:szCs w:val="14"/>
                <w:color w:val="auto"/>
                <w:w w:val="88"/>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58,552</w:t>
            </w:r>
          </w:p>
        </w:tc>
      </w:tr>
      <w:tr>
        <w:trPr>
          <w:trHeight w:val="20"/>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Income tax credits and other benefits, along with investment amortization, are presented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 xml:space="preserve">. Beginning in 2024, income tax credits and other tax benefits, net of investment amortization, were included as a component of Busey’s estimated annual effective tax rate used for the calculation of income taxes presented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800" w:type="dxa"/>
            <w:vAlign w:val="bottom"/>
          </w:tcPr>
          <w:p>
            <w:pPr>
              <w:spacing w:after="0"/>
              <w:rPr>
                <w:sz w:val="10"/>
                <w:szCs w:val="10"/>
                <w:color w:val="auto"/>
              </w:rPr>
            </w:pPr>
          </w:p>
        </w:tc>
        <w:tc>
          <w:tcPr>
            <w:tcW w:w="1480" w:type="dxa"/>
            <w:vAlign w:val="bottom"/>
            <w:gridSpan w:val="2"/>
          </w:tcPr>
          <w:p>
            <w:pPr>
              <w:ind w:left="20"/>
              <w:spacing w:after="0"/>
              <w:rPr>
                <w:sz w:val="20"/>
                <w:szCs w:val="20"/>
                <w:color w:val="auto"/>
              </w:rPr>
            </w:pPr>
            <w:r>
              <w:rPr>
                <w:rFonts w:ascii="Verdana" w:cs="Verdana" w:eastAsia="Verdana" w:hAnsi="Verdana"/>
                <w:sz w:val="10"/>
                <w:szCs w:val="10"/>
                <w:b w:val="1"/>
                <w:bCs w:val="1"/>
                <w:color w:val="auto"/>
                <w:w w:val="99"/>
              </w:rPr>
              <w:t>Year Ended December 31,</w:t>
            </w:r>
          </w:p>
        </w:tc>
      </w:tr>
      <w:tr>
        <w:trPr>
          <w:trHeight w:val="133"/>
        </w:trPr>
        <w:tc>
          <w:tcPr>
            <w:tcW w:w="980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2024</w:t>
            </w:r>
          </w:p>
        </w:tc>
      </w:tr>
      <w:tr>
        <w:trPr>
          <w:trHeight w:val="208"/>
        </w:trPr>
        <w:tc>
          <w:tcPr>
            <w:tcW w:w="98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Income tax credits and other tax benefits</w:t>
            </w:r>
          </w:p>
        </w:tc>
        <w:tc>
          <w:tcPr>
            <w:tcW w:w="36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20,734</w:t>
            </w:r>
          </w:p>
        </w:tc>
      </w:tr>
      <w:tr>
        <w:trPr>
          <w:trHeight w:val="201"/>
        </w:trPr>
        <w:tc>
          <w:tcPr>
            <w:tcW w:w="9800" w:type="dxa"/>
            <w:vAlign w:val="bottom"/>
          </w:tcPr>
          <w:p>
            <w:pPr>
              <w:ind w:left="20"/>
              <w:spacing w:after="0"/>
              <w:rPr>
                <w:sz w:val="20"/>
                <w:szCs w:val="20"/>
                <w:color w:val="auto"/>
              </w:rPr>
            </w:pPr>
            <w:r>
              <w:rPr>
                <w:rFonts w:ascii="Verdana" w:cs="Verdana" w:eastAsia="Verdana" w:hAnsi="Verdana"/>
                <w:sz w:val="14"/>
                <w:szCs w:val="14"/>
                <w:color w:val="auto"/>
              </w:rPr>
              <w:t>Amortization of investments in tax-advantaged projects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18,494</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15. EMPLOYEE BENEFIT PLANS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401(k) Plan</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provides retirement benefits under its 401(k) Plan. All Busey associates who meet certain age requirements are eligible to participate in the 401(k) Plan. There is no waiting period for participation in the 401(k) Plan. The 401(k) Plan is funded primarily through participant contributions via payroll deductions, with two contribution options: (1) the traditional option allows plan participants to elect pre-tax contributions, and (2) the Roth option allows plan participants to elect after-tax contributions. Plan participants may elect to make traditional and/or Roth 401(k) contributions, up to the annual deferral and catch-up limits established by the Internal Revenue Service.</w:t>
      </w:r>
    </w:p>
    <w:p>
      <w:pPr>
        <w:spacing w:after="0" w:line="132" w:lineRule="exact"/>
        <w:rPr>
          <w:sz w:val="20"/>
          <w:szCs w:val="20"/>
          <w:color w:val="auto"/>
        </w:rPr>
      </w:pPr>
    </w:p>
    <w:p>
      <w:pPr>
        <w:ind w:right="1080"/>
        <w:spacing w:after="0" w:line="426" w:lineRule="auto"/>
        <w:rPr>
          <w:sz w:val="20"/>
          <w:szCs w:val="20"/>
          <w:color w:val="auto"/>
        </w:rPr>
      </w:pPr>
      <w:r>
        <w:rPr>
          <w:rFonts w:ascii="Verdana" w:cs="Verdana" w:eastAsia="Verdana" w:hAnsi="Verdana"/>
          <w:sz w:val="14"/>
          <w:szCs w:val="14"/>
          <w:color w:val="auto"/>
        </w:rPr>
        <w:t xml:space="preserve">Busey supplements participant contributions by making safe harbor matching and discretionary profit-sharing contributions to the 401(k) Plan. </w:t>
      </w:r>
      <w:r>
        <w:rPr>
          <w:rFonts w:ascii="Verdana" w:cs="Verdana" w:eastAsia="Verdana" w:hAnsi="Verdana"/>
          <w:sz w:val="14"/>
          <w:szCs w:val="14"/>
          <w:u w:val="single" w:color="auto"/>
          <w:color w:val="auto"/>
        </w:rPr>
        <w:t>Safe Harbor Match</w:t>
      </w:r>
    </w:p>
    <w:p>
      <w:pPr>
        <w:spacing w:after="0" w:line="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makes safe harbor matching contributions to the 401(k) Plan equal to 100% of the first 3% of eligible participant compensation contributed to the plan and 50% of the next 2% of eligible participant compensation contributed to the plan. The rights of participants in safe harbor matching contributions vest immediately.</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8" w:name="page149"/>
    <w:bookmarkEnd w:id="14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Profit Sharing</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All associates who meet certain age and service requirements are eligible to participate in Busey's profit-sharing contributions. Discretionary profit-sharing contributions and related expenses, if any, are approved solely by the First Busey Corporation board of directors, and in no case may annual contributions be greater than the amounts deductible for federal income tax purposes for that year. The rights of participants in profit-sharing contributions vest ratably over a five-year period.</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401(k) Plan Expenses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Expenses related to Busey’s employee benefit plans, reported in salaries, wages, and employee benefits in the accompanying </w:t>
      </w:r>
      <w:r>
        <w:rPr>
          <w:rFonts w:ascii="Verdana" w:cs="Verdana" w:eastAsia="Verdana" w:hAnsi="Verdana"/>
          <w:sz w:val="14"/>
          <w:szCs w:val="14"/>
          <w:u w:val="single" w:color="auto"/>
          <w:color w:val="0000FF"/>
        </w:rPr>
        <w:t>Consolidated Statements of</w:t>
      </w:r>
    </w:p>
    <w:p>
      <w:pPr>
        <w:spacing w:after="0"/>
        <w:rPr>
          <w:sz w:val="20"/>
          <w:szCs w:val="20"/>
          <w:color w:val="auto"/>
        </w:rPr>
      </w:pPr>
      <w:r>
        <w:rPr>
          <w:rFonts w:ascii="Verdana" w:cs="Verdana" w:eastAsia="Verdana" w:hAnsi="Verdana"/>
          <w:sz w:val="14"/>
          <w:szCs w:val="14"/>
          <w:u w:val="single" w:color="auto"/>
          <w:color w:val="0000FF"/>
        </w:rPr>
        <w:t>Income</w:t>
      </w:r>
      <w:r>
        <w:rPr>
          <w:rFonts w:ascii="Verdana" w:cs="Verdana" w:eastAsia="Verdana" w:hAnsi="Verdana"/>
          <w:sz w:val="14"/>
          <w:szCs w:val="14"/>
          <w:color w:val="000000"/>
        </w:rPr>
        <w:t>, are summarized in the table below</w:t>
      </w:r>
      <w:r>
        <w:rPr>
          <w:rFonts w:ascii="Verdana" w:cs="Verdana" w:eastAsia="Verdana" w:hAnsi="Verdana"/>
          <w:sz w:val="14"/>
          <w:szCs w:val="14"/>
          <w:color w:val="0000FF"/>
        </w:rPr>
        <w:t xml:space="preserve"> </w:t>
      </w:r>
      <w:r>
        <w:rPr>
          <w:rFonts w:ascii="Verdana" w:cs="Verdana" w:eastAsia="Verdana" w:hAnsi="Verdana"/>
          <w:sz w:val="14"/>
          <w:szCs w:val="14"/>
          <w:i w:val="1"/>
          <w:iCs w:val="1"/>
          <w:color w:val="000000"/>
        </w:rPr>
        <w:t>(dollars in thousands)</w:t>
      </w:r>
      <w:r>
        <w:rPr>
          <w:rFonts w:ascii="Verdana" w:cs="Verdana" w:eastAsia="Verdana" w:hAnsi="Verdana"/>
          <w:sz w:val="14"/>
          <w:szCs w:val="14"/>
          <w:color w:val="000000"/>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10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401(k) Plan expenses</w:t>
            </w:r>
          </w:p>
        </w:tc>
        <w:tc>
          <w:tcPr>
            <w:tcW w:w="102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Safe harbor match expenses</w:t>
            </w:r>
          </w:p>
        </w:tc>
        <w:tc>
          <w:tcPr>
            <w:tcW w:w="1020" w:type="dxa"/>
            <w:vAlign w:val="bottom"/>
          </w:tcPr>
          <w:p>
            <w:pPr>
              <w:jc w:val="right"/>
              <w:ind w:right="856"/>
              <w:spacing w:after="0"/>
              <w:rPr>
                <w:sz w:val="20"/>
                <w:szCs w:val="20"/>
                <w:color w:val="auto"/>
              </w:rPr>
            </w:pPr>
            <w:r>
              <w:rPr>
                <w:rFonts w:ascii="Verdana" w:cs="Verdana" w:eastAsia="Verdana" w:hAnsi="Verdana"/>
                <w:sz w:val="14"/>
                <w:szCs w:val="14"/>
                <w:color w:val="auto"/>
                <w:w w:val="88"/>
              </w:rPr>
              <w:t>$</w:t>
            </w:r>
          </w:p>
        </w:tc>
        <w:tc>
          <w:tcPr>
            <w:tcW w:w="580" w:type="dxa"/>
            <w:vAlign w:val="bottom"/>
          </w:tcPr>
          <w:p>
            <w:pPr>
              <w:jc w:val="right"/>
              <w:ind w:right="9"/>
              <w:spacing w:after="0"/>
              <w:rPr>
                <w:sz w:val="20"/>
                <w:szCs w:val="20"/>
                <w:color w:val="auto"/>
              </w:rPr>
            </w:pPr>
            <w:r>
              <w:rPr>
                <w:rFonts w:ascii="Verdana" w:cs="Verdana" w:eastAsia="Verdana" w:hAnsi="Verdana"/>
                <w:sz w:val="14"/>
                <w:szCs w:val="14"/>
                <w:color w:val="auto"/>
              </w:rPr>
              <w:t>4,486</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3,745</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4,094</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Profit-sharing expenses</w:t>
            </w:r>
          </w:p>
        </w:tc>
        <w:tc>
          <w:tcPr>
            <w:tcW w:w="1020" w:type="dxa"/>
            <w:vAlign w:val="bottom"/>
            <w:tcBorders>
              <w:bottom w:val="single" w:sz="8" w:color="auto"/>
            </w:tcBorders>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3,370</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3,031</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2,960</w:t>
            </w: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Total 401(k) Plan expenses</w:t>
            </w:r>
          </w:p>
        </w:tc>
        <w:tc>
          <w:tcPr>
            <w:tcW w:w="1020" w:type="dxa"/>
            <w:vAlign w:val="bottom"/>
            <w:tcBorders>
              <w:bottom w:val="single" w:sz="8" w:color="auto"/>
            </w:tcBorders>
          </w:tcPr>
          <w:p>
            <w:pPr>
              <w:jc w:val="right"/>
              <w:ind w:right="856"/>
              <w:spacing w:after="0"/>
              <w:rPr>
                <w:sz w:val="20"/>
                <w:szCs w:val="20"/>
                <w:color w:val="auto"/>
              </w:rPr>
            </w:pPr>
            <w:r>
              <w:rPr>
                <w:rFonts w:ascii="Verdana" w:cs="Verdana" w:eastAsia="Verdana" w:hAnsi="Verdana"/>
                <w:sz w:val="14"/>
                <w:szCs w:val="14"/>
                <w:color w:val="auto"/>
                <w:w w:val="88"/>
              </w:rPr>
              <w:t>$</w:t>
            </w:r>
          </w:p>
        </w:tc>
        <w:tc>
          <w:tcPr>
            <w:tcW w:w="58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7,856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6,776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7,054</w:t>
            </w:r>
          </w:p>
        </w:tc>
      </w:tr>
      <w:tr>
        <w:trPr>
          <w:trHeight w:val="20"/>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16. STOCK-BASED COMPENSATION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Stock Options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Busey has outstanding stock options that were issued under the First Community 2016 Equity Incentive Plan and assumed from acquisitions. A summary of the status of, and changes in, Busey's stock option awards follows </w:t>
      </w:r>
      <w:r>
        <w:rPr>
          <w:rFonts w:ascii="Verdana" w:cs="Verdana" w:eastAsia="Verdana" w:hAnsi="Verdana"/>
          <w:sz w:val="14"/>
          <w:szCs w:val="14"/>
          <w:i w:val="1"/>
          <w:iCs w:val="1"/>
          <w:color w:val="auto"/>
        </w:rPr>
        <w:t>(dollars in thousands, except weighted-average exercise price)</w:t>
      </w:r>
      <w:r>
        <w:rPr>
          <w:rFonts w:ascii="Verdana" w:cs="Verdana" w:eastAsia="Verdana" w:hAnsi="Verdana"/>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center"/>
              <w:ind w:left="451"/>
              <w:spacing w:after="0"/>
              <w:rPr>
                <w:sz w:val="20"/>
                <w:szCs w:val="20"/>
                <w:color w:val="auto"/>
              </w:rPr>
            </w:pPr>
            <w:r>
              <w:rPr>
                <w:rFonts w:ascii="Verdana" w:cs="Verdana" w:eastAsia="Verdana" w:hAnsi="Verdana"/>
                <w:sz w:val="10"/>
                <w:szCs w:val="10"/>
                <w:b w:val="1"/>
                <w:bCs w:val="1"/>
                <w:color w:val="auto"/>
                <w:w w:val="95"/>
              </w:rPr>
              <w:t>Weighted-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3"/>
          </w:tcPr>
          <w:p>
            <w:pPr>
              <w:jc w:val="center"/>
              <w:ind w:right="420"/>
              <w:spacing w:after="0"/>
              <w:rPr>
                <w:sz w:val="20"/>
                <w:szCs w:val="20"/>
                <w:color w:val="auto"/>
              </w:rPr>
            </w:pPr>
            <w:r>
              <w:rPr>
                <w:rFonts w:ascii="Verdana" w:cs="Verdana" w:eastAsia="Verdana" w:hAnsi="Verdana"/>
                <w:sz w:val="10"/>
                <w:szCs w:val="10"/>
                <w:b w:val="1"/>
                <w:bCs w:val="1"/>
                <w:color w:val="auto"/>
                <w:w w:val="99"/>
              </w:rPr>
              <w:t>Weighted-</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3"/>
          </w:tcPr>
          <w:p>
            <w:pPr>
              <w:jc w:val="center"/>
              <w:ind w:right="420"/>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center"/>
              <w:ind w:left="451"/>
              <w:spacing w:after="0" w:line="96" w:lineRule="exact"/>
              <w:rPr>
                <w:sz w:val="20"/>
                <w:szCs w:val="20"/>
                <w:color w:val="auto"/>
              </w:rPr>
            </w:pPr>
            <w:r>
              <w:rPr>
                <w:rFonts w:ascii="Verdana" w:cs="Verdana" w:eastAsia="Verdana" w:hAnsi="Verdana"/>
                <w:sz w:val="10"/>
                <w:szCs w:val="10"/>
                <w:b w:val="1"/>
                <w:bCs w:val="1"/>
                <w:color w:val="auto"/>
                <w:w w:val="95"/>
              </w:rPr>
              <w:t>Average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3"/>
          </w:tcPr>
          <w:p>
            <w:pPr>
              <w:jc w:val="center"/>
              <w:ind w:right="420"/>
              <w:spacing w:after="0" w:line="96" w:lineRule="exact"/>
              <w:rPr>
                <w:sz w:val="20"/>
                <w:szCs w:val="20"/>
                <w:color w:val="auto"/>
              </w:rPr>
            </w:pPr>
            <w:r>
              <w:rPr>
                <w:rFonts w:ascii="Verdana" w:cs="Verdana" w:eastAsia="Verdana" w:hAnsi="Verdana"/>
                <w:sz w:val="10"/>
                <w:szCs w:val="10"/>
                <w:b w:val="1"/>
                <w:bCs w:val="1"/>
                <w:color w:val="auto"/>
                <w:w w:val="96"/>
              </w:rPr>
              <w:t>Remaining</w:t>
            </w:r>
          </w:p>
        </w:tc>
        <w:tc>
          <w:tcPr>
            <w:tcW w:w="1260" w:type="dxa"/>
            <w:vAlign w:val="bottom"/>
            <w:vMerge w:val="restart"/>
          </w:tcPr>
          <w:p>
            <w:pPr>
              <w:jc w:val="right"/>
              <w:ind w:right="498"/>
              <w:spacing w:after="0"/>
              <w:rPr>
                <w:sz w:val="20"/>
                <w:szCs w:val="20"/>
                <w:color w:val="auto"/>
              </w:rPr>
            </w:pPr>
            <w:r>
              <w:rPr>
                <w:rFonts w:ascii="Verdana" w:cs="Verdana" w:eastAsia="Verdana" w:hAnsi="Verdana"/>
                <w:sz w:val="10"/>
                <w:szCs w:val="10"/>
                <w:b w:val="1"/>
                <w:bCs w:val="1"/>
                <w:color w:val="auto"/>
              </w:rPr>
              <w:t>Intrinsic</w:t>
            </w:r>
          </w:p>
        </w:tc>
        <w:tc>
          <w:tcPr>
            <w:tcW w:w="0" w:type="dxa"/>
            <w:vAlign w:val="bottom"/>
          </w:tcPr>
          <w:p>
            <w:pPr>
              <w:spacing w:after="0"/>
              <w:rPr>
                <w:sz w:val="1"/>
                <w:szCs w:val="1"/>
                <w:color w:val="auto"/>
              </w:rPr>
            </w:pPr>
          </w:p>
        </w:tc>
      </w:tr>
      <w:tr>
        <w:trPr>
          <w:trHeight w:val="95"/>
        </w:trPr>
        <w:tc>
          <w:tcPr>
            <w:tcW w:w="4600" w:type="dxa"/>
            <w:vAlign w:val="bottom"/>
            <w:vMerge w:val="restart"/>
          </w:tcPr>
          <w:p>
            <w:pPr>
              <w:ind w:left="20"/>
              <w:spacing w:after="0"/>
              <w:rPr>
                <w:sz w:val="20"/>
                <w:szCs w:val="20"/>
                <w:color w:val="auto"/>
              </w:rPr>
            </w:pPr>
            <w:r>
              <w:rPr>
                <w:rFonts w:ascii="Verdana" w:cs="Verdana" w:eastAsia="Verdana" w:hAnsi="Verdana"/>
                <w:sz w:val="10"/>
                <w:szCs w:val="10"/>
                <w:b w:val="1"/>
                <w:bCs w:val="1"/>
                <w:color w:val="auto"/>
              </w:rPr>
              <w:t>Options</w:t>
            </w:r>
          </w:p>
        </w:tc>
        <w:tc>
          <w:tcPr>
            <w:tcW w:w="80" w:type="dxa"/>
            <w:vAlign w:val="bottom"/>
            <w:vMerge w:val="restart"/>
          </w:tcPr>
          <w:p>
            <w:pPr>
              <w:spacing w:after="0"/>
              <w:rPr>
                <w:sz w:val="8"/>
                <w:szCs w:val="8"/>
                <w:color w:val="auto"/>
              </w:rPr>
            </w:pPr>
          </w:p>
        </w:tc>
        <w:tc>
          <w:tcPr>
            <w:tcW w:w="1580" w:type="dxa"/>
            <w:vAlign w:val="bottom"/>
            <w:vMerge w:val="restart"/>
          </w:tcPr>
          <w:p>
            <w:pPr>
              <w:ind w:left="600"/>
              <w:spacing w:after="0"/>
              <w:rPr>
                <w:sz w:val="20"/>
                <w:szCs w:val="20"/>
                <w:color w:val="auto"/>
              </w:rPr>
            </w:pPr>
            <w:r>
              <w:rPr>
                <w:rFonts w:ascii="Verdana" w:cs="Verdana" w:eastAsia="Verdana" w:hAnsi="Verdana"/>
                <w:sz w:val="10"/>
                <w:szCs w:val="10"/>
                <w:b w:val="1"/>
                <w:bCs w:val="1"/>
                <w:color w:val="auto"/>
              </w:rPr>
              <w:t>Shares</w:t>
            </w:r>
          </w:p>
        </w:tc>
        <w:tc>
          <w:tcPr>
            <w:tcW w:w="80" w:type="dxa"/>
            <w:vAlign w:val="bottom"/>
          </w:tcPr>
          <w:p>
            <w:pPr>
              <w:spacing w:after="0"/>
              <w:rPr>
                <w:sz w:val="8"/>
                <w:szCs w:val="8"/>
                <w:color w:val="auto"/>
              </w:rPr>
            </w:pPr>
          </w:p>
        </w:tc>
        <w:tc>
          <w:tcPr>
            <w:tcW w:w="1100" w:type="dxa"/>
            <w:vAlign w:val="bottom"/>
          </w:tcPr>
          <w:p>
            <w:pPr>
              <w:jc w:val="center"/>
              <w:ind w:left="451"/>
              <w:spacing w:after="0" w:line="96" w:lineRule="exact"/>
              <w:rPr>
                <w:sz w:val="20"/>
                <w:szCs w:val="20"/>
                <w:color w:val="auto"/>
              </w:rPr>
            </w:pPr>
            <w:r>
              <w:rPr>
                <w:rFonts w:ascii="Verdana" w:cs="Verdana" w:eastAsia="Verdana" w:hAnsi="Verdana"/>
                <w:sz w:val="10"/>
                <w:szCs w:val="10"/>
                <w:b w:val="1"/>
                <w:bCs w:val="1"/>
                <w:color w:val="auto"/>
              </w:rPr>
              <w:t>Exercise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3"/>
          </w:tcPr>
          <w:p>
            <w:pPr>
              <w:jc w:val="center"/>
              <w:ind w:right="420"/>
              <w:spacing w:after="0" w:line="96" w:lineRule="exact"/>
              <w:rPr>
                <w:sz w:val="20"/>
                <w:szCs w:val="20"/>
                <w:color w:val="auto"/>
              </w:rPr>
            </w:pPr>
            <w:r>
              <w:rPr>
                <w:rFonts w:ascii="Verdana" w:cs="Verdana" w:eastAsia="Verdana" w:hAnsi="Verdana"/>
                <w:sz w:val="10"/>
                <w:szCs w:val="10"/>
                <w:b w:val="1"/>
                <w:bCs w:val="1"/>
                <w:color w:val="auto"/>
              </w:rPr>
              <w:t>Contractual</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100" w:type="dxa"/>
            <w:vAlign w:val="bottom"/>
            <w:tcBorders>
              <w:bottom w:val="single" w:sz="8" w:color="auto"/>
            </w:tcBorders>
          </w:tcPr>
          <w:p>
            <w:pPr>
              <w:jc w:val="center"/>
              <w:ind w:left="451"/>
              <w:spacing w:after="0"/>
              <w:rPr>
                <w:sz w:val="20"/>
                <w:szCs w:val="20"/>
                <w:color w:val="auto"/>
              </w:rPr>
            </w:pPr>
            <w:r>
              <w:rPr>
                <w:rFonts w:ascii="Verdana" w:cs="Verdana" w:eastAsia="Verdana" w:hAnsi="Verdana"/>
                <w:sz w:val="10"/>
                <w:szCs w:val="10"/>
                <w:b w:val="1"/>
                <w:bCs w:val="1"/>
                <w:color w:val="auto"/>
                <w:w w:val="98"/>
              </w:rPr>
              <w:t>Price</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58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Life</w:t>
            </w:r>
          </w:p>
        </w:tc>
        <w:tc>
          <w:tcPr>
            <w:tcW w:w="10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0"/>
                <w:szCs w:val="10"/>
                <w:b w:val="1"/>
                <w:bCs w:val="1"/>
                <w:color w:val="auto"/>
              </w:rPr>
              <w:t>Value</w:t>
            </w:r>
          </w:p>
        </w:tc>
        <w:tc>
          <w:tcPr>
            <w:tcW w:w="0" w:type="dxa"/>
            <w:vAlign w:val="bottom"/>
          </w:tcPr>
          <w:p>
            <w:pPr>
              <w:spacing w:after="0"/>
              <w:rPr>
                <w:sz w:val="1"/>
                <w:szCs w:val="1"/>
                <w:color w:val="auto"/>
              </w:rPr>
            </w:pPr>
          </w:p>
        </w:tc>
      </w:tr>
      <w:tr>
        <w:trPr>
          <w:trHeight w:val="203"/>
        </w:trPr>
        <w:tc>
          <w:tcPr>
            <w:tcW w:w="4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Outstanding at December 31, 2023</w:t>
            </w:r>
          </w:p>
        </w:tc>
        <w:tc>
          <w:tcPr>
            <w:tcW w:w="1580" w:type="dxa"/>
            <w:vAlign w:val="bottom"/>
            <w:shd w:val="clear" w:color="auto" w:fill="E0E7ED"/>
          </w:tcPr>
          <w:p>
            <w:pPr>
              <w:ind w:left="1020"/>
              <w:spacing w:after="0"/>
              <w:rPr>
                <w:sz w:val="20"/>
                <w:szCs w:val="20"/>
                <w:color w:val="auto"/>
              </w:rPr>
            </w:pPr>
            <w:r>
              <w:rPr>
                <w:rFonts w:ascii="Verdana" w:cs="Verdana" w:eastAsia="Verdana" w:hAnsi="Verdana"/>
                <w:sz w:val="14"/>
                <w:szCs w:val="14"/>
                <w:color w:val="auto"/>
              </w:rPr>
              <w:t>21,266</w:t>
            </w:r>
          </w:p>
        </w:tc>
        <w:tc>
          <w:tcPr>
            <w:tcW w:w="1180" w:type="dxa"/>
            <w:vAlign w:val="bottom"/>
            <w:gridSpan w:val="2"/>
            <w:shd w:val="clear" w:color="auto" w:fill="E0E7ED"/>
          </w:tcPr>
          <w:p>
            <w:pPr>
              <w:jc w:val="right"/>
              <w:ind w:right="931"/>
              <w:spacing w:after="0"/>
              <w:rPr>
                <w:sz w:val="20"/>
                <w:szCs w:val="20"/>
                <w:color w:val="auto"/>
              </w:rPr>
            </w:pPr>
            <w:r>
              <w:rPr>
                <w:rFonts w:ascii="Verdana" w:cs="Verdana" w:eastAsia="Verdana" w:hAnsi="Verdana"/>
                <w:sz w:val="14"/>
                <w:szCs w:val="14"/>
                <w:color w:val="auto"/>
              </w:rPr>
              <w:t>$</w:t>
            </w:r>
          </w:p>
        </w:tc>
        <w:tc>
          <w:tcPr>
            <w:tcW w:w="50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w w:val="97"/>
              </w:rPr>
              <w:t>23.53</w:t>
            </w:r>
          </w:p>
        </w:tc>
        <w:tc>
          <w:tcPr>
            <w:tcW w:w="80" w:type="dxa"/>
            <w:vAlign w:val="bottom"/>
            <w:shd w:val="clear" w:color="auto" w:fill="E0E7ED"/>
          </w:tcPr>
          <w:p>
            <w:pPr>
              <w:spacing w:after="0"/>
              <w:rPr>
                <w:sz w:val="17"/>
                <w:szCs w:val="17"/>
                <w:color w:val="auto"/>
              </w:rPr>
            </w:pPr>
          </w:p>
        </w:tc>
        <w:tc>
          <w:tcPr>
            <w:tcW w:w="2000" w:type="dxa"/>
            <w:vAlign w:val="bottom"/>
            <w:gridSpan w:val="3"/>
            <w:shd w:val="clear" w:color="auto" w:fill="E0E7ED"/>
          </w:tcPr>
          <w:p>
            <w:pPr>
              <w:ind w:left="820"/>
              <w:spacing w:after="0"/>
              <w:rPr>
                <w:sz w:val="20"/>
                <w:szCs w:val="20"/>
                <w:color w:val="auto"/>
              </w:rPr>
            </w:pPr>
            <w:r>
              <w:rPr>
                <w:rFonts w:ascii="Verdana" w:cs="Verdana" w:eastAsia="Verdana" w:hAnsi="Verdana"/>
                <w:sz w:val="14"/>
                <w:szCs w:val="14"/>
                <w:color w:val="auto"/>
              </w:rPr>
              <w:t>2.88 years  $</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w:t>
            </w:r>
          </w:p>
        </w:tc>
        <w:tc>
          <w:tcPr>
            <w:tcW w:w="0" w:type="dxa"/>
            <w:vAlign w:val="bottom"/>
          </w:tcPr>
          <w:p>
            <w:pPr>
              <w:spacing w:after="0"/>
              <w:rPr>
                <w:sz w:val="1"/>
                <w:szCs w:val="1"/>
                <w:color w:val="auto"/>
              </w:rPr>
            </w:pPr>
          </w:p>
        </w:tc>
      </w:tr>
      <w:tr>
        <w:trPr>
          <w:trHeight w:val="207"/>
        </w:trPr>
        <w:tc>
          <w:tcPr>
            <w:tcW w:w="4680" w:type="dxa"/>
            <w:vAlign w:val="bottom"/>
            <w:gridSpan w:val="2"/>
          </w:tcPr>
          <w:p>
            <w:pPr>
              <w:ind w:left="140"/>
              <w:spacing w:after="0"/>
              <w:rPr>
                <w:sz w:val="20"/>
                <w:szCs w:val="20"/>
                <w:color w:val="auto"/>
              </w:rPr>
            </w:pPr>
            <w:r>
              <w:rPr>
                <w:rFonts w:ascii="Verdana" w:cs="Verdana" w:eastAsia="Verdana" w:hAnsi="Verdana"/>
                <w:sz w:val="14"/>
                <w:szCs w:val="14"/>
                <w:color w:val="auto"/>
              </w:rPr>
              <w:t>Exercised</w:t>
            </w:r>
          </w:p>
        </w:tc>
        <w:tc>
          <w:tcPr>
            <w:tcW w:w="1580" w:type="dxa"/>
            <w:vAlign w:val="bottom"/>
          </w:tcPr>
          <w:p>
            <w:pPr>
              <w:ind w:left="1020"/>
              <w:spacing w:after="0"/>
              <w:rPr>
                <w:sz w:val="20"/>
                <w:szCs w:val="20"/>
                <w:color w:val="auto"/>
              </w:rPr>
            </w:pPr>
            <w:r>
              <w:rPr>
                <w:rFonts w:ascii="Verdana" w:cs="Verdana" w:eastAsia="Verdana" w:hAnsi="Verdana"/>
                <w:sz w:val="14"/>
                <w:szCs w:val="14"/>
                <w:color w:val="auto"/>
              </w:rPr>
              <w:t>(2,640)</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Verdana" w:cs="Verdana" w:eastAsia="Verdana" w:hAnsi="Verdana"/>
                <w:sz w:val="14"/>
                <w:szCs w:val="14"/>
                <w:color w:val="auto"/>
                <w:w w:val="97"/>
              </w:rPr>
              <w:t>23.53</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Forfeited</w:t>
            </w:r>
          </w:p>
        </w:tc>
        <w:tc>
          <w:tcPr>
            <w:tcW w:w="1580" w:type="dxa"/>
            <w:vAlign w:val="bottom"/>
            <w:tcBorders>
              <w:bottom w:val="single" w:sz="8" w:color="auto"/>
            </w:tcBorders>
            <w:shd w:val="clear" w:color="auto" w:fill="E0E7ED"/>
          </w:tcPr>
          <w:p>
            <w:pPr>
              <w:ind w:left="1020"/>
              <w:spacing w:after="0"/>
              <w:rPr>
                <w:sz w:val="20"/>
                <w:szCs w:val="20"/>
                <w:color w:val="auto"/>
              </w:rPr>
            </w:pPr>
            <w:r>
              <w:rPr>
                <w:rFonts w:ascii="Verdana" w:cs="Verdana" w:eastAsia="Verdana" w:hAnsi="Verdana"/>
                <w:sz w:val="14"/>
                <w:szCs w:val="14"/>
                <w:color w:val="auto"/>
              </w:rPr>
              <w:t>(3,520)</w:t>
            </w:r>
          </w:p>
        </w:tc>
        <w:tc>
          <w:tcPr>
            <w:tcW w:w="8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50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w w:val="97"/>
              </w:rPr>
              <w:t>23.53</w:t>
            </w:r>
          </w:p>
        </w:tc>
        <w:tc>
          <w:tcPr>
            <w:tcW w:w="80" w:type="dxa"/>
            <w:vAlign w:val="bottom"/>
            <w:shd w:val="clear" w:color="auto" w:fill="E0E7ED"/>
          </w:tcPr>
          <w:p>
            <w:pPr>
              <w:spacing w:after="0"/>
              <w:rPr>
                <w:sz w:val="18"/>
                <w:szCs w:val="18"/>
                <w:color w:val="auto"/>
              </w:rPr>
            </w:pPr>
          </w:p>
        </w:tc>
        <w:tc>
          <w:tcPr>
            <w:tcW w:w="15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gridSpan w:val="2"/>
          </w:tcPr>
          <w:p>
            <w:pPr>
              <w:ind w:left="20"/>
              <w:spacing w:after="0"/>
              <w:rPr>
                <w:sz w:val="20"/>
                <w:szCs w:val="20"/>
                <w:color w:val="auto"/>
              </w:rPr>
            </w:pPr>
            <w:r>
              <w:rPr>
                <w:rFonts w:ascii="Verdana" w:cs="Verdana" w:eastAsia="Verdana" w:hAnsi="Verdana"/>
                <w:sz w:val="14"/>
                <w:szCs w:val="14"/>
                <w:color w:val="auto"/>
              </w:rPr>
              <w:t>Outstanding at December 31, 2024</w:t>
            </w:r>
          </w:p>
        </w:tc>
        <w:tc>
          <w:tcPr>
            <w:tcW w:w="1580" w:type="dxa"/>
            <w:vAlign w:val="bottom"/>
            <w:tcBorders>
              <w:bottom w:val="single" w:sz="8" w:color="auto"/>
            </w:tcBorders>
          </w:tcPr>
          <w:p>
            <w:pPr>
              <w:ind w:left="1020"/>
              <w:spacing w:after="0"/>
              <w:rPr>
                <w:sz w:val="20"/>
                <w:szCs w:val="20"/>
                <w:color w:val="auto"/>
              </w:rPr>
            </w:pPr>
            <w:r>
              <w:rPr>
                <w:rFonts w:ascii="Verdana" w:cs="Verdana" w:eastAsia="Verdana" w:hAnsi="Verdana"/>
                <w:sz w:val="14"/>
                <w:szCs w:val="14"/>
                <w:color w:val="auto"/>
              </w:rPr>
              <w:t>15,106</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Verdana" w:cs="Verdana" w:eastAsia="Verdana" w:hAnsi="Verdana"/>
                <w:sz w:val="14"/>
                <w:szCs w:val="14"/>
                <w:color w:val="auto"/>
                <w:w w:val="97"/>
              </w:rPr>
              <w:t>23.53</w:t>
            </w:r>
          </w:p>
        </w:tc>
        <w:tc>
          <w:tcPr>
            <w:tcW w:w="80" w:type="dxa"/>
            <w:vAlign w:val="bottom"/>
          </w:tcPr>
          <w:p>
            <w:pPr>
              <w:spacing w:after="0"/>
              <w:rPr>
                <w:sz w:val="18"/>
                <w:szCs w:val="18"/>
                <w:color w:val="auto"/>
              </w:rPr>
            </w:pPr>
          </w:p>
        </w:tc>
        <w:tc>
          <w:tcPr>
            <w:tcW w:w="2000" w:type="dxa"/>
            <w:vAlign w:val="bottom"/>
            <w:gridSpan w:val="3"/>
          </w:tcPr>
          <w:p>
            <w:pPr>
              <w:ind w:left="820"/>
              <w:spacing w:after="0"/>
              <w:rPr>
                <w:sz w:val="20"/>
                <w:szCs w:val="20"/>
                <w:color w:val="auto"/>
              </w:rPr>
            </w:pPr>
            <w:r>
              <w:rPr>
                <w:rFonts w:ascii="Verdana" w:cs="Verdana" w:eastAsia="Verdana" w:hAnsi="Verdana"/>
                <w:sz w:val="14"/>
                <w:szCs w:val="14"/>
                <w:color w:val="auto"/>
              </w:rPr>
              <w:t>1.87 years</w:t>
            </w:r>
          </w:p>
        </w:tc>
        <w:tc>
          <w:tcPr>
            <w:tcW w:w="1260" w:type="dxa"/>
            <w:vAlign w:val="bottom"/>
          </w:tcPr>
          <w:p>
            <w:pPr>
              <w:jc w:val="right"/>
              <w:spacing w:after="0"/>
              <w:rPr>
                <w:sz w:val="20"/>
                <w:szCs w:val="20"/>
                <w:color w:val="auto"/>
              </w:rPr>
            </w:pPr>
            <w:r>
              <w:rPr>
                <w:rFonts w:ascii="Verdana" w:cs="Verdana" w:eastAsia="Verdana" w:hAnsi="Verdana"/>
                <w:sz w:val="14"/>
                <w:szCs w:val="14"/>
                <w:color w:val="auto"/>
              </w:rPr>
              <w:t>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100" w:type="dxa"/>
            <w:vAlign w:val="bottom"/>
            <w:tcBorders>
              <w:bottom w:val="single" w:sz="8" w:color="E0E7ED"/>
            </w:tcBorders>
          </w:tcPr>
          <w:p>
            <w:pPr>
              <w:spacing w:after="0" w:line="20" w:lineRule="exact"/>
              <w:rPr>
                <w:sz w:val="1"/>
                <w:szCs w:val="1"/>
                <w:color w:val="auto"/>
              </w:rPr>
            </w:pPr>
          </w:p>
        </w:tc>
        <w:tc>
          <w:tcPr>
            <w:tcW w:w="50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2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00" w:type="dxa"/>
            <w:vAlign w:val="bottom"/>
            <w:shd w:val="clear" w:color="auto" w:fill="E0E7ED"/>
          </w:tcPr>
          <w:p>
            <w:pPr>
              <w:spacing w:after="0"/>
              <w:rPr>
                <w:sz w:val="15"/>
                <w:szCs w:val="15"/>
                <w:color w:val="auto"/>
              </w:rPr>
            </w:pPr>
          </w:p>
        </w:tc>
        <w:tc>
          <w:tcPr>
            <w:tcW w:w="5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gridSpan w:val="2"/>
          </w:tcPr>
          <w:p>
            <w:pPr>
              <w:ind w:left="20"/>
              <w:spacing w:after="0"/>
              <w:rPr>
                <w:sz w:val="20"/>
                <w:szCs w:val="20"/>
                <w:color w:val="auto"/>
              </w:rPr>
            </w:pPr>
            <w:r>
              <w:rPr>
                <w:rFonts w:ascii="Verdana" w:cs="Verdana" w:eastAsia="Verdana" w:hAnsi="Verdana"/>
                <w:sz w:val="14"/>
                <w:szCs w:val="14"/>
                <w:color w:val="auto"/>
              </w:rPr>
              <w:t>Exercisable at December 31, 2024</w:t>
            </w:r>
          </w:p>
        </w:tc>
        <w:tc>
          <w:tcPr>
            <w:tcW w:w="1580" w:type="dxa"/>
            <w:vAlign w:val="bottom"/>
          </w:tcPr>
          <w:p>
            <w:pPr>
              <w:ind w:left="1020"/>
              <w:spacing w:after="0"/>
              <w:rPr>
                <w:sz w:val="20"/>
                <w:szCs w:val="20"/>
                <w:color w:val="auto"/>
              </w:rPr>
            </w:pPr>
            <w:r>
              <w:rPr>
                <w:rFonts w:ascii="Verdana" w:cs="Verdana" w:eastAsia="Verdana" w:hAnsi="Verdana"/>
                <w:sz w:val="14"/>
                <w:szCs w:val="14"/>
                <w:color w:val="auto"/>
              </w:rPr>
              <w:t>15,106</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Verdana" w:cs="Verdana" w:eastAsia="Verdana" w:hAnsi="Verdana"/>
                <w:sz w:val="14"/>
                <w:szCs w:val="14"/>
                <w:color w:val="auto"/>
                <w:w w:val="97"/>
              </w:rPr>
              <w:t>23.53</w:t>
            </w:r>
          </w:p>
        </w:tc>
        <w:tc>
          <w:tcPr>
            <w:tcW w:w="80" w:type="dxa"/>
            <w:vAlign w:val="bottom"/>
          </w:tcPr>
          <w:p>
            <w:pPr>
              <w:spacing w:after="0"/>
              <w:rPr>
                <w:sz w:val="17"/>
                <w:szCs w:val="17"/>
                <w:color w:val="auto"/>
              </w:rPr>
            </w:pPr>
          </w:p>
        </w:tc>
        <w:tc>
          <w:tcPr>
            <w:tcW w:w="2000" w:type="dxa"/>
            <w:vAlign w:val="bottom"/>
            <w:gridSpan w:val="3"/>
          </w:tcPr>
          <w:p>
            <w:pPr>
              <w:ind w:left="820"/>
              <w:spacing w:after="0"/>
              <w:rPr>
                <w:sz w:val="20"/>
                <w:szCs w:val="20"/>
                <w:color w:val="auto"/>
              </w:rPr>
            </w:pPr>
            <w:r>
              <w:rPr>
                <w:rFonts w:ascii="Verdana" w:cs="Verdana" w:eastAsia="Verdana" w:hAnsi="Verdana"/>
                <w:sz w:val="14"/>
                <w:szCs w:val="14"/>
                <w:color w:val="auto"/>
              </w:rPr>
              <w:t>1.87 years</w:t>
            </w:r>
          </w:p>
        </w:tc>
        <w:tc>
          <w:tcPr>
            <w:tcW w:w="1260" w:type="dxa"/>
            <w:vAlign w:val="bottom"/>
          </w:tcPr>
          <w:p>
            <w:pPr>
              <w:jc w:val="right"/>
              <w:spacing w:after="0"/>
              <w:rPr>
                <w:sz w:val="20"/>
                <w:szCs w:val="20"/>
                <w:color w:val="auto"/>
              </w:rPr>
            </w:pPr>
            <w:r>
              <w:rPr>
                <w:rFonts w:ascii="Verdana" w:cs="Verdana" w:eastAsia="Verdana" w:hAnsi="Verdana"/>
                <w:sz w:val="14"/>
                <w:szCs w:val="14"/>
                <w:color w:val="auto"/>
              </w:rPr>
              <w:t>1</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2020 Equity Plan</w:t>
      </w:r>
    </w:p>
    <w:p>
      <w:pPr>
        <w:spacing w:after="0" w:line="138" w:lineRule="exact"/>
        <w:rPr>
          <w:sz w:val="20"/>
          <w:szCs w:val="20"/>
          <w:color w:val="auto"/>
        </w:rPr>
      </w:pPr>
    </w:p>
    <w:p>
      <w:pPr>
        <w:jc w:val="both"/>
        <w:spacing w:after="0" w:line="243" w:lineRule="auto"/>
        <w:rPr>
          <w:rFonts w:ascii="Verdana" w:cs="Verdana" w:eastAsia="Verdana" w:hAnsi="Verdana"/>
          <w:sz w:val="14"/>
          <w:szCs w:val="14"/>
          <w:color w:val="0000FF"/>
        </w:rPr>
      </w:pPr>
      <w:r>
        <w:rPr>
          <w:rFonts w:ascii="Verdana" w:cs="Verdana" w:eastAsia="Verdana" w:hAnsi="Verdana"/>
          <w:sz w:val="14"/>
          <w:szCs w:val="14"/>
          <w:color w:val="auto"/>
        </w:rPr>
        <w:t xml:space="preserve">The 2020 Equity Plan was originally approved by stockholders at the 2020 Annual Meeting of Stockholders. A description of the 2020 Equity Plan, as originally approved, can be found in </w:t>
      </w:r>
      <w:hyperlink r:id="rId128">
        <w:r>
          <w:rPr>
            <w:rFonts w:ascii="Verdana" w:cs="Verdana" w:eastAsia="Verdana" w:hAnsi="Verdana"/>
            <w:sz w:val="14"/>
            <w:szCs w:val="14"/>
            <w:u w:val="single" w:color="auto"/>
            <w:color w:val="0000FF"/>
          </w:rPr>
          <w:t>Appendix A</w:t>
        </w:r>
        <w:r>
          <w:rPr>
            <w:rFonts w:ascii="Verdana" w:cs="Verdana" w:eastAsia="Verdana" w:hAnsi="Verdana"/>
            <w:sz w:val="14"/>
            <w:szCs w:val="14"/>
            <w:u w:val="single" w:color="auto"/>
            <w:color w:val="auto"/>
          </w:rPr>
          <w:t xml:space="preserve"> </w:t>
        </w:r>
      </w:hyperlink>
      <w:r>
        <w:rPr>
          <w:rFonts w:ascii="Verdana" w:cs="Verdana" w:eastAsia="Verdana" w:hAnsi="Verdana"/>
          <w:sz w:val="14"/>
          <w:szCs w:val="14"/>
          <w:color w:val="auto"/>
        </w:rPr>
        <w:t xml:space="preserve">within </w:t>
      </w:r>
      <w:hyperlink r:id="rId129">
        <w:r>
          <w:rPr>
            <w:rFonts w:ascii="Verdana" w:cs="Verdana" w:eastAsia="Verdana" w:hAnsi="Verdana"/>
            <w:sz w:val="14"/>
            <w:szCs w:val="14"/>
            <w:u w:val="single" w:color="auto"/>
            <w:color w:val="0000FF"/>
          </w:rPr>
          <w:t>Busey’s Proxy Statement for the 2020 Annual Meeting of Stockholders filed on April 9, 2020</w:t>
        </w:r>
      </w:hyperlink>
      <w:r>
        <w:rPr>
          <w:rFonts w:ascii="Verdana" w:cs="Verdana" w:eastAsia="Verdana" w:hAnsi="Verdana"/>
          <w:sz w:val="14"/>
          <w:szCs w:val="14"/>
          <w:color w:val="auto"/>
        </w:rPr>
        <w:t xml:space="preserve">. An amendment and restatement of the 2020 Equity Plan was approved by stockholders at the 2023 Annual Meeting of Stockholders. Terms of the amended and restated 2020 Equity Plan are substantially identical to those of the originally approved 2020 Equity Plan, other than a 1,350,000 increase in the number of </w:t>
      </w:r>
      <w:hyperlink r:id="rId131">
        <w:r>
          <w:rPr>
            <w:rFonts w:ascii="Verdana" w:cs="Verdana" w:eastAsia="Verdana" w:hAnsi="Verdana"/>
            <w:sz w:val="14"/>
            <w:szCs w:val="14"/>
            <w:color w:val="auto"/>
          </w:rPr>
          <w:t xml:space="preserve">shares authorized for issuance under the plan. More information can be found in </w:t>
        </w:r>
        <w:r>
          <w:rPr>
            <w:rFonts w:ascii="Verdana" w:cs="Verdana" w:eastAsia="Verdana" w:hAnsi="Verdana"/>
            <w:sz w:val="14"/>
            <w:szCs w:val="14"/>
            <w:u w:val="single" w:color="auto"/>
            <w:color w:val="0000FF"/>
          </w:rPr>
          <w:t>Appendix A</w:t>
        </w:r>
        <w:r>
          <w:rPr>
            <w:rFonts w:ascii="Verdana" w:cs="Verdana" w:eastAsia="Verdana" w:hAnsi="Verdana"/>
            <w:sz w:val="14"/>
            <w:szCs w:val="14"/>
            <w:color w:val="auto"/>
          </w:rPr>
          <w:t xml:space="preserve"> within </w:t>
        </w:r>
        <w:r>
          <w:rPr>
            <w:rFonts w:ascii="Verdana" w:cs="Verdana" w:eastAsia="Verdana" w:hAnsi="Verdana"/>
            <w:sz w:val="14"/>
            <w:szCs w:val="14"/>
            <w:u w:val="single" w:color="auto"/>
            <w:color w:val="0000FF"/>
          </w:rPr>
          <w:t>Busey’s Proxy Statement for the 2023 Annual Meeting of</w:t>
        </w:r>
      </w:hyperlink>
      <w:r>
        <w:rPr>
          <w:rFonts w:ascii="Verdana" w:cs="Verdana" w:eastAsia="Verdana" w:hAnsi="Verdana"/>
          <w:sz w:val="14"/>
          <w:szCs w:val="14"/>
          <w:color w:val="auto"/>
        </w:rPr>
        <w:t xml:space="preserve"> </w:t>
      </w:r>
      <w:hyperlink r:id="rId131">
        <w:r>
          <w:rPr>
            <w:rFonts w:ascii="Verdana" w:cs="Verdana" w:eastAsia="Verdana" w:hAnsi="Verdana"/>
            <w:sz w:val="14"/>
            <w:szCs w:val="14"/>
            <w:u w:val="single" w:color="auto"/>
            <w:color w:val="0000FF"/>
          </w:rPr>
          <w:t>Stockholders filed on April 14, 2023</w:t>
        </w:r>
        <w:r>
          <w:rPr>
            <w:rFonts w:ascii="Verdana" w:cs="Verdana" w:eastAsia="Verdana" w:hAnsi="Verdana"/>
            <w:sz w:val="14"/>
            <w:szCs w:val="14"/>
            <w:color w:val="000000"/>
          </w:rPr>
          <w:t>.</w:t>
        </w:r>
      </w:hyperlink>
    </w:p>
    <w:p>
      <w:pPr>
        <w:spacing w:after="0" w:line="200" w:lineRule="exact"/>
        <w:rPr>
          <w:rFonts w:ascii="Verdana" w:cs="Verdana" w:eastAsia="Verdana" w:hAnsi="Verdana"/>
          <w:sz w:val="14"/>
          <w:szCs w:val="14"/>
          <w:color w:val="auto"/>
        </w:rPr>
      </w:pPr>
    </w:p>
    <w:p>
      <w:pPr>
        <w:spacing w:after="0" w:line="252" w:lineRule="exact"/>
        <w:rPr>
          <w:rFonts w:ascii="Verdana" w:cs="Verdana" w:eastAsia="Verdana" w:hAnsi="Verdana"/>
          <w:sz w:val="14"/>
          <w:szCs w:val="14"/>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149</w:t>
      </w:r>
    </w:p>
    <w:p>
      <w:pPr>
        <w:spacing w:after="0" w:line="20" w:lineRule="exact"/>
        <w:rPr>
          <w:rFonts w:ascii="Verdana" w:cs="Verdana" w:eastAsia="Verdana" w:hAnsi="Verdana"/>
          <w:sz w:val="14"/>
          <w:szCs w:val="14"/>
          <w:color w:val="auto"/>
        </w:rPr>
      </w:pPr>
      <w:r>
        <w:rPr>
          <w:rFonts w:ascii="Verdana" w:cs="Verdana" w:eastAsia="Verdana" w:hAnsi="Verdana"/>
          <w:sz w:val="14"/>
          <w:szCs w:val="14"/>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49" w:name="page150"/>
    <w:bookmarkEnd w:id="14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Busey has granted RSU, PSU, and DSU awards under the terms of the 2020 Equity Plan. Upon vesting and delivery, shares are expected, though not required, to be issued from treasury stock.</w:t>
      </w:r>
    </w:p>
    <w:p>
      <w:pPr>
        <w:spacing w:after="0" w:line="11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 description of RSU, PSU, and DSU awards granted in 2024 under the terms of the 2020 Equity Plan is provided below. A description of RSU, PSU, and DSU awards granted in 2023 and 2022 under the terms of the 2020 Equity Plan can be found in Busey’s Annual Reports for the years ended December 31, 2023, and 2022, respectively.</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issued 163,387 treasury shares in conjunction with the settlement of RSUs, PSUs, and DSUs in 2024. The difference between the number of shares issued and the number of vested units is due to shares issued under a net share settlement option. There were 1,326,314 shares available for issuance under the 2020 Equity Plan as of December 31, 2024.</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RSU Awards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29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On March 20, 2024, under the terms of the 2020 Equity Plan, Busey granted 189,179 RSUs to members of management. The grant date fair value of the award was $4.4 million, which will be recognized as compensation expense over the requisite service period ranging from one year to five years. The terms of these awards included an accelerated vesting provision upon eligible retirement from Busey, after a one-year minimum requisite service period. Subsequent to the requisite service period, the awards will become 100% vested.</w:t>
      </w:r>
    </w:p>
    <w:p>
      <w:pPr>
        <w:spacing w:after="0" w:line="13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On May 22, 2024, under the terms of the 2020 Equity Plan, Busey granted 12,864 RSUs to members of management. The grant date fair value of the award was $0.3 million, which will be recognized as compensation expense over the requisite service period of three years. The terms of these awards included an accelerated vesting provision upon eligible retirement from Busey, after a one-year minimum requisite service period. Subsequent to the requisite service period, the awards will become 100% vested.</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color w:val="auto"/>
        </w:rPr>
        <w:t>A summary of changes in Busey’s RSU awards for the year ended December 31, 2024,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8"/>
              <w:spacing w:after="0"/>
              <w:rPr>
                <w:sz w:val="20"/>
                <w:szCs w:val="20"/>
                <w:color w:val="auto"/>
              </w:rPr>
            </w:pPr>
            <w:r>
              <w:rPr>
                <w:rFonts w:ascii="Verdana" w:cs="Verdana" w:eastAsia="Verdana" w:hAnsi="Verdana"/>
                <w:sz w:val="10"/>
                <w:szCs w:val="10"/>
                <w:b w:val="1"/>
                <w:bCs w:val="1"/>
                <w:color w:val="auto"/>
                <w:w w:val="99"/>
              </w:rPr>
              <w:t>Weighted-</w:t>
            </w:r>
          </w:p>
        </w:tc>
        <w:tc>
          <w:tcPr>
            <w:tcW w:w="0" w:type="dxa"/>
            <w:vAlign w:val="bottom"/>
          </w:tcPr>
          <w:p>
            <w:pPr>
              <w:spacing w:after="0"/>
              <w:rPr>
                <w:sz w:val="1"/>
                <w:szCs w:val="1"/>
                <w:color w:val="auto"/>
              </w:rPr>
            </w:pPr>
          </w:p>
        </w:tc>
      </w:tr>
      <w:tr>
        <w:trPr>
          <w:trHeight w:val="95"/>
        </w:trPr>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38"/>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0" w:type="dxa"/>
            <w:vAlign w:val="bottom"/>
          </w:tcPr>
          <w:p>
            <w:pPr>
              <w:spacing w:after="0"/>
              <w:rPr>
                <w:sz w:val="1"/>
                <w:szCs w:val="1"/>
                <w:color w:val="auto"/>
              </w:rPr>
            </w:pPr>
          </w:p>
        </w:tc>
      </w:tr>
      <w:tr>
        <w:trPr>
          <w:trHeight w:val="95"/>
        </w:trPr>
        <w:tc>
          <w:tcPr>
            <w:tcW w:w="7940" w:type="dxa"/>
            <w:vAlign w:val="bottom"/>
            <w:vMerge w:val="restart"/>
          </w:tcPr>
          <w:p>
            <w:pPr>
              <w:ind w:left="20"/>
              <w:spacing w:after="0"/>
              <w:rPr>
                <w:sz w:val="20"/>
                <w:szCs w:val="20"/>
                <w:color w:val="auto"/>
              </w:rPr>
            </w:pPr>
            <w:r>
              <w:rPr>
                <w:rFonts w:ascii="Verdana" w:cs="Verdana" w:eastAsia="Verdana" w:hAnsi="Verdana"/>
                <w:sz w:val="10"/>
                <w:szCs w:val="10"/>
                <w:b w:val="1"/>
                <w:bCs w:val="1"/>
                <w:color w:val="auto"/>
              </w:rPr>
              <w:t>RSU Awards</w:t>
            </w:r>
          </w:p>
        </w:tc>
        <w:tc>
          <w:tcPr>
            <w:tcW w:w="80" w:type="dxa"/>
            <w:vAlign w:val="bottom"/>
            <w:vMerge w:val="restart"/>
          </w:tcPr>
          <w:p>
            <w:pPr>
              <w:spacing w:after="0"/>
              <w:rPr>
                <w:sz w:val="8"/>
                <w:szCs w:val="8"/>
                <w:color w:val="auto"/>
              </w:rPr>
            </w:pPr>
          </w:p>
        </w:tc>
        <w:tc>
          <w:tcPr>
            <w:tcW w:w="1580" w:type="dxa"/>
            <w:vAlign w:val="bottom"/>
            <w:vMerge w:val="restart"/>
          </w:tcPr>
          <w:p>
            <w:pPr>
              <w:jc w:val="right"/>
              <w:ind w:right="532"/>
              <w:spacing w:after="0"/>
              <w:rPr>
                <w:sz w:val="20"/>
                <w:szCs w:val="20"/>
                <w:color w:val="auto"/>
              </w:rPr>
            </w:pPr>
            <w:r>
              <w:rPr>
                <w:rFonts w:ascii="Verdana" w:cs="Verdana" w:eastAsia="Verdana" w:hAnsi="Verdana"/>
                <w:sz w:val="10"/>
                <w:szCs w:val="10"/>
                <w:b w:val="1"/>
                <w:bCs w:val="1"/>
                <w:color w:val="auto"/>
              </w:rPr>
              <w:t>Shares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58"/>
              <w:spacing w:after="0" w:line="96" w:lineRule="exact"/>
              <w:rPr>
                <w:sz w:val="20"/>
                <w:szCs w:val="20"/>
                <w:color w:val="auto"/>
              </w:rPr>
            </w:pPr>
            <w:r>
              <w:rPr>
                <w:rFonts w:ascii="Verdana" w:cs="Verdana" w:eastAsia="Verdana" w:hAnsi="Verdana"/>
                <w:sz w:val="10"/>
                <w:szCs w:val="10"/>
                <w:b w:val="1"/>
                <w:bCs w:val="1"/>
                <w:color w:val="auto"/>
                <w:w w:val="98"/>
              </w:rPr>
              <w:t>Grant Date</w:t>
            </w:r>
          </w:p>
        </w:tc>
        <w:tc>
          <w:tcPr>
            <w:tcW w:w="0" w:type="dxa"/>
            <w:vAlign w:val="bottom"/>
          </w:tcPr>
          <w:p>
            <w:pPr>
              <w:spacing w:after="0"/>
              <w:rPr>
                <w:sz w:val="1"/>
                <w:szCs w:val="1"/>
                <w:color w:val="auto"/>
              </w:rPr>
            </w:pPr>
          </w:p>
        </w:tc>
      </w:tr>
      <w:tr>
        <w:trPr>
          <w:trHeight w:val="127"/>
        </w:trPr>
        <w:tc>
          <w:tcPr>
            <w:tcW w:w="7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258"/>
              <w:spacing w:after="0"/>
              <w:rPr>
                <w:sz w:val="20"/>
                <w:szCs w:val="20"/>
                <w:color w:val="auto"/>
              </w:rPr>
            </w:pPr>
            <w:r>
              <w:rPr>
                <w:rFonts w:ascii="Verdana" w:cs="Verdana" w:eastAsia="Verdana" w:hAnsi="Verdana"/>
                <w:sz w:val="10"/>
                <w:szCs w:val="10"/>
                <w:b w:val="1"/>
                <w:bCs w:val="1"/>
                <w:color w:val="auto"/>
                <w:w w:val="98"/>
              </w:rPr>
              <w:t>Fair Value</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Nonvested at December 31, 2023</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1,041,444</w:t>
            </w:r>
          </w:p>
        </w:tc>
        <w:tc>
          <w:tcPr>
            <w:tcW w:w="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22.05</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Granted</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202,043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23.35</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Dividend equivalents earned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42,986</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24.74</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Vested</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(187,446)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25.38</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Forfeited</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(32,255)</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22.48</w:t>
            </w:r>
          </w:p>
        </w:tc>
        <w:tc>
          <w:tcPr>
            <w:tcW w:w="0" w:type="dxa"/>
            <w:vAlign w:val="bottom"/>
          </w:tcPr>
          <w:p>
            <w:pPr>
              <w:spacing w:after="0"/>
              <w:rPr>
                <w:sz w:val="1"/>
                <w:szCs w:val="1"/>
                <w:color w:val="auto"/>
              </w:rPr>
            </w:pPr>
          </w:p>
        </w:tc>
      </w:tr>
      <w:tr>
        <w:trPr>
          <w:trHeight w:val="208"/>
        </w:trPr>
        <w:tc>
          <w:tcPr>
            <w:tcW w:w="8020" w:type="dxa"/>
            <w:vAlign w:val="bottom"/>
            <w:gridSpan w:val="2"/>
          </w:tcPr>
          <w:p>
            <w:pPr>
              <w:ind w:left="20"/>
              <w:spacing w:after="0"/>
              <w:rPr>
                <w:sz w:val="20"/>
                <w:szCs w:val="20"/>
                <w:color w:val="auto"/>
              </w:rPr>
            </w:pPr>
            <w:r>
              <w:rPr>
                <w:rFonts w:ascii="Verdana" w:cs="Verdana" w:eastAsia="Verdana" w:hAnsi="Verdana"/>
                <w:sz w:val="14"/>
                <w:szCs w:val="14"/>
                <w:color w:val="auto"/>
              </w:rPr>
              <w:t>Nonvested at December 31, 2024</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1,066,772</w:t>
            </w:r>
          </w:p>
        </w:tc>
        <w:tc>
          <w:tcPr>
            <w:tcW w:w="400" w:type="dxa"/>
            <w:vAlign w:val="bottom"/>
            <w:gridSpan w:val="2"/>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21.80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0" w:name="page151"/>
    <w:bookmarkEnd w:id="15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PSU Awards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Busey grants PSU awards to members of management periodically throughout the year. PSU awards are stock-based awards for which vesting is conditional upon meeting established performance criteria for the applicable performance period and remaining employed through the end of such performance period. Each PSU is equivalent to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23"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 relative total stockholder return performance goal. The grant date fair value of the award, calculated using the Geometric Brownian Motion Model, was $2.0 million, which will be recognized in compensation expense over the performance period ending December 31, 2026.</w:t>
      </w:r>
    </w:p>
    <w:p>
      <w:pPr>
        <w:spacing w:after="0" w:line="13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an adjusted return on average tangible common equity performance goal. The grant date fair value of the award was $2.2 million, which will be recognized in compensation expense over the performance period ending December 31, 2026. The actual amount of compensation expense recognized is subject to adjustment based on the extent to which performance goals are expected to be achieved.</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color w:val="auto"/>
        </w:rPr>
        <w:t>A summary of changes in Busey’s PSU awards for the year ended December 31, 2024,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7"/>
              <w:spacing w:after="0"/>
              <w:rPr>
                <w:sz w:val="20"/>
                <w:szCs w:val="20"/>
                <w:color w:val="auto"/>
              </w:rPr>
            </w:pPr>
            <w:r>
              <w:rPr>
                <w:rFonts w:ascii="Verdana" w:cs="Verdana" w:eastAsia="Verdana" w:hAnsi="Verdana"/>
                <w:sz w:val="10"/>
                <w:szCs w:val="10"/>
                <w:b w:val="1"/>
                <w:bCs w:val="1"/>
                <w:color w:val="auto"/>
                <w:w w:val="99"/>
              </w:rPr>
              <w:t>Weighted-</w:t>
            </w:r>
          </w:p>
        </w:tc>
        <w:tc>
          <w:tcPr>
            <w:tcW w:w="0" w:type="dxa"/>
            <w:vAlign w:val="bottom"/>
          </w:tcPr>
          <w:p>
            <w:pPr>
              <w:spacing w:after="0"/>
              <w:rPr>
                <w:sz w:val="1"/>
                <w:szCs w:val="1"/>
                <w:color w:val="auto"/>
              </w:rPr>
            </w:pPr>
          </w:p>
        </w:tc>
      </w:tr>
      <w:tr>
        <w:trPr>
          <w:trHeight w:val="95"/>
        </w:trPr>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37"/>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0" w:type="dxa"/>
            <w:vAlign w:val="bottom"/>
          </w:tcPr>
          <w:p>
            <w:pPr>
              <w:spacing w:after="0"/>
              <w:rPr>
                <w:sz w:val="1"/>
                <w:szCs w:val="1"/>
                <w:color w:val="auto"/>
              </w:rPr>
            </w:pPr>
          </w:p>
        </w:tc>
      </w:tr>
      <w:tr>
        <w:trPr>
          <w:trHeight w:val="95"/>
        </w:trPr>
        <w:tc>
          <w:tcPr>
            <w:tcW w:w="7940" w:type="dxa"/>
            <w:vAlign w:val="bottom"/>
            <w:vMerge w:val="restart"/>
          </w:tcPr>
          <w:p>
            <w:pPr>
              <w:ind w:left="20"/>
              <w:spacing w:after="0"/>
              <w:rPr>
                <w:sz w:val="20"/>
                <w:szCs w:val="20"/>
                <w:color w:val="auto"/>
              </w:rPr>
            </w:pPr>
            <w:r>
              <w:rPr>
                <w:rFonts w:ascii="Verdana" w:cs="Verdana" w:eastAsia="Verdana" w:hAnsi="Verdana"/>
                <w:sz w:val="10"/>
                <w:szCs w:val="10"/>
                <w:b w:val="1"/>
                <w:bCs w:val="1"/>
                <w:color w:val="auto"/>
              </w:rPr>
              <w:t>PSU Awards</w:t>
            </w:r>
          </w:p>
        </w:tc>
        <w:tc>
          <w:tcPr>
            <w:tcW w:w="80" w:type="dxa"/>
            <w:vAlign w:val="bottom"/>
            <w:vMerge w:val="restart"/>
          </w:tcPr>
          <w:p>
            <w:pPr>
              <w:spacing w:after="0"/>
              <w:rPr>
                <w:sz w:val="8"/>
                <w:szCs w:val="8"/>
                <w:color w:val="auto"/>
              </w:rPr>
            </w:pPr>
          </w:p>
        </w:tc>
        <w:tc>
          <w:tcPr>
            <w:tcW w:w="1580" w:type="dxa"/>
            <w:vAlign w:val="bottom"/>
            <w:vMerge w:val="restart"/>
          </w:tcPr>
          <w:p>
            <w:pPr>
              <w:jc w:val="right"/>
              <w:ind w:right="512"/>
              <w:spacing w:after="0"/>
              <w:rPr>
                <w:sz w:val="20"/>
                <w:szCs w:val="20"/>
                <w:color w:val="auto"/>
              </w:rPr>
            </w:pPr>
            <w:r>
              <w:rPr>
                <w:rFonts w:ascii="Verdana" w:cs="Verdana" w:eastAsia="Verdana" w:hAnsi="Verdana"/>
                <w:sz w:val="10"/>
                <w:szCs w:val="10"/>
                <w:b w:val="1"/>
                <w:bCs w:val="1"/>
                <w:color w:val="auto"/>
              </w:rPr>
              <w:t>Shares</w:t>
            </w:r>
            <w:r>
              <w:rPr>
                <w:rFonts w:ascii="Verdana" w:cs="Verdana" w:eastAsia="Verdana" w:hAnsi="Verdana"/>
                <w:sz w:val="12"/>
                <w:szCs w:val="12"/>
                <w:b w:val="1"/>
                <w:bCs w:val="1"/>
                <w:color w:val="auto"/>
                <w:vertAlign w:val="superscript"/>
              </w:rPr>
              <w:t>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57"/>
              <w:spacing w:after="0" w:line="96" w:lineRule="exact"/>
              <w:rPr>
                <w:sz w:val="20"/>
                <w:szCs w:val="20"/>
                <w:color w:val="auto"/>
              </w:rPr>
            </w:pPr>
            <w:r>
              <w:rPr>
                <w:rFonts w:ascii="Verdana" w:cs="Verdana" w:eastAsia="Verdana" w:hAnsi="Verdana"/>
                <w:sz w:val="10"/>
                <w:szCs w:val="10"/>
                <w:b w:val="1"/>
                <w:bCs w:val="1"/>
                <w:color w:val="auto"/>
                <w:w w:val="98"/>
              </w:rPr>
              <w:t>Grant Date</w:t>
            </w:r>
          </w:p>
        </w:tc>
        <w:tc>
          <w:tcPr>
            <w:tcW w:w="0" w:type="dxa"/>
            <w:vAlign w:val="bottom"/>
          </w:tcPr>
          <w:p>
            <w:pPr>
              <w:spacing w:after="0"/>
              <w:rPr>
                <w:sz w:val="1"/>
                <w:szCs w:val="1"/>
                <w:color w:val="auto"/>
              </w:rPr>
            </w:pPr>
          </w:p>
        </w:tc>
      </w:tr>
      <w:tr>
        <w:trPr>
          <w:trHeight w:val="127"/>
        </w:trPr>
        <w:tc>
          <w:tcPr>
            <w:tcW w:w="7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257"/>
              <w:spacing w:after="0"/>
              <w:rPr>
                <w:sz w:val="20"/>
                <w:szCs w:val="20"/>
                <w:color w:val="auto"/>
              </w:rPr>
            </w:pPr>
            <w:r>
              <w:rPr>
                <w:rFonts w:ascii="Verdana" w:cs="Verdana" w:eastAsia="Verdana" w:hAnsi="Verdana"/>
                <w:sz w:val="10"/>
                <w:szCs w:val="10"/>
                <w:b w:val="1"/>
                <w:bCs w:val="1"/>
                <w:color w:val="auto"/>
                <w:w w:val="98"/>
              </w:rPr>
              <w:t>Fair Value</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Nonvested at December 31, 2023</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341,700</w:t>
            </w:r>
          </w:p>
        </w:tc>
        <w:tc>
          <w:tcPr>
            <w:tcW w:w="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22.67</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Granted</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189,208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22.32</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Dividend equivalents earned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4,264</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22.95</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Vested</w:t>
            </w:r>
            <w:r>
              <w:rPr>
                <w:rFonts w:ascii="Verdana" w:cs="Verdana" w:eastAsia="Verdana" w:hAnsi="Verdana"/>
                <w:sz w:val="9"/>
                <w:szCs w:val="9"/>
                <w:color w:val="auto"/>
              </w:rPr>
              <w:t>2</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(147,397)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26.07</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Forfeited</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(15,733)</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22.47</w:t>
            </w:r>
          </w:p>
        </w:tc>
        <w:tc>
          <w:tcPr>
            <w:tcW w:w="0" w:type="dxa"/>
            <w:vAlign w:val="bottom"/>
          </w:tcPr>
          <w:p>
            <w:pPr>
              <w:spacing w:after="0"/>
              <w:rPr>
                <w:sz w:val="1"/>
                <w:szCs w:val="1"/>
                <w:color w:val="auto"/>
              </w:rPr>
            </w:pPr>
          </w:p>
        </w:tc>
      </w:tr>
      <w:tr>
        <w:trPr>
          <w:trHeight w:val="208"/>
        </w:trPr>
        <w:tc>
          <w:tcPr>
            <w:tcW w:w="8020" w:type="dxa"/>
            <w:vAlign w:val="bottom"/>
            <w:gridSpan w:val="2"/>
          </w:tcPr>
          <w:p>
            <w:pPr>
              <w:ind w:left="20"/>
              <w:spacing w:after="0"/>
              <w:rPr>
                <w:sz w:val="20"/>
                <w:szCs w:val="20"/>
                <w:color w:val="auto"/>
              </w:rPr>
            </w:pPr>
            <w:r>
              <w:rPr>
                <w:rFonts w:ascii="Verdana" w:cs="Verdana" w:eastAsia="Verdana" w:hAnsi="Verdana"/>
                <w:sz w:val="14"/>
                <w:szCs w:val="14"/>
                <w:color w:val="auto"/>
              </w:rPr>
              <w:t>Nonvested at December 31, 2024</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372,042</w:t>
            </w:r>
          </w:p>
        </w:tc>
        <w:tc>
          <w:tcPr>
            <w:tcW w:w="400" w:type="dxa"/>
            <w:vAlign w:val="bottom"/>
            <w:gridSpan w:val="2"/>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21.15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8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gridSpan w:val="2"/>
          </w:tcPr>
          <w:p>
            <w:pPr>
              <w:ind w:left="20"/>
              <w:spacing w:after="0"/>
              <w:rPr>
                <w:sz w:val="20"/>
                <w:szCs w:val="20"/>
                <w:color w:val="auto"/>
              </w:rPr>
            </w:pPr>
            <w:r>
              <w:rPr>
                <w:rFonts w:ascii="Verdana" w:cs="Verdana" w:eastAsia="Verdana" w:hAnsi="Verdana"/>
                <w:sz w:val="14"/>
                <w:szCs w:val="14"/>
                <w:color w:val="auto"/>
              </w:rPr>
              <w:t>Vested and outstanding at December 31, 2024</w:t>
            </w:r>
            <w:r>
              <w:rPr>
                <w:rFonts w:ascii="Verdana" w:cs="Verdana" w:eastAsia="Verdana" w:hAnsi="Verdana"/>
                <w:sz w:val="9"/>
                <w:szCs w:val="9"/>
                <w:color w:val="auto"/>
              </w:rPr>
              <w:t>2</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143,133</w:t>
            </w:r>
          </w:p>
        </w:tc>
        <w:tc>
          <w:tcPr>
            <w:tcW w:w="400" w:type="dxa"/>
            <w:vAlign w:val="bottom"/>
            <w:gridSpan w:val="2"/>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26.17</w:t>
            </w:r>
          </w:p>
        </w:tc>
        <w:tc>
          <w:tcPr>
            <w:tcW w:w="0" w:type="dxa"/>
            <w:vAlign w:val="bottom"/>
          </w:tcPr>
          <w:p>
            <w:pPr>
              <w:spacing w:after="0"/>
              <w:rPr>
                <w:sz w:val="1"/>
                <w:szCs w:val="1"/>
                <w:color w:val="auto"/>
              </w:rPr>
            </w:pPr>
          </w:p>
        </w:tc>
      </w:tr>
      <w:tr>
        <w:trPr>
          <w:trHeight w:val="198"/>
        </w:trPr>
        <w:tc>
          <w:tcPr>
            <w:tcW w:w="7940" w:type="dxa"/>
            <w:vAlign w:val="bottom"/>
          </w:tcPr>
          <w:p>
            <w:pPr>
              <w:spacing w:after="0"/>
              <w:rPr>
                <w:sz w:val="20"/>
                <w:szCs w:val="20"/>
                <w:color w:val="auto"/>
              </w:rPr>
            </w:pPr>
            <w:r>
              <w:rPr>
                <w:rFonts w:ascii="Verdana" w:cs="Verdana" w:eastAsia="Verdana" w:hAnsi="Verdana"/>
                <w:sz w:val="10"/>
                <w:szCs w:val="10"/>
                <w:color w:val="auto"/>
              </w:rPr>
              <w:t>___________________________________________</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hanging="248"/>
        <w:spacing w:after="0" w:line="230" w:lineRule="auto"/>
        <w:tabs>
          <w:tab w:leader="none" w:pos="380" w:val="left"/>
        </w:tabs>
        <w:numPr>
          <w:ilvl w:val="0"/>
          <w:numId w:val="42"/>
        </w:numPr>
        <w:rPr>
          <w:rFonts w:ascii="Verdana" w:cs="Verdana" w:eastAsia="Verdana" w:hAnsi="Verdana"/>
          <w:sz w:val="10"/>
          <w:szCs w:val="10"/>
          <w:color w:val="auto"/>
        </w:rPr>
      </w:pPr>
      <w:r>
        <w:rPr>
          <w:rFonts w:ascii="Verdana" w:cs="Verdana" w:eastAsia="Verdana" w:hAnsi="Verdana"/>
          <w:sz w:val="10"/>
          <w:szCs w:val="10"/>
          <w:color w:val="auto"/>
        </w:rPr>
        <w:t>Shares for PSU awards represent target shares at grant date.</w:t>
      </w:r>
    </w:p>
    <w:p>
      <w:pPr>
        <w:ind w:left="380" w:hanging="248"/>
        <w:spacing w:after="0" w:line="263" w:lineRule="auto"/>
        <w:tabs>
          <w:tab w:leader="none" w:pos="373" w:val="left"/>
        </w:tabs>
        <w:numPr>
          <w:ilvl w:val="0"/>
          <w:numId w:val="42"/>
        </w:numPr>
        <w:rPr>
          <w:rFonts w:ascii="Verdana" w:cs="Verdana" w:eastAsia="Verdana" w:hAnsi="Verdana"/>
          <w:sz w:val="10"/>
          <w:szCs w:val="10"/>
          <w:color w:val="auto"/>
        </w:rPr>
      </w:pPr>
      <w:r>
        <w:rPr>
          <w:rFonts w:ascii="Verdana" w:cs="Verdana" w:eastAsia="Verdana" w:hAnsi="Verdana"/>
          <w:sz w:val="10"/>
          <w:szCs w:val="10"/>
          <w:color w:val="auto"/>
        </w:rPr>
        <w:t>PSUs granted in 2022 vested on December 31, 2024. Shares represent target amounts. Performance determinations were calculated and approved by Busey’s Compensation Committee on January 31, 2025, and settlement activity will take place in the first quarter of 2025.</w:t>
      </w:r>
    </w:p>
    <w:p>
      <w:pPr>
        <w:spacing w:after="0" w:line="115"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DSU Awards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grants DSU awards to its non-employee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1" w:name="page152"/>
    <w:bookmarkEnd w:id="15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On March 20, 2024, under the terms of the 2020 Equity Plan, Busey granted 35,847 DSUs to non-employee directors. The grant date fair value of the award totaled $0.8 million and will be recognized as compensation expense over the requisite service period of one year. Subsequent to the requisite service period, the awards will become 100% vested.</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color w:val="auto"/>
        </w:rPr>
        <w:t>A summary of changes in Busey’s DSU awards for the year ended December 31, 2024,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7"/>
              <w:spacing w:after="0"/>
              <w:rPr>
                <w:sz w:val="20"/>
                <w:szCs w:val="20"/>
                <w:color w:val="auto"/>
              </w:rPr>
            </w:pPr>
            <w:r>
              <w:rPr>
                <w:rFonts w:ascii="Verdana" w:cs="Verdana" w:eastAsia="Verdana" w:hAnsi="Verdana"/>
                <w:sz w:val="10"/>
                <w:szCs w:val="10"/>
                <w:b w:val="1"/>
                <w:bCs w:val="1"/>
                <w:color w:val="auto"/>
                <w:w w:val="99"/>
              </w:rPr>
              <w:t>Weighted-</w:t>
            </w:r>
          </w:p>
        </w:tc>
        <w:tc>
          <w:tcPr>
            <w:tcW w:w="0" w:type="dxa"/>
            <w:vAlign w:val="bottom"/>
          </w:tcPr>
          <w:p>
            <w:pPr>
              <w:spacing w:after="0"/>
              <w:rPr>
                <w:sz w:val="1"/>
                <w:szCs w:val="1"/>
                <w:color w:val="auto"/>
              </w:rPr>
            </w:pPr>
          </w:p>
        </w:tc>
      </w:tr>
      <w:tr>
        <w:trPr>
          <w:trHeight w:val="95"/>
        </w:trPr>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37"/>
              <w:spacing w:after="0" w:line="96" w:lineRule="exact"/>
              <w:rPr>
                <w:sz w:val="20"/>
                <w:szCs w:val="20"/>
                <w:color w:val="auto"/>
              </w:rPr>
            </w:pPr>
            <w:r>
              <w:rPr>
                <w:rFonts w:ascii="Verdana" w:cs="Verdana" w:eastAsia="Verdana" w:hAnsi="Verdana"/>
                <w:sz w:val="10"/>
                <w:szCs w:val="10"/>
                <w:b w:val="1"/>
                <w:bCs w:val="1"/>
                <w:color w:val="auto"/>
                <w:w w:val="99"/>
              </w:rPr>
              <w:t>Average</w:t>
            </w:r>
          </w:p>
        </w:tc>
        <w:tc>
          <w:tcPr>
            <w:tcW w:w="0" w:type="dxa"/>
            <w:vAlign w:val="bottom"/>
          </w:tcPr>
          <w:p>
            <w:pPr>
              <w:spacing w:after="0"/>
              <w:rPr>
                <w:sz w:val="1"/>
                <w:szCs w:val="1"/>
                <w:color w:val="auto"/>
              </w:rPr>
            </w:pPr>
          </w:p>
        </w:tc>
      </w:tr>
      <w:tr>
        <w:trPr>
          <w:trHeight w:val="95"/>
        </w:trPr>
        <w:tc>
          <w:tcPr>
            <w:tcW w:w="7940" w:type="dxa"/>
            <w:vAlign w:val="bottom"/>
            <w:vMerge w:val="restart"/>
          </w:tcPr>
          <w:p>
            <w:pPr>
              <w:ind w:left="20"/>
              <w:spacing w:after="0"/>
              <w:rPr>
                <w:sz w:val="20"/>
                <w:szCs w:val="20"/>
                <w:color w:val="auto"/>
              </w:rPr>
            </w:pPr>
            <w:r>
              <w:rPr>
                <w:rFonts w:ascii="Verdana" w:cs="Verdana" w:eastAsia="Verdana" w:hAnsi="Verdana"/>
                <w:sz w:val="10"/>
                <w:szCs w:val="10"/>
                <w:b w:val="1"/>
                <w:bCs w:val="1"/>
                <w:color w:val="auto"/>
              </w:rPr>
              <w:t>DSU Awards</w:t>
            </w:r>
          </w:p>
        </w:tc>
        <w:tc>
          <w:tcPr>
            <w:tcW w:w="80" w:type="dxa"/>
            <w:vAlign w:val="bottom"/>
            <w:vMerge w:val="restart"/>
          </w:tcPr>
          <w:p>
            <w:pPr>
              <w:spacing w:after="0"/>
              <w:rPr>
                <w:sz w:val="8"/>
                <w:szCs w:val="8"/>
                <w:color w:val="auto"/>
              </w:rPr>
            </w:pPr>
          </w:p>
        </w:tc>
        <w:tc>
          <w:tcPr>
            <w:tcW w:w="1580" w:type="dxa"/>
            <w:vAlign w:val="bottom"/>
            <w:vMerge w:val="restart"/>
          </w:tcPr>
          <w:p>
            <w:pPr>
              <w:jc w:val="right"/>
              <w:ind w:right="532"/>
              <w:spacing w:after="0"/>
              <w:rPr>
                <w:sz w:val="20"/>
                <w:szCs w:val="20"/>
                <w:color w:val="auto"/>
              </w:rPr>
            </w:pPr>
            <w:r>
              <w:rPr>
                <w:rFonts w:ascii="Verdana" w:cs="Verdana" w:eastAsia="Verdana" w:hAnsi="Verdana"/>
                <w:sz w:val="10"/>
                <w:szCs w:val="10"/>
                <w:b w:val="1"/>
                <w:bCs w:val="1"/>
                <w:color w:val="auto"/>
              </w:rPr>
              <w:t>Shares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57"/>
              <w:spacing w:after="0" w:line="96" w:lineRule="exact"/>
              <w:rPr>
                <w:sz w:val="20"/>
                <w:szCs w:val="20"/>
                <w:color w:val="auto"/>
              </w:rPr>
            </w:pPr>
            <w:r>
              <w:rPr>
                <w:rFonts w:ascii="Verdana" w:cs="Verdana" w:eastAsia="Verdana" w:hAnsi="Verdana"/>
                <w:sz w:val="10"/>
                <w:szCs w:val="10"/>
                <w:b w:val="1"/>
                <w:bCs w:val="1"/>
                <w:color w:val="auto"/>
                <w:w w:val="98"/>
              </w:rPr>
              <w:t>Grant Date</w:t>
            </w:r>
          </w:p>
        </w:tc>
        <w:tc>
          <w:tcPr>
            <w:tcW w:w="0" w:type="dxa"/>
            <w:vAlign w:val="bottom"/>
          </w:tcPr>
          <w:p>
            <w:pPr>
              <w:spacing w:after="0"/>
              <w:rPr>
                <w:sz w:val="1"/>
                <w:szCs w:val="1"/>
                <w:color w:val="auto"/>
              </w:rPr>
            </w:pPr>
          </w:p>
        </w:tc>
      </w:tr>
      <w:tr>
        <w:trPr>
          <w:trHeight w:val="127"/>
        </w:trPr>
        <w:tc>
          <w:tcPr>
            <w:tcW w:w="7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257"/>
              <w:spacing w:after="0"/>
              <w:rPr>
                <w:sz w:val="20"/>
                <w:szCs w:val="20"/>
                <w:color w:val="auto"/>
              </w:rPr>
            </w:pPr>
            <w:r>
              <w:rPr>
                <w:rFonts w:ascii="Verdana" w:cs="Verdana" w:eastAsia="Verdana" w:hAnsi="Verdana"/>
                <w:sz w:val="10"/>
                <w:szCs w:val="10"/>
                <w:b w:val="1"/>
                <w:bCs w:val="1"/>
                <w:color w:val="auto"/>
                <w:w w:val="98"/>
              </w:rPr>
              <w:t>Fair Value</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Nonvested at December 31, 2023</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43,026</w:t>
            </w:r>
          </w:p>
        </w:tc>
        <w:tc>
          <w:tcPr>
            <w:tcW w:w="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20.41</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Granted</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35,847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23.35</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Dividend equivalents earned</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8,213</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24.79</w:t>
            </w:r>
          </w:p>
        </w:tc>
        <w:tc>
          <w:tcPr>
            <w:tcW w:w="0" w:type="dxa"/>
            <w:vAlign w:val="bottom"/>
          </w:tcPr>
          <w:p>
            <w:pPr>
              <w:spacing w:after="0"/>
              <w:rPr>
                <w:sz w:val="1"/>
                <w:szCs w:val="1"/>
                <w:color w:val="auto"/>
              </w:rPr>
            </w:pPr>
          </w:p>
        </w:tc>
      </w:tr>
      <w:tr>
        <w:trPr>
          <w:trHeight w:val="207"/>
        </w:trPr>
        <w:tc>
          <w:tcPr>
            <w:tcW w:w="8020" w:type="dxa"/>
            <w:vAlign w:val="bottom"/>
            <w:gridSpan w:val="2"/>
          </w:tcPr>
          <w:p>
            <w:pPr>
              <w:ind w:left="140"/>
              <w:spacing w:after="0"/>
              <w:rPr>
                <w:sz w:val="20"/>
                <w:szCs w:val="20"/>
                <w:color w:val="auto"/>
              </w:rPr>
            </w:pPr>
            <w:r>
              <w:rPr>
                <w:rFonts w:ascii="Verdana" w:cs="Verdana" w:eastAsia="Verdana" w:hAnsi="Verdana"/>
                <w:sz w:val="14"/>
                <w:szCs w:val="14"/>
                <w:color w:val="auto"/>
              </w:rPr>
              <w:t>Vested</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(49,168)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21.04</w:t>
            </w:r>
          </w:p>
        </w:tc>
        <w:tc>
          <w:tcPr>
            <w:tcW w:w="0" w:type="dxa"/>
            <w:vAlign w:val="bottom"/>
          </w:tcPr>
          <w:p>
            <w:pPr>
              <w:spacing w:after="0"/>
              <w:rPr>
                <w:sz w:val="1"/>
                <w:szCs w:val="1"/>
                <w:color w:val="auto"/>
              </w:rPr>
            </w:pPr>
          </w:p>
        </w:tc>
      </w:tr>
      <w:tr>
        <w:trPr>
          <w:trHeight w:val="212"/>
        </w:trPr>
        <w:tc>
          <w:tcPr>
            <w:tcW w:w="802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Forfeited</w:t>
            </w:r>
          </w:p>
        </w:tc>
        <w:tc>
          <w:tcPr>
            <w:tcW w:w="15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(1,025)</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20.44</w:t>
            </w:r>
          </w:p>
        </w:tc>
        <w:tc>
          <w:tcPr>
            <w:tcW w:w="0" w:type="dxa"/>
            <w:vAlign w:val="bottom"/>
          </w:tcPr>
          <w:p>
            <w:pPr>
              <w:spacing w:after="0"/>
              <w:rPr>
                <w:sz w:val="1"/>
                <w:szCs w:val="1"/>
                <w:color w:val="auto"/>
              </w:rPr>
            </w:pPr>
          </w:p>
        </w:tc>
      </w:tr>
      <w:tr>
        <w:trPr>
          <w:trHeight w:val="208"/>
        </w:trPr>
        <w:tc>
          <w:tcPr>
            <w:tcW w:w="8020" w:type="dxa"/>
            <w:vAlign w:val="bottom"/>
            <w:gridSpan w:val="2"/>
          </w:tcPr>
          <w:p>
            <w:pPr>
              <w:ind w:left="20"/>
              <w:spacing w:after="0"/>
              <w:rPr>
                <w:sz w:val="20"/>
                <w:szCs w:val="20"/>
                <w:color w:val="auto"/>
              </w:rPr>
            </w:pPr>
            <w:r>
              <w:rPr>
                <w:rFonts w:ascii="Verdana" w:cs="Verdana" w:eastAsia="Verdana" w:hAnsi="Verdana"/>
                <w:sz w:val="14"/>
                <w:szCs w:val="14"/>
                <w:color w:val="auto"/>
              </w:rPr>
              <w:t>Nonvested at December 31, 2024</w:t>
            </w: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36,893</w:t>
            </w:r>
          </w:p>
        </w:tc>
        <w:tc>
          <w:tcPr>
            <w:tcW w:w="400" w:type="dxa"/>
            <w:vAlign w:val="bottom"/>
            <w:gridSpan w:val="2"/>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23.40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8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20" w:type="dxa"/>
            <w:vAlign w:val="bottom"/>
            <w:gridSpan w:val="2"/>
          </w:tcPr>
          <w:p>
            <w:pPr>
              <w:ind w:left="20"/>
              <w:spacing w:after="0"/>
              <w:rPr>
                <w:sz w:val="20"/>
                <w:szCs w:val="20"/>
                <w:color w:val="auto"/>
              </w:rPr>
            </w:pPr>
            <w:r>
              <w:rPr>
                <w:rFonts w:ascii="Verdana" w:cs="Verdana" w:eastAsia="Verdana" w:hAnsi="Verdana"/>
                <w:sz w:val="14"/>
                <w:szCs w:val="14"/>
                <w:color w:val="auto"/>
              </w:rPr>
              <w:t>Vested and outstanding at December 31, 2024</w:t>
            </w:r>
          </w:p>
        </w:tc>
        <w:tc>
          <w:tcPr>
            <w:tcW w:w="1580" w:type="dxa"/>
            <w:vAlign w:val="bottom"/>
          </w:tcPr>
          <w:p>
            <w:pPr>
              <w:jc w:val="right"/>
              <w:spacing w:after="0"/>
              <w:rPr>
                <w:sz w:val="20"/>
                <w:szCs w:val="20"/>
                <w:color w:val="auto"/>
              </w:rPr>
            </w:pPr>
            <w:r>
              <w:rPr>
                <w:rFonts w:ascii="Verdana" w:cs="Verdana" w:eastAsia="Verdana" w:hAnsi="Verdana"/>
                <w:sz w:val="14"/>
                <w:szCs w:val="14"/>
                <w:color w:val="auto"/>
              </w:rPr>
              <w:t>184,941</w:t>
            </w:r>
          </w:p>
        </w:tc>
        <w:tc>
          <w:tcPr>
            <w:tcW w:w="400" w:type="dxa"/>
            <w:vAlign w:val="bottom"/>
            <w:gridSpan w:val="2"/>
          </w:tcPr>
          <w:p>
            <w:pPr>
              <w:jc w:val="right"/>
              <w:ind w:right="200"/>
              <w:spacing w:after="0"/>
              <w:rPr>
                <w:sz w:val="20"/>
                <w:szCs w:val="20"/>
                <w:color w:val="auto"/>
              </w:rPr>
            </w:pPr>
            <w:r>
              <w:rPr>
                <w:rFonts w:ascii="Verdana" w:cs="Verdana" w:eastAsia="Verdana" w:hAnsi="Verdana"/>
                <w:sz w:val="14"/>
                <w:szCs w:val="14"/>
                <w:color w:val="auto"/>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22.85</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Employee Stock Purchase Plan</w:t>
      </w:r>
    </w:p>
    <w:p>
      <w:pPr>
        <w:spacing w:after="0" w:line="148" w:lineRule="exact"/>
        <w:rPr>
          <w:sz w:val="20"/>
          <w:szCs w:val="20"/>
          <w:color w:val="auto"/>
        </w:rPr>
      </w:pPr>
    </w:p>
    <w:p>
      <w:pPr>
        <w:jc w:val="both"/>
        <w:spacing w:after="0" w:line="243" w:lineRule="auto"/>
        <w:rPr>
          <w:rFonts w:ascii="Verdana" w:cs="Verdana" w:eastAsia="Verdana" w:hAnsi="Verdana"/>
          <w:sz w:val="14"/>
          <w:szCs w:val="14"/>
          <w:color w:val="0000FF"/>
        </w:rPr>
      </w:pPr>
      <w:r>
        <w:rPr>
          <w:rFonts w:ascii="Verdana" w:cs="Verdana" w:eastAsia="Verdana" w:hAnsi="Verdana"/>
          <w:sz w:val="14"/>
          <w:szCs w:val="14"/>
          <w:color w:val="auto"/>
        </w:rPr>
        <w:t xml:space="preserve">The First Busey Corporation ESPP was approved at Busey’s 2021 Annual Meeting of Stockholders. The purpose of the ESPP is to provide a means through which Busey employees may acquire a proprietary interest in the Company by purchasing shares of its common stock at a 15% discount through voluntary payroll deductions, to assist in retaining the services of current employees and securing and retaining the services of new employees, and to provide incentives for Busey employees to exert maximum efforts toward the Company’s success. Substantially all of Busey’s employees are eligible to participate, </w:t>
      </w:r>
      <w:hyperlink r:id="rId132">
        <w:r>
          <w:rPr>
            <w:rFonts w:ascii="Verdana" w:cs="Verdana" w:eastAsia="Verdana" w:hAnsi="Verdana"/>
            <w:sz w:val="14"/>
            <w:szCs w:val="14"/>
            <w:color w:val="auto"/>
          </w:rPr>
          <w:t xml:space="preserve">and all participating employees have equal rights and privileges under the terms of the ESPP. Further details can be found in </w:t>
        </w:r>
        <w:r>
          <w:rPr>
            <w:rFonts w:ascii="Verdana" w:cs="Verdana" w:eastAsia="Verdana" w:hAnsi="Verdana"/>
            <w:sz w:val="14"/>
            <w:szCs w:val="14"/>
            <w:u w:val="single" w:color="auto"/>
            <w:color w:val="0000FF"/>
          </w:rPr>
          <w:t>Appendix A</w:t>
        </w:r>
        <w:r>
          <w:rPr>
            <w:rFonts w:ascii="Verdana" w:cs="Verdana" w:eastAsia="Verdana" w:hAnsi="Verdana"/>
            <w:sz w:val="14"/>
            <w:szCs w:val="14"/>
            <w:color w:val="auto"/>
          </w:rPr>
          <w:t xml:space="preserve"> within </w:t>
        </w:r>
        <w:r>
          <w:rPr>
            <w:rFonts w:ascii="Verdana" w:cs="Verdana" w:eastAsia="Verdana" w:hAnsi="Verdana"/>
            <w:sz w:val="14"/>
            <w:szCs w:val="14"/>
            <w:u w:val="single" w:color="auto"/>
            <w:color w:val="0000FF"/>
          </w:rPr>
          <w:t>Busey’s</w:t>
        </w:r>
      </w:hyperlink>
      <w:r>
        <w:rPr>
          <w:rFonts w:ascii="Verdana" w:cs="Verdana" w:eastAsia="Verdana" w:hAnsi="Verdana"/>
          <w:sz w:val="14"/>
          <w:szCs w:val="14"/>
          <w:color w:val="auto"/>
        </w:rPr>
        <w:t xml:space="preserve"> </w:t>
      </w:r>
      <w:hyperlink r:id="rId132">
        <w:r>
          <w:rPr>
            <w:rFonts w:ascii="Verdana" w:cs="Verdana" w:eastAsia="Verdana" w:hAnsi="Verdana"/>
            <w:sz w:val="14"/>
            <w:szCs w:val="14"/>
            <w:u w:val="single" w:color="auto"/>
            <w:color w:val="0000FF"/>
          </w:rPr>
          <w:t>Definitive Proxy Statement filed with the SEC on April 8, 2021</w:t>
        </w:r>
        <w:r>
          <w:rPr>
            <w:rFonts w:ascii="Verdana" w:cs="Verdana" w:eastAsia="Verdana" w:hAnsi="Verdana"/>
            <w:sz w:val="14"/>
            <w:szCs w:val="14"/>
            <w:color w:val="000000"/>
          </w:rPr>
          <w:t>.</w:t>
        </w:r>
      </w:hyperlink>
    </w:p>
    <w:p>
      <w:pPr>
        <w:spacing w:after="0" w:line="123"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ESPP initially reserved for issuance and purchase an aggregate of 600,000 shares of Busey’s common stock. The first offering under the ESPP began on July 1, 2021. There were 393,536 shares available for issuance under the ESPP as of December 31, 2024.</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2" w:name="page153"/>
    <w:bookmarkEnd w:id="15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Stock-Based Compensation Expense</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Busey did not record any stock option compensation expense for the years ended December 31, 2024, 2023, or 2022. Busey did not have any unrecognized stock option compensation expense as of December 31, 2024.</w:t>
      </w:r>
    </w:p>
    <w:p>
      <w:pPr>
        <w:spacing w:after="0" w:line="110"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Busey recognized compensation expense related to non-vested RSU, PSU, and DSU awards, as well as the ESPP, as summarized in the table below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3"/>
        </w:trPr>
        <w:tc>
          <w:tcPr>
            <w:tcW w:w="4660" w:type="dxa"/>
            <w:vAlign w:val="bottom"/>
          </w:tcPr>
          <w:p>
            <w:pPr>
              <w:spacing w:after="0"/>
              <w:rPr>
                <w:sz w:val="11"/>
                <w:szCs w:val="11"/>
                <w:color w:val="auto"/>
              </w:rPr>
            </w:pPr>
          </w:p>
        </w:tc>
        <w:tc>
          <w:tcPr>
            <w:tcW w:w="1680" w:type="dxa"/>
            <w:vAlign w:val="bottom"/>
            <w:gridSpan w:val="2"/>
          </w:tcPr>
          <w:p>
            <w:pPr>
              <w:ind w:left="560"/>
              <w:spacing w:after="0"/>
              <w:rPr>
                <w:sz w:val="20"/>
                <w:szCs w:val="20"/>
                <w:color w:val="auto"/>
              </w:rPr>
            </w:pPr>
            <w:r>
              <w:rPr>
                <w:rFonts w:ascii="Verdana" w:cs="Verdana" w:eastAsia="Verdana" w:hAnsi="Verdana"/>
                <w:sz w:val="10"/>
                <w:szCs w:val="10"/>
                <w:b w:val="1"/>
                <w:bCs w:val="1"/>
                <w:color w:val="auto"/>
              </w:rPr>
              <w:t>Location</w:t>
            </w:r>
          </w:p>
        </w:tc>
        <w:tc>
          <w:tcPr>
            <w:tcW w:w="380" w:type="dxa"/>
            <w:vAlign w:val="bottom"/>
          </w:tcPr>
          <w:p>
            <w:pPr>
              <w:spacing w:after="0"/>
              <w:rPr>
                <w:sz w:val="11"/>
                <w:szCs w:val="11"/>
                <w:color w:val="auto"/>
              </w:rPr>
            </w:pPr>
          </w:p>
        </w:tc>
        <w:tc>
          <w:tcPr>
            <w:tcW w:w="1220" w:type="dxa"/>
            <w:vAlign w:val="bottom"/>
          </w:tcPr>
          <w:p>
            <w:pPr>
              <w:jc w:val="right"/>
              <w:ind w:right="593"/>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73"/>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93"/>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4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Stock-based compensation expense</w:t>
            </w:r>
          </w:p>
        </w:tc>
        <w:tc>
          <w:tcPr>
            <w:tcW w:w="16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r>
      <w:tr>
        <w:trPr>
          <w:trHeight w:val="187"/>
        </w:trPr>
        <w:tc>
          <w:tcPr>
            <w:tcW w:w="4660" w:type="dxa"/>
            <w:vAlign w:val="bottom"/>
          </w:tcPr>
          <w:p>
            <w:pPr>
              <w:ind w:left="140"/>
              <w:spacing w:after="0"/>
              <w:rPr>
                <w:sz w:val="20"/>
                <w:szCs w:val="20"/>
                <w:color w:val="auto"/>
              </w:rPr>
            </w:pPr>
            <w:r>
              <w:rPr>
                <w:rFonts w:ascii="Verdana" w:cs="Verdana" w:eastAsia="Verdana" w:hAnsi="Verdana"/>
                <w:sz w:val="14"/>
                <w:szCs w:val="14"/>
                <w:color w:val="auto"/>
              </w:rPr>
              <w:t>RSU awards</w:t>
            </w: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Salaries, wages, and</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46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employee benefits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3"/>
              <w:spacing w:after="0"/>
              <w:rPr>
                <w:sz w:val="20"/>
                <w:szCs w:val="20"/>
                <w:color w:val="auto"/>
              </w:rPr>
            </w:pPr>
            <w:r>
              <w:rPr>
                <w:rFonts w:ascii="Verdana" w:cs="Verdana" w:eastAsia="Verdana" w:hAnsi="Verdana"/>
                <w:sz w:val="14"/>
                <w:szCs w:val="14"/>
                <w:color w:val="auto"/>
              </w:rPr>
              <w:t>3,823</w:t>
            </w:r>
          </w:p>
        </w:tc>
        <w:tc>
          <w:tcPr>
            <w:tcW w:w="80" w:type="dxa"/>
            <w:vAlign w:val="bottom"/>
          </w:tcPr>
          <w:p>
            <w:pPr>
              <w:spacing w:after="0"/>
              <w:rPr>
                <w:sz w:val="16"/>
                <w:szCs w:val="16"/>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2,622</w:t>
            </w:r>
          </w:p>
        </w:tc>
        <w:tc>
          <w:tcPr>
            <w:tcW w:w="10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4,648</w:t>
            </w:r>
          </w:p>
        </w:tc>
      </w:tr>
      <w:tr>
        <w:trPr>
          <w:trHeight w:val="192"/>
        </w:trPr>
        <w:tc>
          <w:tcPr>
            <w:tcW w:w="4660" w:type="dxa"/>
            <w:vAlign w:val="bottom"/>
            <w:shd w:val="clear" w:color="auto" w:fill="E0E7ED"/>
          </w:tcPr>
          <w:p>
            <w:pPr>
              <w:ind w:left="140"/>
              <w:spacing w:after="0" w:line="192" w:lineRule="exact"/>
              <w:rPr>
                <w:sz w:val="20"/>
                <w:szCs w:val="20"/>
                <w:color w:val="auto"/>
              </w:rPr>
            </w:pPr>
            <w:r>
              <w:rPr>
                <w:rFonts w:ascii="Verdana" w:cs="Verdana" w:eastAsia="Verdana" w:hAnsi="Verdana"/>
                <w:sz w:val="14"/>
                <w:szCs w:val="14"/>
                <w:color w:val="auto"/>
              </w:rPr>
              <w:t>PSU awards</w:t>
            </w:r>
            <w:r>
              <w:rPr>
                <w:rFonts w:ascii="Verdana" w:cs="Verdana" w:eastAsia="Verdana" w:hAnsi="Verdana"/>
                <w:sz w:val="18"/>
                <w:szCs w:val="18"/>
                <w:color w:val="auto"/>
                <w:vertAlign w:val="superscript"/>
              </w:rPr>
              <w:t>1</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Salaries, wages, and</w:t>
            </w:r>
          </w:p>
        </w:tc>
        <w:tc>
          <w:tcPr>
            <w:tcW w:w="3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r>
      <w:tr>
        <w:trPr>
          <w:trHeight w:val="195"/>
        </w:trPr>
        <w:tc>
          <w:tcPr>
            <w:tcW w:w="4660" w:type="dxa"/>
            <w:vAlign w:val="bottom"/>
            <w:shd w:val="clear" w:color="auto" w:fill="E0E7ED"/>
          </w:tcPr>
          <w:p>
            <w:pPr>
              <w:spacing w:after="0"/>
              <w:rPr>
                <w:sz w:val="16"/>
                <w:szCs w:val="16"/>
                <w:color w:val="auto"/>
              </w:rPr>
            </w:pP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employee benefits</w:t>
            </w:r>
          </w:p>
        </w:tc>
        <w:tc>
          <w:tcPr>
            <w:tcW w:w="380" w:type="dxa"/>
            <w:vAlign w:val="bottom"/>
            <w:shd w:val="clear" w:color="auto" w:fill="E0E7ED"/>
          </w:tcPr>
          <w:p>
            <w:pPr>
              <w:spacing w:after="0"/>
              <w:rPr>
                <w:sz w:val="16"/>
                <w:szCs w:val="16"/>
                <w:color w:val="auto"/>
              </w:rPr>
            </w:pPr>
          </w:p>
        </w:tc>
        <w:tc>
          <w:tcPr>
            <w:tcW w:w="122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2,867</w:t>
            </w: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2,962</w:t>
            </w: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3,240</w:t>
            </w: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DSU awards</w:t>
            </w: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Other expense</w:t>
            </w:r>
          </w:p>
        </w:tc>
        <w:tc>
          <w:tcPr>
            <w:tcW w:w="380" w:type="dxa"/>
            <w:vAlign w:val="bottom"/>
          </w:tcPr>
          <w:p>
            <w:pPr>
              <w:spacing w:after="0"/>
              <w:rPr>
                <w:sz w:val="17"/>
                <w:szCs w:val="17"/>
                <w:color w:val="auto"/>
              </w:rPr>
            </w:pPr>
          </w:p>
        </w:tc>
        <w:tc>
          <w:tcPr>
            <w:tcW w:w="1220" w:type="dxa"/>
            <w:vAlign w:val="bottom"/>
          </w:tcPr>
          <w:p>
            <w:pPr>
              <w:jc w:val="right"/>
              <w:ind w:right="13"/>
              <w:spacing w:after="0"/>
              <w:rPr>
                <w:sz w:val="20"/>
                <w:szCs w:val="20"/>
                <w:color w:val="auto"/>
              </w:rPr>
            </w:pPr>
            <w:r>
              <w:rPr>
                <w:rFonts w:ascii="Verdana" w:cs="Verdana" w:eastAsia="Verdana" w:hAnsi="Verdana"/>
                <w:sz w:val="14"/>
                <w:szCs w:val="14"/>
                <w:color w:val="auto"/>
              </w:rPr>
              <w:t>826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876</w:t>
            </w:r>
          </w:p>
        </w:tc>
      </w:tr>
      <w:tr>
        <w:trPr>
          <w:trHeight w:val="19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ESPP</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Salaries, wages, and</w:t>
            </w:r>
          </w:p>
        </w:tc>
        <w:tc>
          <w:tcPr>
            <w:tcW w:w="3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r>
      <w:tr>
        <w:trPr>
          <w:trHeight w:val="190"/>
        </w:trPr>
        <w:tc>
          <w:tcPr>
            <w:tcW w:w="4660" w:type="dxa"/>
            <w:vAlign w:val="bottom"/>
            <w:shd w:val="clear" w:color="auto" w:fill="E0E7ED"/>
          </w:tcPr>
          <w:p>
            <w:pPr>
              <w:spacing w:after="0"/>
              <w:rPr>
                <w:sz w:val="16"/>
                <w:szCs w:val="16"/>
                <w:color w:val="auto"/>
              </w:rPr>
            </w:pP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employee benefits</w:t>
            </w:r>
          </w:p>
        </w:tc>
        <w:tc>
          <w:tcPr>
            <w:tcW w:w="38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4"/>
                <w:szCs w:val="14"/>
                <w:color w:val="auto"/>
              </w:rPr>
              <w:t>210</w:t>
            </w:r>
          </w:p>
        </w:tc>
        <w:tc>
          <w:tcPr>
            <w:tcW w:w="80" w:type="dxa"/>
            <w:vAlign w:val="bottom"/>
            <w:shd w:val="clear" w:color="auto" w:fill="E0E7ED"/>
          </w:tcPr>
          <w:p>
            <w:pPr>
              <w:spacing w:after="0"/>
              <w:rPr>
                <w:sz w:val="16"/>
                <w:szCs w:val="16"/>
                <w:color w:val="auto"/>
              </w:rPr>
            </w:pPr>
          </w:p>
        </w:tc>
        <w:tc>
          <w:tcPr>
            <w:tcW w:w="38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178</w:t>
            </w:r>
          </w:p>
        </w:tc>
        <w:tc>
          <w:tcPr>
            <w:tcW w:w="100" w:type="dxa"/>
            <w:vAlign w:val="bottom"/>
            <w:shd w:val="clear" w:color="auto" w:fill="E0E7ED"/>
          </w:tcPr>
          <w:p>
            <w:pPr>
              <w:spacing w:after="0"/>
              <w:rPr>
                <w:sz w:val="16"/>
                <w:szCs w:val="16"/>
                <w:color w:val="auto"/>
              </w:rPr>
            </w:pPr>
          </w:p>
        </w:tc>
        <w:tc>
          <w:tcPr>
            <w:tcW w:w="38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204</w:t>
            </w:r>
          </w:p>
        </w:tc>
      </w:tr>
      <w:tr>
        <w:trPr>
          <w:trHeight w:val="208"/>
        </w:trPr>
        <w:tc>
          <w:tcPr>
            <w:tcW w:w="4660" w:type="dxa"/>
            <w:vAlign w:val="bottom"/>
          </w:tcPr>
          <w:p>
            <w:pPr>
              <w:ind w:left="20"/>
              <w:spacing w:after="0"/>
              <w:rPr>
                <w:sz w:val="20"/>
                <w:szCs w:val="20"/>
                <w:color w:val="auto"/>
              </w:rPr>
            </w:pPr>
            <w:r>
              <w:rPr>
                <w:rFonts w:ascii="Verdana" w:cs="Verdana" w:eastAsia="Verdana" w:hAnsi="Verdana"/>
                <w:sz w:val="14"/>
                <w:szCs w:val="14"/>
                <w:color w:val="auto"/>
              </w:rPr>
              <w:t>Total stock-based compensation expense</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4"/>
                <w:szCs w:val="14"/>
                <w:color w:val="auto"/>
              </w:rPr>
              <w:t>7,726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6,595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8,968</w:t>
            </w:r>
          </w:p>
        </w:tc>
      </w:tr>
      <w:tr>
        <w:trPr>
          <w:trHeight w:val="20"/>
        </w:trPr>
        <w:tc>
          <w:tcPr>
            <w:tcW w:w="4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ind w:left="380" w:hanging="248"/>
        <w:spacing w:after="0" w:line="263" w:lineRule="auto"/>
        <w:tabs>
          <w:tab w:leader="none" w:pos="373" w:val="left"/>
        </w:tabs>
        <w:numPr>
          <w:ilvl w:val="0"/>
          <w:numId w:val="43"/>
        </w:numPr>
        <w:rPr>
          <w:rFonts w:ascii="Verdana" w:cs="Verdana" w:eastAsia="Verdana" w:hAnsi="Verdana"/>
          <w:sz w:val="10"/>
          <w:szCs w:val="10"/>
          <w:color w:val="auto"/>
        </w:rPr>
      </w:pPr>
      <w:r>
        <w:rPr>
          <w:rFonts w:ascii="Verdana" w:cs="Verdana" w:eastAsia="Verdana" w:hAnsi="Verdana"/>
          <w:sz w:val="10"/>
          <w:szCs w:val="10"/>
          <w:color w:val="auto"/>
        </w:rPr>
        <w:t>Expense for PSU awards with a relative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115"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Unamortized stock-based compensation expense is presented in the table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3"/>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Unamortized stock-based compensation</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RSU awards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7,093</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6,842</w:t>
            </w:r>
          </w:p>
        </w:tc>
      </w:tr>
      <w:tr>
        <w:trPr>
          <w:trHeight w:val="218"/>
        </w:trPr>
        <w:tc>
          <w:tcPr>
            <w:tcW w:w="8020" w:type="dxa"/>
            <w:vAlign w:val="bottom"/>
            <w:shd w:val="clear" w:color="auto" w:fill="E0E7ED"/>
          </w:tcPr>
          <w:p>
            <w:pPr>
              <w:ind w:left="140"/>
              <w:spacing w:after="0" w:line="217" w:lineRule="exact"/>
              <w:rPr>
                <w:sz w:val="20"/>
                <w:szCs w:val="20"/>
                <w:color w:val="auto"/>
              </w:rPr>
            </w:pPr>
            <w:r>
              <w:rPr>
                <w:rFonts w:ascii="Verdana" w:cs="Verdana" w:eastAsia="Verdana" w:hAnsi="Verdana"/>
                <w:sz w:val="14"/>
                <w:szCs w:val="14"/>
                <w:color w:val="auto"/>
              </w:rPr>
              <w:t>PSU awards</w:t>
            </w:r>
            <w:r>
              <w:rPr>
                <w:rFonts w:ascii="Verdana" w:cs="Verdana" w:eastAsia="Verdana" w:hAnsi="Verdana"/>
                <w:sz w:val="18"/>
                <w:szCs w:val="18"/>
                <w:color w:val="auto"/>
                <w:vertAlign w:val="superscript"/>
              </w:rPr>
              <w:t>1</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3,043</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3,607</w:t>
            </w:r>
          </w:p>
        </w:tc>
      </w:tr>
      <w:tr>
        <w:trPr>
          <w:trHeight w:val="207"/>
        </w:trPr>
        <w:tc>
          <w:tcPr>
            <w:tcW w:w="8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DSU awards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181</w:t>
            </w:r>
          </w:p>
        </w:tc>
        <w:tc>
          <w:tcPr>
            <w:tcW w:w="1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190</w:t>
            </w:r>
          </w:p>
        </w:tc>
      </w:tr>
      <w:tr>
        <w:trPr>
          <w:trHeight w:val="233"/>
        </w:trPr>
        <w:tc>
          <w:tcPr>
            <w:tcW w:w="8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Total unamortized stock-based compensation</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10,317</w:t>
            </w:r>
          </w:p>
        </w:tc>
        <w:tc>
          <w:tcPr>
            <w:tcW w:w="100" w:type="dxa"/>
            <w:vAlign w:val="bottom"/>
            <w:tcBorders>
              <w:bottom w:val="single" w:sz="8" w:color="E0E7ED"/>
            </w:tcBorders>
            <w:shd w:val="clear" w:color="auto" w:fill="E0E7ED"/>
          </w:tcPr>
          <w:p>
            <w:pPr>
              <w:spacing w:after="0"/>
              <w:rPr>
                <w:sz w:val="19"/>
                <w:szCs w:val="19"/>
                <w:color w:val="auto"/>
              </w:rPr>
            </w:pPr>
          </w:p>
        </w:tc>
        <w:tc>
          <w:tcPr>
            <w:tcW w:w="560" w:type="dxa"/>
            <w:vAlign w:val="bottom"/>
            <w:tcBorders>
              <w:bottom w:val="single" w:sz="8" w:color="auto"/>
            </w:tcBorders>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10,639</w:t>
            </w:r>
          </w:p>
        </w:tc>
      </w:tr>
      <w:tr>
        <w:trPr>
          <w:trHeight w:val="20"/>
        </w:trPr>
        <w:tc>
          <w:tcPr>
            <w:tcW w:w="802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56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8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Weighted average period over which expense is to be recognized</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ind w:left="520"/>
              <w:spacing w:after="0"/>
              <w:rPr>
                <w:sz w:val="20"/>
                <w:szCs w:val="20"/>
                <w:color w:val="auto"/>
              </w:rPr>
            </w:pPr>
            <w:r>
              <w:rPr>
                <w:rFonts w:ascii="Verdana" w:cs="Verdana" w:eastAsia="Verdana" w:hAnsi="Verdana"/>
                <w:sz w:val="14"/>
                <w:szCs w:val="14"/>
                <w:color w:val="auto"/>
              </w:rPr>
              <w:t>2.5 years</w:t>
            </w:r>
          </w:p>
        </w:tc>
        <w:tc>
          <w:tcPr>
            <w:tcW w:w="560" w:type="dxa"/>
            <w:vAlign w:val="bottom"/>
            <w:shd w:val="clear" w:color="auto" w:fill="E0E7ED"/>
          </w:tcPr>
          <w:p>
            <w:pPr>
              <w:spacing w:after="0"/>
              <w:rPr>
                <w:sz w:val="18"/>
                <w:szCs w:val="18"/>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2.4 years</w:t>
            </w:r>
          </w:p>
        </w:tc>
      </w:tr>
      <w:tr>
        <w:trPr>
          <w:trHeight w:val="176"/>
        </w:trPr>
        <w:tc>
          <w:tcPr>
            <w:tcW w:w="8020" w:type="dxa"/>
            <w:vAlign w:val="bottom"/>
          </w:tcPr>
          <w:p>
            <w:pPr>
              <w:spacing w:after="0"/>
              <w:rPr>
                <w:sz w:val="20"/>
                <w:szCs w:val="20"/>
                <w:color w:val="auto"/>
              </w:rPr>
            </w:pPr>
            <w:r>
              <w:rPr>
                <w:rFonts w:ascii="Verdana" w:cs="Verdana" w:eastAsia="Verdana" w:hAnsi="Verdana"/>
                <w:sz w:val="10"/>
                <w:szCs w:val="10"/>
                <w:color w:val="auto"/>
              </w:rPr>
              <w:t>___________________________________________</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ind w:left="380" w:hanging="248"/>
        <w:spacing w:after="0" w:line="263" w:lineRule="auto"/>
        <w:tabs>
          <w:tab w:leader="none" w:pos="373" w:val="left"/>
        </w:tabs>
        <w:numPr>
          <w:ilvl w:val="0"/>
          <w:numId w:val="44"/>
        </w:numPr>
        <w:rPr>
          <w:rFonts w:ascii="Verdana" w:cs="Verdana" w:eastAsia="Verdana" w:hAnsi="Verdana"/>
          <w:sz w:val="10"/>
          <w:szCs w:val="10"/>
          <w:color w:val="auto"/>
        </w:rPr>
      </w:pPr>
      <w:r>
        <w:rPr>
          <w:rFonts w:ascii="Verdana" w:cs="Verdana" w:eastAsia="Verdana" w:hAnsi="Verdana"/>
          <w:sz w:val="10"/>
          <w:szCs w:val="10"/>
          <w:color w:val="auto"/>
        </w:rPr>
        <w:t>Unamortized expense for PSU awards with a relative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29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3" w:name="page154"/>
    <w:bookmarkEnd w:id="15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17. TRANSACTIONS WITH RELATED PARTIES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presents changes in loans to related parties, as a group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right="76"/>
              <w:spacing w:after="0"/>
              <w:rPr>
                <w:sz w:val="20"/>
                <w:szCs w:val="20"/>
                <w:color w:val="auto"/>
              </w:rPr>
            </w:pPr>
            <w:r>
              <w:rPr>
                <w:rFonts w:ascii="Verdana" w:cs="Verdana" w:eastAsia="Verdana" w:hAnsi="Verdana"/>
                <w:sz w:val="10"/>
                <w:szCs w:val="10"/>
                <w:b w:val="1"/>
                <w:bCs w:val="1"/>
                <w:color w:val="auto"/>
                <w:w w:val="99"/>
              </w:rPr>
              <w:t>As of and for the Year</w:t>
            </w:r>
          </w:p>
        </w:tc>
      </w:tr>
      <w:tr>
        <w:trPr>
          <w:trHeight w:val="95"/>
        </w:trPr>
        <w:tc>
          <w:tcPr>
            <w:tcW w:w="9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jc w:val="center"/>
              <w:ind w:right="76"/>
              <w:spacing w:after="0" w:line="96" w:lineRule="exact"/>
              <w:rPr>
                <w:sz w:val="20"/>
                <w:szCs w:val="20"/>
                <w:color w:val="auto"/>
              </w:rPr>
            </w:pPr>
            <w:r>
              <w:rPr>
                <w:rFonts w:ascii="Verdana" w:cs="Verdana" w:eastAsia="Verdana" w:hAnsi="Verdana"/>
                <w:sz w:val="10"/>
                <w:szCs w:val="10"/>
                <w:b w:val="1"/>
                <w:bCs w:val="1"/>
                <w:color w:val="auto"/>
                <w:w w:val="98"/>
              </w:rPr>
              <w:t>Ended</w:t>
            </w:r>
          </w:p>
        </w:tc>
      </w:tr>
      <w:tr>
        <w:trPr>
          <w:trHeight w:val="133"/>
        </w:trPr>
        <w:tc>
          <w:tcPr>
            <w:tcW w:w="970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76"/>
              <w:spacing w:after="0"/>
              <w:rPr>
                <w:sz w:val="20"/>
                <w:szCs w:val="20"/>
                <w:color w:val="auto"/>
              </w:rPr>
            </w:pPr>
            <w:r>
              <w:rPr>
                <w:rFonts w:ascii="Verdana" w:cs="Verdana" w:eastAsia="Verdana" w:hAnsi="Verdana"/>
                <w:sz w:val="10"/>
                <w:szCs w:val="10"/>
                <w:b w:val="1"/>
                <w:bCs w:val="1"/>
                <w:color w:val="auto"/>
              </w:rPr>
              <w:t>December 31, 2024</w:t>
            </w:r>
          </w:p>
        </w:tc>
      </w:tr>
      <w:tr>
        <w:trPr>
          <w:trHeight w:val="208"/>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Balance of loans to related parties, December 31, 2023</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77,649</w:t>
            </w:r>
          </w:p>
        </w:tc>
      </w:tr>
      <w:tr>
        <w:trPr>
          <w:trHeight w:val="207"/>
        </w:trPr>
        <w:tc>
          <w:tcPr>
            <w:tcW w:w="9700" w:type="dxa"/>
            <w:vAlign w:val="bottom"/>
          </w:tcPr>
          <w:p>
            <w:pPr>
              <w:ind w:left="140"/>
              <w:spacing w:after="0"/>
              <w:rPr>
                <w:sz w:val="20"/>
                <w:szCs w:val="20"/>
                <w:color w:val="auto"/>
              </w:rPr>
            </w:pPr>
            <w:r>
              <w:rPr>
                <w:rFonts w:ascii="Verdana" w:cs="Verdana" w:eastAsia="Verdana" w:hAnsi="Verdana"/>
                <w:sz w:val="14"/>
                <w:szCs w:val="14"/>
                <w:color w:val="auto"/>
              </w:rPr>
              <w:t>Change in relationship</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Verdana" w:cs="Verdana" w:eastAsia="Verdana" w:hAnsi="Verdana"/>
                <w:sz w:val="14"/>
                <w:szCs w:val="14"/>
                <w:color w:val="auto"/>
              </w:rPr>
              <w:t>1,435</w:t>
            </w:r>
          </w:p>
        </w:tc>
      </w:tr>
      <w:tr>
        <w:trPr>
          <w:trHeight w:val="218"/>
        </w:trPr>
        <w:tc>
          <w:tcPr>
            <w:tcW w:w="970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New loans/advances</w:t>
            </w:r>
          </w:p>
        </w:tc>
        <w:tc>
          <w:tcPr>
            <w:tcW w:w="140" w:type="dxa"/>
            <w:vAlign w:val="bottom"/>
            <w:shd w:val="clear" w:color="auto" w:fill="E0E7ED"/>
          </w:tcPr>
          <w:p>
            <w:pPr>
              <w:spacing w:after="0"/>
              <w:rPr>
                <w:sz w:val="18"/>
                <w:szCs w:val="18"/>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178,924</w:t>
            </w:r>
          </w:p>
        </w:tc>
      </w:tr>
      <w:tr>
        <w:trPr>
          <w:trHeight w:val="207"/>
        </w:trPr>
        <w:tc>
          <w:tcPr>
            <w:tcW w:w="970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Repayments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(159,997)</w:t>
            </w:r>
          </w:p>
        </w:tc>
      </w:tr>
      <w:tr>
        <w:trPr>
          <w:trHeight w:val="233"/>
        </w:trPr>
        <w:tc>
          <w:tcPr>
            <w:tcW w:w="97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Balance of loans to related parties, December 31, 2024</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98,011</w:t>
            </w:r>
          </w:p>
        </w:tc>
      </w:tr>
      <w:tr>
        <w:trPr>
          <w:trHeight w:val="20"/>
        </w:trPr>
        <w:tc>
          <w:tcPr>
            <w:tcW w:w="97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9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12"/>
        </w:trPr>
        <w:tc>
          <w:tcPr>
            <w:tcW w:w="970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Unused commitments to directors and executive officers</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26,383</w:t>
            </w:r>
          </w:p>
        </w:tc>
      </w:tr>
      <w:tr>
        <w:trPr>
          <w:trHeight w:val="392"/>
        </w:trPr>
        <w:tc>
          <w:tcPr>
            <w:tcW w:w="9700" w:type="dxa"/>
            <w:vAlign w:val="bottom"/>
          </w:tcPr>
          <w:p>
            <w:pPr>
              <w:spacing w:after="0"/>
              <w:rPr>
                <w:sz w:val="20"/>
                <w:szCs w:val="20"/>
                <w:color w:val="auto"/>
              </w:rPr>
            </w:pPr>
            <w:r>
              <w:rPr>
                <w:rFonts w:ascii="Verdana" w:cs="Verdana" w:eastAsia="Verdana" w:hAnsi="Verdana"/>
                <w:sz w:val="14"/>
                <w:szCs w:val="14"/>
                <w:color w:val="auto"/>
              </w:rPr>
              <w:t>Loans to related parties did not include significant amounts that were past due, non-accrual, or modified.</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8"/>
        </w:trPr>
        <w:tc>
          <w:tcPr>
            <w:tcW w:w="9700" w:type="dxa"/>
            <w:vAlign w:val="bottom"/>
          </w:tcPr>
          <w:p>
            <w:pPr>
              <w:spacing w:after="0"/>
              <w:rPr>
                <w:sz w:val="20"/>
                <w:szCs w:val="20"/>
                <w:color w:val="auto"/>
              </w:rPr>
            </w:pPr>
            <w:r>
              <w:rPr>
                <w:rFonts w:ascii="Verdana" w:cs="Verdana" w:eastAsia="Verdana" w:hAnsi="Verdana"/>
                <w:sz w:val="14"/>
                <w:szCs w:val="14"/>
                <w:b w:val="1"/>
                <w:bCs w:val="1"/>
                <w:color w:val="auto"/>
              </w:rPr>
              <w:t>NOTE 18. OUTSTANDING COMMITMENTS AND CONTINGENT LIABILITIES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24"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Credit Commitments and Contingencies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 summary of the contractual amount of Busey’s exposure to off-balance-sheet risk relating to the Company’s commitments to extend credit and standby letters of credit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0"/>
                <w:szCs w:val="10"/>
                <w:b w:val="1"/>
                <w:bCs w:val="1"/>
                <w:color w:val="auto"/>
              </w:rPr>
              <w:t>2024</w:t>
            </w: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Financial instruments whose contract amounts represent credit risk</w:t>
            </w: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Commitments to extend credit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2,512,714</w:t>
            </w:r>
          </w:p>
        </w:tc>
        <w:tc>
          <w:tcPr>
            <w:tcW w:w="100" w:type="dxa"/>
            <w:vAlign w:val="bottom"/>
          </w:tcPr>
          <w:p>
            <w:pPr>
              <w:spacing w:after="0"/>
              <w:rPr>
                <w:sz w:val="17"/>
                <w:szCs w:val="17"/>
                <w:color w:val="auto"/>
              </w:rPr>
            </w:pPr>
          </w:p>
        </w:tc>
        <w:tc>
          <w:tcPr>
            <w:tcW w:w="560" w:type="dxa"/>
            <w:vAlign w:val="bottom"/>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spacing w:after="0"/>
              <w:rPr>
                <w:sz w:val="20"/>
                <w:szCs w:val="20"/>
                <w:color w:val="auto"/>
              </w:rPr>
            </w:pPr>
            <w:r>
              <w:rPr>
                <w:rFonts w:ascii="Verdana" w:cs="Verdana" w:eastAsia="Verdana" w:hAnsi="Verdana"/>
                <w:sz w:val="14"/>
                <w:szCs w:val="14"/>
                <w:color w:val="auto"/>
              </w:rPr>
              <w:t>2,132,500</w:t>
            </w:r>
          </w:p>
        </w:tc>
      </w:tr>
      <w:tr>
        <w:trPr>
          <w:trHeight w:val="212"/>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Standby letters of credit</w:t>
            </w: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35,464</w:t>
            </w:r>
          </w:p>
        </w:tc>
        <w:tc>
          <w:tcPr>
            <w:tcW w:w="1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43,996</w:t>
            </w:r>
          </w:p>
        </w:tc>
      </w:tr>
      <w:tr>
        <w:trPr>
          <w:trHeight w:val="208"/>
        </w:trPr>
        <w:tc>
          <w:tcPr>
            <w:tcW w:w="8020" w:type="dxa"/>
            <w:vAlign w:val="bottom"/>
          </w:tcPr>
          <w:p>
            <w:pPr>
              <w:ind w:left="20"/>
              <w:spacing w:after="0"/>
              <w:rPr>
                <w:sz w:val="20"/>
                <w:szCs w:val="20"/>
                <w:color w:val="auto"/>
              </w:rPr>
            </w:pPr>
            <w:r>
              <w:rPr>
                <w:rFonts w:ascii="Verdana" w:cs="Verdana" w:eastAsia="Verdana" w:hAnsi="Verdana"/>
                <w:sz w:val="14"/>
                <w:szCs w:val="14"/>
                <w:color w:val="auto"/>
              </w:rPr>
              <w:t>Total commitments</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2,548,178</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2,176,496</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Legal Matters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4" w:name="page155"/>
    <w:bookmarkEnd w:id="15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Franchise Tax Matter</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In 2021, Busey received an inquiry from the Illinois Secretary Of State, pursuant to which the Illinois Secretary Of State asked for additional information regarding certain of Busey’s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delivered additional BCA forms requested by the Illinois Secretary Of State,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Busey to pay additional taxes, including potential penalties and interest, or make other expenditures or accrue liabilities in amounts that could not be reasonably estimated as of December 31, 2024. If the likelihood of potential liabilities elevates, requiring an accrual, the potential future liabilities could be material in the period(s) in which they are recorded.</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19. DERIVATIVE FINANCIAL INSTRUMENTS</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 xml:space="preserve">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20. Fair Value Measurements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for further discussion of the fair value measurement of such derivatives.</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To secure its obligations under derivative contracts, Busey pledged cash and held collateral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6"/>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Cash pledged to secure obligations under derivative contracts</w:t>
            </w:r>
          </w:p>
        </w:tc>
        <w:tc>
          <w:tcPr>
            <w:tcW w:w="980" w:type="dxa"/>
            <w:vAlign w:val="bottom"/>
            <w:shd w:val="clear" w:color="auto" w:fill="E0E7ED"/>
          </w:tcPr>
          <w:p>
            <w:pPr>
              <w:jc w:val="right"/>
              <w:ind w:right="820"/>
              <w:spacing w:after="0"/>
              <w:rPr>
                <w:sz w:val="20"/>
                <w:szCs w:val="20"/>
                <w:color w:val="auto"/>
              </w:rPr>
            </w:pPr>
            <w:r>
              <w:rPr>
                <w:rFonts w:ascii="Verdana" w:cs="Verdana" w:eastAsia="Verdana" w:hAnsi="Verdana"/>
                <w:sz w:val="14"/>
                <w:szCs w:val="14"/>
                <w:color w:val="auto"/>
                <w:w w:val="88"/>
              </w:rPr>
              <w:t>$</w:t>
            </w:r>
          </w:p>
        </w:tc>
        <w:tc>
          <w:tcPr>
            <w:tcW w:w="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21,900</w:t>
            </w:r>
          </w:p>
        </w:tc>
        <w:tc>
          <w:tcPr>
            <w:tcW w:w="100" w:type="dxa"/>
            <w:vAlign w:val="bottom"/>
            <w:shd w:val="clear" w:color="auto" w:fill="E0E7ED"/>
          </w:tcPr>
          <w:p>
            <w:pPr>
              <w:spacing w:after="0"/>
              <w:rPr>
                <w:sz w:val="18"/>
                <w:szCs w:val="18"/>
                <w:color w:val="auto"/>
              </w:rPr>
            </w:pPr>
          </w:p>
        </w:tc>
        <w:tc>
          <w:tcPr>
            <w:tcW w:w="560" w:type="dxa"/>
            <w:vAlign w:val="bottom"/>
            <w:shd w:val="clear" w:color="auto" w:fill="E0E7ED"/>
          </w:tcPr>
          <w:p>
            <w:pPr>
              <w:jc w:val="right"/>
              <w:ind w:right="389"/>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34,210</w:t>
            </w:r>
          </w:p>
        </w:tc>
      </w:tr>
      <w:tr>
        <w:trPr>
          <w:trHeight w:val="201"/>
        </w:trPr>
        <w:tc>
          <w:tcPr>
            <w:tcW w:w="8020" w:type="dxa"/>
            <w:vAlign w:val="bottom"/>
          </w:tcPr>
          <w:p>
            <w:pPr>
              <w:ind w:left="20"/>
              <w:spacing w:after="0"/>
              <w:rPr>
                <w:sz w:val="20"/>
                <w:szCs w:val="20"/>
                <w:color w:val="auto"/>
              </w:rPr>
            </w:pPr>
            <w:r>
              <w:rPr>
                <w:rFonts w:ascii="Verdana" w:cs="Verdana" w:eastAsia="Verdana" w:hAnsi="Verdana"/>
                <w:sz w:val="14"/>
                <w:szCs w:val="14"/>
                <w:color w:val="auto"/>
              </w:rPr>
              <w:t>Collateral held to secure obligations under derivative contracts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Verdana" w:cs="Verdana" w:eastAsia="Verdana" w:hAnsi="Verdana"/>
                <w:sz w:val="14"/>
                <w:szCs w:val="14"/>
                <w:color w:val="auto"/>
              </w:rPr>
              <w:t>20,260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Verdana" w:cs="Verdana" w:eastAsia="Verdana" w:hAnsi="Verdana"/>
                <w:sz w:val="14"/>
                <w:szCs w:val="14"/>
                <w:color w:val="auto"/>
              </w:rPr>
              <w:t>19,280</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Derivative Instruments Designated as Hedges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5" w:name="page156"/>
    <w:bookmarkEnd w:id="15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Swaps Designated as Cash Flow Hedges</w:t>
      </w:r>
    </w:p>
    <w:p>
      <w:pPr>
        <w:spacing w:after="0" w:line="138"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Interest rate swaps with notional amounts totaling $500.0 million as of December 31, 2024, and $350.0 million as of December 31, 2023, were designated as cash flow hedges. Busey entered into a $300.0 million receive fixed pay floating interest rate swap to reduce Busey's asset sensitivity (“Prime Loan Swap”). Duration was added to Busey’s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in 2024 Busey entered into forward-starting SOFR-based receive-fixed pay-floating interest rate swaps totaling $200.0 million to reduce Busey’s asset sensitivity (“SOFR Loan Swaps”). These hedges were determined to be highly effective during the period, and Busey expects its hedges to remain highly effective during the remaining terms of the swaps. During 2024 an interest rate swap to hedge the risks of variability in cash flows for future interest payments attributable to changes in the 3-month CME Term SOFR benchmark interest rate on Busey’s junior subordinated debt owed to unconsolidated trusts (“Debt Swap”) matured. Changes in fair value were recorded net of tax in OCI.</w:t>
      </w:r>
    </w:p>
    <w:p>
      <w:pPr>
        <w:spacing w:after="0" w:line="127"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 summary of the interest-rate swaps designated as cash flow hedges is presented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1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29"/>
              <w:spacing w:after="0"/>
              <w:rPr>
                <w:sz w:val="20"/>
                <w:szCs w:val="20"/>
                <w:color w:val="auto"/>
              </w:rPr>
            </w:pPr>
            <w:r>
              <w:rPr>
                <w:rFonts w:ascii="Verdana" w:cs="Verdana" w:eastAsia="Verdana" w:hAnsi="Verdana"/>
                <w:sz w:val="10"/>
                <w:szCs w:val="10"/>
                <w:b w:val="1"/>
                <w:bCs w:val="1"/>
                <w:color w:val="auto"/>
              </w:rPr>
              <w:t>As of December 31,</w:t>
            </w:r>
          </w:p>
        </w:tc>
        <w:tc>
          <w:tcPr>
            <w:tcW w:w="1100" w:type="dxa"/>
            <w:vAlign w:val="bottom"/>
            <w:tcBorders>
              <w:bottom w:val="single" w:sz="8" w:color="auto"/>
            </w:tcBorders>
          </w:tcPr>
          <w:p>
            <w:pPr>
              <w:spacing w:after="0"/>
              <w:rPr>
                <w:sz w:val="11"/>
                <w:szCs w:val="11"/>
                <w:color w:val="auto"/>
              </w:rPr>
            </w:pPr>
          </w:p>
        </w:tc>
      </w:tr>
      <w:tr>
        <w:trPr>
          <w:trHeight w:val="133"/>
        </w:trPr>
        <w:tc>
          <w:tcPr>
            <w:tcW w:w="6140" w:type="dxa"/>
            <w:vAlign w:val="bottom"/>
          </w:tcPr>
          <w:p>
            <w:pPr>
              <w:spacing w:after="0"/>
              <w:rPr>
                <w:sz w:val="11"/>
                <w:szCs w:val="11"/>
                <w:color w:val="auto"/>
              </w:rPr>
            </w:pPr>
          </w:p>
        </w:tc>
        <w:tc>
          <w:tcPr>
            <w:tcW w:w="1640" w:type="dxa"/>
            <w:vAlign w:val="bottom"/>
            <w:gridSpan w:val="2"/>
          </w:tcPr>
          <w:p>
            <w:pPr>
              <w:ind w:left="540"/>
              <w:spacing w:after="0" w:line="113" w:lineRule="exact"/>
              <w:rPr>
                <w:sz w:val="20"/>
                <w:szCs w:val="20"/>
                <w:color w:val="auto"/>
              </w:rPr>
            </w:pPr>
            <w:r>
              <w:rPr>
                <w:rFonts w:ascii="Verdana" w:cs="Verdana" w:eastAsia="Verdana" w:hAnsi="Verdana"/>
                <w:sz w:val="10"/>
                <w:szCs w:val="10"/>
                <w:b w:val="1"/>
                <w:bCs w:val="1"/>
                <w:color w:val="auto"/>
              </w:rPr>
              <w:t>Location</w:t>
            </w:r>
          </w:p>
        </w:tc>
        <w:tc>
          <w:tcPr>
            <w:tcW w:w="420" w:type="dxa"/>
            <w:vAlign w:val="bottom"/>
          </w:tcPr>
          <w:p>
            <w:pPr>
              <w:spacing w:after="0"/>
              <w:rPr>
                <w:sz w:val="11"/>
                <w:szCs w:val="11"/>
                <w:color w:val="auto"/>
              </w:rPr>
            </w:pPr>
          </w:p>
        </w:tc>
        <w:tc>
          <w:tcPr>
            <w:tcW w:w="1300" w:type="dxa"/>
            <w:vAlign w:val="bottom"/>
          </w:tcPr>
          <w:p>
            <w:pPr>
              <w:jc w:val="right"/>
              <w:ind w:right="65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jc w:val="right"/>
              <w:ind w:right="651"/>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61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Debt Swap</w:t>
            </w:r>
          </w:p>
        </w:tc>
        <w:tc>
          <w:tcPr>
            <w:tcW w:w="15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420" w:type="dxa"/>
            <w:vAlign w:val="bottom"/>
            <w:tcBorders>
              <w:top w:val="single" w:sz="8" w:color="auto"/>
            </w:tcBorders>
            <w:shd w:val="clear" w:color="auto" w:fill="E0E7ED"/>
          </w:tcPr>
          <w:p>
            <w:pPr>
              <w:spacing w:after="0"/>
              <w:rPr>
                <w:sz w:val="17"/>
                <w:szCs w:val="17"/>
                <w:color w:val="auto"/>
              </w:rPr>
            </w:pPr>
          </w:p>
        </w:tc>
        <w:tc>
          <w:tcPr>
            <w:tcW w:w="13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600" w:type="dxa"/>
            <w:vAlign w:val="bottom"/>
            <w:tcBorders>
              <w:top w:val="single" w:sz="8" w:color="auto"/>
            </w:tcBorders>
            <w:shd w:val="clear" w:color="auto" w:fill="E0E7ED"/>
          </w:tcPr>
          <w:p>
            <w:pPr>
              <w:spacing w:after="0"/>
              <w:rPr>
                <w:sz w:val="17"/>
                <w:szCs w:val="17"/>
                <w:color w:val="auto"/>
              </w:rPr>
            </w:pPr>
          </w:p>
        </w:tc>
        <w:tc>
          <w:tcPr>
            <w:tcW w:w="1100" w:type="dxa"/>
            <w:vAlign w:val="bottom"/>
            <w:tcBorders>
              <w:top w:val="single" w:sz="8" w:color="auto"/>
            </w:tcBorders>
            <w:shd w:val="clear" w:color="auto" w:fill="E0E7ED"/>
          </w:tcPr>
          <w:p>
            <w:pPr>
              <w:spacing w:after="0"/>
              <w:rPr>
                <w:sz w:val="17"/>
                <w:szCs w:val="17"/>
                <w:color w:val="auto"/>
              </w:rPr>
            </w:pP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Notional amount</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8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50,000</w:t>
            </w: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rate: pay-fixed</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1.79 %</w:t>
            </w: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Weighted average variable 3-month Fallback Rate (SOFR) receive rates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Verdana" w:cs="Verdana" w:eastAsia="Verdana" w:hAnsi="Verdana"/>
                <w:sz w:val="14"/>
                <w:szCs w:val="14"/>
                <w:color w:val="auto"/>
              </w:rPr>
              <w:t>—</w:t>
            </w: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Verdana" w:cs="Verdana" w:eastAsia="Verdana" w:hAnsi="Verdana"/>
                <w:sz w:val="14"/>
                <w:szCs w:val="14"/>
                <w:color w:val="auto"/>
              </w:rPr>
              <w:t>5.61 %</w:t>
            </w: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maturity</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0.71 years</w:t>
            </w:r>
          </w:p>
        </w:tc>
      </w:tr>
      <w:tr>
        <w:trPr>
          <w:trHeight w:val="212"/>
        </w:trPr>
        <w:tc>
          <w:tcPr>
            <w:tcW w:w="6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61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Prime Loan Swap</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Notional amount</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2"/>
              <w:spacing w:after="0"/>
              <w:rPr>
                <w:sz w:val="20"/>
                <w:szCs w:val="20"/>
                <w:color w:val="auto"/>
              </w:rPr>
            </w:pPr>
            <w:r>
              <w:rPr>
                <w:rFonts w:ascii="Verdana" w:cs="Verdana" w:eastAsia="Verdana" w:hAnsi="Verdana"/>
                <w:sz w:val="14"/>
                <w:szCs w:val="14"/>
                <w:color w:val="auto"/>
              </w:rPr>
              <w:t>300,000</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300,000</w:t>
            </w: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rate: receive-fixed</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4.81 %</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4.81 %</w:t>
            </w: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Weighted average variable Prime pay rates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7.62 %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Verdana" w:cs="Verdana" w:eastAsia="Verdana" w:hAnsi="Verdana"/>
                <w:sz w:val="14"/>
                <w:szCs w:val="14"/>
                <w:color w:val="auto"/>
              </w:rPr>
              <w:t>8.50 %</w:t>
            </w: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maturity</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80" w:type="dxa"/>
            <w:vAlign w:val="bottom"/>
            <w:gridSpan w:val="2"/>
            <w:shd w:val="clear" w:color="auto" w:fill="E0E7ED"/>
          </w:tcPr>
          <w:p>
            <w:pPr>
              <w:ind w:left="520"/>
              <w:spacing w:after="0"/>
              <w:rPr>
                <w:sz w:val="20"/>
                <w:szCs w:val="20"/>
                <w:color w:val="auto"/>
              </w:rPr>
            </w:pPr>
            <w:r>
              <w:rPr>
                <w:rFonts w:ascii="Verdana" w:cs="Verdana" w:eastAsia="Verdana" w:hAnsi="Verdana"/>
                <w:sz w:val="14"/>
                <w:szCs w:val="14"/>
                <w:color w:val="auto"/>
              </w:rPr>
              <w:t>4.10 years</w:t>
            </w: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5.10 years</w:t>
            </w:r>
          </w:p>
        </w:tc>
      </w:tr>
      <w:tr>
        <w:trPr>
          <w:trHeight w:val="212"/>
        </w:trPr>
        <w:tc>
          <w:tcPr>
            <w:tcW w:w="6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61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SOFR Loan Swaps</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Notional amount</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2"/>
              <w:spacing w:after="0"/>
              <w:rPr>
                <w:sz w:val="20"/>
                <w:szCs w:val="20"/>
                <w:color w:val="auto"/>
              </w:rPr>
            </w:pPr>
            <w:r>
              <w:rPr>
                <w:rFonts w:ascii="Verdana" w:cs="Verdana" w:eastAsia="Verdana" w:hAnsi="Verdana"/>
                <w:sz w:val="14"/>
                <w:szCs w:val="14"/>
                <w:color w:val="auto"/>
              </w:rPr>
              <w:t>200,000</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w:t>
            </w: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Weighted average rate: receive-fixed</w:t>
            </w: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3.78 %</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w:t>
            </w: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Weighted average maturity</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gridSpan w:val="2"/>
          </w:tcPr>
          <w:p>
            <w:pPr>
              <w:ind w:left="520"/>
              <w:spacing w:after="0"/>
              <w:rPr>
                <w:sz w:val="20"/>
                <w:szCs w:val="20"/>
                <w:color w:val="auto"/>
              </w:rPr>
            </w:pPr>
            <w:r>
              <w:rPr>
                <w:rFonts w:ascii="Verdana" w:cs="Verdana" w:eastAsia="Verdana" w:hAnsi="Verdana"/>
                <w:sz w:val="14"/>
                <w:szCs w:val="14"/>
                <w:color w:val="auto"/>
              </w:rPr>
              <w:t>4.76 years</w:t>
            </w:r>
          </w:p>
        </w:tc>
        <w:tc>
          <w:tcPr>
            <w:tcW w:w="600" w:type="dxa"/>
            <w:vAlign w:val="bottom"/>
          </w:tcPr>
          <w:p>
            <w:pPr>
              <w:spacing w:after="0"/>
              <w:rPr>
                <w:sz w:val="17"/>
                <w:szCs w:val="17"/>
                <w:color w:val="auto"/>
              </w:rPr>
            </w:pP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w:t>
            </w:r>
          </w:p>
        </w:tc>
      </w:tr>
      <w:tr>
        <w:trPr>
          <w:trHeight w:val="218"/>
        </w:trPr>
        <w:tc>
          <w:tcPr>
            <w:tcW w:w="6140" w:type="dxa"/>
            <w:vAlign w:val="bottom"/>
            <w:shd w:val="clear" w:color="auto" w:fill="E0E7ED"/>
          </w:tcPr>
          <w:p>
            <w:pPr>
              <w:spacing w:after="0"/>
              <w:rPr>
                <w:sz w:val="18"/>
                <w:szCs w:val="18"/>
                <w:color w:val="auto"/>
              </w:rPr>
            </w:pP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r>
      <w:tr>
        <w:trPr>
          <w:trHeight w:val="207"/>
        </w:trPr>
        <w:tc>
          <w:tcPr>
            <w:tcW w:w="6140" w:type="dxa"/>
            <w:vAlign w:val="bottom"/>
          </w:tcPr>
          <w:p>
            <w:pPr>
              <w:ind w:left="20"/>
              <w:spacing w:after="0"/>
              <w:rPr>
                <w:sz w:val="20"/>
                <w:szCs w:val="20"/>
                <w:color w:val="auto"/>
              </w:rPr>
            </w:pPr>
            <w:r>
              <w:rPr>
                <w:rFonts w:ascii="Verdana" w:cs="Verdana" w:eastAsia="Verdana" w:hAnsi="Verdana"/>
                <w:sz w:val="14"/>
                <w:szCs w:val="14"/>
                <w:b w:val="1"/>
                <w:bCs w:val="1"/>
                <w:color w:val="auto"/>
              </w:rPr>
              <w:t>Gross aggregate fair value of the swaps</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Gross aggregate fair value of swap assets</w:t>
            </w:r>
          </w:p>
        </w:tc>
        <w:tc>
          <w:tcPr>
            <w:tcW w:w="16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assets</w:t>
            </w: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380" w:type="dxa"/>
            <w:vAlign w:val="bottom"/>
            <w:gridSpan w:val="2"/>
            <w:shd w:val="clear" w:color="auto" w:fill="E0E7ED"/>
          </w:tcPr>
          <w:p>
            <w:pPr>
              <w:jc w:val="right"/>
              <w:ind w:right="300"/>
              <w:spacing w:after="0"/>
              <w:rPr>
                <w:sz w:val="20"/>
                <w:szCs w:val="20"/>
                <w:color w:val="auto"/>
              </w:rPr>
            </w:pPr>
            <w:r>
              <w:rPr>
                <w:rFonts w:ascii="Verdana" w:cs="Verdana" w:eastAsia="Verdana" w:hAnsi="Verdana"/>
                <w:sz w:val="14"/>
                <w:szCs w:val="14"/>
                <w:color w:val="auto"/>
              </w:rPr>
              <w:t>—</w:t>
            </w:r>
          </w:p>
        </w:tc>
        <w:tc>
          <w:tcPr>
            <w:tcW w:w="600" w:type="dxa"/>
            <w:vAlign w:val="bottom"/>
            <w:shd w:val="clear" w:color="auto" w:fill="E0E7ED"/>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shd w:val="clear" w:color="auto" w:fill="E0E7ED"/>
          </w:tcPr>
          <w:p>
            <w:pPr>
              <w:jc w:val="right"/>
              <w:ind w:right="151"/>
              <w:spacing w:after="0"/>
              <w:rPr>
                <w:sz w:val="20"/>
                <w:szCs w:val="20"/>
                <w:color w:val="auto"/>
              </w:rPr>
            </w:pPr>
            <w:r>
              <w:rPr>
                <w:rFonts w:ascii="Verdana" w:cs="Verdana" w:eastAsia="Verdana" w:hAnsi="Verdana"/>
                <w:sz w:val="14"/>
                <w:szCs w:val="14"/>
                <w:color w:val="auto"/>
              </w:rPr>
              <w:t>1,293</w:t>
            </w:r>
          </w:p>
        </w:tc>
      </w:tr>
      <w:tr>
        <w:trPr>
          <w:trHeight w:val="207"/>
        </w:trPr>
        <w:tc>
          <w:tcPr>
            <w:tcW w:w="6140" w:type="dxa"/>
            <w:vAlign w:val="bottom"/>
          </w:tcPr>
          <w:p>
            <w:pPr>
              <w:ind w:left="140"/>
              <w:spacing w:after="0"/>
              <w:rPr>
                <w:sz w:val="20"/>
                <w:szCs w:val="20"/>
                <w:color w:val="auto"/>
              </w:rPr>
            </w:pPr>
            <w:r>
              <w:rPr>
                <w:rFonts w:ascii="Verdana" w:cs="Verdana" w:eastAsia="Verdana" w:hAnsi="Verdana"/>
                <w:sz w:val="14"/>
                <w:szCs w:val="14"/>
                <w:color w:val="auto"/>
              </w:rPr>
              <w:t>Gross aggregate fair value of swap liabilities</w:t>
            </w:r>
          </w:p>
        </w:tc>
        <w:tc>
          <w:tcPr>
            <w:tcW w:w="1640" w:type="dxa"/>
            <w:vAlign w:val="bottom"/>
            <w:gridSpan w:val="2"/>
          </w:tcPr>
          <w:p>
            <w:pPr>
              <w:ind w:left="20"/>
              <w:spacing w:after="0"/>
              <w:rPr>
                <w:sz w:val="20"/>
                <w:szCs w:val="20"/>
                <w:color w:val="auto"/>
              </w:rPr>
            </w:pPr>
            <w:r>
              <w:rPr>
                <w:rFonts w:ascii="Verdana" w:cs="Verdana" w:eastAsia="Verdana" w:hAnsi="Verdana"/>
                <w:sz w:val="14"/>
                <w:szCs w:val="14"/>
                <w:color w:val="auto"/>
              </w:rPr>
              <w:t>Other liabilities</w:t>
            </w:r>
          </w:p>
        </w:tc>
        <w:tc>
          <w:tcPr>
            <w:tcW w:w="420" w:type="dxa"/>
            <w:vAlign w:val="bottom"/>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tcPr>
          <w:p>
            <w:pPr>
              <w:jc w:val="right"/>
              <w:ind w:right="152"/>
              <w:spacing w:after="0"/>
              <w:rPr>
                <w:sz w:val="20"/>
                <w:szCs w:val="20"/>
                <w:color w:val="auto"/>
              </w:rPr>
            </w:pPr>
            <w:r>
              <w:rPr>
                <w:rFonts w:ascii="Verdana" w:cs="Verdana" w:eastAsia="Verdana" w:hAnsi="Verdana"/>
                <w:sz w:val="14"/>
                <w:szCs w:val="14"/>
                <w:color w:val="auto"/>
              </w:rPr>
              <w:t>27,770</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tcPr>
          <w:p>
            <w:pPr>
              <w:jc w:val="right"/>
              <w:ind w:right="151"/>
              <w:spacing w:after="0"/>
              <w:rPr>
                <w:sz w:val="20"/>
                <w:szCs w:val="20"/>
                <w:color w:val="auto"/>
              </w:rPr>
            </w:pPr>
            <w:r>
              <w:rPr>
                <w:rFonts w:ascii="Verdana" w:cs="Verdana" w:eastAsia="Verdana" w:hAnsi="Verdana"/>
                <w:sz w:val="14"/>
                <w:szCs w:val="14"/>
                <w:color w:val="auto"/>
              </w:rPr>
              <w:t>25,411</w:t>
            </w:r>
          </w:p>
        </w:tc>
      </w:tr>
      <w:tr>
        <w:trPr>
          <w:trHeight w:val="218"/>
        </w:trPr>
        <w:tc>
          <w:tcPr>
            <w:tcW w:w="6140" w:type="dxa"/>
            <w:vAlign w:val="bottom"/>
            <w:shd w:val="clear" w:color="auto" w:fill="E0E7ED"/>
          </w:tcPr>
          <w:p>
            <w:pPr>
              <w:spacing w:after="0"/>
              <w:rPr>
                <w:sz w:val="18"/>
                <w:szCs w:val="18"/>
                <w:color w:val="auto"/>
              </w:rPr>
            </w:pPr>
          </w:p>
        </w:tc>
        <w:tc>
          <w:tcPr>
            <w:tcW w:w="15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r>
      <w:tr>
        <w:trPr>
          <w:trHeight w:val="207"/>
        </w:trPr>
        <w:tc>
          <w:tcPr>
            <w:tcW w:w="6140" w:type="dxa"/>
            <w:vAlign w:val="bottom"/>
          </w:tcPr>
          <w:p>
            <w:pPr>
              <w:ind w:left="20"/>
              <w:spacing w:after="0"/>
              <w:rPr>
                <w:sz w:val="20"/>
                <w:szCs w:val="20"/>
                <w:color w:val="auto"/>
              </w:rPr>
            </w:pPr>
            <w:r>
              <w:rPr>
                <w:rFonts w:ascii="Verdana" w:cs="Verdana" w:eastAsia="Verdana" w:hAnsi="Verdana"/>
                <w:sz w:val="14"/>
                <w:szCs w:val="14"/>
                <w:b w:val="1"/>
                <w:bCs w:val="1"/>
                <w:color w:val="auto"/>
              </w:rPr>
              <w:t>Balances carried in AOCI</w:t>
            </w: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8"/>
        </w:trPr>
        <w:tc>
          <w:tcPr>
            <w:tcW w:w="61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Unrealized gains (losses) on cash flow hedges, net of tax</w:t>
            </w:r>
          </w:p>
        </w:tc>
        <w:tc>
          <w:tcPr>
            <w:tcW w:w="16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AOCI</w:t>
            </w:r>
          </w:p>
        </w:tc>
        <w:tc>
          <w:tcPr>
            <w:tcW w:w="420" w:type="dxa"/>
            <w:vAlign w:val="bottom"/>
            <w:shd w:val="clear" w:color="auto" w:fill="E0E7ED"/>
          </w:tcPr>
          <w:p>
            <w:pPr>
              <w:jc w:val="right"/>
              <w:ind w:right="249"/>
              <w:spacing w:after="0"/>
              <w:rPr>
                <w:sz w:val="20"/>
                <w:szCs w:val="20"/>
                <w:color w:val="auto"/>
              </w:rPr>
            </w:pPr>
            <w:r>
              <w:rPr>
                <w:rFonts w:ascii="Verdana" w:cs="Verdana" w:eastAsia="Verdana" w:hAnsi="Verdana"/>
                <w:sz w:val="14"/>
                <w:szCs w:val="14"/>
                <w:color w:val="auto"/>
                <w:w w:val="88"/>
              </w:rPr>
              <w:t>$</w:t>
            </w:r>
          </w:p>
        </w:tc>
        <w:tc>
          <w:tcPr>
            <w:tcW w:w="1300" w:type="dxa"/>
            <w:vAlign w:val="bottom"/>
            <w:shd w:val="clear" w:color="auto" w:fill="E0E7ED"/>
          </w:tcPr>
          <w:p>
            <w:pPr>
              <w:jc w:val="right"/>
              <w:ind w:right="112"/>
              <w:spacing w:after="0"/>
              <w:rPr>
                <w:sz w:val="20"/>
                <w:szCs w:val="20"/>
                <w:color w:val="auto"/>
              </w:rPr>
            </w:pPr>
            <w:r>
              <w:rPr>
                <w:rFonts w:ascii="Verdana" w:cs="Verdana" w:eastAsia="Verdana" w:hAnsi="Verdana"/>
                <w:sz w:val="14"/>
                <w:szCs w:val="14"/>
                <w:color w:val="auto"/>
              </w:rPr>
              <w:t>(19,805)</w:t>
            </w:r>
          </w:p>
        </w:tc>
        <w:tc>
          <w:tcPr>
            <w:tcW w:w="80" w:type="dxa"/>
            <w:vAlign w:val="bottom"/>
            <w:shd w:val="clear" w:color="auto" w:fill="E0E7ED"/>
          </w:tcPr>
          <w:p>
            <w:pPr>
              <w:spacing w:after="0"/>
              <w:rPr>
                <w:sz w:val="18"/>
                <w:szCs w:val="18"/>
                <w:color w:val="auto"/>
              </w:rPr>
            </w:pPr>
          </w:p>
        </w:tc>
        <w:tc>
          <w:tcPr>
            <w:tcW w:w="600" w:type="dxa"/>
            <w:vAlign w:val="bottom"/>
            <w:shd w:val="clear" w:color="auto" w:fill="E0E7ED"/>
          </w:tcPr>
          <w:p>
            <w:pPr>
              <w:jc w:val="right"/>
              <w:ind w:right="429"/>
              <w:spacing w:after="0"/>
              <w:rPr>
                <w:sz w:val="20"/>
                <w:szCs w:val="20"/>
                <w:color w:val="auto"/>
              </w:rPr>
            </w:pPr>
            <w:r>
              <w:rPr>
                <w:rFonts w:ascii="Verdana" w:cs="Verdana" w:eastAsia="Verdana" w:hAnsi="Verdana"/>
                <w:sz w:val="14"/>
                <w:szCs w:val="14"/>
                <w:color w:val="auto"/>
                <w:w w:val="88"/>
              </w:rPr>
              <w:t>$</w:t>
            </w:r>
          </w:p>
        </w:tc>
        <w:tc>
          <w:tcPr>
            <w:tcW w:w="1100" w:type="dxa"/>
            <w:vAlign w:val="bottom"/>
            <w:shd w:val="clear" w:color="auto" w:fill="E0E7ED"/>
          </w:tcPr>
          <w:p>
            <w:pPr>
              <w:jc w:val="right"/>
              <w:ind w:right="91"/>
              <w:spacing w:after="0"/>
              <w:rPr>
                <w:sz w:val="20"/>
                <w:szCs w:val="20"/>
                <w:color w:val="auto"/>
              </w:rPr>
            </w:pPr>
            <w:r>
              <w:rPr>
                <w:rFonts w:ascii="Verdana" w:cs="Verdana" w:eastAsia="Verdana" w:hAnsi="Verdana"/>
                <w:sz w:val="14"/>
                <w:szCs w:val="14"/>
                <w:color w:val="auto"/>
              </w:rPr>
              <w:t>(16,694)</w:t>
            </w: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6" w:name="page157"/>
    <w:bookmarkEnd w:id="15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Busey expects to reclassify unrealized gains and losses from OCI to interest income and interest expense as shown in the following table, during the next 12 months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 Amounts actually recognized could differ from these expectations due to changes in interest rates, hedge de-designations, and the addition of other hedges subsequent to December 31, 2024.</w:t>
      </w:r>
    </w:p>
    <w:p>
      <w:pPr>
        <w:spacing w:after="0" w:line="113" w:lineRule="exact"/>
        <w:rPr>
          <w:sz w:val="20"/>
          <w:szCs w:val="20"/>
          <w:color w:val="auto"/>
        </w:rPr>
      </w:pPr>
    </w:p>
    <w:p>
      <w:pPr>
        <w:jc w:val="center"/>
        <w:ind w:left="9640"/>
        <w:spacing w:after="0"/>
        <w:rPr>
          <w:sz w:val="20"/>
          <w:szCs w:val="20"/>
          <w:color w:val="auto"/>
        </w:rPr>
      </w:pPr>
      <w:r>
        <w:rPr>
          <w:rFonts w:ascii="Verdana" w:cs="Verdana" w:eastAsia="Verdana" w:hAnsi="Verdana"/>
          <w:sz w:val="10"/>
          <w:szCs w:val="10"/>
          <w:b w:val="1"/>
          <w:bCs w:val="1"/>
          <w:color w:val="auto"/>
        </w:rPr>
        <w:t>As of</w:t>
      </w:r>
    </w:p>
    <w:p>
      <w:pPr>
        <w:jc w:val="center"/>
        <w:ind w:left="9680"/>
        <w:spacing w:after="0"/>
        <w:rPr>
          <w:sz w:val="20"/>
          <w:szCs w:val="20"/>
          <w:color w:val="auto"/>
        </w:rPr>
      </w:pPr>
      <w:r>
        <w:rPr>
          <w:rFonts w:ascii="Verdana" w:cs="Verdana" w:eastAsia="Verdana" w:hAnsi="Verdana"/>
          <w:sz w:val="10"/>
          <w:szCs w:val="10"/>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41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9680" w:val="left"/>
          <w:tab w:leader="none" w:pos="10840" w:val="left"/>
        </w:tabs>
        <w:rPr>
          <w:sz w:val="20"/>
          <w:szCs w:val="20"/>
          <w:color w:val="auto"/>
        </w:rPr>
      </w:pPr>
      <w:r>
        <w:rPr>
          <w:rFonts w:ascii="Verdana" w:cs="Verdana" w:eastAsia="Verdana" w:hAnsi="Verdana"/>
          <w:sz w:val="14"/>
          <w:szCs w:val="14"/>
          <w:color w:val="auto"/>
        </w:rPr>
        <w:t>Unrealized losses expected to be reclassified from OCI to interest income</w:t>
      </w:r>
      <w:r>
        <w:rPr>
          <w:sz w:val="20"/>
          <w:szCs w:val="20"/>
          <w:color w:val="auto"/>
        </w:rPr>
        <w:tab/>
      </w:r>
      <w:r>
        <w:rPr>
          <w:rFonts w:ascii="Verdana" w:cs="Verdana" w:eastAsia="Verdana" w:hAnsi="Verdana"/>
          <w:sz w:val="14"/>
          <w:szCs w:val="14"/>
          <w:color w:val="auto"/>
        </w:rPr>
        <w:t>$</w:t>
      </w:r>
      <w:r>
        <w:rPr>
          <w:sz w:val="20"/>
          <w:szCs w:val="20"/>
          <w:color w:val="auto"/>
        </w:rPr>
        <w:tab/>
      </w:r>
      <w:r>
        <w:rPr>
          <w:rFonts w:ascii="Verdana" w:cs="Verdana" w:eastAsia="Verdana" w:hAnsi="Verdana"/>
          <w:sz w:val="14"/>
          <w:szCs w:val="14"/>
          <w:color w:val="auto"/>
        </w:rPr>
        <w:t>(725)</w:t>
      </w:r>
    </w:p>
    <w:p>
      <w:pPr>
        <w:spacing w:after="0" w:line="233"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Interest income (expense) recorded on swap transactions was as follows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on swap transactions</w:t>
            </w:r>
          </w:p>
        </w:tc>
        <w:tc>
          <w:tcPr>
            <w:tcW w:w="940" w:type="dxa"/>
            <w:vAlign w:val="bottom"/>
            <w:shd w:val="clear" w:color="auto" w:fill="E0E7ED"/>
          </w:tcPr>
          <w:p>
            <w:pPr>
              <w:spacing w:after="0"/>
              <w:rPr>
                <w:sz w:val="17"/>
                <w:szCs w:val="17"/>
                <w:color w:val="auto"/>
              </w:rPr>
            </w:pPr>
          </w:p>
        </w:tc>
        <w:tc>
          <w:tcPr>
            <w:tcW w:w="6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Increase (decrease) in interest income on swap transactions</w:t>
            </w:r>
          </w:p>
        </w:tc>
        <w:tc>
          <w:tcPr>
            <w:tcW w:w="940" w:type="dxa"/>
            <w:vAlign w:val="bottom"/>
          </w:tcPr>
          <w:p>
            <w:pPr>
              <w:jc w:val="right"/>
              <w:ind w:right="776"/>
              <w:spacing w:after="0"/>
              <w:rPr>
                <w:sz w:val="20"/>
                <w:szCs w:val="20"/>
                <w:color w:val="auto"/>
              </w:rPr>
            </w:pPr>
            <w:r>
              <w:rPr>
                <w:rFonts w:ascii="Verdana" w:cs="Verdana" w:eastAsia="Verdana" w:hAnsi="Verdana"/>
                <w:sz w:val="14"/>
                <w:szCs w:val="14"/>
                <w:color w:val="auto"/>
                <w:w w:val="88"/>
              </w:rPr>
              <w:t>$</w:t>
            </w:r>
          </w:p>
        </w:tc>
        <w:tc>
          <w:tcPr>
            <w:tcW w:w="660" w:type="dxa"/>
            <w:vAlign w:val="bottom"/>
          </w:tcPr>
          <w:p>
            <w:pPr>
              <w:jc w:val="right"/>
              <w:spacing w:after="0"/>
              <w:rPr>
                <w:sz w:val="20"/>
                <w:szCs w:val="20"/>
                <w:color w:val="auto"/>
              </w:rPr>
            </w:pPr>
            <w:r>
              <w:rPr>
                <w:rFonts w:ascii="Verdana" w:cs="Verdana" w:eastAsia="Verdana" w:hAnsi="Verdana"/>
                <w:sz w:val="14"/>
                <w:szCs w:val="14"/>
                <w:color w:val="auto"/>
                <w:w w:val="96"/>
              </w:rPr>
              <w:t>(10,669)</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(10,326)</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(553)</w:t>
            </w: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(Increase) decrease in interest expense on swap transactions</w:t>
            </w:r>
          </w:p>
        </w:tc>
        <w:tc>
          <w:tcPr>
            <w:tcW w:w="940" w:type="dxa"/>
            <w:vAlign w:val="bottom"/>
            <w:tcBorders>
              <w:bottom w:val="single" w:sz="8" w:color="auto"/>
            </w:tcBorders>
            <w:shd w:val="clear" w:color="auto" w:fill="E0E7ED"/>
          </w:tcPr>
          <w:p>
            <w:pPr>
              <w:spacing w:after="0"/>
              <w:rPr>
                <w:sz w:val="18"/>
                <w:szCs w:val="18"/>
                <w:color w:val="auto"/>
              </w:rPr>
            </w:pPr>
          </w:p>
        </w:tc>
        <w:tc>
          <w:tcPr>
            <w:tcW w:w="66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1,378</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1,757</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(30)</w:t>
            </w:r>
          </w:p>
        </w:tc>
      </w:tr>
      <w:tr>
        <w:trPr>
          <w:trHeight w:val="197"/>
        </w:trPr>
        <w:tc>
          <w:tcPr>
            <w:tcW w:w="6340" w:type="dxa"/>
            <w:vAlign w:val="bottom"/>
          </w:tcPr>
          <w:p>
            <w:pPr>
              <w:ind w:left="20"/>
              <w:spacing w:after="0"/>
              <w:rPr>
                <w:sz w:val="20"/>
                <w:szCs w:val="20"/>
                <w:color w:val="auto"/>
              </w:rPr>
            </w:pPr>
            <w:r>
              <w:rPr>
                <w:rFonts w:ascii="Verdana" w:cs="Verdana" w:eastAsia="Verdana" w:hAnsi="Verdana"/>
                <w:sz w:val="14"/>
                <w:szCs w:val="14"/>
                <w:color w:val="auto"/>
              </w:rPr>
              <w:t>Net increase (decrease) in net interest income on swap transactions</w:t>
            </w:r>
          </w:p>
        </w:tc>
        <w:tc>
          <w:tcPr>
            <w:tcW w:w="940" w:type="dxa"/>
            <w:vAlign w:val="bottom"/>
          </w:tcPr>
          <w:p>
            <w:pPr>
              <w:jc w:val="right"/>
              <w:ind w:right="776"/>
              <w:spacing w:after="0"/>
              <w:rPr>
                <w:sz w:val="20"/>
                <w:szCs w:val="20"/>
                <w:color w:val="auto"/>
              </w:rPr>
            </w:pPr>
            <w:r>
              <w:rPr>
                <w:rFonts w:ascii="Verdana" w:cs="Verdana" w:eastAsia="Verdana" w:hAnsi="Verdana"/>
                <w:sz w:val="14"/>
                <w:szCs w:val="14"/>
                <w:color w:val="auto"/>
                <w:w w:val="88"/>
              </w:rPr>
              <w:t>$</w:t>
            </w:r>
          </w:p>
        </w:tc>
        <w:tc>
          <w:tcPr>
            <w:tcW w:w="660" w:type="dxa"/>
            <w:vAlign w:val="bottom"/>
          </w:tcPr>
          <w:p>
            <w:pPr>
              <w:jc w:val="right"/>
              <w:spacing w:after="0"/>
              <w:rPr>
                <w:sz w:val="20"/>
                <w:szCs w:val="20"/>
                <w:color w:val="auto"/>
              </w:rPr>
            </w:pPr>
            <w:r>
              <w:rPr>
                <w:rFonts w:ascii="Verdana" w:cs="Verdana" w:eastAsia="Verdana" w:hAnsi="Verdana"/>
                <w:sz w:val="14"/>
                <w:szCs w:val="14"/>
                <w:color w:val="auto"/>
              </w:rPr>
              <w:t>(9,291)</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(8,569)</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(583)</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following table reflects the net gains (losses) recorded in AOCI and the </w:t>
      </w:r>
      <w:r>
        <w:rPr>
          <w:rFonts w:ascii="Verdana" w:cs="Verdana" w:eastAsia="Verdana" w:hAnsi="Verdana"/>
          <w:sz w:val="14"/>
          <w:szCs w:val="14"/>
          <w:u w:val="single" w:color="auto"/>
          <w:color w:val="0000FF"/>
        </w:rPr>
        <w:t>Consolidated Statements of Comprehensive Income</w:t>
      </w:r>
      <w:r>
        <w:rPr>
          <w:rFonts w:ascii="Verdana" w:cs="Verdana" w:eastAsia="Verdana" w:hAnsi="Verdana"/>
          <w:sz w:val="14"/>
          <w:szCs w:val="14"/>
          <w:color w:val="auto"/>
        </w:rPr>
        <w:t xml:space="preserve"> relating to cash flow derivative instruments for the periods presented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0"/>
                <w:szCs w:val="10"/>
                <w:b w:val="1"/>
                <w:bCs w:val="1"/>
                <w:color w:val="auto"/>
                <w:w w:val="99"/>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4"/>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Unrealized gains (losses) on cash flow hedges</w:t>
            </w:r>
          </w:p>
        </w:tc>
        <w:tc>
          <w:tcPr>
            <w:tcW w:w="940" w:type="dxa"/>
            <w:vAlign w:val="bottom"/>
            <w:shd w:val="clear" w:color="auto" w:fill="E0E7ED"/>
          </w:tcPr>
          <w:p>
            <w:pPr>
              <w:spacing w:after="0"/>
              <w:rPr>
                <w:sz w:val="17"/>
                <w:szCs w:val="17"/>
                <w:color w:val="auto"/>
              </w:rPr>
            </w:pPr>
          </w:p>
        </w:tc>
        <w:tc>
          <w:tcPr>
            <w:tcW w:w="66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Net gain (loss) recognized in OCI, net of tax</w:t>
            </w:r>
          </w:p>
        </w:tc>
        <w:tc>
          <w:tcPr>
            <w:tcW w:w="940" w:type="dxa"/>
            <w:vAlign w:val="bottom"/>
          </w:tcPr>
          <w:p>
            <w:pPr>
              <w:jc w:val="right"/>
              <w:ind w:right="776"/>
              <w:spacing w:after="0"/>
              <w:rPr>
                <w:sz w:val="20"/>
                <w:szCs w:val="20"/>
                <w:color w:val="auto"/>
              </w:rPr>
            </w:pPr>
            <w:r>
              <w:rPr>
                <w:rFonts w:ascii="Verdana" w:cs="Verdana" w:eastAsia="Verdana" w:hAnsi="Verdana"/>
                <w:sz w:val="14"/>
                <w:szCs w:val="14"/>
                <w:color w:val="auto"/>
                <w:w w:val="88"/>
              </w:rPr>
              <w:t>$</w:t>
            </w:r>
          </w:p>
        </w:tc>
        <w:tc>
          <w:tcPr>
            <w:tcW w:w="660" w:type="dxa"/>
            <w:vAlign w:val="bottom"/>
          </w:tcPr>
          <w:p>
            <w:pPr>
              <w:jc w:val="right"/>
              <w:spacing w:after="0"/>
              <w:rPr>
                <w:sz w:val="20"/>
                <w:szCs w:val="20"/>
                <w:color w:val="auto"/>
              </w:rPr>
            </w:pPr>
            <w:r>
              <w:rPr>
                <w:rFonts w:ascii="Verdana" w:cs="Verdana" w:eastAsia="Verdana" w:hAnsi="Verdana"/>
                <w:sz w:val="14"/>
                <w:szCs w:val="14"/>
                <w:color w:val="auto"/>
                <w:w w:val="96"/>
              </w:rPr>
              <w:t>(10,790)</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center"/>
              <w:ind w:left="554"/>
              <w:spacing w:after="0"/>
              <w:rPr>
                <w:sz w:val="20"/>
                <w:szCs w:val="20"/>
                <w:color w:val="auto"/>
              </w:rPr>
            </w:pPr>
            <w:r>
              <w:rPr>
                <w:rFonts w:ascii="Verdana" w:cs="Verdana" w:eastAsia="Verdana" w:hAnsi="Verdana"/>
                <w:sz w:val="14"/>
                <w:szCs w:val="14"/>
                <w:color w:val="auto"/>
              </w:rPr>
              <w:t>(1,835)</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(20,717)</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(Gain) loss reclassified from OCI to interest income, net of tax</w:t>
            </w:r>
          </w:p>
        </w:tc>
        <w:tc>
          <w:tcPr>
            <w:tcW w:w="940" w:type="dxa"/>
            <w:vAlign w:val="bottom"/>
            <w:shd w:val="clear" w:color="auto" w:fill="E0E7ED"/>
          </w:tcPr>
          <w:p>
            <w:pPr>
              <w:spacing w:after="0"/>
              <w:rPr>
                <w:sz w:val="18"/>
                <w:szCs w:val="18"/>
                <w:color w:val="auto"/>
              </w:rPr>
            </w:pPr>
          </w:p>
        </w:tc>
        <w:tc>
          <w:tcPr>
            <w:tcW w:w="66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8,818</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center"/>
              <w:ind w:left="594"/>
              <w:spacing w:after="0"/>
              <w:rPr>
                <w:sz w:val="20"/>
                <w:szCs w:val="20"/>
                <w:color w:val="auto"/>
              </w:rPr>
            </w:pPr>
            <w:r>
              <w:rPr>
                <w:rFonts w:ascii="Verdana" w:cs="Verdana" w:eastAsia="Verdana" w:hAnsi="Verdana"/>
                <w:sz w:val="14"/>
                <w:szCs w:val="14"/>
                <w:color w:val="auto"/>
              </w:rPr>
              <w:t>7,382</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395</w:t>
            </w: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(Gain) loss reclassified from OCI to interest expense, net of tax</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(1,139)</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554"/>
              <w:spacing w:after="0"/>
              <w:rPr>
                <w:sz w:val="20"/>
                <w:szCs w:val="20"/>
                <w:color w:val="auto"/>
              </w:rPr>
            </w:pPr>
            <w:r>
              <w:rPr>
                <w:rFonts w:ascii="Verdana" w:cs="Verdana" w:eastAsia="Verdana" w:hAnsi="Verdana"/>
                <w:sz w:val="14"/>
                <w:szCs w:val="14"/>
                <w:color w:val="auto"/>
              </w:rPr>
              <w:t>(1,256)</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w:t>
            </w: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change in unrealized gains (losses) on cash flow hedges, net of tax</w:t>
            </w:r>
          </w:p>
        </w:tc>
        <w:tc>
          <w:tcPr>
            <w:tcW w:w="940" w:type="dxa"/>
            <w:vAlign w:val="bottom"/>
            <w:tcBorders>
              <w:bottom w:val="single" w:sz="8" w:color="auto"/>
            </w:tcBorders>
            <w:shd w:val="clear" w:color="auto" w:fill="E0E7ED"/>
          </w:tcPr>
          <w:p>
            <w:pPr>
              <w:jc w:val="right"/>
              <w:ind w:right="776"/>
              <w:spacing w:after="0"/>
              <w:rPr>
                <w:sz w:val="20"/>
                <w:szCs w:val="20"/>
                <w:color w:val="auto"/>
              </w:rPr>
            </w:pPr>
            <w:r>
              <w:rPr>
                <w:rFonts w:ascii="Verdana" w:cs="Verdana" w:eastAsia="Verdana" w:hAnsi="Verdana"/>
                <w:sz w:val="14"/>
                <w:szCs w:val="14"/>
                <w:color w:val="auto"/>
                <w:w w:val="88"/>
              </w:rPr>
              <w:t>$</w:t>
            </w:r>
          </w:p>
        </w:tc>
        <w:tc>
          <w:tcPr>
            <w:tcW w:w="6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(3,111)</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center"/>
              <w:ind w:left="594"/>
              <w:spacing w:after="0"/>
              <w:rPr>
                <w:sz w:val="20"/>
                <w:szCs w:val="20"/>
                <w:color w:val="auto"/>
              </w:rPr>
            </w:pPr>
            <w:r>
              <w:rPr>
                <w:rFonts w:ascii="Verdana" w:cs="Verdana" w:eastAsia="Verdana" w:hAnsi="Verdana"/>
                <w:sz w:val="14"/>
                <w:szCs w:val="14"/>
                <w:color w:val="auto"/>
              </w:rPr>
              <w:t>4,291</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(20,300)</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6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Derivative Instruments Not Designated as Hedges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Swaps Not Designated as Hedges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may offer derivative contracts to its customers in connection with their risk management needs. Busey manages the risk associated with these contracts by entering into equal and offsetting derivative agreements with a third-party dealer. These contracts supported variable rate, commercial loan relationships totaling $719.2 million and $663.1 million as of December 31, 2024 and 2023, respectively.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7" w:name="page158"/>
    <w:bookmarkEnd w:id="15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Amounts and fair values of derivative assets and liabilities related to customer interest rate swaps recorded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0" w:type="dxa"/>
            <w:vAlign w:val="bottom"/>
            <w:gridSpan w:val="5"/>
          </w:tcPr>
          <w:p>
            <w:pPr>
              <w:ind w:left="600"/>
              <w:spacing w:after="0"/>
              <w:rPr>
                <w:sz w:val="20"/>
                <w:szCs w:val="20"/>
                <w:color w:val="auto"/>
              </w:rPr>
            </w:pPr>
            <w:r>
              <w:rPr>
                <w:rFonts w:ascii="Verdana" w:cs="Verdana" w:eastAsia="Verdana" w:hAnsi="Verdana"/>
                <w:sz w:val="10"/>
                <w:szCs w:val="10"/>
                <w:b w:val="1"/>
                <w:bCs w:val="1"/>
                <w:color w:val="auto"/>
              </w:rPr>
              <w:t>As of December 31, 2024</w:t>
            </w:r>
          </w:p>
        </w:tc>
        <w:tc>
          <w:tcPr>
            <w:tcW w:w="340" w:type="dxa"/>
            <w:vAlign w:val="bottom"/>
          </w:tcPr>
          <w:p>
            <w:pPr>
              <w:spacing w:after="0"/>
              <w:rPr>
                <w:sz w:val="11"/>
                <w:szCs w:val="11"/>
                <w:color w:val="auto"/>
              </w:rPr>
            </w:pPr>
          </w:p>
        </w:tc>
        <w:tc>
          <w:tcPr>
            <w:tcW w:w="2920" w:type="dxa"/>
            <w:vAlign w:val="bottom"/>
            <w:gridSpan w:val="4"/>
          </w:tcPr>
          <w:p>
            <w:pPr>
              <w:ind w:left="600"/>
              <w:spacing w:after="0"/>
              <w:rPr>
                <w:sz w:val="20"/>
                <w:szCs w:val="20"/>
                <w:color w:val="auto"/>
              </w:rPr>
            </w:pPr>
            <w:r>
              <w:rPr>
                <w:rFonts w:ascii="Verdana" w:cs="Verdana" w:eastAsia="Verdana" w:hAnsi="Verdana"/>
                <w:sz w:val="10"/>
                <w:szCs w:val="10"/>
                <w:b w:val="1"/>
                <w:bCs w:val="1"/>
                <w:color w:val="auto"/>
              </w:rPr>
              <w:t>As of December 31, 2023</w:t>
            </w:r>
          </w:p>
        </w:tc>
        <w:tc>
          <w:tcPr>
            <w:tcW w:w="0" w:type="dxa"/>
            <w:vAlign w:val="bottom"/>
          </w:tcPr>
          <w:p>
            <w:pPr>
              <w:spacing w:after="0"/>
              <w:rPr>
                <w:sz w:val="1"/>
                <w:szCs w:val="1"/>
                <w:color w:val="auto"/>
              </w:rPr>
            </w:pPr>
          </w:p>
        </w:tc>
      </w:tr>
      <w:tr>
        <w:trPr>
          <w:trHeight w:val="93"/>
        </w:trPr>
        <w:tc>
          <w:tcPr>
            <w:tcW w:w="3020" w:type="dxa"/>
            <w:vAlign w:val="bottom"/>
          </w:tcPr>
          <w:p>
            <w:pPr>
              <w:spacing w:after="0"/>
              <w:rPr>
                <w:sz w:val="8"/>
                <w:szCs w:val="8"/>
                <w:color w:val="auto"/>
              </w:rPr>
            </w:pPr>
          </w:p>
        </w:tc>
        <w:tc>
          <w:tcPr>
            <w:tcW w:w="1680" w:type="dxa"/>
            <w:vAlign w:val="bottom"/>
            <w:gridSpan w:val="2"/>
            <w:vMerge w:val="restart"/>
          </w:tcPr>
          <w:p>
            <w:pPr>
              <w:ind w:left="560"/>
              <w:spacing w:after="0"/>
              <w:rPr>
                <w:sz w:val="20"/>
                <w:szCs w:val="20"/>
                <w:color w:val="auto"/>
              </w:rPr>
            </w:pPr>
            <w:r>
              <w:rPr>
                <w:rFonts w:ascii="Verdana" w:cs="Verdana" w:eastAsia="Verdana" w:hAnsi="Verdana"/>
                <w:sz w:val="10"/>
                <w:szCs w:val="10"/>
                <w:b w:val="1"/>
                <w:bCs w:val="1"/>
                <w:color w:val="auto"/>
              </w:rPr>
              <w:t>Location</w:t>
            </w:r>
          </w:p>
        </w:tc>
        <w:tc>
          <w:tcPr>
            <w:tcW w:w="3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ind w:left="240"/>
              <w:spacing w:after="0" w:line="94" w:lineRule="exact"/>
              <w:rPr>
                <w:sz w:val="20"/>
                <w:szCs w:val="20"/>
                <w:color w:val="auto"/>
              </w:rPr>
            </w:pPr>
            <w:r>
              <w:rPr>
                <w:rFonts w:ascii="Verdana" w:cs="Verdana" w:eastAsia="Verdana" w:hAnsi="Verdana"/>
                <w:sz w:val="10"/>
                <w:szCs w:val="10"/>
                <w:b w:val="1"/>
                <w:bCs w:val="1"/>
                <w:color w:val="auto"/>
              </w:rPr>
              <w:t>Notional</w:t>
            </w:r>
          </w:p>
        </w:tc>
        <w:tc>
          <w:tcPr>
            <w:tcW w:w="36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center"/>
              <w:ind w:right="295"/>
              <w:spacing w:after="0" w:line="94" w:lineRule="exact"/>
              <w:rPr>
                <w:sz w:val="20"/>
                <w:szCs w:val="20"/>
                <w:color w:val="auto"/>
              </w:rPr>
            </w:pPr>
            <w:r>
              <w:rPr>
                <w:rFonts w:ascii="Verdana" w:cs="Verdana" w:eastAsia="Verdana" w:hAnsi="Verdana"/>
                <w:sz w:val="10"/>
                <w:szCs w:val="10"/>
                <w:b w:val="1"/>
                <w:bCs w:val="1"/>
                <w:color w:val="auto"/>
              </w:rPr>
              <w:t>Fair</w:t>
            </w: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ind w:left="220"/>
              <w:spacing w:after="0" w:line="94" w:lineRule="exact"/>
              <w:rPr>
                <w:sz w:val="20"/>
                <w:szCs w:val="20"/>
                <w:color w:val="auto"/>
              </w:rPr>
            </w:pPr>
            <w:r>
              <w:rPr>
                <w:rFonts w:ascii="Verdana" w:cs="Verdana" w:eastAsia="Verdana" w:hAnsi="Verdana"/>
                <w:sz w:val="10"/>
                <w:szCs w:val="10"/>
                <w:b w:val="1"/>
                <w:bCs w:val="1"/>
                <w:color w:val="auto"/>
              </w:rPr>
              <w:t>Notional</w:t>
            </w:r>
          </w:p>
        </w:tc>
        <w:tc>
          <w:tcPr>
            <w:tcW w:w="36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615"/>
              <w:spacing w:after="0" w:line="94" w:lineRule="exact"/>
              <w:rPr>
                <w:sz w:val="20"/>
                <w:szCs w:val="20"/>
                <w:color w:val="auto"/>
              </w:rPr>
            </w:pPr>
            <w:r>
              <w:rPr>
                <w:rFonts w:ascii="Verdana" w:cs="Verdana" w:eastAsia="Verdana" w:hAnsi="Verdana"/>
                <w:sz w:val="10"/>
                <w:szCs w:val="10"/>
                <w:b w:val="1"/>
                <w:bCs w:val="1"/>
                <w:color w:val="auto"/>
              </w:rPr>
              <w:t>Fair</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Amount</w:t>
            </w:r>
          </w:p>
        </w:tc>
        <w:tc>
          <w:tcPr>
            <w:tcW w:w="360" w:type="dxa"/>
            <w:vAlign w:val="bottom"/>
          </w:tcPr>
          <w:p>
            <w:pPr>
              <w:spacing w:after="0"/>
              <w:rPr>
                <w:sz w:val="11"/>
                <w:szCs w:val="11"/>
                <w:color w:val="auto"/>
              </w:rPr>
            </w:pPr>
          </w:p>
        </w:tc>
        <w:tc>
          <w:tcPr>
            <w:tcW w:w="1300" w:type="dxa"/>
            <w:vAlign w:val="bottom"/>
            <w:gridSpan w:val="2"/>
          </w:tcPr>
          <w:p>
            <w:pPr>
              <w:jc w:val="center"/>
              <w:ind w:right="440"/>
              <w:spacing w:after="0"/>
              <w:rPr>
                <w:sz w:val="20"/>
                <w:szCs w:val="20"/>
                <w:color w:val="auto"/>
              </w:rPr>
            </w:pPr>
            <w:r>
              <w:rPr>
                <w:rFonts w:ascii="Verdana" w:cs="Verdana" w:eastAsia="Verdana" w:hAnsi="Verdana"/>
                <w:sz w:val="10"/>
                <w:szCs w:val="10"/>
                <w:b w:val="1"/>
                <w:bCs w:val="1"/>
                <w:color w:val="auto"/>
                <w:w w:val="94"/>
              </w:rPr>
              <w:t>Value</w:t>
            </w:r>
          </w:p>
        </w:tc>
        <w:tc>
          <w:tcPr>
            <w:tcW w:w="34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Amount</w:t>
            </w:r>
          </w:p>
        </w:tc>
        <w:tc>
          <w:tcPr>
            <w:tcW w:w="360" w:type="dxa"/>
            <w:vAlign w:val="bottom"/>
          </w:tcPr>
          <w:p>
            <w:pPr>
              <w:spacing w:after="0"/>
              <w:rPr>
                <w:sz w:val="11"/>
                <w:szCs w:val="11"/>
                <w:color w:val="auto"/>
              </w:rPr>
            </w:pPr>
          </w:p>
        </w:tc>
        <w:tc>
          <w:tcPr>
            <w:tcW w:w="1220" w:type="dxa"/>
            <w:vAlign w:val="bottom"/>
          </w:tcPr>
          <w:p>
            <w:pPr>
              <w:jc w:val="right"/>
              <w:ind w:right="575"/>
              <w:spacing w:after="0"/>
              <w:rPr>
                <w:sz w:val="20"/>
                <w:szCs w:val="20"/>
                <w:color w:val="auto"/>
              </w:rPr>
            </w:pPr>
            <w:r>
              <w:rPr>
                <w:rFonts w:ascii="Verdana" w:cs="Verdana" w:eastAsia="Verdana" w:hAnsi="Verdana"/>
                <w:sz w:val="10"/>
                <w:szCs w:val="10"/>
                <w:b w:val="1"/>
                <w:bCs w:val="1"/>
                <w:color w:val="auto"/>
              </w:rPr>
              <w:t>Value</w:t>
            </w:r>
          </w:p>
        </w:tc>
        <w:tc>
          <w:tcPr>
            <w:tcW w:w="0" w:type="dxa"/>
            <w:vAlign w:val="bottom"/>
          </w:tcPr>
          <w:p>
            <w:pPr>
              <w:spacing w:after="0"/>
              <w:rPr>
                <w:sz w:val="1"/>
                <w:szCs w:val="1"/>
                <w:color w:val="auto"/>
              </w:rPr>
            </w:pPr>
          </w:p>
        </w:tc>
      </w:tr>
      <w:tr>
        <w:trPr>
          <w:trHeight w:val="172"/>
        </w:trPr>
        <w:tc>
          <w:tcPr>
            <w:tcW w:w="3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Derivative assets not designated as</w:t>
            </w:r>
          </w:p>
        </w:tc>
        <w:tc>
          <w:tcPr>
            <w:tcW w:w="158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320" w:type="dxa"/>
            <w:vAlign w:val="bottom"/>
            <w:tcBorders>
              <w:top w:val="single" w:sz="8" w:color="auto"/>
            </w:tcBorders>
            <w:shd w:val="clear" w:color="auto" w:fill="E0E7ED"/>
          </w:tcPr>
          <w:p>
            <w:pPr>
              <w:spacing w:after="0"/>
              <w:rPr>
                <w:sz w:val="14"/>
                <w:szCs w:val="14"/>
                <w:color w:val="auto"/>
              </w:rPr>
            </w:pPr>
          </w:p>
        </w:tc>
        <w:tc>
          <w:tcPr>
            <w:tcW w:w="12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40" w:type="dxa"/>
            <w:vAlign w:val="bottom"/>
            <w:tcBorders>
              <w:top w:val="single" w:sz="8" w:color="auto"/>
            </w:tcBorders>
            <w:shd w:val="clear" w:color="auto" w:fill="E0E7ED"/>
          </w:tcPr>
          <w:p>
            <w:pPr>
              <w:spacing w:after="0"/>
              <w:rPr>
                <w:sz w:val="14"/>
                <w:szCs w:val="14"/>
                <w:color w:val="auto"/>
              </w:rPr>
            </w:pPr>
          </w:p>
        </w:tc>
        <w:tc>
          <w:tcPr>
            <w:tcW w:w="124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hedging instruments</w:t>
            </w:r>
          </w:p>
        </w:tc>
        <w:tc>
          <w:tcPr>
            <w:tcW w:w="15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140"/>
              <w:spacing w:after="0"/>
              <w:rPr>
                <w:sz w:val="20"/>
                <w:szCs w:val="20"/>
                <w:color w:val="auto"/>
              </w:rPr>
            </w:pPr>
            <w:r>
              <w:rPr>
                <w:rFonts w:ascii="Verdana" w:cs="Verdana" w:eastAsia="Verdana" w:hAnsi="Verdana"/>
                <w:sz w:val="14"/>
                <w:szCs w:val="14"/>
                <w:color w:val="auto"/>
              </w:rPr>
              <w:t>Interest rate swaps: receive-fixed, pay-</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140"/>
              <w:spacing w:after="0"/>
              <w:rPr>
                <w:sz w:val="20"/>
                <w:szCs w:val="20"/>
                <w:color w:val="auto"/>
              </w:rPr>
            </w:pPr>
            <w:r>
              <w:rPr>
                <w:rFonts w:ascii="Verdana" w:cs="Verdana" w:eastAsia="Verdana" w:hAnsi="Verdana"/>
                <w:sz w:val="14"/>
                <w:szCs w:val="14"/>
                <w:color w:val="auto"/>
              </w:rPr>
              <w:t>floating</w:t>
            </w: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Other assets</w:t>
            </w: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ind w:left="600"/>
              <w:spacing w:after="0"/>
              <w:rPr>
                <w:sz w:val="20"/>
                <w:szCs w:val="20"/>
                <w:color w:val="auto"/>
              </w:rPr>
            </w:pPr>
            <w:r>
              <w:rPr>
                <w:rFonts w:ascii="Verdana" w:cs="Verdana" w:eastAsia="Verdana" w:hAnsi="Verdana"/>
                <w:sz w:val="14"/>
                <w:szCs w:val="14"/>
                <w:color w:val="auto"/>
              </w:rPr>
              <w:t>156,539</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1,465</w:t>
            </w:r>
          </w:p>
        </w:tc>
        <w:tc>
          <w:tcPr>
            <w:tcW w:w="80" w:type="dxa"/>
            <w:vAlign w:val="bottom"/>
          </w:tcPr>
          <w:p>
            <w:pPr>
              <w:spacing w:after="0"/>
              <w:rPr>
                <w:sz w:val="16"/>
                <w:szCs w:val="16"/>
                <w:color w:val="auto"/>
              </w:rPr>
            </w:pPr>
          </w:p>
        </w:tc>
        <w:tc>
          <w:tcPr>
            <w:tcW w:w="340" w:type="dxa"/>
            <w:vAlign w:val="bottom"/>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tcPr>
          <w:p>
            <w:pPr>
              <w:ind w:left="580"/>
              <w:spacing w:after="0"/>
              <w:rPr>
                <w:sz w:val="20"/>
                <w:szCs w:val="20"/>
                <w:color w:val="auto"/>
              </w:rPr>
            </w:pPr>
            <w:r>
              <w:rPr>
                <w:rFonts w:ascii="Verdana" w:cs="Verdana" w:eastAsia="Verdana" w:hAnsi="Verdana"/>
                <w:sz w:val="14"/>
                <w:szCs w:val="14"/>
                <w:color w:val="auto"/>
              </w:rPr>
              <w:t>177,883</w:t>
            </w:r>
          </w:p>
        </w:tc>
        <w:tc>
          <w:tcPr>
            <w:tcW w:w="10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2,375</w:t>
            </w:r>
          </w:p>
        </w:tc>
        <w:tc>
          <w:tcPr>
            <w:tcW w:w="0" w:type="dxa"/>
            <w:vAlign w:val="bottom"/>
          </w:tcPr>
          <w:p>
            <w:pPr>
              <w:spacing w:after="0"/>
              <w:rPr>
                <w:sz w:val="1"/>
                <w:szCs w:val="1"/>
                <w:color w:val="auto"/>
              </w:rPr>
            </w:pPr>
          </w:p>
        </w:tc>
      </w:tr>
      <w:tr>
        <w:trPr>
          <w:trHeight w:val="192"/>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 rate swaps: receive-floating,</w:t>
            </w:r>
          </w:p>
        </w:tc>
        <w:tc>
          <w:tcPr>
            <w:tcW w:w="15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pay-fixed</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assets</w:t>
            </w:r>
          </w:p>
        </w:tc>
        <w:tc>
          <w:tcPr>
            <w:tcW w:w="320" w:type="dxa"/>
            <w:vAlign w:val="bottom"/>
            <w:tcBorders>
              <w:bottom w:val="single" w:sz="8" w:color="auto"/>
            </w:tcBorders>
            <w:shd w:val="clear" w:color="auto" w:fill="E0E7ED"/>
          </w:tcPr>
          <w:p>
            <w:pPr>
              <w:spacing w:after="0"/>
              <w:rPr>
                <w:sz w:val="16"/>
                <w:szCs w:val="16"/>
                <w:color w:val="auto"/>
              </w:rPr>
            </w:pPr>
          </w:p>
        </w:tc>
        <w:tc>
          <w:tcPr>
            <w:tcW w:w="1260" w:type="dxa"/>
            <w:vAlign w:val="bottom"/>
            <w:tcBorders>
              <w:bottom w:val="single" w:sz="8" w:color="auto"/>
            </w:tcBorders>
            <w:shd w:val="clear" w:color="auto" w:fill="E0E7ED"/>
          </w:tcPr>
          <w:p>
            <w:pPr>
              <w:ind w:left="600"/>
              <w:spacing w:after="0"/>
              <w:rPr>
                <w:sz w:val="20"/>
                <w:szCs w:val="20"/>
                <w:color w:val="auto"/>
              </w:rPr>
            </w:pPr>
            <w:r>
              <w:rPr>
                <w:rFonts w:ascii="Verdana" w:cs="Verdana" w:eastAsia="Verdana" w:hAnsi="Verdana"/>
                <w:sz w:val="14"/>
                <w:szCs w:val="14"/>
                <w:color w:val="auto"/>
              </w:rPr>
              <w:t>562,697</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28,854</w:t>
            </w:r>
          </w:p>
        </w:tc>
        <w:tc>
          <w:tcPr>
            <w:tcW w:w="80" w:type="dxa"/>
            <w:vAlign w:val="bottom"/>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ind w:left="580"/>
              <w:spacing w:after="0"/>
              <w:rPr>
                <w:sz w:val="20"/>
                <w:szCs w:val="20"/>
                <w:color w:val="auto"/>
              </w:rPr>
            </w:pPr>
            <w:r>
              <w:rPr>
                <w:rFonts w:ascii="Verdana" w:cs="Verdana" w:eastAsia="Verdana" w:hAnsi="Verdana"/>
                <w:sz w:val="14"/>
                <w:szCs w:val="14"/>
                <w:color w:val="auto"/>
              </w:rPr>
              <w:t>485,253</w:t>
            </w:r>
          </w:p>
        </w:tc>
        <w:tc>
          <w:tcPr>
            <w:tcW w:w="10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26,289</w:t>
            </w: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line="167" w:lineRule="exact"/>
              <w:rPr>
                <w:sz w:val="20"/>
                <w:szCs w:val="20"/>
                <w:color w:val="auto"/>
              </w:rPr>
            </w:pPr>
            <w:r>
              <w:rPr>
                <w:rFonts w:ascii="Verdana" w:cs="Verdana" w:eastAsia="Verdana" w:hAnsi="Verdana"/>
                <w:sz w:val="14"/>
                <w:szCs w:val="14"/>
                <w:color w:val="auto"/>
              </w:rPr>
              <w:t>Derivative assets not designated as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restart"/>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vMerge w:val="restart"/>
          </w:tcPr>
          <w:p>
            <w:pPr>
              <w:ind w:left="600"/>
              <w:spacing w:after="0"/>
              <w:rPr>
                <w:sz w:val="20"/>
                <w:szCs w:val="20"/>
                <w:color w:val="auto"/>
              </w:rPr>
            </w:pPr>
            <w:r>
              <w:rPr>
                <w:rFonts w:ascii="Verdana" w:cs="Verdana" w:eastAsia="Verdana" w:hAnsi="Verdana"/>
                <w:sz w:val="14"/>
                <w:szCs w:val="14"/>
                <w:color w:val="auto"/>
              </w:rPr>
              <w:t>719,236</w:t>
            </w:r>
          </w:p>
        </w:tc>
        <w:tc>
          <w:tcPr>
            <w:tcW w:w="80" w:type="dxa"/>
            <w:vAlign w:val="bottom"/>
          </w:tcPr>
          <w:p>
            <w:pPr>
              <w:spacing w:after="0"/>
              <w:rPr>
                <w:sz w:val="14"/>
                <w:szCs w:val="14"/>
                <w:color w:val="auto"/>
              </w:rPr>
            </w:pPr>
          </w:p>
        </w:tc>
        <w:tc>
          <w:tcPr>
            <w:tcW w:w="360" w:type="dxa"/>
            <w:vAlign w:val="bottom"/>
            <w:vMerge w:val="restart"/>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vMerge w:val="restart"/>
          </w:tcPr>
          <w:p>
            <w:pPr>
              <w:jc w:val="right"/>
              <w:spacing w:after="0"/>
              <w:rPr>
                <w:sz w:val="20"/>
                <w:szCs w:val="20"/>
                <w:color w:val="auto"/>
              </w:rPr>
            </w:pPr>
            <w:r>
              <w:rPr>
                <w:rFonts w:ascii="Verdana" w:cs="Verdana" w:eastAsia="Verdana" w:hAnsi="Verdana"/>
                <w:sz w:val="14"/>
                <w:szCs w:val="14"/>
                <w:color w:val="auto"/>
              </w:rPr>
              <w:t>30,319</w:t>
            </w:r>
          </w:p>
        </w:tc>
        <w:tc>
          <w:tcPr>
            <w:tcW w:w="80" w:type="dxa"/>
            <w:vAlign w:val="bottom"/>
          </w:tcPr>
          <w:p>
            <w:pPr>
              <w:spacing w:after="0"/>
              <w:rPr>
                <w:sz w:val="14"/>
                <w:szCs w:val="14"/>
                <w:color w:val="auto"/>
              </w:rPr>
            </w:pPr>
          </w:p>
        </w:tc>
        <w:tc>
          <w:tcPr>
            <w:tcW w:w="340" w:type="dxa"/>
            <w:vAlign w:val="bottom"/>
            <w:vMerge w:val="restart"/>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vMerge w:val="restart"/>
          </w:tcPr>
          <w:p>
            <w:pPr>
              <w:ind w:left="580"/>
              <w:spacing w:after="0"/>
              <w:rPr>
                <w:sz w:val="20"/>
                <w:szCs w:val="20"/>
                <w:color w:val="auto"/>
              </w:rPr>
            </w:pPr>
            <w:r>
              <w:rPr>
                <w:rFonts w:ascii="Verdana" w:cs="Verdana" w:eastAsia="Verdana" w:hAnsi="Verdana"/>
                <w:sz w:val="14"/>
                <w:szCs w:val="14"/>
                <w:color w:val="auto"/>
              </w:rPr>
              <w:t>663,136</w:t>
            </w:r>
          </w:p>
        </w:tc>
        <w:tc>
          <w:tcPr>
            <w:tcW w:w="100" w:type="dxa"/>
            <w:vAlign w:val="bottom"/>
          </w:tcPr>
          <w:p>
            <w:pPr>
              <w:spacing w:after="0"/>
              <w:rPr>
                <w:sz w:val="14"/>
                <w:szCs w:val="14"/>
                <w:color w:val="auto"/>
              </w:rPr>
            </w:pPr>
          </w:p>
        </w:tc>
        <w:tc>
          <w:tcPr>
            <w:tcW w:w="360" w:type="dxa"/>
            <w:vAlign w:val="bottom"/>
            <w:vMerge w:val="restart"/>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vMerge w:val="restart"/>
          </w:tcPr>
          <w:p>
            <w:pPr>
              <w:jc w:val="right"/>
              <w:spacing w:after="0"/>
              <w:rPr>
                <w:sz w:val="20"/>
                <w:szCs w:val="20"/>
                <w:color w:val="auto"/>
              </w:rPr>
            </w:pPr>
            <w:r>
              <w:rPr>
                <w:rFonts w:ascii="Verdana" w:cs="Verdana" w:eastAsia="Verdana" w:hAnsi="Verdana"/>
                <w:sz w:val="14"/>
                <w:szCs w:val="14"/>
                <w:color w:val="auto"/>
              </w:rPr>
              <w:t>28,664</w:t>
            </w:r>
          </w:p>
        </w:tc>
        <w:tc>
          <w:tcPr>
            <w:tcW w:w="0" w:type="dxa"/>
            <w:vAlign w:val="bottom"/>
          </w:tcPr>
          <w:p>
            <w:pPr>
              <w:spacing w:after="0"/>
              <w:rPr>
                <w:sz w:val="1"/>
                <w:szCs w:val="1"/>
                <w:color w:val="auto"/>
              </w:rPr>
            </w:pPr>
          </w:p>
        </w:tc>
      </w:tr>
      <w:tr>
        <w:trPr>
          <w:trHeight w:val="179"/>
        </w:trPr>
        <w:tc>
          <w:tcPr>
            <w:tcW w:w="3020" w:type="dxa"/>
            <w:vAlign w:val="bottom"/>
          </w:tcPr>
          <w:p>
            <w:pPr>
              <w:ind w:left="20"/>
              <w:spacing w:after="0"/>
              <w:rPr>
                <w:sz w:val="20"/>
                <w:szCs w:val="20"/>
                <w:color w:val="auto"/>
              </w:rPr>
            </w:pPr>
            <w:r>
              <w:rPr>
                <w:rFonts w:ascii="Verdana" w:cs="Verdana" w:eastAsia="Verdana" w:hAnsi="Verdana"/>
                <w:sz w:val="14"/>
                <w:szCs w:val="14"/>
                <w:color w:val="auto"/>
              </w:rPr>
              <w:t>hedging instruments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2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Derivative liabilities not designated</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as hedging instruments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 rate swaps: receive-fixed, pay-</w:t>
            </w:r>
          </w:p>
        </w:tc>
        <w:tc>
          <w:tcPr>
            <w:tcW w:w="15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floating</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liabilities</w:t>
            </w: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shd w:val="clear" w:color="auto" w:fill="E0E7ED"/>
          </w:tcPr>
          <w:p>
            <w:pPr>
              <w:ind w:left="600"/>
              <w:spacing w:after="0"/>
              <w:rPr>
                <w:sz w:val="20"/>
                <w:szCs w:val="20"/>
                <w:color w:val="auto"/>
              </w:rPr>
            </w:pPr>
            <w:r>
              <w:rPr>
                <w:rFonts w:ascii="Verdana" w:cs="Verdana" w:eastAsia="Verdana" w:hAnsi="Verdana"/>
                <w:sz w:val="14"/>
                <w:szCs w:val="14"/>
                <w:color w:val="auto"/>
              </w:rPr>
              <w:t>562,697</w:t>
            </w:r>
          </w:p>
        </w:tc>
        <w:tc>
          <w:tcPr>
            <w:tcW w:w="80" w:type="dxa"/>
            <w:vAlign w:val="bottom"/>
            <w:shd w:val="clear" w:color="auto" w:fill="E0E7ED"/>
          </w:tcPr>
          <w:p>
            <w:pPr>
              <w:spacing w:after="0"/>
              <w:rPr>
                <w:sz w:val="16"/>
                <w:szCs w:val="16"/>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28,854</w:t>
            </w:r>
          </w:p>
        </w:tc>
        <w:tc>
          <w:tcPr>
            <w:tcW w:w="80" w:type="dxa"/>
            <w:vAlign w:val="bottom"/>
            <w:shd w:val="clear" w:color="auto" w:fill="E0E7ED"/>
          </w:tcPr>
          <w:p>
            <w:pPr>
              <w:spacing w:after="0"/>
              <w:rPr>
                <w:sz w:val="16"/>
                <w:szCs w:val="16"/>
                <w:color w:val="auto"/>
              </w:rPr>
            </w:pPr>
          </w:p>
        </w:tc>
        <w:tc>
          <w:tcPr>
            <w:tcW w:w="34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shd w:val="clear" w:color="auto" w:fill="E0E7ED"/>
          </w:tcPr>
          <w:p>
            <w:pPr>
              <w:ind w:left="580"/>
              <w:spacing w:after="0"/>
              <w:rPr>
                <w:sz w:val="20"/>
                <w:szCs w:val="20"/>
                <w:color w:val="auto"/>
              </w:rPr>
            </w:pPr>
            <w:r>
              <w:rPr>
                <w:rFonts w:ascii="Verdana" w:cs="Verdana" w:eastAsia="Verdana" w:hAnsi="Verdana"/>
                <w:sz w:val="14"/>
                <w:szCs w:val="14"/>
                <w:color w:val="auto"/>
              </w:rPr>
              <w:t>485,253</w:t>
            </w:r>
          </w:p>
        </w:tc>
        <w:tc>
          <w:tcPr>
            <w:tcW w:w="100" w:type="dxa"/>
            <w:vAlign w:val="bottom"/>
            <w:shd w:val="clear" w:color="auto" w:fill="E0E7ED"/>
          </w:tcPr>
          <w:p>
            <w:pPr>
              <w:spacing w:after="0"/>
              <w:rPr>
                <w:sz w:val="16"/>
                <w:szCs w:val="16"/>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26,289</w:t>
            </w:r>
          </w:p>
        </w:tc>
        <w:tc>
          <w:tcPr>
            <w:tcW w:w="0" w:type="dxa"/>
            <w:vAlign w:val="bottom"/>
          </w:tcPr>
          <w:p>
            <w:pPr>
              <w:spacing w:after="0"/>
              <w:rPr>
                <w:sz w:val="1"/>
                <w:szCs w:val="1"/>
                <w:color w:val="auto"/>
              </w:rPr>
            </w:pPr>
          </w:p>
        </w:tc>
      </w:tr>
      <w:tr>
        <w:trPr>
          <w:trHeight w:val="187"/>
        </w:trPr>
        <w:tc>
          <w:tcPr>
            <w:tcW w:w="3020" w:type="dxa"/>
            <w:vAlign w:val="bottom"/>
          </w:tcPr>
          <w:p>
            <w:pPr>
              <w:ind w:left="140"/>
              <w:spacing w:after="0"/>
              <w:rPr>
                <w:sz w:val="20"/>
                <w:szCs w:val="20"/>
                <w:color w:val="auto"/>
              </w:rPr>
            </w:pPr>
            <w:r>
              <w:rPr>
                <w:rFonts w:ascii="Verdana" w:cs="Verdana" w:eastAsia="Verdana" w:hAnsi="Verdana"/>
                <w:sz w:val="14"/>
                <w:szCs w:val="14"/>
                <w:color w:val="auto"/>
              </w:rPr>
              <w:t>Interest rate swaps: receive-floating,</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pay-fixed</w:t>
            </w:r>
          </w:p>
        </w:tc>
        <w:tc>
          <w:tcPr>
            <w:tcW w:w="168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600"/>
              <w:spacing w:after="0"/>
              <w:rPr>
                <w:sz w:val="20"/>
                <w:szCs w:val="20"/>
                <w:color w:val="auto"/>
              </w:rPr>
            </w:pPr>
            <w:r>
              <w:rPr>
                <w:rFonts w:ascii="Verdana" w:cs="Verdana" w:eastAsia="Verdana" w:hAnsi="Verdana"/>
                <w:sz w:val="14"/>
                <w:szCs w:val="14"/>
                <w:color w:val="auto"/>
              </w:rPr>
              <w:t>156,539</w:t>
            </w:r>
          </w:p>
        </w:tc>
        <w:tc>
          <w:tcPr>
            <w:tcW w:w="8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1,465</w:t>
            </w:r>
          </w:p>
        </w:tc>
        <w:tc>
          <w:tcPr>
            <w:tcW w:w="80" w:type="dxa"/>
            <w:vAlign w:val="bottom"/>
            <w:tcBorders>
              <w:bottom w:val="single" w:sz="8" w:color="E0E7E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580"/>
              <w:spacing w:after="0"/>
              <w:rPr>
                <w:sz w:val="20"/>
                <w:szCs w:val="20"/>
                <w:color w:val="auto"/>
              </w:rPr>
            </w:pPr>
            <w:r>
              <w:rPr>
                <w:rFonts w:ascii="Verdana" w:cs="Verdana" w:eastAsia="Verdana" w:hAnsi="Verdana"/>
                <w:sz w:val="14"/>
                <w:szCs w:val="14"/>
                <w:color w:val="auto"/>
              </w:rPr>
              <w:t>177,883</w:t>
            </w:r>
          </w:p>
        </w:tc>
        <w:tc>
          <w:tcPr>
            <w:tcW w:w="10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2,375</w:t>
            </w:r>
          </w:p>
        </w:tc>
        <w:tc>
          <w:tcPr>
            <w:tcW w:w="0" w:type="dxa"/>
            <w:vAlign w:val="bottom"/>
          </w:tcPr>
          <w:p>
            <w:pPr>
              <w:spacing w:after="0"/>
              <w:rPr>
                <w:sz w:val="1"/>
                <w:szCs w:val="1"/>
                <w:color w:val="auto"/>
              </w:rPr>
            </w:pPr>
          </w:p>
        </w:tc>
      </w:tr>
      <w:tr>
        <w:trPr>
          <w:trHeight w:val="172"/>
        </w:trPr>
        <w:tc>
          <w:tcPr>
            <w:tcW w:w="30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Derivative liabilities not designated as</w:t>
            </w:r>
          </w:p>
        </w:tc>
        <w:tc>
          <w:tcPr>
            <w:tcW w:w="15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vMerge w:val="restart"/>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vMerge w:val="restart"/>
            <w:shd w:val="clear" w:color="auto" w:fill="E0E7ED"/>
          </w:tcPr>
          <w:p>
            <w:pPr>
              <w:ind w:left="600"/>
              <w:spacing w:after="0"/>
              <w:rPr>
                <w:sz w:val="20"/>
                <w:szCs w:val="20"/>
                <w:color w:val="auto"/>
              </w:rPr>
            </w:pPr>
            <w:r>
              <w:rPr>
                <w:rFonts w:ascii="Verdana" w:cs="Verdana" w:eastAsia="Verdana" w:hAnsi="Verdana"/>
                <w:sz w:val="14"/>
                <w:szCs w:val="14"/>
                <w:color w:val="auto"/>
              </w:rPr>
              <w:t>719,236</w:t>
            </w:r>
          </w:p>
        </w:tc>
        <w:tc>
          <w:tcPr>
            <w:tcW w:w="80" w:type="dxa"/>
            <w:vAlign w:val="bottom"/>
            <w:shd w:val="clear" w:color="auto" w:fill="E0E7ED"/>
          </w:tcPr>
          <w:p>
            <w:pPr>
              <w:spacing w:after="0"/>
              <w:rPr>
                <w:sz w:val="14"/>
                <w:szCs w:val="14"/>
                <w:color w:val="auto"/>
              </w:rPr>
            </w:pPr>
          </w:p>
        </w:tc>
        <w:tc>
          <w:tcPr>
            <w:tcW w:w="360" w:type="dxa"/>
            <w:vAlign w:val="bottom"/>
            <w:vMerge w:val="restart"/>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30,319</w:t>
            </w:r>
          </w:p>
        </w:tc>
        <w:tc>
          <w:tcPr>
            <w:tcW w:w="80" w:type="dxa"/>
            <w:vAlign w:val="bottom"/>
            <w:shd w:val="clear" w:color="auto" w:fill="E0E7ED"/>
          </w:tcPr>
          <w:p>
            <w:pPr>
              <w:spacing w:after="0"/>
              <w:rPr>
                <w:sz w:val="14"/>
                <w:szCs w:val="14"/>
                <w:color w:val="auto"/>
              </w:rPr>
            </w:pPr>
          </w:p>
        </w:tc>
        <w:tc>
          <w:tcPr>
            <w:tcW w:w="340" w:type="dxa"/>
            <w:vAlign w:val="bottom"/>
            <w:vMerge w:val="restart"/>
            <w:shd w:val="clear" w:color="auto" w:fill="E0E7ED"/>
          </w:tcPr>
          <w:p>
            <w:pPr>
              <w:jc w:val="right"/>
              <w:ind w:right="149"/>
              <w:spacing w:after="0"/>
              <w:rPr>
                <w:sz w:val="20"/>
                <w:szCs w:val="20"/>
                <w:color w:val="auto"/>
              </w:rPr>
            </w:pPr>
            <w:r>
              <w:rPr>
                <w:rFonts w:ascii="Verdana" w:cs="Verdana" w:eastAsia="Verdana" w:hAnsi="Verdana"/>
                <w:sz w:val="14"/>
                <w:szCs w:val="14"/>
                <w:color w:val="auto"/>
              </w:rPr>
              <w:t>$</w:t>
            </w:r>
          </w:p>
        </w:tc>
        <w:tc>
          <w:tcPr>
            <w:tcW w:w="1240" w:type="dxa"/>
            <w:vAlign w:val="bottom"/>
            <w:vMerge w:val="restart"/>
            <w:shd w:val="clear" w:color="auto" w:fill="E0E7ED"/>
          </w:tcPr>
          <w:p>
            <w:pPr>
              <w:ind w:left="580"/>
              <w:spacing w:after="0"/>
              <w:rPr>
                <w:sz w:val="20"/>
                <w:szCs w:val="20"/>
                <w:color w:val="auto"/>
              </w:rPr>
            </w:pPr>
            <w:r>
              <w:rPr>
                <w:rFonts w:ascii="Verdana" w:cs="Verdana" w:eastAsia="Verdana" w:hAnsi="Verdana"/>
                <w:sz w:val="14"/>
                <w:szCs w:val="14"/>
                <w:color w:val="auto"/>
              </w:rPr>
              <w:t>663,136</w:t>
            </w:r>
          </w:p>
        </w:tc>
        <w:tc>
          <w:tcPr>
            <w:tcW w:w="100" w:type="dxa"/>
            <w:vAlign w:val="bottom"/>
            <w:shd w:val="clear" w:color="auto" w:fill="E0E7ED"/>
          </w:tcPr>
          <w:p>
            <w:pPr>
              <w:spacing w:after="0"/>
              <w:rPr>
                <w:sz w:val="14"/>
                <w:szCs w:val="14"/>
                <w:color w:val="auto"/>
              </w:rPr>
            </w:pPr>
          </w:p>
        </w:tc>
        <w:tc>
          <w:tcPr>
            <w:tcW w:w="360" w:type="dxa"/>
            <w:vAlign w:val="bottom"/>
            <w:vMerge w:val="restart"/>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4"/>
                <w:szCs w:val="14"/>
                <w:color w:val="auto"/>
              </w:rPr>
              <w:t>28,664</w:t>
            </w:r>
          </w:p>
        </w:tc>
        <w:tc>
          <w:tcPr>
            <w:tcW w:w="0" w:type="dxa"/>
            <w:vAlign w:val="bottom"/>
          </w:tcPr>
          <w:p>
            <w:pPr>
              <w:spacing w:after="0"/>
              <w:rPr>
                <w:sz w:val="1"/>
                <w:szCs w:val="1"/>
                <w:color w:val="auto"/>
              </w:rPr>
            </w:pPr>
          </w:p>
        </w:tc>
      </w:tr>
      <w:tr>
        <w:trPr>
          <w:trHeight w:val="194"/>
        </w:trPr>
        <w:tc>
          <w:tcPr>
            <w:tcW w:w="3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hedging instruments</w:t>
            </w:r>
          </w:p>
        </w:tc>
        <w:tc>
          <w:tcPr>
            <w:tcW w:w="15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320" w:type="dxa"/>
            <w:vAlign w:val="bottom"/>
            <w:tcBorders>
              <w:bottom w:val="single" w:sz="8" w:color="auto"/>
            </w:tcBorders>
            <w:vMerge w:val="continue"/>
            <w:shd w:val="clear" w:color="auto" w:fill="E0E7ED"/>
          </w:tcPr>
          <w:p>
            <w:pPr>
              <w:spacing w:after="0"/>
              <w:rPr>
                <w:sz w:val="16"/>
                <w:szCs w:val="16"/>
                <w:color w:val="auto"/>
              </w:rPr>
            </w:pPr>
          </w:p>
        </w:tc>
        <w:tc>
          <w:tcPr>
            <w:tcW w:w="1260" w:type="dxa"/>
            <w:vAlign w:val="bottom"/>
            <w:tcBorders>
              <w:bottom w:val="single" w:sz="8" w:color="auto"/>
            </w:tcBorders>
            <w:vMerge w:val="continue"/>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360" w:type="dxa"/>
            <w:vAlign w:val="bottom"/>
            <w:tcBorders>
              <w:bottom w:val="single" w:sz="8" w:color="auto"/>
            </w:tcBorders>
            <w:vMerge w:val="continue"/>
            <w:shd w:val="clear" w:color="auto" w:fill="E0E7ED"/>
          </w:tcPr>
          <w:p>
            <w:pPr>
              <w:spacing w:after="0"/>
              <w:rPr>
                <w:sz w:val="16"/>
                <w:szCs w:val="16"/>
                <w:color w:val="auto"/>
              </w:rPr>
            </w:pPr>
          </w:p>
        </w:tc>
        <w:tc>
          <w:tcPr>
            <w:tcW w:w="1220" w:type="dxa"/>
            <w:vAlign w:val="bottom"/>
            <w:tcBorders>
              <w:bottom w:val="single" w:sz="8" w:color="auto"/>
            </w:tcBorders>
            <w:vMerge w:val="continue"/>
            <w:shd w:val="clear" w:color="auto" w:fill="E0E7ED"/>
          </w:tcPr>
          <w:p>
            <w:pPr>
              <w:spacing w:after="0"/>
              <w:rPr>
                <w:sz w:val="16"/>
                <w:szCs w:val="16"/>
                <w:color w:val="auto"/>
              </w:rPr>
            </w:pPr>
          </w:p>
        </w:tc>
        <w:tc>
          <w:tcPr>
            <w:tcW w:w="8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vMerge w:val="continue"/>
            <w:shd w:val="clear" w:color="auto" w:fill="E0E7ED"/>
          </w:tcPr>
          <w:p>
            <w:pPr>
              <w:spacing w:after="0"/>
              <w:rPr>
                <w:sz w:val="16"/>
                <w:szCs w:val="16"/>
                <w:color w:val="auto"/>
              </w:rPr>
            </w:pPr>
          </w:p>
        </w:tc>
        <w:tc>
          <w:tcPr>
            <w:tcW w:w="1240" w:type="dxa"/>
            <w:vAlign w:val="bottom"/>
            <w:tcBorders>
              <w:bottom w:val="single" w:sz="8" w:color="auto"/>
            </w:tcBorders>
            <w:vMerge w:val="continue"/>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360" w:type="dxa"/>
            <w:vAlign w:val="bottom"/>
            <w:tcBorders>
              <w:bottom w:val="single" w:sz="8" w:color="auto"/>
            </w:tcBorders>
            <w:vMerge w:val="continue"/>
            <w:shd w:val="clear" w:color="auto" w:fill="E0E7ED"/>
          </w:tcPr>
          <w:p>
            <w:pPr>
              <w:spacing w:after="0"/>
              <w:rPr>
                <w:sz w:val="16"/>
                <w:szCs w:val="16"/>
                <w:color w:val="auto"/>
              </w:rPr>
            </w:pPr>
          </w:p>
        </w:tc>
        <w:tc>
          <w:tcPr>
            <w:tcW w:w="1220" w:type="dxa"/>
            <w:vAlign w:val="bottom"/>
            <w:tcBorders>
              <w:bottom w:val="single" w:sz="8" w:color="auto"/>
            </w:tcBorders>
            <w:vMerge w:val="continue"/>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Changes in fair value of these derivative assets and liabilities were recorded in noninterest expense on the </w:t>
      </w:r>
      <w:r>
        <w:rPr>
          <w:rFonts w:ascii="Verdana" w:cs="Verdana" w:eastAsia="Verdana" w:hAnsi="Verdana"/>
          <w:sz w:val="14"/>
          <w:szCs w:val="14"/>
          <w:u w:val="single" w:color="auto"/>
          <w:color w:val="0000FF"/>
        </w:rPr>
        <w:t>Consolidated Statements of Income</w:t>
      </w:r>
      <w:r>
        <w:rPr>
          <w:rFonts w:ascii="Verdana" w:cs="Verdana" w:eastAsia="Verdana" w:hAnsi="Verdana"/>
          <w:sz w:val="14"/>
          <w:szCs w:val="14"/>
          <w:color w:val="auto"/>
        </w:rPr>
        <w:t xml:space="preserve"> and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3"/>
        </w:trPr>
        <w:tc>
          <w:tcPr>
            <w:tcW w:w="4660" w:type="dxa"/>
            <w:vAlign w:val="bottom"/>
          </w:tcPr>
          <w:p>
            <w:pPr>
              <w:spacing w:after="0"/>
              <w:rPr>
                <w:sz w:val="11"/>
                <w:szCs w:val="11"/>
                <w:color w:val="auto"/>
              </w:rPr>
            </w:pPr>
          </w:p>
        </w:tc>
        <w:tc>
          <w:tcPr>
            <w:tcW w:w="1680" w:type="dxa"/>
            <w:vAlign w:val="bottom"/>
            <w:gridSpan w:val="2"/>
          </w:tcPr>
          <w:p>
            <w:pPr>
              <w:ind w:left="560"/>
              <w:spacing w:after="0"/>
              <w:rPr>
                <w:sz w:val="20"/>
                <w:szCs w:val="20"/>
                <w:color w:val="auto"/>
              </w:rPr>
            </w:pPr>
            <w:r>
              <w:rPr>
                <w:rFonts w:ascii="Verdana" w:cs="Verdana" w:eastAsia="Verdana" w:hAnsi="Verdana"/>
                <w:sz w:val="10"/>
                <w:szCs w:val="10"/>
                <w:b w:val="1"/>
                <w:bCs w:val="1"/>
                <w:color w:val="auto"/>
              </w:rPr>
              <w:t>Location</w:t>
            </w:r>
          </w:p>
        </w:tc>
        <w:tc>
          <w:tcPr>
            <w:tcW w:w="380" w:type="dxa"/>
            <w:vAlign w:val="bottom"/>
          </w:tcPr>
          <w:p>
            <w:pPr>
              <w:spacing w:after="0"/>
              <w:rPr>
                <w:sz w:val="11"/>
                <w:szCs w:val="11"/>
                <w:color w:val="auto"/>
              </w:rPr>
            </w:pPr>
          </w:p>
        </w:tc>
        <w:tc>
          <w:tcPr>
            <w:tcW w:w="1220" w:type="dxa"/>
            <w:vAlign w:val="bottom"/>
          </w:tcPr>
          <w:p>
            <w:pPr>
              <w:jc w:val="right"/>
              <w:ind w:right="595"/>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4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rate swaps</w:t>
            </w:r>
          </w:p>
        </w:tc>
        <w:tc>
          <w:tcPr>
            <w:tcW w:w="16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Receive-fixed, pay-floating</w:t>
            </w: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Noninterest expense</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5"/>
              <w:spacing w:after="0"/>
              <w:rPr>
                <w:sz w:val="20"/>
                <w:szCs w:val="20"/>
                <w:color w:val="auto"/>
              </w:rPr>
            </w:pPr>
            <w:r>
              <w:rPr>
                <w:rFonts w:ascii="Verdana" w:cs="Verdana" w:eastAsia="Verdana" w:hAnsi="Verdana"/>
                <w:sz w:val="14"/>
                <w:szCs w:val="14"/>
                <w:color w:val="auto"/>
              </w:rPr>
              <w:t>1,726</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(11,525)</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19,308</w:t>
            </w:r>
          </w:p>
        </w:tc>
      </w:tr>
      <w:tr>
        <w:trPr>
          <w:trHeight w:val="21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Receive-floating, pay-fixed</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Noninterest expense</w:t>
            </w:r>
          </w:p>
        </w:tc>
        <w:tc>
          <w:tcPr>
            <w:tcW w:w="3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(1,726)</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11,525</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(19,308)</w:t>
            </w:r>
          </w:p>
        </w:tc>
      </w:tr>
      <w:tr>
        <w:trPr>
          <w:trHeight w:val="208"/>
        </w:trPr>
        <w:tc>
          <w:tcPr>
            <w:tcW w:w="4660" w:type="dxa"/>
            <w:vAlign w:val="bottom"/>
          </w:tcPr>
          <w:p>
            <w:pPr>
              <w:ind w:left="20"/>
              <w:spacing w:after="0"/>
              <w:rPr>
                <w:sz w:val="20"/>
                <w:szCs w:val="20"/>
                <w:color w:val="auto"/>
              </w:rPr>
            </w:pPr>
            <w:r>
              <w:rPr>
                <w:rFonts w:ascii="Verdana" w:cs="Verdana" w:eastAsia="Verdana" w:hAnsi="Verdana"/>
                <w:sz w:val="14"/>
                <w:szCs w:val="14"/>
                <w:color w:val="auto"/>
              </w:rPr>
              <w:t>Net change in fair value of interest rate swaps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
        </w:trPr>
        <w:tc>
          <w:tcPr>
            <w:tcW w:w="4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8" w:name="page159"/>
    <w:bookmarkEnd w:id="15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Risk Participation Agreements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 also entered into a risk participation agreement under which Busey sold credit risk participation, receiving an up-front fee from a counterparty in exchange for accepting a portion of the counterparty’s credit exposure. This agreement matured on June 30, 2024. The swap customer did not default on its obligations, and Busey was not required to make a payment to the counterparty of the risk participation agreement.</w:t>
      </w:r>
    </w:p>
    <w:p>
      <w:pPr>
        <w:spacing w:after="0" w:line="12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Notional amounts of the risk participation agreements reflect the participating banks’ pro-rata shares of the derivative instruments, consistent with their shares of the related participated loans. The risk participation agreements mature between August 2026 and January 2029, and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9"/>
              <w:spacing w:after="0"/>
              <w:rPr>
                <w:sz w:val="20"/>
                <w:szCs w:val="20"/>
                <w:color w:val="auto"/>
              </w:rPr>
            </w:pPr>
            <w:r>
              <w:rPr>
                <w:rFonts w:ascii="Verdana" w:cs="Verdana" w:eastAsia="Verdana" w:hAnsi="Verdana"/>
                <w:sz w:val="10"/>
                <w:szCs w:val="10"/>
                <w:b w:val="1"/>
                <w:bCs w:val="1"/>
                <w:color w:val="auto"/>
              </w:rPr>
              <w:t>As of December 31,</w:t>
            </w:r>
          </w:p>
        </w:tc>
        <w:tc>
          <w:tcPr>
            <w:tcW w:w="960" w:type="dxa"/>
            <w:vAlign w:val="bottom"/>
            <w:tcBorders>
              <w:bottom w:val="single" w:sz="8" w:color="auto"/>
            </w:tcBorders>
          </w:tcPr>
          <w:p>
            <w:pPr>
              <w:spacing w:after="0"/>
              <w:rPr>
                <w:sz w:val="11"/>
                <w:szCs w:val="11"/>
                <w:color w:val="auto"/>
              </w:rPr>
            </w:pPr>
          </w:p>
        </w:tc>
      </w:tr>
      <w:tr>
        <w:trPr>
          <w:trHeight w:val="131"/>
        </w:trPr>
        <w:tc>
          <w:tcPr>
            <w:tcW w:w="8020" w:type="dxa"/>
            <w:vAlign w:val="bottom"/>
            <w:tcBorders>
              <w:bottom w:val="single" w:sz="8" w:color="E0E7ED"/>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32"/>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80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Risk participation agreements purchased</w:t>
            </w:r>
          </w:p>
        </w:tc>
        <w:tc>
          <w:tcPr>
            <w:tcW w:w="980" w:type="dxa"/>
            <w:vAlign w:val="bottom"/>
            <w:shd w:val="clear" w:color="auto" w:fill="E0E7ED"/>
          </w:tcPr>
          <w:p>
            <w:pPr>
              <w:spacing w:after="0"/>
              <w:rPr>
                <w:sz w:val="17"/>
                <w:szCs w:val="17"/>
                <w:color w:val="auto"/>
              </w:rPr>
            </w:pPr>
          </w:p>
        </w:tc>
        <w:tc>
          <w:tcPr>
            <w:tcW w:w="6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520" w:type="dxa"/>
            <w:vAlign w:val="bottom"/>
            <w:shd w:val="clear" w:color="auto" w:fill="E0E7ED"/>
          </w:tcPr>
          <w:p>
            <w:pPr>
              <w:spacing w:after="0"/>
              <w:rPr>
                <w:sz w:val="17"/>
                <w:szCs w:val="17"/>
                <w:color w:val="auto"/>
              </w:rPr>
            </w:pPr>
          </w:p>
        </w:tc>
        <w:tc>
          <w:tcPr>
            <w:tcW w:w="960" w:type="dxa"/>
            <w:vAlign w:val="bottom"/>
            <w:shd w:val="clear" w:color="auto" w:fill="E0E7ED"/>
          </w:tcPr>
          <w:p>
            <w:pPr>
              <w:spacing w:after="0"/>
              <w:rPr>
                <w:sz w:val="17"/>
                <w:szCs w:val="17"/>
                <w:color w:val="auto"/>
              </w:rPr>
            </w:pP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Number of risk participation agreements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Verdana" w:cs="Verdana" w:eastAsia="Verdana" w:hAnsi="Verdana"/>
                <w:sz w:val="14"/>
                <w:szCs w:val="14"/>
                <w:color w:val="auto"/>
              </w:rPr>
              <w:t>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3</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Notional amount</w:t>
            </w:r>
          </w:p>
        </w:tc>
        <w:tc>
          <w:tcPr>
            <w:tcW w:w="980" w:type="dxa"/>
            <w:vAlign w:val="bottom"/>
            <w:shd w:val="clear" w:color="auto" w:fill="E0E7ED"/>
          </w:tcPr>
          <w:p>
            <w:pPr>
              <w:jc w:val="right"/>
              <w:ind w:right="816"/>
              <w:spacing w:after="0"/>
              <w:rPr>
                <w:sz w:val="20"/>
                <w:szCs w:val="20"/>
                <w:color w:val="auto"/>
              </w:rPr>
            </w:pPr>
            <w:r>
              <w:rPr>
                <w:rFonts w:ascii="Verdana" w:cs="Verdana" w:eastAsia="Verdana" w:hAnsi="Verdana"/>
                <w:sz w:val="14"/>
                <w:szCs w:val="14"/>
                <w:color w:val="auto"/>
                <w:w w:val="88"/>
              </w:rPr>
              <w:t>$</w:t>
            </w:r>
          </w:p>
        </w:tc>
        <w:tc>
          <w:tcPr>
            <w:tcW w:w="6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40,092</w:t>
            </w: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jc w:val="right"/>
              <w:ind w:right="349"/>
              <w:spacing w:after="0"/>
              <w:rPr>
                <w:sz w:val="20"/>
                <w:szCs w:val="20"/>
                <w:color w:val="auto"/>
              </w:rPr>
            </w:pPr>
            <w:r>
              <w:rPr>
                <w:rFonts w:ascii="Verdana" w:cs="Verdana" w:eastAsia="Verdana" w:hAnsi="Verdana"/>
                <w:sz w:val="14"/>
                <w:szCs w:val="14"/>
                <w:color w:val="auto"/>
                <w:w w:val="88"/>
              </w:rPr>
              <w:t>$</w:t>
            </w: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34,251</w:t>
            </w: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Fair value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Verdana" w:cs="Verdana" w:eastAsia="Verdana" w:hAnsi="Verdana"/>
                <w:sz w:val="14"/>
                <w:szCs w:val="14"/>
                <w:color w:val="auto"/>
              </w:rPr>
              <w:t>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15</w:t>
            </w:r>
          </w:p>
        </w:tc>
      </w:tr>
      <w:tr>
        <w:trPr>
          <w:trHeight w:val="218"/>
        </w:trPr>
        <w:tc>
          <w:tcPr>
            <w:tcW w:w="8020" w:type="dxa"/>
            <w:vAlign w:val="bottom"/>
            <w:shd w:val="clear" w:color="auto" w:fill="E0E7ED"/>
          </w:tcPr>
          <w:p>
            <w:pPr>
              <w:spacing w:after="0"/>
              <w:rPr>
                <w:sz w:val="18"/>
                <w:szCs w:val="18"/>
                <w:color w:val="auto"/>
              </w:rPr>
            </w:pPr>
          </w:p>
        </w:tc>
        <w:tc>
          <w:tcPr>
            <w:tcW w:w="980" w:type="dxa"/>
            <w:vAlign w:val="bottom"/>
            <w:shd w:val="clear" w:color="auto" w:fill="E0E7ED"/>
          </w:tcPr>
          <w:p>
            <w:pPr>
              <w:spacing w:after="0"/>
              <w:rPr>
                <w:sz w:val="18"/>
                <w:szCs w:val="18"/>
                <w:color w:val="auto"/>
              </w:rPr>
            </w:pPr>
          </w:p>
        </w:tc>
        <w:tc>
          <w:tcPr>
            <w:tcW w:w="6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52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r>
      <w:tr>
        <w:trPr>
          <w:trHeight w:val="207"/>
        </w:trPr>
        <w:tc>
          <w:tcPr>
            <w:tcW w:w="8020" w:type="dxa"/>
            <w:vAlign w:val="bottom"/>
          </w:tcPr>
          <w:p>
            <w:pPr>
              <w:ind w:left="20"/>
              <w:spacing w:after="0"/>
              <w:rPr>
                <w:sz w:val="20"/>
                <w:szCs w:val="20"/>
                <w:color w:val="auto"/>
              </w:rPr>
            </w:pPr>
            <w:r>
              <w:rPr>
                <w:rFonts w:ascii="Verdana" w:cs="Verdana" w:eastAsia="Verdana" w:hAnsi="Verdana"/>
                <w:sz w:val="14"/>
                <w:szCs w:val="14"/>
                <w:b w:val="1"/>
                <w:bCs w:val="1"/>
                <w:color w:val="auto"/>
              </w:rPr>
              <w:t>Risk participation agreements sold</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Number of risk participation agreements</w:t>
            </w:r>
          </w:p>
        </w:tc>
        <w:tc>
          <w:tcPr>
            <w:tcW w:w="980" w:type="dxa"/>
            <w:vAlign w:val="bottom"/>
            <w:shd w:val="clear" w:color="auto" w:fill="E0E7ED"/>
          </w:tcPr>
          <w:p>
            <w:pPr>
              <w:spacing w:after="0"/>
              <w:rPr>
                <w:sz w:val="18"/>
                <w:szCs w:val="18"/>
                <w:color w:val="auto"/>
              </w:rPr>
            </w:pPr>
          </w:p>
        </w:tc>
        <w:tc>
          <w:tcPr>
            <w:tcW w:w="7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52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w:t>
            </w:r>
          </w:p>
        </w:tc>
      </w:tr>
      <w:tr>
        <w:trPr>
          <w:trHeight w:val="207"/>
        </w:trPr>
        <w:tc>
          <w:tcPr>
            <w:tcW w:w="8020" w:type="dxa"/>
            <w:vAlign w:val="bottom"/>
          </w:tcPr>
          <w:p>
            <w:pPr>
              <w:ind w:left="140"/>
              <w:spacing w:after="0"/>
              <w:rPr>
                <w:sz w:val="20"/>
                <w:szCs w:val="20"/>
                <w:color w:val="auto"/>
              </w:rPr>
            </w:pPr>
            <w:r>
              <w:rPr>
                <w:rFonts w:ascii="Verdana" w:cs="Verdana" w:eastAsia="Verdana" w:hAnsi="Verdana"/>
                <w:sz w:val="14"/>
                <w:szCs w:val="14"/>
                <w:color w:val="auto"/>
              </w:rPr>
              <w:t>Notional amount</w:t>
            </w:r>
          </w:p>
        </w:tc>
        <w:tc>
          <w:tcPr>
            <w:tcW w:w="980" w:type="dxa"/>
            <w:vAlign w:val="bottom"/>
          </w:tcPr>
          <w:p>
            <w:pPr>
              <w:jc w:val="right"/>
              <w:ind w:right="816"/>
              <w:spacing w:after="0"/>
              <w:rPr>
                <w:sz w:val="20"/>
                <w:szCs w:val="20"/>
                <w:color w:val="auto"/>
              </w:rPr>
            </w:pPr>
            <w:r>
              <w:rPr>
                <w:rFonts w:ascii="Verdana" w:cs="Verdana" w:eastAsia="Verdana" w:hAnsi="Verdana"/>
                <w:sz w:val="14"/>
                <w:szCs w:val="14"/>
                <w:color w:val="auto"/>
                <w:w w:val="88"/>
              </w:rPr>
              <w:t>$</w:t>
            </w:r>
          </w:p>
        </w:tc>
        <w:tc>
          <w:tcPr>
            <w:tcW w:w="7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520" w:type="dxa"/>
            <w:vAlign w:val="bottom"/>
          </w:tcPr>
          <w:p>
            <w:pPr>
              <w:jc w:val="right"/>
              <w:ind w:right="349"/>
              <w:spacing w:after="0"/>
              <w:rPr>
                <w:sz w:val="20"/>
                <w:szCs w:val="20"/>
                <w:color w:val="auto"/>
              </w:rPr>
            </w:pPr>
            <w:r>
              <w:rPr>
                <w:rFonts w:ascii="Verdana" w:cs="Verdana" w:eastAsia="Verdana" w:hAnsi="Verdana"/>
                <w:sz w:val="14"/>
                <w:szCs w:val="14"/>
                <w:color w:val="auto"/>
                <w:w w:val="88"/>
              </w:rPr>
              <w:t>$</w:t>
            </w:r>
          </w:p>
        </w:tc>
        <w:tc>
          <w:tcPr>
            <w:tcW w:w="960" w:type="dxa"/>
            <w:vAlign w:val="bottom"/>
          </w:tcPr>
          <w:p>
            <w:pPr>
              <w:jc w:val="right"/>
              <w:ind w:right="12"/>
              <w:spacing w:after="0"/>
              <w:rPr>
                <w:sz w:val="20"/>
                <w:szCs w:val="20"/>
                <w:color w:val="auto"/>
              </w:rPr>
            </w:pPr>
            <w:r>
              <w:rPr>
                <w:rFonts w:ascii="Verdana" w:cs="Verdana" w:eastAsia="Verdana" w:hAnsi="Verdana"/>
                <w:sz w:val="14"/>
                <w:szCs w:val="14"/>
                <w:color w:val="auto"/>
              </w:rPr>
              <w:t>20,001</w:t>
            </w:r>
          </w:p>
        </w:tc>
      </w:tr>
      <w:tr>
        <w:trPr>
          <w:trHeight w:val="218"/>
        </w:trPr>
        <w:tc>
          <w:tcPr>
            <w:tcW w:w="8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Fair value</w:t>
            </w:r>
          </w:p>
        </w:tc>
        <w:tc>
          <w:tcPr>
            <w:tcW w:w="980" w:type="dxa"/>
            <w:vAlign w:val="bottom"/>
            <w:shd w:val="clear" w:color="auto" w:fill="E0E7ED"/>
          </w:tcPr>
          <w:p>
            <w:pPr>
              <w:spacing w:after="0"/>
              <w:rPr>
                <w:sz w:val="18"/>
                <w:szCs w:val="18"/>
                <w:color w:val="auto"/>
              </w:rPr>
            </w:pPr>
          </w:p>
        </w:tc>
        <w:tc>
          <w:tcPr>
            <w:tcW w:w="7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520" w:type="dxa"/>
            <w:vAlign w:val="bottom"/>
            <w:shd w:val="clear" w:color="auto" w:fill="E0E7ED"/>
          </w:tcPr>
          <w:p>
            <w:pPr>
              <w:spacing w:after="0"/>
              <w:rPr>
                <w:sz w:val="18"/>
                <w:szCs w:val="18"/>
                <w:color w:val="auto"/>
              </w:rPr>
            </w:pPr>
          </w:p>
        </w:tc>
        <w:tc>
          <w:tcPr>
            <w:tcW w:w="96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w:t>
            </w:r>
          </w:p>
        </w:tc>
      </w:tr>
    </w:tbl>
    <w:p>
      <w:pPr>
        <w:spacing w:after="0" w:line="24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Mortgage Banking Derivatives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Interest Rate Lock Commitments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Interest rate lock commitments that meet the definition of derivative financial instruments under ASC Topic 815 </w:t>
      </w:r>
      <w:r>
        <w:rPr>
          <w:rFonts w:ascii="Verdana" w:cs="Verdana" w:eastAsia="Verdana" w:hAnsi="Verdana"/>
          <w:sz w:val="14"/>
          <w:szCs w:val="14"/>
          <w:i w:val="1"/>
          <w:iCs w:val="1"/>
          <w:color w:val="auto"/>
        </w:rPr>
        <w:t>“Derivatives and Hedging”</w:t>
      </w:r>
      <w:r>
        <w:rPr>
          <w:rFonts w:ascii="Verdana" w:cs="Verdana" w:eastAsia="Verdana" w:hAnsi="Verdana"/>
          <w:sz w:val="14"/>
          <w:szCs w:val="14"/>
          <w:color w:val="auto"/>
        </w:rPr>
        <w:t xml:space="preserve"> are carried at their fair values in other assets or other liabilities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with changes in the fair values of the corresponding derivative financial assets or liabilities recorded as either a charge or credit to current earnings during the period in which the changes occurred.</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Forward Sales Commitments</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4"/>
          <w:szCs w:val="14"/>
          <w:i w:val="1"/>
          <w:iCs w:val="1"/>
          <w:color w:val="auto"/>
        </w:rPr>
        <w:t xml:space="preserve">“Derivatives and Hedging” </w:t>
      </w:r>
      <w:r>
        <w:rPr>
          <w:rFonts w:ascii="Verdana" w:cs="Verdana" w:eastAsia="Verdana" w:hAnsi="Verdana"/>
          <w:sz w:val="14"/>
          <w:szCs w:val="14"/>
          <w:color w:val="auto"/>
        </w:rPr>
        <w:t>are carried at their fair values in other assets or other liabilities on the</w:t>
      </w:r>
      <w:r>
        <w:rPr>
          <w:rFonts w:ascii="Verdana" w:cs="Verdana" w:eastAsia="Verdana" w:hAnsi="Verdana"/>
          <w:sz w:val="14"/>
          <w:szCs w:val="14"/>
          <w:i w:val="1"/>
          <w:iCs w:val="1"/>
          <w:color w:val="auto"/>
        </w:rPr>
        <w:t xml:space="preserv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While such forward sales</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59" w:name="page160"/>
    <w:bookmarkEnd w:id="15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Amounts and fair values of mortgage banking derivatives included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Borders>
              <w:bottom w:val="single" w:sz="8" w:color="auto"/>
            </w:tcBorders>
            <w:gridSpan w:val="4"/>
          </w:tcPr>
          <w:p>
            <w:pPr>
              <w:jc w:val="right"/>
              <w:ind w:right="416"/>
              <w:spacing w:after="0"/>
              <w:rPr>
                <w:sz w:val="20"/>
                <w:szCs w:val="20"/>
                <w:color w:val="auto"/>
              </w:rPr>
            </w:pPr>
            <w:r>
              <w:rPr>
                <w:rFonts w:ascii="Verdana" w:cs="Verdana" w:eastAsia="Verdana" w:hAnsi="Verdana"/>
                <w:sz w:val="10"/>
                <w:szCs w:val="10"/>
                <w:b w:val="1"/>
                <w:bCs w:val="1"/>
                <w:color w:val="auto"/>
              </w:rPr>
              <w:t>As of December 31, 2024</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4"/>
          </w:tcPr>
          <w:p>
            <w:pPr>
              <w:jc w:val="right"/>
              <w:ind w:right="855"/>
              <w:spacing w:after="0"/>
              <w:rPr>
                <w:sz w:val="20"/>
                <w:szCs w:val="20"/>
                <w:color w:val="auto"/>
              </w:rPr>
            </w:pPr>
            <w:r>
              <w:rPr>
                <w:rFonts w:ascii="Verdana" w:cs="Verdana" w:eastAsia="Verdana" w:hAnsi="Verdana"/>
                <w:sz w:val="10"/>
                <w:szCs w:val="10"/>
                <w:b w:val="1"/>
                <w:bCs w:val="1"/>
                <w:color w:val="auto"/>
              </w:rPr>
              <w:t>As of December 31, 2023</w:t>
            </w:r>
          </w:p>
        </w:tc>
        <w:tc>
          <w:tcPr>
            <w:tcW w:w="0" w:type="dxa"/>
            <w:vAlign w:val="bottom"/>
          </w:tcPr>
          <w:p>
            <w:pPr>
              <w:spacing w:after="0"/>
              <w:rPr>
                <w:sz w:val="1"/>
                <w:szCs w:val="1"/>
                <w:color w:val="auto"/>
              </w:rPr>
            </w:pPr>
          </w:p>
        </w:tc>
      </w:tr>
      <w:tr>
        <w:trPr>
          <w:trHeight w:val="93"/>
        </w:trPr>
        <w:tc>
          <w:tcPr>
            <w:tcW w:w="3020" w:type="dxa"/>
            <w:vAlign w:val="bottom"/>
          </w:tcPr>
          <w:p>
            <w:pPr>
              <w:spacing w:after="0"/>
              <w:rPr>
                <w:sz w:val="8"/>
                <w:szCs w:val="8"/>
                <w:color w:val="auto"/>
              </w:rPr>
            </w:pPr>
          </w:p>
        </w:tc>
        <w:tc>
          <w:tcPr>
            <w:tcW w:w="1680" w:type="dxa"/>
            <w:vAlign w:val="bottom"/>
            <w:gridSpan w:val="2"/>
            <w:vMerge w:val="restart"/>
          </w:tcPr>
          <w:p>
            <w:pPr>
              <w:ind w:left="560"/>
              <w:spacing w:after="0"/>
              <w:rPr>
                <w:sz w:val="20"/>
                <w:szCs w:val="20"/>
                <w:color w:val="auto"/>
              </w:rPr>
            </w:pPr>
            <w:r>
              <w:rPr>
                <w:rFonts w:ascii="Verdana" w:cs="Verdana" w:eastAsia="Verdana" w:hAnsi="Verdana"/>
                <w:sz w:val="10"/>
                <w:szCs w:val="10"/>
                <w:b w:val="1"/>
                <w:bCs w:val="1"/>
                <w:color w:val="auto"/>
              </w:rPr>
              <w:t>Location</w:t>
            </w:r>
          </w:p>
        </w:tc>
        <w:tc>
          <w:tcPr>
            <w:tcW w:w="1060" w:type="dxa"/>
            <w:vAlign w:val="bottom"/>
          </w:tcPr>
          <w:p>
            <w:pPr>
              <w:jc w:val="right"/>
              <w:spacing w:after="0" w:line="94" w:lineRule="exact"/>
              <w:rPr>
                <w:sz w:val="20"/>
                <w:szCs w:val="20"/>
                <w:color w:val="auto"/>
              </w:rPr>
            </w:pPr>
            <w:r>
              <w:rPr>
                <w:rFonts w:ascii="Verdana" w:cs="Verdana" w:eastAsia="Verdana" w:hAnsi="Verdana"/>
                <w:sz w:val="10"/>
                <w:szCs w:val="10"/>
                <w:b w:val="1"/>
                <w:bCs w:val="1"/>
                <w:color w:val="auto"/>
              </w:rPr>
              <w:t>Notional</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jc w:val="right"/>
              <w:ind w:right="176"/>
              <w:spacing w:after="0" w:line="94" w:lineRule="exact"/>
              <w:rPr>
                <w:sz w:val="20"/>
                <w:szCs w:val="20"/>
                <w:color w:val="auto"/>
              </w:rPr>
            </w:pPr>
            <w:r>
              <w:rPr>
                <w:rFonts w:ascii="Verdana" w:cs="Verdana" w:eastAsia="Verdana" w:hAnsi="Verdana"/>
                <w:sz w:val="10"/>
                <w:szCs w:val="10"/>
                <w:b w:val="1"/>
                <w:bCs w:val="1"/>
                <w:color w:val="auto"/>
              </w:rPr>
              <w:t>Fair</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gridSpan w:val="2"/>
          </w:tcPr>
          <w:p>
            <w:pPr>
              <w:ind w:left="220"/>
              <w:spacing w:after="0" w:line="94" w:lineRule="exact"/>
              <w:rPr>
                <w:sz w:val="20"/>
                <w:szCs w:val="20"/>
                <w:color w:val="auto"/>
              </w:rPr>
            </w:pPr>
            <w:r>
              <w:rPr>
                <w:rFonts w:ascii="Verdana" w:cs="Verdana" w:eastAsia="Verdana" w:hAnsi="Verdana"/>
                <w:sz w:val="10"/>
                <w:szCs w:val="10"/>
                <w:b w:val="1"/>
                <w:bCs w:val="1"/>
                <w:color w:val="auto"/>
              </w:rPr>
              <w:t>Notional</w:t>
            </w:r>
          </w:p>
        </w:tc>
        <w:tc>
          <w:tcPr>
            <w:tcW w:w="380" w:type="dxa"/>
            <w:vAlign w:val="bottom"/>
          </w:tcPr>
          <w:p>
            <w:pPr>
              <w:spacing w:after="0"/>
              <w:rPr>
                <w:sz w:val="8"/>
                <w:szCs w:val="8"/>
                <w:color w:val="auto"/>
              </w:rPr>
            </w:pPr>
          </w:p>
        </w:tc>
        <w:tc>
          <w:tcPr>
            <w:tcW w:w="1200" w:type="dxa"/>
            <w:vAlign w:val="bottom"/>
          </w:tcPr>
          <w:p>
            <w:pPr>
              <w:jc w:val="right"/>
              <w:ind w:right="615"/>
              <w:spacing w:after="0" w:line="94" w:lineRule="exact"/>
              <w:rPr>
                <w:sz w:val="20"/>
                <w:szCs w:val="20"/>
                <w:color w:val="auto"/>
              </w:rPr>
            </w:pPr>
            <w:r>
              <w:rPr>
                <w:rFonts w:ascii="Verdana" w:cs="Verdana" w:eastAsia="Verdana" w:hAnsi="Verdana"/>
                <w:sz w:val="10"/>
                <w:szCs w:val="10"/>
                <w:b w:val="1"/>
                <w:bCs w:val="1"/>
                <w:color w:val="auto"/>
              </w:rPr>
              <w:t>Fair</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060" w:type="dxa"/>
            <w:vAlign w:val="bottom"/>
          </w:tcPr>
          <w:p>
            <w:pPr>
              <w:jc w:val="right"/>
              <w:spacing w:after="0"/>
              <w:rPr>
                <w:sz w:val="20"/>
                <w:szCs w:val="20"/>
                <w:color w:val="auto"/>
              </w:rPr>
            </w:pPr>
            <w:r>
              <w:rPr>
                <w:rFonts w:ascii="Verdana" w:cs="Verdana" w:eastAsia="Verdana" w:hAnsi="Verdana"/>
                <w:sz w:val="10"/>
                <w:szCs w:val="10"/>
                <w:b w:val="1"/>
                <w:bCs w:val="1"/>
                <w:color w:val="auto"/>
              </w:rPr>
              <w:t>Amount</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136"/>
              <w:spacing w:after="0"/>
              <w:rPr>
                <w:sz w:val="20"/>
                <w:szCs w:val="20"/>
                <w:color w:val="auto"/>
              </w:rPr>
            </w:pPr>
            <w:r>
              <w:rPr>
                <w:rFonts w:ascii="Verdana" w:cs="Verdana" w:eastAsia="Verdana" w:hAnsi="Verdana"/>
                <w:sz w:val="10"/>
                <w:szCs w:val="10"/>
                <w:b w:val="1"/>
                <w:bCs w:val="1"/>
                <w:color w:val="auto"/>
              </w:rPr>
              <w:t>Value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Amount</w:t>
            </w:r>
          </w:p>
        </w:tc>
        <w:tc>
          <w:tcPr>
            <w:tcW w:w="380" w:type="dxa"/>
            <w:vAlign w:val="bottom"/>
          </w:tcPr>
          <w:p>
            <w:pPr>
              <w:spacing w:after="0"/>
              <w:rPr>
                <w:sz w:val="11"/>
                <w:szCs w:val="11"/>
                <w:color w:val="auto"/>
              </w:rPr>
            </w:pPr>
          </w:p>
        </w:tc>
        <w:tc>
          <w:tcPr>
            <w:tcW w:w="1200" w:type="dxa"/>
            <w:vAlign w:val="bottom"/>
          </w:tcPr>
          <w:p>
            <w:pPr>
              <w:jc w:val="right"/>
              <w:ind w:right="575"/>
              <w:spacing w:after="0"/>
              <w:rPr>
                <w:sz w:val="20"/>
                <w:szCs w:val="20"/>
                <w:color w:val="auto"/>
              </w:rPr>
            </w:pPr>
            <w:r>
              <w:rPr>
                <w:rFonts w:ascii="Verdana" w:cs="Verdana" w:eastAsia="Verdana" w:hAnsi="Verdana"/>
                <w:sz w:val="10"/>
                <w:szCs w:val="10"/>
                <w:b w:val="1"/>
                <w:bCs w:val="1"/>
                <w:color w:val="auto"/>
              </w:rPr>
              <w:t>Value</w:t>
            </w:r>
          </w:p>
        </w:tc>
        <w:tc>
          <w:tcPr>
            <w:tcW w:w="0" w:type="dxa"/>
            <w:vAlign w:val="bottom"/>
          </w:tcPr>
          <w:p>
            <w:pPr>
              <w:spacing w:after="0"/>
              <w:rPr>
                <w:sz w:val="1"/>
                <w:szCs w:val="1"/>
                <w:color w:val="auto"/>
              </w:rPr>
            </w:pPr>
          </w:p>
        </w:tc>
      </w:tr>
      <w:tr>
        <w:trPr>
          <w:trHeight w:val="197"/>
        </w:trPr>
        <w:tc>
          <w:tcPr>
            <w:tcW w:w="30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Mortgage banking derivative assets</w:t>
            </w:r>
          </w:p>
        </w:tc>
        <w:tc>
          <w:tcPr>
            <w:tcW w:w="15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5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140" w:type="dxa"/>
            <w:vAlign w:val="bottom"/>
            <w:tcBorders>
              <w:top w:val="single" w:sz="8" w:color="auto"/>
            </w:tcBorders>
            <w:shd w:val="clear" w:color="auto" w:fill="E0E7ED"/>
          </w:tcPr>
          <w:p>
            <w:pPr>
              <w:spacing w:after="0"/>
              <w:rPr>
                <w:sz w:val="17"/>
                <w:szCs w:val="17"/>
                <w:color w:val="auto"/>
              </w:rPr>
            </w:pPr>
          </w:p>
        </w:tc>
        <w:tc>
          <w:tcPr>
            <w:tcW w:w="4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140"/>
              <w:spacing w:after="0"/>
              <w:rPr>
                <w:sz w:val="20"/>
                <w:szCs w:val="20"/>
                <w:color w:val="auto"/>
              </w:rPr>
            </w:pPr>
            <w:r>
              <w:rPr>
                <w:rFonts w:ascii="Verdana" w:cs="Verdana" w:eastAsia="Verdana" w:hAnsi="Verdana"/>
                <w:sz w:val="14"/>
                <w:szCs w:val="14"/>
                <w:color w:val="auto"/>
              </w:rPr>
              <w:t>Interest rate lock commitments</w:t>
            </w:r>
          </w:p>
        </w:tc>
        <w:tc>
          <w:tcPr>
            <w:tcW w:w="1680" w:type="dxa"/>
            <w:vAlign w:val="bottom"/>
            <w:gridSpan w:val="2"/>
          </w:tcPr>
          <w:p>
            <w:pPr>
              <w:ind w:left="20"/>
              <w:spacing w:after="0"/>
              <w:rPr>
                <w:sz w:val="20"/>
                <w:szCs w:val="20"/>
                <w:color w:val="auto"/>
              </w:rPr>
            </w:pPr>
            <w:r>
              <w:rPr>
                <w:rFonts w:ascii="Verdana" w:cs="Verdana" w:eastAsia="Verdana" w:hAnsi="Verdana"/>
                <w:sz w:val="14"/>
                <w:szCs w:val="14"/>
                <w:color w:val="auto"/>
              </w:rPr>
              <w:t>Other assets</w:t>
            </w:r>
          </w:p>
        </w:tc>
        <w:tc>
          <w:tcPr>
            <w:tcW w:w="1060" w:type="dxa"/>
            <w:vAlign w:val="bottom"/>
          </w:tcPr>
          <w:p>
            <w:pPr>
              <w:jc w:val="right"/>
              <w:ind w:right="898"/>
              <w:spacing w:after="0"/>
              <w:rPr>
                <w:sz w:val="20"/>
                <w:szCs w:val="20"/>
                <w:color w:val="auto"/>
              </w:rPr>
            </w:pPr>
            <w:r>
              <w:rPr>
                <w:rFonts w:ascii="Verdana" w:cs="Verdana" w:eastAsia="Verdana" w:hAnsi="Verdana"/>
                <w:sz w:val="14"/>
                <w:szCs w:val="14"/>
                <w:color w:val="auto"/>
                <w:w w:val="88"/>
              </w:rPr>
              <w:t>$</w:t>
            </w:r>
          </w:p>
        </w:tc>
        <w:tc>
          <w:tcPr>
            <w:tcW w:w="520" w:type="dxa"/>
            <w:vAlign w:val="bottom"/>
          </w:tcPr>
          <w:p>
            <w:pPr>
              <w:jc w:val="right"/>
              <w:ind w:right="9"/>
              <w:spacing w:after="0"/>
              <w:rPr>
                <w:sz w:val="20"/>
                <w:szCs w:val="20"/>
                <w:color w:val="auto"/>
              </w:rPr>
            </w:pPr>
            <w:r>
              <w:rPr>
                <w:rFonts w:ascii="Verdana" w:cs="Verdana" w:eastAsia="Verdana" w:hAnsi="Verdana"/>
                <w:sz w:val="14"/>
                <w:szCs w:val="14"/>
                <w:color w:val="auto"/>
              </w:rPr>
              <w:t>2,430</w:t>
            </w:r>
          </w:p>
        </w:tc>
        <w:tc>
          <w:tcPr>
            <w:tcW w:w="80" w:type="dxa"/>
            <w:vAlign w:val="bottom"/>
          </w:tcPr>
          <w:p>
            <w:pPr>
              <w:spacing w:after="0"/>
              <w:rPr>
                <w:sz w:val="17"/>
                <w:szCs w:val="17"/>
                <w:color w:val="auto"/>
              </w:rPr>
            </w:pPr>
          </w:p>
        </w:tc>
        <w:tc>
          <w:tcPr>
            <w:tcW w:w="1140" w:type="dxa"/>
            <w:vAlign w:val="bottom"/>
          </w:tcPr>
          <w:p>
            <w:pPr>
              <w:jc w:val="right"/>
              <w:ind w:right="976"/>
              <w:spacing w:after="0"/>
              <w:rPr>
                <w:sz w:val="20"/>
                <w:szCs w:val="20"/>
                <w:color w:val="auto"/>
              </w:rPr>
            </w:pPr>
            <w:r>
              <w:rPr>
                <w:rFonts w:ascii="Verdana" w:cs="Verdana" w:eastAsia="Verdana" w:hAnsi="Verdana"/>
                <w:sz w:val="14"/>
                <w:szCs w:val="14"/>
                <w:color w:val="auto"/>
                <w:w w:val="88"/>
              </w:rPr>
              <w:t>$</w:t>
            </w:r>
          </w:p>
        </w:tc>
        <w:tc>
          <w:tcPr>
            <w:tcW w:w="440" w:type="dxa"/>
            <w:vAlign w:val="bottom"/>
          </w:tcPr>
          <w:p>
            <w:pPr>
              <w:jc w:val="right"/>
              <w:spacing w:after="0"/>
              <w:rPr>
                <w:sz w:val="20"/>
                <w:szCs w:val="20"/>
                <w:color w:val="auto"/>
              </w:rPr>
            </w:pPr>
            <w:r>
              <w:rPr>
                <w:rFonts w:ascii="Verdana" w:cs="Verdana" w:eastAsia="Verdana" w:hAnsi="Verdana"/>
                <w:sz w:val="14"/>
                <w:szCs w:val="14"/>
                <w:color w:val="auto"/>
              </w:rPr>
              <w:t>28</w:t>
            </w:r>
          </w:p>
        </w:tc>
        <w:tc>
          <w:tcPr>
            <w:tcW w:w="80" w:type="dxa"/>
            <w:vAlign w:val="bottom"/>
          </w:tcPr>
          <w:p>
            <w:pPr>
              <w:spacing w:after="0"/>
              <w:rPr>
                <w:sz w:val="17"/>
                <w:szCs w:val="17"/>
                <w:color w:val="auto"/>
              </w:rPr>
            </w:pPr>
          </w:p>
        </w:tc>
        <w:tc>
          <w:tcPr>
            <w:tcW w:w="340" w:type="dxa"/>
            <w:vAlign w:val="bottom"/>
          </w:tcPr>
          <w:p>
            <w:pPr>
              <w:jc w:val="right"/>
              <w:ind w:right="149"/>
              <w:spacing w:after="0"/>
              <w:rPr>
                <w:sz w:val="20"/>
                <w:szCs w:val="20"/>
                <w:color w:val="auto"/>
              </w:rPr>
            </w:pPr>
            <w:r>
              <w:rPr>
                <w:rFonts w:ascii="Verdana" w:cs="Verdana" w:eastAsia="Verdana" w:hAnsi="Verdana"/>
                <w:sz w:val="14"/>
                <w:szCs w:val="14"/>
                <w:color w:val="auto"/>
              </w:rPr>
              <w:t>$</w:t>
            </w:r>
          </w:p>
        </w:tc>
        <w:tc>
          <w:tcPr>
            <w:tcW w:w="1260" w:type="dxa"/>
            <w:vAlign w:val="bottom"/>
          </w:tcPr>
          <w:p>
            <w:pPr>
              <w:jc w:val="right"/>
              <w:ind w:right="16"/>
              <w:spacing w:after="0"/>
              <w:rPr>
                <w:sz w:val="20"/>
                <w:szCs w:val="20"/>
                <w:color w:val="auto"/>
              </w:rPr>
            </w:pPr>
            <w:r>
              <w:rPr>
                <w:rFonts w:ascii="Verdana" w:cs="Verdana" w:eastAsia="Verdana" w:hAnsi="Verdana"/>
                <w:sz w:val="14"/>
                <w:szCs w:val="14"/>
                <w:color w:val="auto"/>
              </w:rPr>
              <w:t>3,477</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25</w:t>
            </w:r>
          </w:p>
        </w:tc>
        <w:tc>
          <w:tcPr>
            <w:tcW w:w="0" w:type="dxa"/>
            <w:vAlign w:val="bottom"/>
          </w:tcPr>
          <w:p>
            <w:pPr>
              <w:spacing w:after="0"/>
              <w:rPr>
                <w:sz w:val="1"/>
                <w:szCs w:val="1"/>
                <w:color w:val="auto"/>
              </w:rPr>
            </w:pPr>
          </w:p>
        </w:tc>
      </w:tr>
      <w:tr>
        <w:trPr>
          <w:trHeight w:val="212"/>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Forward sales commitments</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assets</w:t>
            </w:r>
          </w:p>
        </w:tc>
        <w:tc>
          <w:tcPr>
            <w:tcW w:w="1060" w:type="dxa"/>
            <w:vAlign w:val="bottom"/>
            <w:tcBorders>
              <w:bottom w:val="single" w:sz="8" w:color="auto"/>
            </w:tcBorders>
            <w:shd w:val="clear" w:color="auto" w:fill="E0E7ED"/>
          </w:tcPr>
          <w:p>
            <w:pPr>
              <w:spacing w:after="0"/>
              <w:rPr>
                <w:sz w:val="18"/>
                <w:szCs w:val="18"/>
                <w:color w:val="auto"/>
              </w:rPr>
            </w:pPr>
          </w:p>
        </w:tc>
        <w:tc>
          <w:tcPr>
            <w:tcW w:w="52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3,457</w:t>
            </w:r>
          </w:p>
        </w:tc>
        <w:tc>
          <w:tcPr>
            <w:tcW w:w="80" w:type="dxa"/>
            <w:vAlign w:val="bottom"/>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spacing w:after="0"/>
              <w:rPr>
                <w:sz w:val="18"/>
                <w:szCs w:val="18"/>
                <w:color w:val="auto"/>
              </w:rPr>
            </w:pPr>
          </w:p>
        </w:tc>
        <w:tc>
          <w:tcPr>
            <w:tcW w:w="4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w:t>
            </w:r>
          </w:p>
        </w:tc>
        <w:tc>
          <w:tcPr>
            <w:tcW w:w="80" w:type="dxa"/>
            <w:vAlign w:val="bottom"/>
            <w:shd w:val="clear" w:color="auto" w:fill="E0E7ED"/>
          </w:tcPr>
          <w:p>
            <w:pPr>
              <w:spacing w:after="0"/>
              <w:rPr>
                <w:sz w:val="18"/>
                <w:szCs w:val="18"/>
                <w:color w:val="auto"/>
              </w:rPr>
            </w:pPr>
          </w:p>
        </w:tc>
        <w:tc>
          <w:tcPr>
            <w:tcW w:w="340" w:type="dxa"/>
            <w:vAlign w:val="bottom"/>
            <w:tcBorders>
              <w:bottom w:val="single" w:sz="8" w:color="auto"/>
            </w:tcBorders>
            <w:shd w:val="clear" w:color="auto" w:fill="E0E7ED"/>
          </w:tcPr>
          <w:p>
            <w:pPr>
              <w:spacing w:after="0"/>
              <w:rPr>
                <w:sz w:val="18"/>
                <w:szCs w:val="18"/>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1,761</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Verdana" w:cs="Verdana" w:eastAsia="Verdana" w:hAnsi="Verdana"/>
                <w:sz w:val="14"/>
                <w:szCs w:val="14"/>
                <w:color w:val="auto"/>
              </w:rPr>
              <w:t>Mortgage banking derivative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98"/>
              <w:spacing w:after="0"/>
              <w:rPr>
                <w:sz w:val="20"/>
                <w:szCs w:val="20"/>
                <w:color w:val="auto"/>
              </w:rPr>
            </w:pPr>
            <w:r>
              <w:rPr>
                <w:rFonts w:ascii="Verdana" w:cs="Verdana" w:eastAsia="Verdana" w:hAnsi="Verdana"/>
                <w:sz w:val="14"/>
                <w:szCs w:val="14"/>
                <w:color w:val="auto"/>
                <w:w w:val="88"/>
              </w:rPr>
              <w:t>$</w:t>
            </w:r>
          </w:p>
        </w:tc>
        <w:tc>
          <w:tcPr>
            <w:tcW w:w="52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5,887</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76"/>
              <w:spacing w:after="0"/>
              <w:rPr>
                <w:sz w:val="20"/>
                <w:szCs w:val="20"/>
                <w:color w:val="auto"/>
              </w:rPr>
            </w:pPr>
            <w:r>
              <w:rPr>
                <w:rFonts w:ascii="Verdana" w:cs="Verdana" w:eastAsia="Verdana" w:hAnsi="Verdana"/>
                <w:sz w:val="14"/>
                <w:szCs w:val="14"/>
                <w:color w:val="auto"/>
                <w:w w:val="88"/>
              </w:rPr>
              <w:t>$</w:t>
            </w:r>
          </w:p>
        </w:tc>
        <w:tc>
          <w:tcPr>
            <w:tcW w:w="4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9"/>
              <w:spacing w:after="0"/>
              <w:rPr>
                <w:sz w:val="20"/>
                <w:szCs w:val="20"/>
                <w:color w:val="auto"/>
              </w:rPr>
            </w:pPr>
            <w:r>
              <w:rPr>
                <w:rFonts w:ascii="Verdana" w:cs="Verdana" w:eastAsia="Verdana" w:hAnsi="Verdana"/>
                <w:sz w:val="14"/>
                <w:szCs w:val="14"/>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5,238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36</w:t>
            </w:r>
          </w:p>
        </w:tc>
        <w:tc>
          <w:tcPr>
            <w:tcW w:w="0" w:type="dxa"/>
            <w:vAlign w:val="bottom"/>
          </w:tcPr>
          <w:p>
            <w:pPr>
              <w:spacing w:after="0"/>
              <w:rPr>
                <w:sz w:val="1"/>
                <w:szCs w:val="1"/>
                <w:color w:val="auto"/>
              </w:rPr>
            </w:pPr>
          </w:p>
        </w:tc>
      </w:tr>
      <w:tr>
        <w:trPr>
          <w:trHeight w:val="20"/>
        </w:trPr>
        <w:tc>
          <w:tcPr>
            <w:tcW w:w="302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020" w:type="dxa"/>
            <w:vAlign w:val="bottom"/>
            <w:shd w:val="clear" w:color="auto" w:fill="E0E7ED"/>
          </w:tcPr>
          <w:p>
            <w:pPr>
              <w:spacing w:after="0"/>
              <w:rPr>
                <w:sz w:val="15"/>
                <w:szCs w:val="15"/>
                <w:color w:val="auto"/>
              </w:rPr>
            </w:pPr>
          </w:p>
        </w:tc>
        <w:tc>
          <w:tcPr>
            <w:tcW w:w="15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Mortgage banking derivative</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Verdana" w:cs="Verdana" w:eastAsia="Verdana" w:hAnsi="Verdana"/>
                <w:sz w:val="14"/>
                <w:szCs w:val="14"/>
                <w:b w:val="1"/>
                <w:bCs w:val="1"/>
                <w:color w:val="auto"/>
              </w:rPr>
              <w:t>liabilities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Interest rate lock commitments</w:t>
            </w:r>
          </w:p>
        </w:tc>
        <w:tc>
          <w:tcPr>
            <w:tcW w:w="168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Other liabilities</w:t>
            </w:r>
          </w:p>
        </w:tc>
        <w:tc>
          <w:tcPr>
            <w:tcW w:w="1060" w:type="dxa"/>
            <w:vAlign w:val="bottom"/>
            <w:shd w:val="clear" w:color="auto" w:fill="E0E7ED"/>
          </w:tcPr>
          <w:p>
            <w:pPr>
              <w:jc w:val="right"/>
              <w:ind w:right="898"/>
              <w:spacing w:after="0"/>
              <w:rPr>
                <w:sz w:val="20"/>
                <w:szCs w:val="20"/>
                <w:color w:val="auto"/>
              </w:rPr>
            </w:pPr>
            <w:r>
              <w:rPr>
                <w:rFonts w:ascii="Verdana" w:cs="Verdana" w:eastAsia="Verdana" w:hAnsi="Verdana"/>
                <w:sz w:val="14"/>
                <w:szCs w:val="14"/>
                <w:color w:val="auto"/>
                <w:w w:val="88"/>
              </w:rPr>
              <w:t>$</w:t>
            </w:r>
          </w:p>
        </w:tc>
        <w:tc>
          <w:tcPr>
            <w:tcW w:w="52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436</w:t>
            </w:r>
          </w:p>
        </w:tc>
        <w:tc>
          <w:tcPr>
            <w:tcW w:w="8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976"/>
              <w:spacing w:after="0"/>
              <w:rPr>
                <w:sz w:val="20"/>
                <w:szCs w:val="20"/>
                <w:color w:val="auto"/>
              </w:rPr>
            </w:pPr>
            <w:r>
              <w:rPr>
                <w:rFonts w:ascii="Verdana" w:cs="Verdana" w:eastAsia="Verdana" w:hAnsi="Verdana"/>
                <w:sz w:val="14"/>
                <w:szCs w:val="14"/>
                <w:color w:val="auto"/>
                <w:w w:val="88"/>
              </w:rPr>
              <w:t>$</w:t>
            </w:r>
          </w:p>
        </w:tc>
        <w:tc>
          <w:tcPr>
            <w:tcW w:w="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rPr>
              <w:t>$</w:t>
            </w: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1,615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Forward sales commitments</w:t>
            </w:r>
          </w:p>
        </w:tc>
        <w:tc>
          <w:tcPr>
            <w:tcW w:w="168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4"/>
                <w:szCs w:val="14"/>
                <w:color w:val="auto"/>
              </w:rPr>
              <w:t>Other liabilities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
              <w:spacing w:after="0"/>
              <w:rPr>
                <w:sz w:val="20"/>
                <w:szCs w:val="20"/>
                <w:color w:val="auto"/>
              </w:rPr>
            </w:pPr>
            <w:r>
              <w:rPr>
                <w:rFonts w:ascii="Verdana" w:cs="Verdana" w:eastAsia="Verdana" w:hAnsi="Verdana"/>
                <w:sz w:val="14"/>
                <w:szCs w:val="14"/>
                <w:color w:val="auto"/>
              </w:rPr>
              <w:t>1,955</w:t>
            </w:r>
          </w:p>
        </w:tc>
        <w:tc>
          <w:tcPr>
            <w:tcW w:w="80" w:type="dxa"/>
            <w:vAlign w:val="bottom"/>
            <w:tcBorders>
              <w:bottom w:val="single" w:sz="8" w:color="E0E7ED"/>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w:t>
            </w:r>
          </w:p>
        </w:tc>
        <w:tc>
          <w:tcPr>
            <w:tcW w:w="80" w:type="dxa"/>
            <w:vAlign w:val="bottom"/>
            <w:tcBorders>
              <w:bottom w:val="single" w:sz="8" w:color="E0E7E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5,216</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47</w:t>
            </w:r>
          </w:p>
        </w:tc>
        <w:tc>
          <w:tcPr>
            <w:tcW w:w="0" w:type="dxa"/>
            <w:vAlign w:val="bottom"/>
          </w:tcPr>
          <w:p>
            <w:pPr>
              <w:spacing w:after="0"/>
              <w:rPr>
                <w:sz w:val="1"/>
                <w:szCs w:val="1"/>
                <w:color w:val="auto"/>
              </w:rPr>
            </w:pPr>
          </w:p>
        </w:tc>
      </w:tr>
      <w:tr>
        <w:trPr>
          <w:trHeight w:val="233"/>
        </w:trPr>
        <w:tc>
          <w:tcPr>
            <w:tcW w:w="3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Mortgage banking derivative liabilities</w:t>
            </w:r>
          </w:p>
        </w:tc>
        <w:tc>
          <w:tcPr>
            <w:tcW w:w="1580" w:type="dxa"/>
            <w:vAlign w:val="bottom"/>
            <w:tcBorders>
              <w:bottom w:val="single" w:sz="8" w:color="E0E7ED"/>
            </w:tcBorders>
            <w:shd w:val="clear" w:color="auto" w:fill="E0E7ED"/>
          </w:tcPr>
          <w:p>
            <w:pPr>
              <w:spacing w:after="0"/>
              <w:rPr>
                <w:sz w:val="19"/>
                <w:szCs w:val="19"/>
                <w:color w:val="auto"/>
              </w:rPr>
            </w:pPr>
          </w:p>
        </w:tc>
        <w:tc>
          <w:tcPr>
            <w:tcW w:w="100" w:type="dxa"/>
            <w:vAlign w:val="bottom"/>
            <w:tcBorders>
              <w:bottom w:val="single" w:sz="8" w:color="E0E7ED"/>
            </w:tcBorders>
            <w:shd w:val="clear" w:color="auto" w:fill="E0E7ED"/>
          </w:tcPr>
          <w:p>
            <w:pPr>
              <w:spacing w:after="0"/>
              <w:rPr>
                <w:sz w:val="19"/>
                <w:szCs w:val="19"/>
                <w:color w:val="auto"/>
              </w:rPr>
            </w:pPr>
          </w:p>
        </w:tc>
        <w:tc>
          <w:tcPr>
            <w:tcW w:w="1060" w:type="dxa"/>
            <w:vAlign w:val="bottom"/>
            <w:tcBorders>
              <w:bottom w:val="single" w:sz="8" w:color="auto"/>
            </w:tcBorders>
            <w:shd w:val="clear" w:color="auto" w:fill="E0E7ED"/>
          </w:tcPr>
          <w:p>
            <w:pPr>
              <w:jc w:val="right"/>
              <w:ind w:right="898"/>
              <w:spacing w:after="0"/>
              <w:rPr>
                <w:sz w:val="20"/>
                <w:szCs w:val="20"/>
                <w:color w:val="auto"/>
              </w:rPr>
            </w:pPr>
            <w:r>
              <w:rPr>
                <w:rFonts w:ascii="Verdana" w:cs="Verdana" w:eastAsia="Verdana" w:hAnsi="Verdana"/>
                <w:sz w:val="14"/>
                <w:szCs w:val="14"/>
                <w:color w:val="auto"/>
                <w:w w:val="88"/>
              </w:rPr>
              <w:t>$</w:t>
            </w:r>
          </w:p>
        </w:tc>
        <w:tc>
          <w:tcPr>
            <w:tcW w:w="520" w:type="dxa"/>
            <w:vAlign w:val="bottom"/>
            <w:tcBorders>
              <w:bottom w:val="single" w:sz="8" w:color="auto"/>
            </w:tcBorders>
            <w:shd w:val="clear" w:color="auto" w:fill="E0E7ED"/>
          </w:tcPr>
          <w:p>
            <w:pPr>
              <w:jc w:val="right"/>
              <w:ind w:right="9"/>
              <w:spacing w:after="0"/>
              <w:rPr>
                <w:sz w:val="20"/>
                <w:szCs w:val="20"/>
                <w:color w:val="auto"/>
              </w:rPr>
            </w:pPr>
            <w:r>
              <w:rPr>
                <w:rFonts w:ascii="Verdana" w:cs="Verdana" w:eastAsia="Verdana" w:hAnsi="Verdana"/>
                <w:sz w:val="14"/>
                <w:szCs w:val="14"/>
                <w:color w:val="auto"/>
              </w:rPr>
              <w:t>2,391</w:t>
            </w:r>
          </w:p>
        </w:tc>
        <w:tc>
          <w:tcPr>
            <w:tcW w:w="80" w:type="dxa"/>
            <w:vAlign w:val="bottom"/>
            <w:tcBorders>
              <w:bottom w:val="single" w:sz="8" w:color="E0E7ED"/>
            </w:tcBorders>
            <w:shd w:val="clear" w:color="auto" w:fill="E0E7ED"/>
          </w:tcPr>
          <w:p>
            <w:pPr>
              <w:spacing w:after="0"/>
              <w:rPr>
                <w:sz w:val="19"/>
                <w:szCs w:val="19"/>
                <w:color w:val="auto"/>
              </w:rPr>
            </w:pPr>
          </w:p>
        </w:tc>
        <w:tc>
          <w:tcPr>
            <w:tcW w:w="1140" w:type="dxa"/>
            <w:vAlign w:val="bottom"/>
            <w:tcBorders>
              <w:bottom w:val="single" w:sz="8" w:color="auto"/>
            </w:tcBorders>
            <w:shd w:val="clear" w:color="auto" w:fill="E0E7ED"/>
          </w:tcPr>
          <w:p>
            <w:pPr>
              <w:jc w:val="right"/>
              <w:ind w:right="976"/>
              <w:spacing w:after="0"/>
              <w:rPr>
                <w:sz w:val="20"/>
                <w:szCs w:val="20"/>
                <w:color w:val="auto"/>
              </w:rPr>
            </w:pPr>
            <w:r>
              <w:rPr>
                <w:rFonts w:ascii="Verdana" w:cs="Verdana" w:eastAsia="Verdana" w:hAnsi="Verdana"/>
                <w:sz w:val="14"/>
                <w:szCs w:val="14"/>
                <w:color w:val="auto"/>
                <w:w w:val="88"/>
              </w:rPr>
              <w:t>$</w:t>
            </w:r>
          </w:p>
        </w:tc>
        <w:tc>
          <w:tcPr>
            <w:tcW w:w="4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10</w:t>
            </w:r>
          </w:p>
        </w:tc>
        <w:tc>
          <w:tcPr>
            <w:tcW w:w="80" w:type="dxa"/>
            <w:vAlign w:val="bottom"/>
            <w:tcBorders>
              <w:bottom w:val="single" w:sz="8" w:color="E0E7ED"/>
            </w:tcBorders>
            <w:shd w:val="clear" w:color="auto" w:fill="E0E7ED"/>
          </w:tcPr>
          <w:p>
            <w:pPr>
              <w:spacing w:after="0"/>
              <w:rPr>
                <w:sz w:val="19"/>
                <w:szCs w:val="19"/>
                <w:color w:val="auto"/>
              </w:rPr>
            </w:pPr>
          </w:p>
        </w:tc>
        <w:tc>
          <w:tcPr>
            <w:tcW w:w="340" w:type="dxa"/>
            <w:vAlign w:val="bottom"/>
            <w:tcBorders>
              <w:bottom w:val="single" w:sz="8" w:color="auto"/>
            </w:tcBorders>
            <w:shd w:val="clear" w:color="auto" w:fill="E0E7ED"/>
          </w:tcPr>
          <w:p>
            <w:pPr>
              <w:jc w:val="right"/>
              <w:ind w:right="149"/>
              <w:spacing w:after="0"/>
              <w:rPr>
                <w:sz w:val="20"/>
                <w:szCs w:val="20"/>
                <w:color w:val="auto"/>
              </w:rPr>
            </w:pPr>
            <w:r>
              <w:rPr>
                <w:rFonts w:ascii="Verdana" w:cs="Verdana" w:eastAsia="Verdana" w:hAnsi="Verdana"/>
                <w:sz w:val="14"/>
                <w:szCs w:val="14"/>
                <w:color w:val="auto"/>
              </w:rPr>
              <w:t>$</w:t>
            </w: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6,831</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57</w:t>
            </w:r>
          </w:p>
        </w:tc>
        <w:tc>
          <w:tcPr>
            <w:tcW w:w="0" w:type="dxa"/>
            <w:vAlign w:val="bottom"/>
          </w:tcPr>
          <w:p>
            <w:pPr>
              <w:spacing w:after="0"/>
              <w:rPr>
                <w:sz w:val="1"/>
                <w:szCs w:val="1"/>
                <w:color w:val="auto"/>
              </w:rPr>
            </w:pPr>
          </w:p>
        </w:tc>
      </w:tr>
      <w:tr>
        <w:trPr>
          <w:trHeight w:val="20"/>
        </w:trPr>
        <w:tc>
          <w:tcPr>
            <w:tcW w:w="302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4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Net gains (losses) relating to these derivative instruments are summarized as follows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3"/>
        </w:trPr>
        <w:tc>
          <w:tcPr>
            <w:tcW w:w="4680" w:type="dxa"/>
            <w:vAlign w:val="bottom"/>
          </w:tcPr>
          <w:p>
            <w:pPr>
              <w:spacing w:after="0"/>
              <w:rPr>
                <w:sz w:val="11"/>
                <w:szCs w:val="11"/>
                <w:color w:val="auto"/>
              </w:rPr>
            </w:pPr>
          </w:p>
        </w:tc>
        <w:tc>
          <w:tcPr>
            <w:tcW w:w="1660" w:type="dxa"/>
            <w:vAlign w:val="bottom"/>
            <w:gridSpan w:val="2"/>
          </w:tcPr>
          <w:p>
            <w:pPr>
              <w:ind w:left="560"/>
              <w:spacing w:after="0"/>
              <w:rPr>
                <w:sz w:val="20"/>
                <w:szCs w:val="20"/>
                <w:color w:val="auto"/>
              </w:rPr>
            </w:pPr>
            <w:r>
              <w:rPr>
                <w:rFonts w:ascii="Verdana" w:cs="Verdana" w:eastAsia="Verdana" w:hAnsi="Verdana"/>
                <w:sz w:val="10"/>
                <w:szCs w:val="10"/>
                <w:b w:val="1"/>
                <w:bCs w:val="1"/>
                <w:color w:val="auto"/>
              </w:rPr>
              <w:t>Location</w:t>
            </w:r>
          </w:p>
        </w:tc>
        <w:tc>
          <w:tcPr>
            <w:tcW w:w="380" w:type="dxa"/>
            <w:vAlign w:val="bottom"/>
          </w:tcPr>
          <w:p>
            <w:pPr>
              <w:spacing w:after="0"/>
              <w:rPr>
                <w:sz w:val="11"/>
                <w:szCs w:val="11"/>
                <w:color w:val="auto"/>
              </w:rPr>
            </w:pPr>
          </w:p>
        </w:tc>
        <w:tc>
          <w:tcPr>
            <w:tcW w:w="1220" w:type="dxa"/>
            <w:vAlign w:val="bottom"/>
          </w:tcPr>
          <w:p>
            <w:pPr>
              <w:jc w:val="right"/>
              <w:ind w:right="595"/>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75"/>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95"/>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gains (losses) on mortgage banking derivatives</w:t>
            </w:r>
          </w:p>
        </w:tc>
        <w:tc>
          <w:tcPr>
            <w:tcW w:w="15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Gains (losses) on interest rate lock commitments</w:t>
            </w:r>
          </w:p>
        </w:tc>
        <w:tc>
          <w:tcPr>
            <w:tcW w:w="1660" w:type="dxa"/>
            <w:vAlign w:val="bottom"/>
            <w:gridSpan w:val="2"/>
          </w:tcPr>
          <w:p>
            <w:pPr>
              <w:spacing w:after="0"/>
              <w:rPr>
                <w:sz w:val="20"/>
                <w:szCs w:val="20"/>
                <w:color w:val="auto"/>
              </w:rPr>
            </w:pPr>
            <w:r>
              <w:rPr>
                <w:rFonts w:ascii="Verdana" w:cs="Verdana" w:eastAsia="Verdana" w:hAnsi="Verdana"/>
                <w:sz w:val="14"/>
                <w:szCs w:val="14"/>
                <w:color w:val="auto"/>
              </w:rPr>
              <w:t>Mortgage revenue</w:t>
            </w:r>
          </w:p>
        </w:tc>
        <w:tc>
          <w:tcPr>
            <w:tcW w:w="380" w:type="dxa"/>
            <w:vAlign w:val="bottom"/>
          </w:tcPr>
          <w:p>
            <w:pPr>
              <w:jc w:val="right"/>
              <w:ind w:right="189"/>
              <w:spacing w:after="0"/>
              <w:rPr>
                <w:sz w:val="20"/>
                <w:szCs w:val="20"/>
                <w:color w:val="auto"/>
              </w:rPr>
            </w:pPr>
            <w:r>
              <w:rPr>
                <w:rFonts w:ascii="Verdana" w:cs="Verdana" w:eastAsia="Verdana" w:hAnsi="Verdana"/>
                <w:sz w:val="14"/>
                <w:szCs w:val="14"/>
                <w:color w:val="auto"/>
              </w:rPr>
              <w:t>$</w:t>
            </w:r>
          </w:p>
        </w:tc>
        <w:tc>
          <w:tcPr>
            <w:tcW w:w="1220" w:type="dxa"/>
            <w:vAlign w:val="bottom"/>
          </w:tcPr>
          <w:p>
            <w:pPr>
              <w:jc w:val="center"/>
              <w:ind w:left="735"/>
              <w:spacing w:after="0"/>
              <w:rPr>
                <w:sz w:val="20"/>
                <w:szCs w:val="20"/>
                <w:color w:val="auto"/>
              </w:rPr>
            </w:pPr>
            <w:r>
              <w:rPr>
                <w:rFonts w:ascii="Verdana" w:cs="Verdana" w:eastAsia="Verdana" w:hAnsi="Verdana"/>
                <w:sz w:val="14"/>
                <w:szCs w:val="14"/>
                <w:color w:val="auto"/>
                <w:w w:val="96"/>
              </w:rPr>
              <w:t>585</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center"/>
              <w:ind w:left="835"/>
              <w:spacing w:after="0"/>
              <w:rPr>
                <w:sz w:val="20"/>
                <w:szCs w:val="20"/>
                <w:color w:val="auto"/>
              </w:rPr>
            </w:pPr>
            <w:r>
              <w:rPr>
                <w:rFonts w:ascii="Verdana" w:cs="Verdana" w:eastAsia="Verdana" w:hAnsi="Verdana"/>
                <w:sz w:val="14"/>
                <w:szCs w:val="14"/>
                <w:color w:val="auto"/>
              </w:rPr>
              <w:t>15</w:t>
            </w:r>
          </w:p>
        </w:tc>
      </w:tr>
      <w:tr>
        <w:trPr>
          <w:trHeight w:val="212"/>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Gains (losses) on forward sales commitments</w:t>
            </w:r>
          </w:p>
        </w:tc>
        <w:tc>
          <w:tcPr>
            <w:tcW w:w="1660" w:type="dxa"/>
            <w:vAlign w:val="bottom"/>
            <w:gridSpan w:val="2"/>
            <w:shd w:val="clear" w:color="auto" w:fill="E0E7ED"/>
          </w:tcPr>
          <w:p>
            <w:pPr>
              <w:spacing w:after="0"/>
              <w:rPr>
                <w:sz w:val="20"/>
                <w:szCs w:val="20"/>
                <w:color w:val="auto"/>
              </w:rPr>
            </w:pPr>
            <w:r>
              <w:rPr>
                <w:rFonts w:ascii="Verdana" w:cs="Verdana" w:eastAsia="Verdana" w:hAnsi="Verdana"/>
                <w:sz w:val="14"/>
                <w:szCs w:val="14"/>
                <w:color w:val="auto"/>
              </w:rPr>
              <w:t>Mortgage revenue</w:t>
            </w:r>
          </w:p>
        </w:tc>
        <w:tc>
          <w:tcPr>
            <w:tcW w:w="3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center"/>
              <w:ind w:left="695"/>
              <w:spacing w:after="0"/>
              <w:rPr>
                <w:sz w:val="20"/>
                <w:szCs w:val="20"/>
                <w:color w:val="auto"/>
              </w:rPr>
            </w:pPr>
            <w:r>
              <w:rPr>
                <w:rFonts w:ascii="Verdana" w:cs="Verdana" w:eastAsia="Verdana" w:hAnsi="Verdana"/>
                <w:sz w:val="14"/>
                <w:szCs w:val="14"/>
                <w:color w:val="auto"/>
                <w:w w:val="96"/>
              </w:rPr>
              <w:t>(147)</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center"/>
              <w:ind w:left="795"/>
              <w:spacing w:after="0"/>
              <w:rPr>
                <w:sz w:val="20"/>
                <w:szCs w:val="20"/>
                <w:color w:val="auto"/>
              </w:rPr>
            </w:pPr>
            <w:r>
              <w:rPr>
                <w:rFonts w:ascii="Verdana" w:cs="Verdana" w:eastAsia="Verdana" w:hAnsi="Verdana"/>
                <w:sz w:val="14"/>
                <w:szCs w:val="14"/>
                <w:color w:val="auto"/>
                <w:w w:val="97"/>
              </w:rPr>
              <w:t>(38)</w:t>
            </w:r>
          </w:p>
        </w:tc>
      </w:tr>
      <w:tr>
        <w:trPr>
          <w:trHeight w:val="208"/>
        </w:trPr>
        <w:tc>
          <w:tcPr>
            <w:tcW w:w="4680" w:type="dxa"/>
            <w:vAlign w:val="bottom"/>
          </w:tcPr>
          <w:p>
            <w:pPr>
              <w:ind w:left="20"/>
              <w:spacing w:after="0"/>
              <w:rPr>
                <w:sz w:val="20"/>
                <w:szCs w:val="20"/>
                <w:color w:val="auto"/>
              </w:rPr>
            </w:pPr>
            <w:r>
              <w:rPr>
                <w:rFonts w:ascii="Verdana" w:cs="Verdana" w:eastAsia="Verdana" w:hAnsi="Verdana"/>
                <w:sz w:val="14"/>
                <w:szCs w:val="14"/>
                <w:color w:val="auto"/>
              </w:rPr>
              <w:t>Net gains (losses) on mortgage banking derivatives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89"/>
              <w:spacing w:after="0"/>
              <w:rPr>
                <w:sz w:val="20"/>
                <w:szCs w:val="20"/>
                <w:color w:val="auto"/>
              </w:rPr>
            </w:pPr>
            <w:r>
              <w:rPr>
                <w:rFonts w:ascii="Verdana" w:cs="Verdana" w:eastAsia="Verdana" w:hAnsi="Verdana"/>
                <w:sz w:val="14"/>
                <w:szCs w:val="14"/>
                <w:color w:val="auto"/>
              </w:rPr>
              <w:t>$</w:t>
            </w:r>
          </w:p>
        </w:tc>
        <w:tc>
          <w:tcPr>
            <w:tcW w:w="1220" w:type="dxa"/>
            <w:vAlign w:val="bottom"/>
            <w:tcBorders>
              <w:bottom w:val="single" w:sz="8" w:color="auto"/>
            </w:tcBorders>
          </w:tcPr>
          <w:p>
            <w:pPr>
              <w:jc w:val="center"/>
              <w:ind w:left="735"/>
              <w:spacing w:after="0"/>
              <w:rPr>
                <w:sz w:val="20"/>
                <w:szCs w:val="20"/>
                <w:color w:val="auto"/>
              </w:rPr>
            </w:pPr>
            <w:r>
              <w:rPr>
                <w:rFonts w:ascii="Verdana" w:cs="Verdana" w:eastAsia="Verdana" w:hAnsi="Verdana"/>
                <w:sz w:val="14"/>
                <w:szCs w:val="14"/>
                <w:color w:val="auto"/>
                <w:w w:val="96"/>
              </w:rPr>
              <w:t>438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center"/>
              <w:ind w:left="795"/>
              <w:spacing w:after="0"/>
              <w:rPr>
                <w:sz w:val="20"/>
                <w:szCs w:val="20"/>
                <w:color w:val="auto"/>
              </w:rPr>
            </w:pPr>
            <w:r>
              <w:rPr>
                <w:rFonts w:ascii="Verdana" w:cs="Verdana" w:eastAsia="Verdana" w:hAnsi="Verdana"/>
                <w:sz w:val="14"/>
                <w:szCs w:val="14"/>
                <w:color w:val="auto"/>
                <w:w w:val="97"/>
              </w:rPr>
              <w:t>(23)</w:t>
            </w:r>
          </w:p>
        </w:tc>
      </w:tr>
      <w:tr>
        <w:trPr>
          <w:trHeight w:val="20"/>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Gains or losses are recognized on these mortgage banking derivative instruments in earnings; however, because loans held for sale are carried at LOCOM, any corresponding increase in the fair value of loans held for sale will not be recognized in earnings until the loans are sold, at which time the increase is factored into the calculated gain on sale. Decreases in the market value of loans held for sale is recognized in earnings at each measurement period.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0" w:name="page161"/>
    <w:bookmarkEnd w:id="16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20. FAIR VALUE MEASUREMENTS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Verdana" w:cs="Verdana" w:eastAsia="Verdana" w:hAnsi="Verdana"/>
          <w:sz w:val="14"/>
          <w:szCs w:val="14"/>
          <w:i w:val="1"/>
          <w:iCs w:val="1"/>
          <w:color w:val="auto"/>
        </w:rPr>
        <w:t xml:space="preserve">“Fair Value Measurement” </w:t>
      </w:r>
      <w:r>
        <w:rPr>
          <w:rFonts w:ascii="Verdana" w:cs="Verdana" w:eastAsia="Verdana" w:hAnsi="Verdana"/>
          <w:sz w:val="14"/>
          <w:szCs w:val="14"/>
          <w:color w:val="auto"/>
        </w:rPr>
        <w:t>establishes a fair value hierarchy for valuation inputs that gives the highest priority to quoted prices in active markets for identical</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assets or liabilities and the lowest priority to unobservable inputs. The fair value hierarchy is as follows:</w:t>
      </w:r>
    </w:p>
    <w:p>
      <w:pPr>
        <w:spacing w:after="0" w:line="119" w:lineRule="exact"/>
        <w:rPr>
          <w:sz w:val="20"/>
          <w:szCs w:val="20"/>
          <w:color w:val="auto"/>
        </w:rPr>
      </w:pPr>
    </w:p>
    <w:p>
      <w:pPr>
        <w:ind w:left="520" w:hanging="260"/>
        <w:spacing w:after="0" w:line="259" w:lineRule="auto"/>
        <w:tabs>
          <w:tab w:leader="none" w:pos="512" w:val="left"/>
        </w:tabs>
        <w:numPr>
          <w:ilvl w:val="0"/>
          <w:numId w:val="45"/>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Level 1 Inputs </w:t>
      </w:r>
      <w:r>
        <w:rPr>
          <w:rFonts w:ascii="Verdana" w:cs="Verdana" w:eastAsia="Verdana" w:hAnsi="Verdana"/>
          <w:sz w:val="14"/>
          <w:szCs w:val="14"/>
          <w:color w:val="auto"/>
        </w:rPr>
        <w:t>– Unadjusted quoted prices in active markets for identical assets or liabilities that the Company has the ability to access at the</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measurement date.</w:t>
      </w:r>
    </w:p>
    <w:p>
      <w:pPr>
        <w:spacing w:after="0" w:line="120" w:lineRule="exact"/>
        <w:rPr>
          <w:rFonts w:ascii="Verdana" w:cs="Verdana" w:eastAsia="Verdana" w:hAnsi="Verdana"/>
          <w:sz w:val="14"/>
          <w:szCs w:val="14"/>
          <w:color w:val="auto"/>
        </w:rPr>
      </w:pPr>
    </w:p>
    <w:p>
      <w:pPr>
        <w:jc w:val="both"/>
        <w:ind w:left="520" w:hanging="260"/>
        <w:spacing w:after="0" w:line="246" w:lineRule="auto"/>
        <w:tabs>
          <w:tab w:leader="none" w:pos="512" w:val="left"/>
        </w:tabs>
        <w:numPr>
          <w:ilvl w:val="0"/>
          <w:numId w:val="45"/>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Level 2 Inputs </w:t>
      </w:r>
      <w:r>
        <w:rPr>
          <w:rFonts w:ascii="Verdana" w:cs="Verdana" w:eastAsia="Verdana" w:hAnsi="Verdana"/>
          <w:sz w:val="14"/>
          <w:szCs w:val="14"/>
          <w:color w:val="auto"/>
        </w:rPr>
        <w:t>– Inputs other than quoted prices included in Level 1 that are observable for the asset or liability, either directly or indirectly. These</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19" w:lineRule="exact"/>
        <w:rPr>
          <w:rFonts w:ascii="Verdana" w:cs="Verdana" w:eastAsia="Verdana" w:hAnsi="Verdana"/>
          <w:sz w:val="14"/>
          <w:szCs w:val="14"/>
          <w:color w:val="auto"/>
        </w:rPr>
      </w:pPr>
    </w:p>
    <w:p>
      <w:pPr>
        <w:ind w:left="520" w:hanging="260"/>
        <w:spacing w:after="0" w:line="259" w:lineRule="auto"/>
        <w:tabs>
          <w:tab w:leader="none" w:pos="512" w:val="left"/>
        </w:tabs>
        <w:numPr>
          <w:ilvl w:val="0"/>
          <w:numId w:val="45"/>
        </w:numPr>
        <w:rPr>
          <w:rFonts w:ascii="Verdana" w:cs="Verdana" w:eastAsia="Verdana" w:hAnsi="Verdana"/>
          <w:sz w:val="14"/>
          <w:szCs w:val="14"/>
          <w:color w:val="auto"/>
        </w:rPr>
      </w:pPr>
      <w:r>
        <w:rPr>
          <w:rFonts w:ascii="Verdana" w:cs="Verdana" w:eastAsia="Verdana" w:hAnsi="Verdana"/>
          <w:sz w:val="14"/>
          <w:szCs w:val="14"/>
          <w:i w:val="1"/>
          <w:iCs w:val="1"/>
          <w:color w:val="auto"/>
        </w:rPr>
        <w:t xml:space="preserve">Level 3 Inputs </w:t>
      </w:r>
      <w:r>
        <w:rPr>
          <w:rFonts w:ascii="Verdana" w:cs="Verdana" w:eastAsia="Verdana" w:hAnsi="Verdana"/>
          <w:sz w:val="14"/>
          <w:szCs w:val="14"/>
          <w:color w:val="auto"/>
        </w:rPr>
        <w:t>– Unobservable inputs for determining the fair values of assets or liabilities that reflect the Company’s own assumptions about the</w:t>
      </w:r>
      <w:r>
        <w:rPr>
          <w:rFonts w:ascii="Verdana" w:cs="Verdana" w:eastAsia="Verdana" w:hAnsi="Verdana"/>
          <w:sz w:val="14"/>
          <w:szCs w:val="14"/>
          <w:i w:val="1"/>
          <w:iCs w:val="1"/>
          <w:color w:val="auto"/>
        </w:rPr>
        <w:t xml:space="preserve"> </w:t>
      </w:r>
      <w:r>
        <w:rPr>
          <w:rFonts w:ascii="Verdana" w:cs="Verdana" w:eastAsia="Verdana" w:hAnsi="Verdana"/>
          <w:sz w:val="14"/>
          <w:szCs w:val="14"/>
          <w:color w:val="auto"/>
        </w:rPr>
        <w:t>assumptions that market participants would use in pricing the assets or liabilities.</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21"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125" w:lineRule="exact"/>
        <w:rPr>
          <w:sz w:val="20"/>
          <w:szCs w:val="20"/>
          <w:color w:val="auto"/>
        </w:rPr>
      </w:pPr>
    </w:p>
    <w:p>
      <w:pPr>
        <w:ind w:right="5280"/>
        <w:spacing w:after="0" w:line="441" w:lineRule="auto"/>
        <w:rPr>
          <w:sz w:val="20"/>
          <w:szCs w:val="20"/>
          <w:color w:val="auto"/>
        </w:rPr>
      </w:pPr>
      <w:r>
        <w:rPr>
          <w:rFonts w:ascii="Verdana" w:cs="Verdana" w:eastAsia="Verdana" w:hAnsi="Verdana"/>
          <w:sz w:val="14"/>
          <w:szCs w:val="14"/>
          <w:b w:val="1"/>
          <w:bCs w:val="1"/>
          <w:i w:val="1"/>
          <w:iCs w:val="1"/>
          <w:color w:val="auto"/>
        </w:rPr>
        <w:t xml:space="preserve">Financial Assets and Liabilities Measured at Fair Value on a Recurring Basis </w:t>
      </w:r>
      <w:r>
        <w:rPr>
          <w:rFonts w:ascii="Verdana" w:cs="Verdana" w:eastAsia="Verdana" w:hAnsi="Verdana"/>
          <w:sz w:val="14"/>
          <w:szCs w:val="14"/>
          <w:u w:val="single" w:color="auto"/>
          <w:color w:val="auto"/>
        </w:rPr>
        <w:t>Debt Securities Available for Sale</w:t>
      </w:r>
    </w:p>
    <w:p>
      <w:pPr>
        <w:spacing w:after="0" w:line="1"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22"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1" w:name="page162"/>
    <w:bookmarkEnd w:id="16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Equity Securities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Equity securities are reported at fair value, which is estimated using Level 1 or Level 2 inputs. Fair value measurements of mutual funds, when held, are estimated using unadjusted quoted prices in active markets for identical assets at the measurement date and are classified as Level 1. Fair value measurements of stock use quoted prices for identical or similar assets in markets that are not active and are classified as Level 2.</w:t>
      </w:r>
    </w:p>
    <w:p>
      <w:pPr>
        <w:spacing w:after="0" w:line="12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Derivative Assets and Derivative Liabilities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Busey’s derivative assets and derivative liabilities are reported at fair value, which is measured using Level 2 or Level 3 inputs. Derivative balances are included in other assets or other liabilities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and consist of interest rate swaps and risk participation agreements where there is no significant deterioration in the counterparties (loan customers) credit risk since origination of the interest rate swap or risk participation agreement, as well as mortgage banking derivatives, including interest rate lock commitments and forward sales commitments.</w:t>
      </w:r>
    </w:p>
    <w:p>
      <w:pPr>
        <w:spacing w:after="0" w:line="119"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Fair values of derivative assets and liabilities are estimated based on prices that are obtained from a third-party which uses observable market inputs and, with the exception of risk participation agreements, are classified as Level 2. For purposes of potential valuation adjustments to Busey’s derivative positions, Busey evaluates the credit risk of its counterparties as well as its own credit risk. Accordingly, Busey has considered factors such as the likelihood of default, expected loss given default, net exposures, and remaining contractual life, among other things, in determining if any estimated fair value adjustments related to credit risk are required. Busey reviews counterparty exposure quarterly, and when necessary, appropriate adjustments are made to reflect the exposure. No changes in counterparty credit were identified.</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color w:val="auto"/>
        </w:rPr>
        <w:t>Due to the significance of unobservable inputs, derivative assets related to risk participation agreements are classified as Level 3.</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2" w:name="page163"/>
    <w:bookmarkEnd w:id="16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following tables summarize financial assets and financial liabilities measured at estimated fair value on a recurring basis as of December 31, 2024 and 2023, segregated by the level of the valuation inputs within the fair value hierarchy utilized to estimate fair value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3"/>
          </w:tcPr>
          <w:p>
            <w:pPr>
              <w:ind w:left="600"/>
              <w:spacing w:after="0"/>
              <w:rPr>
                <w:sz w:val="20"/>
                <w:szCs w:val="20"/>
                <w:color w:val="auto"/>
              </w:rPr>
            </w:pPr>
            <w:r>
              <w:rPr>
                <w:rFonts w:ascii="Verdana" w:cs="Verdana" w:eastAsia="Verdana" w:hAnsi="Verdana"/>
                <w:sz w:val="10"/>
                <w:szCs w:val="10"/>
                <w:b w:val="1"/>
                <w:bCs w:val="1"/>
                <w:color w:val="auto"/>
              </w:rPr>
              <w:t>As of December 31, 2024</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93"/>
        </w:trPr>
        <w:tc>
          <w:tcPr>
            <w:tcW w:w="4680" w:type="dxa"/>
            <w:vAlign w:val="bottom"/>
          </w:tcPr>
          <w:p>
            <w:pPr>
              <w:spacing w:after="0"/>
              <w:rPr>
                <w:sz w:val="8"/>
                <w:szCs w:val="8"/>
                <w:color w:val="auto"/>
              </w:rPr>
            </w:pPr>
          </w:p>
        </w:tc>
        <w:tc>
          <w:tcPr>
            <w:tcW w:w="1040" w:type="dxa"/>
            <w:vAlign w:val="bottom"/>
          </w:tcPr>
          <w:p>
            <w:pPr>
              <w:ind w:left="580"/>
              <w:spacing w:after="0" w:line="94" w:lineRule="exact"/>
              <w:rPr>
                <w:sz w:val="20"/>
                <w:szCs w:val="20"/>
                <w:color w:val="auto"/>
              </w:rPr>
            </w:pPr>
            <w:r>
              <w:rPr>
                <w:rFonts w:ascii="Verdana" w:cs="Verdana" w:eastAsia="Verdana" w:hAnsi="Verdana"/>
                <w:sz w:val="10"/>
                <w:szCs w:val="10"/>
                <w:b w:val="1"/>
                <w:bCs w:val="1"/>
                <w:color w:val="auto"/>
              </w:rPr>
              <w:t>Level 1</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gridSpan w:val="2"/>
          </w:tcPr>
          <w:p>
            <w:pPr>
              <w:ind w:left="260"/>
              <w:spacing w:after="0" w:line="94" w:lineRule="exact"/>
              <w:rPr>
                <w:sz w:val="20"/>
                <w:szCs w:val="20"/>
                <w:color w:val="auto"/>
              </w:rPr>
            </w:pPr>
            <w:r>
              <w:rPr>
                <w:rFonts w:ascii="Verdana" w:cs="Verdana" w:eastAsia="Verdana" w:hAnsi="Verdana"/>
                <w:sz w:val="10"/>
                <w:szCs w:val="10"/>
                <w:b w:val="1"/>
                <w:bCs w:val="1"/>
                <w:color w:val="auto"/>
              </w:rPr>
              <w:t>Level 2</w:t>
            </w:r>
          </w:p>
        </w:tc>
        <w:tc>
          <w:tcPr>
            <w:tcW w:w="116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3</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53"/>
              <w:spacing w:after="0" w:line="94" w:lineRule="exact"/>
              <w:rPr>
                <w:sz w:val="20"/>
                <w:szCs w:val="20"/>
                <w:color w:val="auto"/>
              </w:rPr>
            </w:pPr>
            <w:r>
              <w:rPr>
                <w:rFonts w:ascii="Verdana" w:cs="Verdana" w:eastAsia="Verdana" w:hAnsi="Verdana"/>
                <w:sz w:val="10"/>
                <w:szCs w:val="10"/>
                <w:b w:val="1"/>
                <w:bCs w:val="1"/>
                <w:color w:val="auto"/>
                <w:w w:val="98"/>
              </w:rPr>
              <w:t>Total</w:t>
            </w:r>
          </w:p>
        </w:tc>
      </w:tr>
      <w:tr>
        <w:trPr>
          <w:trHeight w:val="133"/>
        </w:trPr>
        <w:tc>
          <w:tcPr>
            <w:tcW w:w="4680" w:type="dxa"/>
            <w:vAlign w:val="bottom"/>
          </w:tcPr>
          <w:p>
            <w:pPr>
              <w:spacing w:after="0"/>
              <w:rPr>
                <w:sz w:val="11"/>
                <w:szCs w:val="11"/>
                <w:color w:val="auto"/>
              </w:rPr>
            </w:pPr>
          </w:p>
        </w:tc>
        <w:tc>
          <w:tcPr>
            <w:tcW w:w="1040" w:type="dxa"/>
            <w:vAlign w:val="bottom"/>
          </w:tcPr>
          <w:p>
            <w:pPr>
              <w:ind w:left="600"/>
              <w:spacing w:after="0"/>
              <w:rPr>
                <w:sz w:val="20"/>
                <w:szCs w:val="20"/>
                <w:color w:val="auto"/>
              </w:rPr>
            </w:pPr>
            <w:r>
              <w:rPr>
                <w:rFonts w:ascii="Verdana" w:cs="Verdana" w:eastAsia="Verdana" w:hAnsi="Verdana"/>
                <w:sz w:val="10"/>
                <w:szCs w:val="10"/>
                <w:b w:val="1"/>
                <w:bCs w:val="1"/>
                <w:color w:val="auto"/>
              </w:rPr>
              <w:t>Inputs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280"/>
              <w:spacing w:after="0"/>
              <w:rPr>
                <w:sz w:val="20"/>
                <w:szCs w:val="20"/>
                <w:color w:val="auto"/>
              </w:rPr>
            </w:pPr>
            <w:r>
              <w:rPr>
                <w:rFonts w:ascii="Verdana" w:cs="Verdana" w:eastAsia="Verdana" w:hAnsi="Verdana"/>
                <w:sz w:val="10"/>
                <w:szCs w:val="10"/>
                <w:b w:val="1"/>
                <w:bCs w:val="1"/>
                <w:color w:val="auto"/>
              </w:rPr>
              <w:t>Inputs</w:t>
            </w:r>
          </w:p>
        </w:tc>
        <w:tc>
          <w:tcPr>
            <w:tcW w:w="1160" w:type="dxa"/>
            <w:vAlign w:val="bottom"/>
          </w:tcPr>
          <w:p>
            <w:pPr>
              <w:ind w:left="600"/>
              <w:spacing w:after="0"/>
              <w:rPr>
                <w:sz w:val="20"/>
                <w:szCs w:val="20"/>
                <w:color w:val="auto"/>
              </w:rPr>
            </w:pPr>
            <w:r>
              <w:rPr>
                <w:rFonts w:ascii="Verdana" w:cs="Verdana" w:eastAsia="Verdana" w:hAnsi="Verdana"/>
                <w:sz w:val="10"/>
                <w:szCs w:val="10"/>
                <w:b w:val="1"/>
                <w:bCs w:val="1"/>
                <w:color w:val="auto"/>
              </w:rPr>
              <w:t>Inputs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53"/>
              <w:spacing w:after="0"/>
              <w:rPr>
                <w:sz w:val="20"/>
                <w:szCs w:val="20"/>
                <w:color w:val="auto"/>
              </w:rPr>
            </w:pPr>
            <w:r>
              <w:rPr>
                <w:rFonts w:ascii="Verdana" w:cs="Verdana" w:eastAsia="Verdana" w:hAnsi="Verdana"/>
                <w:sz w:val="10"/>
                <w:szCs w:val="10"/>
                <w:b w:val="1"/>
                <w:bCs w:val="1"/>
                <w:color w:val="auto"/>
                <w:w w:val="98"/>
              </w:rPr>
              <w:t>Fair 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w:t>
            </w:r>
          </w:p>
        </w:tc>
        <w:tc>
          <w:tcPr>
            <w:tcW w:w="1040" w:type="dxa"/>
            <w:vAlign w:val="bottom"/>
            <w:tcBorders>
              <w:top w:val="single" w:sz="8" w:color="auto"/>
            </w:tcBorders>
            <w:shd w:val="clear" w:color="auto" w:fill="E0E7ED"/>
          </w:tcPr>
          <w:p>
            <w:pPr>
              <w:spacing w:after="0"/>
              <w:rPr>
                <w:sz w:val="17"/>
                <w:szCs w:val="17"/>
                <w:color w:val="auto"/>
              </w:rPr>
            </w:pPr>
          </w:p>
        </w:tc>
        <w:tc>
          <w:tcPr>
            <w:tcW w:w="5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4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Obligations of U.S. government corporations and agencies</w:t>
            </w:r>
          </w:p>
        </w:tc>
        <w:tc>
          <w:tcPr>
            <w:tcW w:w="1040" w:type="dxa"/>
            <w:vAlign w:val="bottom"/>
          </w:tcPr>
          <w:p>
            <w:pPr>
              <w:spacing w:after="0"/>
              <w:rPr>
                <w:sz w:val="20"/>
                <w:szCs w:val="20"/>
                <w:color w:val="auto"/>
              </w:rPr>
            </w:pPr>
            <w:r>
              <w:rPr>
                <w:rFonts w:ascii="Verdana" w:cs="Verdana" w:eastAsia="Verdana" w:hAnsi="Verdana"/>
                <w:sz w:val="14"/>
                <w:szCs w:val="14"/>
                <w:color w:val="auto"/>
              </w:rPr>
              <w:t>$</w:t>
            </w: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jc w:val="right"/>
              <w:ind w:right="16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1,400</w:t>
            </w:r>
          </w:p>
        </w:tc>
        <w:tc>
          <w:tcPr>
            <w:tcW w:w="8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Verdana" w:cs="Verdana" w:eastAsia="Verdana" w:hAnsi="Verdana"/>
                <w:sz w:val="14"/>
                <w:szCs w:val="14"/>
                <w:color w:val="auto"/>
              </w:rPr>
              <w:t>$</w:t>
            </w: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1,400</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states and political subdivisions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139,829</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139,829</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Asset-backed securities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336,557</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336,557</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92,174</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92,174</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1,087,210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1,087,210</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Corporate debt securities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153,051</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153,051</w:t>
            </w:r>
          </w:p>
        </w:tc>
      </w:tr>
      <w:tr>
        <w:trPr>
          <w:trHeight w:val="207"/>
        </w:trPr>
        <w:tc>
          <w:tcPr>
            <w:tcW w:w="4680" w:type="dxa"/>
            <w:vAlign w:val="bottom"/>
          </w:tcPr>
          <w:p>
            <w:pPr>
              <w:ind w:left="20"/>
              <w:spacing w:after="0"/>
              <w:rPr>
                <w:sz w:val="20"/>
                <w:szCs w:val="20"/>
                <w:color w:val="auto"/>
              </w:rPr>
            </w:pPr>
            <w:r>
              <w:rPr>
                <w:rFonts w:ascii="Verdana" w:cs="Verdana" w:eastAsia="Verdana" w:hAnsi="Verdana"/>
                <w:sz w:val="14"/>
                <w:szCs w:val="14"/>
                <w:color w:val="auto"/>
              </w:rPr>
              <w:t>Equity securities</w:t>
            </w:r>
          </w:p>
        </w:tc>
        <w:tc>
          <w:tcPr>
            <w:tcW w:w="1040" w:type="dxa"/>
            <w:vAlign w:val="bottom"/>
          </w:tcPr>
          <w:p>
            <w:pPr>
              <w:spacing w:after="0"/>
              <w:rPr>
                <w:sz w:val="17"/>
                <w:szCs w:val="17"/>
                <w:color w:val="auto"/>
              </w:rPr>
            </w:pPr>
          </w:p>
        </w:tc>
        <w:tc>
          <w:tcPr>
            <w:tcW w:w="540" w:type="dxa"/>
            <w:vAlign w:val="bottom"/>
          </w:tcPr>
          <w:p>
            <w:pPr>
              <w:jc w:val="right"/>
              <w:ind w:right="9"/>
              <w:spacing w:after="0"/>
              <w:rPr>
                <w:sz w:val="20"/>
                <w:szCs w:val="20"/>
                <w:color w:val="auto"/>
              </w:rPr>
            </w:pPr>
            <w:r>
              <w:rPr>
                <w:rFonts w:ascii="Verdana" w:cs="Verdana" w:eastAsia="Verdana" w:hAnsi="Verdana"/>
                <w:sz w:val="14"/>
                <w:szCs w:val="14"/>
                <w:color w:val="auto"/>
              </w:rPr>
              <w:t>5,567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10,295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15,862</w:t>
            </w:r>
          </w:p>
        </w:tc>
      </w:tr>
      <w:tr>
        <w:trPr>
          <w:trHeight w:val="21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Derivative assets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30,368</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30,373</w:t>
            </w:r>
          </w:p>
        </w:tc>
      </w:tr>
      <w:tr>
        <w:trPr>
          <w:trHeight w:val="201"/>
        </w:trPr>
        <w:tc>
          <w:tcPr>
            <w:tcW w:w="4680" w:type="dxa"/>
            <w:vAlign w:val="bottom"/>
          </w:tcPr>
          <w:p>
            <w:pPr>
              <w:ind w:left="20"/>
              <w:spacing w:after="0"/>
              <w:rPr>
                <w:sz w:val="20"/>
                <w:szCs w:val="20"/>
                <w:color w:val="auto"/>
              </w:rPr>
            </w:pPr>
            <w:r>
              <w:rPr>
                <w:rFonts w:ascii="Verdana" w:cs="Verdana" w:eastAsia="Verdana" w:hAnsi="Verdana"/>
                <w:sz w:val="14"/>
                <w:szCs w:val="14"/>
                <w:color w:val="auto"/>
              </w:rPr>
              <w:t>Derivative liabilities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58,099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58,099</w:t>
            </w:r>
          </w:p>
        </w:tc>
      </w:tr>
      <w:tr>
        <w:trPr>
          <w:trHeight w:val="375"/>
        </w:trPr>
        <w:tc>
          <w:tcPr>
            <w:tcW w:w="46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ind w:left="600"/>
              <w:spacing w:after="0"/>
              <w:rPr>
                <w:sz w:val="20"/>
                <w:szCs w:val="20"/>
                <w:color w:val="auto"/>
              </w:rPr>
            </w:pPr>
            <w:r>
              <w:rPr>
                <w:rFonts w:ascii="Verdana" w:cs="Verdana" w:eastAsia="Verdana" w:hAnsi="Verdana"/>
                <w:sz w:val="10"/>
                <w:szCs w:val="10"/>
                <w:b w:val="1"/>
                <w:bCs w:val="1"/>
                <w:color w:val="auto"/>
              </w:rPr>
              <w:t>As of December 31, 2023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93"/>
        </w:trPr>
        <w:tc>
          <w:tcPr>
            <w:tcW w:w="4680" w:type="dxa"/>
            <w:vAlign w:val="bottom"/>
          </w:tcPr>
          <w:p>
            <w:pPr>
              <w:spacing w:after="0"/>
              <w:rPr>
                <w:sz w:val="8"/>
                <w:szCs w:val="8"/>
                <w:color w:val="auto"/>
              </w:rPr>
            </w:pPr>
          </w:p>
        </w:tc>
        <w:tc>
          <w:tcPr>
            <w:tcW w:w="1040" w:type="dxa"/>
            <w:vAlign w:val="bottom"/>
          </w:tcPr>
          <w:p>
            <w:pPr>
              <w:ind w:left="580"/>
              <w:spacing w:after="0" w:line="94" w:lineRule="exact"/>
              <w:rPr>
                <w:sz w:val="20"/>
                <w:szCs w:val="20"/>
                <w:color w:val="auto"/>
              </w:rPr>
            </w:pPr>
            <w:r>
              <w:rPr>
                <w:rFonts w:ascii="Verdana" w:cs="Verdana" w:eastAsia="Verdana" w:hAnsi="Verdana"/>
                <w:sz w:val="10"/>
                <w:szCs w:val="10"/>
                <w:b w:val="1"/>
                <w:bCs w:val="1"/>
                <w:color w:val="auto"/>
              </w:rPr>
              <w:t>Level 1</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gridSpan w:val="2"/>
          </w:tcPr>
          <w:p>
            <w:pPr>
              <w:ind w:left="260"/>
              <w:spacing w:after="0" w:line="94" w:lineRule="exact"/>
              <w:rPr>
                <w:sz w:val="20"/>
                <w:szCs w:val="20"/>
                <w:color w:val="auto"/>
              </w:rPr>
            </w:pPr>
            <w:r>
              <w:rPr>
                <w:rFonts w:ascii="Verdana" w:cs="Verdana" w:eastAsia="Verdana" w:hAnsi="Verdana"/>
                <w:sz w:val="10"/>
                <w:szCs w:val="10"/>
                <w:b w:val="1"/>
                <w:bCs w:val="1"/>
                <w:color w:val="auto"/>
              </w:rPr>
              <w:t>Level 2</w:t>
            </w:r>
          </w:p>
        </w:tc>
        <w:tc>
          <w:tcPr>
            <w:tcW w:w="116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3</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center"/>
              <w:ind w:right="253"/>
              <w:spacing w:after="0" w:line="94" w:lineRule="exact"/>
              <w:rPr>
                <w:sz w:val="20"/>
                <w:szCs w:val="20"/>
                <w:color w:val="auto"/>
              </w:rPr>
            </w:pPr>
            <w:r>
              <w:rPr>
                <w:rFonts w:ascii="Verdana" w:cs="Verdana" w:eastAsia="Verdana" w:hAnsi="Verdana"/>
                <w:sz w:val="10"/>
                <w:szCs w:val="10"/>
                <w:b w:val="1"/>
                <w:bCs w:val="1"/>
                <w:color w:val="auto"/>
                <w:w w:val="98"/>
              </w:rPr>
              <w:t>Total</w:t>
            </w:r>
          </w:p>
        </w:tc>
      </w:tr>
      <w:tr>
        <w:trPr>
          <w:trHeight w:val="133"/>
        </w:trPr>
        <w:tc>
          <w:tcPr>
            <w:tcW w:w="4680" w:type="dxa"/>
            <w:vAlign w:val="bottom"/>
          </w:tcPr>
          <w:p>
            <w:pPr>
              <w:spacing w:after="0"/>
              <w:rPr>
                <w:sz w:val="11"/>
                <w:szCs w:val="11"/>
                <w:color w:val="auto"/>
              </w:rPr>
            </w:pPr>
          </w:p>
        </w:tc>
        <w:tc>
          <w:tcPr>
            <w:tcW w:w="1040" w:type="dxa"/>
            <w:vAlign w:val="bottom"/>
          </w:tcPr>
          <w:p>
            <w:pPr>
              <w:ind w:left="600"/>
              <w:spacing w:after="0"/>
              <w:rPr>
                <w:sz w:val="20"/>
                <w:szCs w:val="20"/>
                <w:color w:val="auto"/>
              </w:rPr>
            </w:pPr>
            <w:r>
              <w:rPr>
                <w:rFonts w:ascii="Verdana" w:cs="Verdana" w:eastAsia="Verdana" w:hAnsi="Verdana"/>
                <w:sz w:val="10"/>
                <w:szCs w:val="10"/>
                <w:b w:val="1"/>
                <w:bCs w:val="1"/>
                <w:color w:val="auto"/>
              </w:rPr>
              <w:t>Inputs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280"/>
              <w:spacing w:after="0"/>
              <w:rPr>
                <w:sz w:val="20"/>
                <w:szCs w:val="20"/>
                <w:color w:val="auto"/>
              </w:rPr>
            </w:pPr>
            <w:r>
              <w:rPr>
                <w:rFonts w:ascii="Verdana" w:cs="Verdana" w:eastAsia="Verdana" w:hAnsi="Verdana"/>
                <w:sz w:val="10"/>
                <w:szCs w:val="10"/>
                <w:b w:val="1"/>
                <w:bCs w:val="1"/>
                <w:color w:val="auto"/>
              </w:rPr>
              <w:t>Inputs</w:t>
            </w:r>
          </w:p>
        </w:tc>
        <w:tc>
          <w:tcPr>
            <w:tcW w:w="1160" w:type="dxa"/>
            <w:vAlign w:val="bottom"/>
          </w:tcPr>
          <w:p>
            <w:pPr>
              <w:ind w:left="600"/>
              <w:spacing w:after="0"/>
              <w:rPr>
                <w:sz w:val="20"/>
                <w:szCs w:val="20"/>
                <w:color w:val="auto"/>
              </w:rPr>
            </w:pPr>
            <w:r>
              <w:rPr>
                <w:rFonts w:ascii="Verdana" w:cs="Verdana" w:eastAsia="Verdana" w:hAnsi="Verdana"/>
                <w:sz w:val="10"/>
                <w:szCs w:val="10"/>
                <w:b w:val="1"/>
                <w:bCs w:val="1"/>
                <w:color w:val="auto"/>
              </w:rPr>
              <w:t>Inputs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right="253"/>
              <w:spacing w:after="0"/>
              <w:rPr>
                <w:sz w:val="20"/>
                <w:szCs w:val="20"/>
                <w:color w:val="auto"/>
              </w:rPr>
            </w:pPr>
            <w:r>
              <w:rPr>
                <w:rFonts w:ascii="Verdana" w:cs="Verdana" w:eastAsia="Verdana" w:hAnsi="Verdana"/>
                <w:sz w:val="10"/>
                <w:szCs w:val="10"/>
                <w:b w:val="1"/>
                <w:bCs w:val="1"/>
                <w:color w:val="auto"/>
                <w:w w:val="98"/>
              </w:rPr>
              <w:t>Fair Value</w:t>
            </w:r>
          </w:p>
        </w:tc>
      </w:tr>
      <w:tr>
        <w:trPr>
          <w:trHeight w:val="197"/>
        </w:trPr>
        <w:tc>
          <w:tcPr>
            <w:tcW w:w="46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Debt securities available for sale:</w:t>
            </w:r>
          </w:p>
        </w:tc>
        <w:tc>
          <w:tcPr>
            <w:tcW w:w="1040" w:type="dxa"/>
            <w:vAlign w:val="bottom"/>
            <w:tcBorders>
              <w:top w:val="single" w:sz="8" w:color="auto"/>
            </w:tcBorders>
            <w:shd w:val="clear" w:color="auto" w:fill="E0E7ED"/>
          </w:tcPr>
          <w:p>
            <w:pPr>
              <w:spacing w:after="0"/>
              <w:rPr>
                <w:sz w:val="17"/>
                <w:szCs w:val="17"/>
                <w:color w:val="auto"/>
              </w:rPr>
            </w:pPr>
          </w:p>
        </w:tc>
        <w:tc>
          <w:tcPr>
            <w:tcW w:w="54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4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4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280" w:type="dxa"/>
            <w:vAlign w:val="bottom"/>
            <w:tcBorders>
              <w:top w:val="single" w:sz="8" w:color="auto"/>
            </w:tcBorders>
            <w:shd w:val="clear" w:color="auto" w:fill="E0E7ED"/>
          </w:tcPr>
          <w:p>
            <w:pPr>
              <w:spacing w:after="0"/>
              <w:rPr>
                <w:sz w:val="17"/>
                <w:szCs w:val="17"/>
                <w:color w:val="auto"/>
              </w:rPr>
            </w:pP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U.S. Treasury securities</w:t>
            </w:r>
          </w:p>
        </w:tc>
        <w:tc>
          <w:tcPr>
            <w:tcW w:w="1040" w:type="dxa"/>
            <w:vAlign w:val="bottom"/>
          </w:tcPr>
          <w:p>
            <w:pPr>
              <w:spacing w:after="0"/>
              <w:rPr>
                <w:sz w:val="20"/>
                <w:szCs w:val="20"/>
                <w:color w:val="auto"/>
              </w:rPr>
            </w:pPr>
            <w:r>
              <w:rPr>
                <w:rFonts w:ascii="Verdana" w:cs="Verdana" w:eastAsia="Verdana" w:hAnsi="Verdana"/>
                <w:sz w:val="14"/>
                <w:szCs w:val="14"/>
                <w:color w:val="auto"/>
              </w:rPr>
              <w:t>$</w:t>
            </w: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jc w:val="right"/>
              <w:ind w:right="16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15,946</w:t>
            </w:r>
          </w:p>
        </w:tc>
        <w:tc>
          <w:tcPr>
            <w:tcW w:w="8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Verdana" w:cs="Verdana" w:eastAsia="Verdana" w:hAnsi="Verdana"/>
                <w:sz w:val="14"/>
                <w:szCs w:val="14"/>
                <w:color w:val="auto"/>
              </w:rPr>
              <w:t>$</w:t>
            </w: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tcPr>
          <w:p>
            <w:pPr>
              <w:jc w:val="right"/>
              <w:spacing w:after="0"/>
              <w:rPr>
                <w:sz w:val="20"/>
                <w:szCs w:val="20"/>
                <w:color w:val="auto"/>
              </w:rPr>
            </w:pPr>
            <w:r>
              <w:rPr>
                <w:rFonts w:ascii="Verdana" w:cs="Verdana" w:eastAsia="Verdana" w:hAnsi="Verdana"/>
                <w:sz w:val="14"/>
                <w:szCs w:val="14"/>
                <w:color w:val="auto"/>
              </w:rPr>
              <w:t>15,946</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Obligations of U.S. government corporations and agencies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5,832</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5,832</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Obligations of states and political subdivisions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172,845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172,845</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Asset-backed securities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468,223</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468,223</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Commercial mortgage-backed securities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103,509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103,509</w:t>
            </w:r>
          </w:p>
        </w:tc>
      </w:tr>
      <w:tr>
        <w:trPr>
          <w:trHeight w:val="218"/>
        </w:trPr>
        <w:tc>
          <w:tcPr>
            <w:tcW w:w="46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Residential mortgage-backed securities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1,111,312</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1,111,312</w:t>
            </w:r>
          </w:p>
        </w:tc>
      </w:tr>
      <w:tr>
        <w:trPr>
          <w:trHeight w:val="207"/>
        </w:trPr>
        <w:tc>
          <w:tcPr>
            <w:tcW w:w="4680" w:type="dxa"/>
            <w:vAlign w:val="bottom"/>
          </w:tcPr>
          <w:p>
            <w:pPr>
              <w:ind w:left="140"/>
              <w:spacing w:after="0"/>
              <w:rPr>
                <w:sz w:val="20"/>
                <w:szCs w:val="20"/>
                <w:color w:val="auto"/>
              </w:rPr>
            </w:pPr>
            <w:r>
              <w:rPr>
                <w:rFonts w:ascii="Verdana" w:cs="Verdana" w:eastAsia="Verdana" w:hAnsi="Verdana"/>
                <w:sz w:val="14"/>
                <w:szCs w:val="14"/>
                <w:color w:val="auto"/>
              </w:rPr>
              <w:t>Corporate debt securities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209,904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209,904</w:t>
            </w:r>
          </w:p>
        </w:tc>
      </w:tr>
      <w:tr>
        <w:trPr>
          <w:trHeight w:val="21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Equity securities</w:t>
            </w:r>
          </w:p>
        </w:tc>
        <w:tc>
          <w:tcPr>
            <w:tcW w:w="1040" w:type="dxa"/>
            <w:vAlign w:val="bottom"/>
            <w:shd w:val="clear" w:color="auto" w:fill="E0E7ED"/>
          </w:tcPr>
          <w:p>
            <w:pPr>
              <w:spacing w:after="0"/>
              <w:rPr>
                <w:sz w:val="18"/>
                <w:szCs w:val="18"/>
                <w:color w:val="auto"/>
              </w:rPr>
            </w:pPr>
          </w:p>
        </w:tc>
        <w:tc>
          <w:tcPr>
            <w:tcW w:w="540" w:type="dxa"/>
            <w:vAlign w:val="bottom"/>
            <w:shd w:val="clear" w:color="auto" w:fill="E0E7ED"/>
          </w:tcPr>
          <w:p>
            <w:pPr>
              <w:jc w:val="right"/>
              <w:ind w:right="9"/>
              <w:spacing w:after="0"/>
              <w:rPr>
                <w:sz w:val="20"/>
                <w:szCs w:val="20"/>
                <w:color w:val="auto"/>
              </w:rPr>
            </w:pPr>
            <w:r>
              <w:rPr>
                <w:rFonts w:ascii="Verdana" w:cs="Verdana" w:eastAsia="Verdana" w:hAnsi="Verdana"/>
                <w:sz w:val="14"/>
                <w:szCs w:val="14"/>
                <w:color w:val="auto"/>
              </w:rPr>
              <w:t>448</w:t>
            </w:r>
          </w:p>
        </w:tc>
        <w:tc>
          <w:tcPr>
            <w:tcW w:w="8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9,364</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9,812</w:t>
            </w:r>
          </w:p>
        </w:tc>
      </w:tr>
      <w:tr>
        <w:trPr>
          <w:trHeight w:val="207"/>
        </w:trPr>
        <w:tc>
          <w:tcPr>
            <w:tcW w:w="4680" w:type="dxa"/>
            <w:vAlign w:val="bottom"/>
          </w:tcPr>
          <w:p>
            <w:pPr>
              <w:ind w:left="20"/>
              <w:spacing w:after="0"/>
              <w:rPr>
                <w:sz w:val="20"/>
                <w:szCs w:val="20"/>
                <w:color w:val="auto"/>
              </w:rPr>
            </w:pPr>
            <w:r>
              <w:rPr>
                <w:rFonts w:ascii="Verdana" w:cs="Verdana" w:eastAsia="Verdana" w:hAnsi="Verdana"/>
                <w:sz w:val="14"/>
                <w:szCs w:val="14"/>
                <w:color w:val="auto"/>
              </w:rPr>
              <w:t>Derivative assets</w:t>
            </w:r>
          </w:p>
        </w:tc>
        <w:tc>
          <w:tcPr>
            <w:tcW w:w="10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Verdana" w:cs="Verdana" w:eastAsia="Verdana" w:hAnsi="Verdana"/>
                <w:sz w:val="14"/>
                <w:szCs w:val="14"/>
                <w:color w:val="auto"/>
              </w:rPr>
              <w:t>29,993</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Verdana" w:cs="Verdana" w:eastAsia="Verdana" w:hAnsi="Verdana"/>
                <w:sz w:val="14"/>
                <w:szCs w:val="14"/>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30,008</w:t>
            </w:r>
          </w:p>
        </w:tc>
      </w:tr>
      <w:tr>
        <w:trPr>
          <w:trHeight w:val="21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Derivative liabilities</w:t>
            </w:r>
          </w:p>
        </w:tc>
        <w:tc>
          <w:tcPr>
            <w:tcW w:w="1040" w:type="dxa"/>
            <w:vAlign w:val="bottom"/>
            <w:shd w:val="clear" w:color="auto" w:fill="E0E7ED"/>
          </w:tcPr>
          <w:p>
            <w:pPr>
              <w:spacing w:after="0"/>
              <w:rPr>
                <w:sz w:val="18"/>
                <w:szCs w:val="18"/>
                <w:color w:val="auto"/>
              </w:rPr>
            </w:pPr>
          </w:p>
        </w:tc>
        <w:tc>
          <w:tcPr>
            <w:tcW w:w="6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4"/>
                <w:szCs w:val="14"/>
                <w:color w:val="auto"/>
              </w:rPr>
              <w:t>54,132</w:t>
            </w:r>
          </w:p>
        </w:tc>
        <w:tc>
          <w:tcPr>
            <w:tcW w:w="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5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00" w:type="dxa"/>
            <w:vAlign w:val="bottom"/>
            <w:shd w:val="clear" w:color="auto" w:fill="E0E7ED"/>
          </w:tcPr>
          <w:p>
            <w:pPr>
              <w:spacing w:after="0"/>
              <w:rPr>
                <w:sz w:val="18"/>
                <w:szCs w:val="18"/>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54,132</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3" w:name="page164"/>
    <w:bookmarkEnd w:id="16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Activity for risk participation agreements, which are financial assets measured at estimated fair value on a recurring basis using Level 3, is summarized in the tables below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5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14"/>
              <w:spacing w:after="0"/>
              <w:rPr>
                <w:sz w:val="20"/>
                <w:szCs w:val="20"/>
                <w:color w:val="auto"/>
              </w:rPr>
            </w:pPr>
            <w:r>
              <w:rPr>
                <w:rFonts w:ascii="Verdana" w:cs="Verdana" w:eastAsia="Verdana" w:hAnsi="Verdana"/>
                <w:sz w:val="10"/>
                <w:szCs w:val="10"/>
                <w:b w:val="1"/>
                <w:bCs w:val="1"/>
                <w:color w:val="auto"/>
              </w:rPr>
              <w:t>Years Ended December 31,</w:t>
            </w:r>
          </w:p>
        </w:tc>
      </w:tr>
      <w:tr>
        <w:trPr>
          <w:trHeight w:val="133"/>
        </w:trPr>
        <w:tc>
          <w:tcPr>
            <w:tcW w:w="6560" w:type="dxa"/>
            <w:vAlign w:val="bottom"/>
          </w:tcPr>
          <w:p>
            <w:pPr>
              <w:spacing w:after="0"/>
              <w:rPr>
                <w:sz w:val="11"/>
                <w:szCs w:val="11"/>
                <w:color w:val="auto"/>
              </w:rPr>
            </w:pPr>
          </w:p>
        </w:tc>
        <w:tc>
          <w:tcPr>
            <w:tcW w:w="1660" w:type="dxa"/>
            <w:vAlign w:val="bottom"/>
            <w:gridSpan w:val="2"/>
          </w:tcPr>
          <w:p>
            <w:pPr>
              <w:ind w:left="560"/>
              <w:spacing w:after="0"/>
              <w:rPr>
                <w:sz w:val="20"/>
                <w:szCs w:val="20"/>
                <w:color w:val="auto"/>
              </w:rPr>
            </w:pPr>
            <w:r>
              <w:rPr>
                <w:rFonts w:ascii="Verdana" w:cs="Verdana" w:eastAsia="Verdana" w:hAnsi="Verdana"/>
                <w:sz w:val="10"/>
                <w:szCs w:val="10"/>
                <w:b w:val="1"/>
                <w:bCs w:val="1"/>
                <w:color w:val="auto"/>
              </w:rPr>
              <w:t>Location</w:t>
            </w:r>
          </w:p>
        </w:tc>
        <w:tc>
          <w:tcPr>
            <w:tcW w:w="360" w:type="dxa"/>
            <w:vAlign w:val="bottom"/>
          </w:tcPr>
          <w:p>
            <w:pPr>
              <w:spacing w:after="0"/>
              <w:rPr>
                <w:sz w:val="11"/>
                <w:szCs w:val="11"/>
                <w:color w:val="auto"/>
              </w:rPr>
            </w:pPr>
          </w:p>
        </w:tc>
        <w:tc>
          <w:tcPr>
            <w:tcW w:w="1140" w:type="dxa"/>
            <w:vAlign w:val="bottom"/>
          </w:tcPr>
          <w:p>
            <w:pPr>
              <w:jc w:val="right"/>
              <w:ind w:right="536"/>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34"/>
              <w:spacing w:after="0"/>
              <w:rPr>
                <w:sz w:val="20"/>
                <w:szCs w:val="20"/>
                <w:color w:val="auto"/>
              </w:rPr>
            </w:pPr>
            <w:r>
              <w:rPr>
                <w:rFonts w:ascii="Verdana" w:cs="Verdana" w:eastAsia="Verdana" w:hAnsi="Verdana"/>
                <w:sz w:val="10"/>
                <w:szCs w:val="10"/>
                <w:b w:val="1"/>
                <w:bCs w:val="1"/>
                <w:color w:val="auto"/>
              </w:rPr>
              <w:t>2023</w:t>
            </w:r>
          </w:p>
        </w:tc>
      </w:tr>
      <w:tr>
        <w:trPr>
          <w:trHeight w:val="208"/>
        </w:trPr>
        <w:tc>
          <w:tcPr>
            <w:tcW w:w="6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Beginning Balance</w:t>
            </w:r>
          </w:p>
        </w:tc>
        <w:tc>
          <w:tcPr>
            <w:tcW w:w="158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Borders>
              <w:top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15</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w:t>
            </w:r>
          </w:p>
        </w:tc>
      </w:tr>
      <w:tr>
        <w:trPr>
          <w:trHeight w:val="207"/>
        </w:trPr>
        <w:tc>
          <w:tcPr>
            <w:tcW w:w="6560" w:type="dxa"/>
            <w:vAlign w:val="bottom"/>
          </w:tcPr>
          <w:p>
            <w:pPr>
              <w:ind w:left="140"/>
              <w:spacing w:after="0"/>
              <w:rPr>
                <w:sz w:val="20"/>
                <w:szCs w:val="20"/>
                <w:color w:val="auto"/>
              </w:rPr>
            </w:pPr>
            <w:r>
              <w:rPr>
                <w:rFonts w:ascii="Verdana" w:cs="Verdana" w:eastAsia="Verdana" w:hAnsi="Verdana"/>
                <w:sz w:val="14"/>
                <w:szCs w:val="14"/>
                <w:color w:val="auto"/>
              </w:rPr>
              <w:t>Gains (losses) recognized in earnings</w:t>
            </w:r>
          </w:p>
        </w:tc>
        <w:tc>
          <w:tcPr>
            <w:tcW w:w="1660" w:type="dxa"/>
            <w:vAlign w:val="bottom"/>
            <w:gridSpan w:val="2"/>
          </w:tcPr>
          <w:p>
            <w:pPr>
              <w:spacing w:after="0"/>
              <w:rPr>
                <w:sz w:val="20"/>
                <w:szCs w:val="20"/>
                <w:color w:val="auto"/>
              </w:rPr>
            </w:pPr>
            <w:r>
              <w:rPr>
                <w:rFonts w:ascii="Verdana" w:cs="Verdana" w:eastAsia="Verdana" w:hAnsi="Verdana"/>
                <w:sz w:val="14"/>
                <w:szCs w:val="14"/>
                <w:color w:val="auto"/>
              </w:rPr>
              <w:t>Other expense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(60)</w:t>
            </w:r>
          </w:p>
        </w:tc>
      </w:tr>
      <w:tr>
        <w:trPr>
          <w:trHeight w:val="212"/>
        </w:trPr>
        <w:tc>
          <w:tcPr>
            <w:tcW w:w="65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Purchases</w:t>
            </w:r>
          </w:p>
        </w:tc>
        <w:tc>
          <w:tcPr>
            <w:tcW w:w="15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4"/>
                <w:szCs w:val="14"/>
                <w:color w:val="auto"/>
              </w:rPr>
              <w:t>16</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70</w:t>
            </w:r>
          </w:p>
        </w:tc>
      </w:tr>
      <w:tr>
        <w:trPr>
          <w:trHeight w:val="208"/>
        </w:trPr>
        <w:tc>
          <w:tcPr>
            <w:tcW w:w="6560" w:type="dxa"/>
            <w:vAlign w:val="bottom"/>
          </w:tcPr>
          <w:p>
            <w:pPr>
              <w:ind w:left="20"/>
              <w:spacing w:after="0"/>
              <w:rPr>
                <w:sz w:val="20"/>
                <w:szCs w:val="20"/>
                <w:color w:val="auto"/>
              </w:rPr>
            </w:pPr>
            <w:r>
              <w:rPr>
                <w:rFonts w:ascii="Verdana" w:cs="Verdana" w:eastAsia="Verdana" w:hAnsi="Verdana"/>
                <w:sz w:val="14"/>
                <w:szCs w:val="14"/>
                <w:b w:val="1"/>
                <w:bCs w:val="1"/>
                <w:color w:val="auto"/>
              </w:rPr>
              <w:t>Ending Balance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4"/>
                <w:szCs w:val="14"/>
                <w:color w:val="auto"/>
              </w:rPr>
              <w:t>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w:t>
            </w:r>
          </w:p>
        </w:tc>
      </w:tr>
      <w:tr>
        <w:trPr>
          <w:trHeight w:val="20"/>
        </w:trPr>
        <w:tc>
          <w:tcPr>
            <w:tcW w:w="6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Assets and Liabilities Measured at Fair Value on a Nonrecurring Basis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Loans Evaluated Individually</w:t>
      </w:r>
    </w:p>
    <w:p>
      <w:pPr>
        <w:spacing w:after="0" w:line="14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u w:val="single" w:color="auto"/>
          <w:color w:val="auto"/>
        </w:rPr>
        <w:t>Bank Property Held for Sale</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Bank property held for sale represents certain banking center office buildings which Busey has closed and consolidated with other existing banking centers. Bank property held for sale is measured at the lower of amortized cost or estimated fair value less estimated costs to sell, and is included in premises and equipment, net on the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Fair values were based upon discounted appraisals or real estate listing prices. Due to the significance of unobservable inputs, fair values of all bank property held for sale have been classified as Level 3.</w:t>
      </w:r>
    </w:p>
    <w:p>
      <w:pPr>
        <w:spacing w:after="0" w:line="13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following tables summarize assets and liabilities measured at estimated fair value on a non-recurring basis, segregated by the level of the valuation inputs within the fair value hierarchy utilized to measure fair value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4"/>
          </w:tcPr>
          <w:p>
            <w:pPr>
              <w:ind w:left="940"/>
              <w:spacing w:after="0"/>
              <w:rPr>
                <w:sz w:val="20"/>
                <w:szCs w:val="20"/>
                <w:color w:val="auto"/>
              </w:rPr>
            </w:pPr>
            <w:r>
              <w:rPr>
                <w:rFonts w:ascii="Verdana" w:cs="Verdana" w:eastAsia="Verdana" w:hAnsi="Verdana"/>
                <w:sz w:val="10"/>
                <w:szCs w:val="10"/>
                <w:b w:val="1"/>
                <w:bCs w:val="1"/>
                <w:color w:val="auto"/>
              </w:rPr>
              <w:t>As of December 31, 2024</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93"/>
        </w:trPr>
        <w:tc>
          <w:tcPr>
            <w:tcW w:w="4680" w:type="dxa"/>
            <w:vAlign w:val="bottom"/>
          </w:tcPr>
          <w:p>
            <w:pPr>
              <w:spacing w:after="0"/>
              <w:rPr>
                <w:sz w:val="8"/>
                <w:szCs w:val="8"/>
                <w:color w:val="auto"/>
              </w:rPr>
            </w:pPr>
          </w:p>
        </w:tc>
        <w:tc>
          <w:tcPr>
            <w:tcW w:w="1180" w:type="dxa"/>
            <w:vAlign w:val="bottom"/>
          </w:tcPr>
          <w:p>
            <w:pPr>
              <w:ind w:left="580"/>
              <w:spacing w:after="0" w:line="94" w:lineRule="exact"/>
              <w:rPr>
                <w:sz w:val="20"/>
                <w:szCs w:val="20"/>
                <w:color w:val="auto"/>
              </w:rPr>
            </w:pPr>
            <w:r>
              <w:rPr>
                <w:rFonts w:ascii="Verdana" w:cs="Verdana" w:eastAsia="Verdana" w:hAnsi="Verdana"/>
                <w:sz w:val="10"/>
                <w:szCs w:val="10"/>
                <w:b w:val="1"/>
                <w:bCs w:val="1"/>
                <w:color w:val="auto"/>
              </w:rPr>
              <w:t>Level 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2</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3</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right"/>
              <w:ind w:right="600"/>
              <w:spacing w:after="0" w:line="94" w:lineRule="exact"/>
              <w:rPr>
                <w:sz w:val="20"/>
                <w:szCs w:val="20"/>
                <w:color w:val="auto"/>
              </w:rPr>
            </w:pPr>
            <w:r>
              <w:rPr>
                <w:rFonts w:ascii="Verdana" w:cs="Verdana" w:eastAsia="Verdana" w:hAnsi="Verdana"/>
                <w:sz w:val="10"/>
                <w:szCs w:val="10"/>
                <w:b w:val="1"/>
                <w:bCs w:val="1"/>
                <w:color w:val="auto"/>
              </w:rPr>
              <w:t>Total</w:t>
            </w:r>
          </w:p>
        </w:tc>
      </w:tr>
      <w:tr>
        <w:trPr>
          <w:trHeight w:val="133"/>
        </w:trPr>
        <w:tc>
          <w:tcPr>
            <w:tcW w:w="4680" w:type="dxa"/>
            <w:vAlign w:val="bottom"/>
            <w:tcBorders>
              <w:bottom w:val="single" w:sz="8" w:color="E0E7ED"/>
            </w:tcBorders>
          </w:tcPr>
          <w:p>
            <w:pPr>
              <w:spacing w:after="0"/>
              <w:rPr>
                <w:sz w:val="11"/>
                <w:szCs w:val="11"/>
                <w:color w:val="auto"/>
              </w:rPr>
            </w:pPr>
          </w:p>
        </w:tc>
        <w:tc>
          <w:tcPr>
            <w:tcW w:w="1180" w:type="dxa"/>
            <w:vAlign w:val="bottom"/>
            <w:tcBorders>
              <w:bottom w:val="single" w:sz="8" w:color="auto"/>
            </w:tcBorders>
          </w:tcPr>
          <w:p>
            <w:pPr>
              <w:ind w:left="600"/>
              <w:spacing w:after="0"/>
              <w:rPr>
                <w:sz w:val="20"/>
                <w:szCs w:val="20"/>
                <w:color w:val="auto"/>
              </w:rPr>
            </w:pPr>
            <w:r>
              <w:rPr>
                <w:rFonts w:ascii="Verdana" w:cs="Verdana" w:eastAsia="Verdana" w:hAnsi="Verdana"/>
                <w:sz w:val="10"/>
                <w:szCs w:val="10"/>
                <w:b w:val="1"/>
                <w:bCs w:val="1"/>
                <w:color w:val="auto"/>
              </w:rPr>
              <w:t>Inputs</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180" w:type="dxa"/>
            <w:vAlign w:val="bottom"/>
            <w:tcBorders>
              <w:bottom w:val="single" w:sz="8" w:color="auto"/>
            </w:tcBorders>
          </w:tcPr>
          <w:p>
            <w:pPr>
              <w:ind w:left="620"/>
              <w:spacing w:after="0"/>
              <w:rPr>
                <w:sz w:val="20"/>
                <w:szCs w:val="20"/>
                <w:color w:val="auto"/>
              </w:rPr>
            </w:pPr>
            <w:r>
              <w:rPr>
                <w:rFonts w:ascii="Verdana" w:cs="Verdana" w:eastAsia="Verdana" w:hAnsi="Verdana"/>
                <w:sz w:val="10"/>
                <w:szCs w:val="10"/>
                <w:b w:val="1"/>
                <w:bCs w:val="1"/>
                <w:color w:val="auto"/>
              </w:rPr>
              <w:t>Inputs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040" w:type="dxa"/>
            <w:vAlign w:val="bottom"/>
            <w:tcBorders>
              <w:bottom w:val="single" w:sz="8" w:color="auto"/>
            </w:tcBorders>
          </w:tcPr>
          <w:p>
            <w:pPr>
              <w:ind w:left="600"/>
              <w:spacing w:after="0"/>
              <w:rPr>
                <w:sz w:val="20"/>
                <w:szCs w:val="20"/>
                <w:color w:val="auto"/>
              </w:rPr>
            </w:pPr>
            <w:r>
              <w:rPr>
                <w:rFonts w:ascii="Verdana" w:cs="Verdana" w:eastAsia="Verdana" w:hAnsi="Verdana"/>
                <w:sz w:val="10"/>
                <w:szCs w:val="10"/>
                <w:b w:val="1"/>
                <w:bCs w:val="1"/>
                <w:color w:val="auto"/>
              </w:rPr>
              <w:t>Inputs</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60"/>
              <w:spacing w:after="0"/>
              <w:rPr>
                <w:sz w:val="20"/>
                <w:szCs w:val="20"/>
                <w:color w:val="auto"/>
              </w:rPr>
            </w:pPr>
            <w:r>
              <w:rPr>
                <w:rFonts w:ascii="Verdana" w:cs="Verdana" w:eastAsia="Verdana" w:hAnsi="Verdana"/>
                <w:sz w:val="10"/>
                <w:szCs w:val="10"/>
                <w:b w:val="1"/>
                <w:bCs w:val="1"/>
                <w:color w:val="auto"/>
              </w:rPr>
              <w:t>Fair Value</w:t>
            </w:r>
          </w:p>
        </w:tc>
      </w:tr>
      <w:tr>
        <w:trPr>
          <w:trHeight w:val="20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Loans evaluated individually, net of related allowance</w:t>
            </w:r>
          </w:p>
        </w:tc>
        <w:tc>
          <w:tcPr>
            <w:tcW w:w="1180" w:type="dxa"/>
            <w:vAlign w:val="bottom"/>
            <w:shd w:val="clear" w:color="auto" w:fill="E0E7ED"/>
          </w:tcPr>
          <w:p>
            <w:pPr>
              <w:jc w:val="right"/>
              <w:ind w:right="1023"/>
              <w:spacing w:after="0"/>
              <w:rPr>
                <w:sz w:val="20"/>
                <w:szCs w:val="20"/>
                <w:color w:val="auto"/>
              </w:rPr>
            </w:pPr>
            <w:r>
              <w:rPr>
                <w:rFonts w:ascii="Verdana" w:cs="Verdana" w:eastAsia="Verdana" w:hAnsi="Verdana"/>
                <w:sz w:val="14"/>
                <w:szCs w:val="14"/>
                <w:color w:val="auto"/>
                <w:w w:val="88"/>
              </w:rPr>
              <w:t>$</w:t>
            </w:r>
          </w:p>
        </w:tc>
        <w:tc>
          <w:tcPr>
            <w:tcW w:w="480" w:type="dxa"/>
            <w:vAlign w:val="bottom"/>
            <w:gridSpan w:val="2"/>
            <w:shd w:val="clear" w:color="auto" w:fill="E0E7ED"/>
          </w:tcPr>
          <w:p>
            <w:pPr>
              <w:ind w:left="180"/>
              <w:spacing w:after="0"/>
              <w:rPr>
                <w:sz w:val="20"/>
                <w:szCs w:val="20"/>
                <w:color w:val="auto"/>
              </w:rPr>
            </w:pPr>
            <w:r>
              <w:rPr>
                <w:rFonts w:ascii="Verdana" w:cs="Verdana" w:eastAsia="Verdana" w:hAnsi="Verdana"/>
                <w:sz w:val="14"/>
                <w:szCs w:val="14"/>
                <w:color w:val="auto"/>
              </w:rPr>
              <w:t>—</w:t>
            </w:r>
          </w:p>
        </w:tc>
        <w:tc>
          <w:tcPr>
            <w:tcW w:w="1180" w:type="dxa"/>
            <w:vAlign w:val="bottom"/>
            <w:shd w:val="clear" w:color="auto" w:fill="E0E7ED"/>
          </w:tcPr>
          <w:p>
            <w:pPr>
              <w:jc w:val="right"/>
              <w:ind w:right="1025"/>
              <w:spacing w:after="0"/>
              <w:rPr>
                <w:sz w:val="20"/>
                <w:szCs w:val="20"/>
                <w:color w:val="auto"/>
              </w:rPr>
            </w:pPr>
            <w:r>
              <w:rPr>
                <w:rFonts w:ascii="Verdana" w:cs="Verdana" w:eastAsia="Verdana" w:hAnsi="Verdana"/>
                <w:sz w:val="14"/>
                <w:szCs w:val="14"/>
                <w:color w:val="auto"/>
                <w:w w:val="88"/>
              </w:rPr>
              <w:t>$</w:t>
            </w:r>
          </w:p>
        </w:tc>
        <w:tc>
          <w:tcPr>
            <w:tcW w:w="500" w:type="dxa"/>
            <w:vAlign w:val="bottom"/>
            <w:gridSpan w:val="2"/>
            <w:shd w:val="clear" w:color="auto" w:fill="E0E7ED"/>
          </w:tcPr>
          <w:p>
            <w:pPr>
              <w:ind w:left="200"/>
              <w:spacing w:after="0"/>
              <w:rPr>
                <w:sz w:val="20"/>
                <w:szCs w:val="20"/>
                <w:color w:val="auto"/>
              </w:rPr>
            </w:pPr>
            <w:r>
              <w:rPr>
                <w:rFonts w:ascii="Verdana" w:cs="Verdana" w:eastAsia="Verdana" w:hAnsi="Verdana"/>
                <w:sz w:val="14"/>
                <w:szCs w:val="14"/>
                <w:color w:val="auto"/>
              </w:rPr>
              <w:t>—</w:t>
            </w:r>
          </w:p>
        </w:tc>
        <w:tc>
          <w:tcPr>
            <w:tcW w:w="1040" w:type="dxa"/>
            <w:vAlign w:val="bottom"/>
            <w:shd w:val="clear" w:color="auto" w:fill="E0E7ED"/>
          </w:tcPr>
          <w:p>
            <w:pPr>
              <w:jc w:val="right"/>
              <w:ind w:right="883"/>
              <w:spacing w:after="0"/>
              <w:rPr>
                <w:sz w:val="20"/>
                <w:szCs w:val="20"/>
                <w:color w:val="auto"/>
              </w:rPr>
            </w:pPr>
            <w:r>
              <w:rPr>
                <w:rFonts w:ascii="Verdana" w:cs="Verdana" w:eastAsia="Verdana" w:hAnsi="Verdana"/>
                <w:sz w:val="14"/>
                <w:szCs w:val="14"/>
                <w:color w:val="auto"/>
                <w:w w:val="88"/>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616</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616</w:t>
            </w:r>
          </w:p>
        </w:tc>
      </w:tr>
      <w:tr>
        <w:trPr>
          <w:trHeight w:val="201"/>
        </w:trPr>
        <w:tc>
          <w:tcPr>
            <w:tcW w:w="4680" w:type="dxa"/>
            <w:vAlign w:val="bottom"/>
          </w:tcPr>
          <w:p>
            <w:pPr>
              <w:ind w:left="20"/>
              <w:spacing w:after="0"/>
              <w:rPr>
                <w:sz w:val="20"/>
                <w:szCs w:val="20"/>
                <w:color w:val="auto"/>
              </w:rPr>
            </w:pPr>
            <w:r>
              <w:rPr>
                <w:rFonts w:ascii="Verdana" w:cs="Verdana" w:eastAsia="Verdana" w:hAnsi="Verdana"/>
                <w:sz w:val="14"/>
                <w:szCs w:val="14"/>
                <w:color w:val="auto"/>
              </w:rPr>
              <w:t>Bank property held for sale with impairment</w:t>
            </w:r>
          </w:p>
        </w:tc>
        <w:tc>
          <w:tcPr>
            <w:tcW w:w="118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Verdana" w:cs="Verdana" w:eastAsia="Verdana" w:hAnsi="Verdana"/>
                <w:sz w:val="14"/>
                <w:szCs w:val="14"/>
                <w:color w:val="auto"/>
              </w:rPr>
              <w:t>—</w:t>
            </w:r>
          </w:p>
        </w:tc>
        <w:tc>
          <w:tcPr>
            <w:tcW w:w="118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Verdana" w:cs="Verdana" w:eastAsia="Verdana" w:hAnsi="Verdana"/>
                <w:sz w:val="14"/>
                <w:szCs w:val="14"/>
                <w:color w:val="auto"/>
              </w:rPr>
              <w: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Verdana" w:cs="Verdana" w:eastAsia="Verdana" w:hAnsi="Verdana"/>
                <w:sz w:val="14"/>
                <w:szCs w:val="14"/>
                <w:color w:val="auto"/>
              </w:rPr>
              <w:t>2,841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2,841</w:t>
            </w: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4" w:name="page165"/>
    <w:bookmarkEnd w:id="164"/>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4"/>
          </w:tcPr>
          <w:p>
            <w:pPr>
              <w:ind w:left="940"/>
              <w:spacing w:after="0"/>
              <w:rPr>
                <w:sz w:val="20"/>
                <w:szCs w:val="20"/>
                <w:color w:val="auto"/>
              </w:rPr>
            </w:pPr>
            <w:r>
              <w:rPr>
                <w:rFonts w:ascii="Verdana" w:cs="Verdana" w:eastAsia="Verdana" w:hAnsi="Verdana"/>
                <w:sz w:val="10"/>
                <w:szCs w:val="10"/>
                <w:b w:val="1"/>
                <w:bCs w:val="1"/>
                <w:color w:val="auto"/>
              </w:rPr>
              <w:t>As of December 31, 2023</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r>
        <w:trPr>
          <w:trHeight w:val="93"/>
        </w:trPr>
        <w:tc>
          <w:tcPr>
            <w:tcW w:w="4680" w:type="dxa"/>
            <w:vAlign w:val="bottom"/>
          </w:tcPr>
          <w:p>
            <w:pPr>
              <w:spacing w:after="0"/>
              <w:rPr>
                <w:sz w:val="8"/>
                <w:szCs w:val="8"/>
                <w:color w:val="auto"/>
              </w:rPr>
            </w:pPr>
          </w:p>
        </w:tc>
        <w:tc>
          <w:tcPr>
            <w:tcW w:w="1180" w:type="dxa"/>
            <w:vAlign w:val="bottom"/>
          </w:tcPr>
          <w:p>
            <w:pPr>
              <w:ind w:left="580"/>
              <w:spacing w:after="0" w:line="94" w:lineRule="exact"/>
              <w:rPr>
                <w:sz w:val="20"/>
                <w:szCs w:val="20"/>
                <w:color w:val="auto"/>
              </w:rPr>
            </w:pPr>
            <w:r>
              <w:rPr>
                <w:rFonts w:ascii="Verdana" w:cs="Verdana" w:eastAsia="Verdana" w:hAnsi="Verdana"/>
                <w:sz w:val="10"/>
                <w:szCs w:val="10"/>
                <w:b w:val="1"/>
                <w:bCs w:val="1"/>
                <w:color w:val="auto"/>
              </w:rPr>
              <w:t>Level 1</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2</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ind w:left="600"/>
              <w:spacing w:after="0" w:line="94" w:lineRule="exact"/>
              <w:rPr>
                <w:sz w:val="20"/>
                <w:szCs w:val="20"/>
                <w:color w:val="auto"/>
              </w:rPr>
            </w:pPr>
            <w:r>
              <w:rPr>
                <w:rFonts w:ascii="Verdana" w:cs="Verdana" w:eastAsia="Verdana" w:hAnsi="Verdana"/>
                <w:sz w:val="10"/>
                <w:szCs w:val="10"/>
                <w:b w:val="1"/>
                <w:bCs w:val="1"/>
                <w:color w:val="auto"/>
              </w:rPr>
              <w:t>Level 3</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jc w:val="right"/>
              <w:ind w:right="600"/>
              <w:spacing w:after="0" w:line="94" w:lineRule="exact"/>
              <w:rPr>
                <w:sz w:val="20"/>
                <w:szCs w:val="20"/>
                <w:color w:val="auto"/>
              </w:rPr>
            </w:pPr>
            <w:r>
              <w:rPr>
                <w:rFonts w:ascii="Verdana" w:cs="Verdana" w:eastAsia="Verdana" w:hAnsi="Verdana"/>
                <w:sz w:val="10"/>
                <w:szCs w:val="10"/>
                <w:b w:val="1"/>
                <w:bCs w:val="1"/>
                <w:color w:val="auto"/>
              </w:rPr>
              <w:t>Total</w:t>
            </w:r>
          </w:p>
        </w:tc>
      </w:tr>
      <w:tr>
        <w:trPr>
          <w:trHeight w:val="133"/>
        </w:trPr>
        <w:tc>
          <w:tcPr>
            <w:tcW w:w="4680" w:type="dxa"/>
            <w:vAlign w:val="bottom"/>
            <w:tcBorders>
              <w:bottom w:val="single" w:sz="8" w:color="E0E7ED"/>
            </w:tcBorders>
          </w:tcPr>
          <w:p>
            <w:pPr>
              <w:spacing w:after="0"/>
              <w:rPr>
                <w:sz w:val="11"/>
                <w:szCs w:val="11"/>
                <w:color w:val="auto"/>
              </w:rPr>
            </w:pPr>
          </w:p>
        </w:tc>
        <w:tc>
          <w:tcPr>
            <w:tcW w:w="1180" w:type="dxa"/>
            <w:vAlign w:val="bottom"/>
            <w:tcBorders>
              <w:bottom w:val="single" w:sz="8" w:color="auto"/>
            </w:tcBorders>
          </w:tcPr>
          <w:p>
            <w:pPr>
              <w:ind w:left="600"/>
              <w:spacing w:after="0"/>
              <w:rPr>
                <w:sz w:val="20"/>
                <w:szCs w:val="20"/>
                <w:color w:val="auto"/>
              </w:rPr>
            </w:pPr>
            <w:r>
              <w:rPr>
                <w:rFonts w:ascii="Verdana" w:cs="Verdana" w:eastAsia="Verdana" w:hAnsi="Verdana"/>
                <w:sz w:val="10"/>
                <w:szCs w:val="10"/>
                <w:b w:val="1"/>
                <w:bCs w:val="1"/>
                <w:color w:val="auto"/>
              </w:rPr>
              <w:t>Inputs</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180" w:type="dxa"/>
            <w:vAlign w:val="bottom"/>
            <w:tcBorders>
              <w:bottom w:val="single" w:sz="8" w:color="auto"/>
            </w:tcBorders>
          </w:tcPr>
          <w:p>
            <w:pPr>
              <w:ind w:left="620"/>
              <w:spacing w:after="0"/>
              <w:rPr>
                <w:sz w:val="20"/>
                <w:szCs w:val="20"/>
                <w:color w:val="auto"/>
              </w:rPr>
            </w:pPr>
            <w:r>
              <w:rPr>
                <w:rFonts w:ascii="Verdana" w:cs="Verdana" w:eastAsia="Verdana" w:hAnsi="Verdana"/>
                <w:sz w:val="10"/>
                <w:szCs w:val="10"/>
                <w:b w:val="1"/>
                <w:bCs w:val="1"/>
                <w:color w:val="auto"/>
              </w:rPr>
              <w:t>Inputs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1040" w:type="dxa"/>
            <w:vAlign w:val="bottom"/>
            <w:tcBorders>
              <w:bottom w:val="single" w:sz="8" w:color="auto"/>
            </w:tcBorders>
          </w:tcPr>
          <w:p>
            <w:pPr>
              <w:ind w:left="600"/>
              <w:spacing w:after="0"/>
              <w:rPr>
                <w:sz w:val="20"/>
                <w:szCs w:val="20"/>
                <w:color w:val="auto"/>
              </w:rPr>
            </w:pPr>
            <w:r>
              <w:rPr>
                <w:rFonts w:ascii="Verdana" w:cs="Verdana" w:eastAsia="Verdana" w:hAnsi="Verdana"/>
                <w:sz w:val="10"/>
                <w:szCs w:val="10"/>
                <w:b w:val="1"/>
                <w:bCs w:val="1"/>
                <w:color w:val="auto"/>
              </w:rPr>
              <w:t>Inputs</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60"/>
              <w:spacing w:after="0"/>
              <w:rPr>
                <w:sz w:val="20"/>
                <w:szCs w:val="20"/>
                <w:color w:val="auto"/>
              </w:rPr>
            </w:pPr>
            <w:r>
              <w:rPr>
                <w:rFonts w:ascii="Verdana" w:cs="Verdana" w:eastAsia="Verdana" w:hAnsi="Verdana"/>
                <w:sz w:val="10"/>
                <w:szCs w:val="10"/>
                <w:b w:val="1"/>
                <w:bCs w:val="1"/>
                <w:color w:val="auto"/>
              </w:rPr>
              <w:t>Fair Value</w:t>
            </w:r>
          </w:p>
        </w:tc>
      </w:tr>
      <w:tr>
        <w:trPr>
          <w:trHeight w:val="208"/>
        </w:trPr>
        <w:tc>
          <w:tcPr>
            <w:tcW w:w="46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Loans evaluated individually, net of related allowance</w:t>
            </w:r>
          </w:p>
        </w:tc>
        <w:tc>
          <w:tcPr>
            <w:tcW w:w="1180" w:type="dxa"/>
            <w:vAlign w:val="bottom"/>
            <w:shd w:val="clear" w:color="auto" w:fill="E0E7ED"/>
          </w:tcPr>
          <w:p>
            <w:pPr>
              <w:jc w:val="right"/>
              <w:ind w:right="1023"/>
              <w:spacing w:after="0"/>
              <w:rPr>
                <w:sz w:val="20"/>
                <w:szCs w:val="20"/>
                <w:color w:val="auto"/>
              </w:rPr>
            </w:pPr>
            <w:r>
              <w:rPr>
                <w:rFonts w:ascii="Verdana" w:cs="Verdana" w:eastAsia="Verdana" w:hAnsi="Verdana"/>
                <w:sz w:val="14"/>
                <w:szCs w:val="14"/>
                <w:color w:val="auto"/>
                <w:w w:val="88"/>
              </w:rPr>
              <w:t>$</w:t>
            </w:r>
          </w:p>
        </w:tc>
        <w:tc>
          <w:tcPr>
            <w:tcW w:w="480" w:type="dxa"/>
            <w:vAlign w:val="bottom"/>
            <w:gridSpan w:val="2"/>
            <w:shd w:val="clear" w:color="auto" w:fill="E0E7ED"/>
          </w:tcPr>
          <w:p>
            <w:pPr>
              <w:ind w:left="180"/>
              <w:spacing w:after="0"/>
              <w:rPr>
                <w:sz w:val="20"/>
                <w:szCs w:val="20"/>
                <w:color w:val="auto"/>
              </w:rPr>
            </w:pPr>
            <w:r>
              <w:rPr>
                <w:rFonts w:ascii="Verdana" w:cs="Verdana" w:eastAsia="Verdana" w:hAnsi="Verdana"/>
                <w:sz w:val="14"/>
                <w:szCs w:val="14"/>
                <w:color w:val="auto"/>
              </w:rPr>
              <w:t>—</w:t>
            </w:r>
          </w:p>
        </w:tc>
        <w:tc>
          <w:tcPr>
            <w:tcW w:w="1180" w:type="dxa"/>
            <w:vAlign w:val="bottom"/>
            <w:shd w:val="clear" w:color="auto" w:fill="E0E7ED"/>
          </w:tcPr>
          <w:p>
            <w:pPr>
              <w:jc w:val="right"/>
              <w:ind w:right="1025"/>
              <w:spacing w:after="0"/>
              <w:rPr>
                <w:sz w:val="20"/>
                <w:szCs w:val="20"/>
                <w:color w:val="auto"/>
              </w:rPr>
            </w:pPr>
            <w:r>
              <w:rPr>
                <w:rFonts w:ascii="Verdana" w:cs="Verdana" w:eastAsia="Verdana" w:hAnsi="Verdana"/>
                <w:sz w:val="14"/>
                <w:szCs w:val="14"/>
                <w:color w:val="auto"/>
                <w:w w:val="88"/>
              </w:rPr>
              <w:t>$</w:t>
            </w:r>
          </w:p>
        </w:tc>
        <w:tc>
          <w:tcPr>
            <w:tcW w:w="500" w:type="dxa"/>
            <w:vAlign w:val="bottom"/>
            <w:gridSpan w:val="2"/>
            <w:shd w:val="clear" w:color="auto" w:fill="E0E7ED"/>
          </w:tcPr>
          <w:p>
            <w:pPr>
              <w:ind w:left="200"/>
              <w:spacing w:after="0"/>
              <w:rPr>
                <w:sz w:val="20"/>
                <w:szCs w:val="20"/>
                <w:color w:val="auto"/>
              </w:rPr>
            </w:pPr>
            <w:r>
              <w:rPr>
                <w:rFonts w:ascii="Verdana" w:cs="Verdana" w:eastAsia="Verdana" w:hAnsi="Verdana"/>
                <w:sz w:val="14"/>
                <w:szCs w:val="14"/>
                <w:color w:val="auto"/>
              </w:rPr>
              <w:t>—</w:t>
            </w:r>
          </w:p>
        </w:tc>
        <w:tc>
          <w:tcPr>
            <w:tcW w:w="1040" w:type="dxa"/>
            <w:vAlign w:val="bottom"/>
            <w:shd w:val="clear" w:color="auto" w:fill="E0E7ED"/>
          </w:tcPr>
          <w:p>
            <w:pPr>
              <w:jc w:val="right"/>
              <w:ind w:right="883"/>
              <w:spacing w:after="0"/>
              <w:rPr>
                <w:sz w:val="20"/>
                <w:szCs w:val="20"/>
                <w:color w:val="auto"/>
              </w:rPr>
            </w:pPr>
            <w:r>
              <w:rPr>
                <w:rFonts w:ascii="Verdana" w:cs="Verdana" w:eastAsia="Verdana" w:hAnsi="Verdana"/>
                <w:sz w:val="14"/>
                <w:szCs w:val="14"/>
                <w:color w:val="auto"/>
                <w:w w:val="88"/>
              </w:rPr>
              <w:t>$</w:t>
            </w:r>
          </w:p>
        </w:tc>
        <w:tc>
          <w:tcPr>
            <w:tcW w:w="5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1,000</w:t>
            </w:r>
          </w:p>
        </w:tc>
        <w:tc>
          <w:tcPr>
            <w:tcW w:w="10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1,000</w:t>
            </w:r>
          </w:p>
        </w:tc>
      </w:tr>
      <w:tr>
        <w:trPr>
          <w:trHeight w:val="201"/>
        </w:trPr>
        <w:tc>
          <w:tcPr>
            <w:tcW w:w="4680" w:type="dxa"/>
            <w:vAlign w:val="bottom"/>
          </w:tcPr>
          <w:p>
            <w:pPr>
              <w:ind w:left="20"/>
              <w:spacing w:after="0"/>
              <w:rPr>
                <w:sz w:val="20"/>
                <w:szCs w:val="20"/>
                <w:color w:val="auto"/>
              </w:rPr>
            </w:pPr>
            <w:r>
              <w:rPr>
                <w:rFonts w:ascii="Verdana" w:cs="Verdana" w:eastAsia="Verdana" w:hAnsi="Verdana"/>
                <w:sz w:val="14"/>
                <w:szCs w:val="14"/>
                <w:color w:val="auto"/>
              </w:rPr>
              <w:t>Bank property held for sale with impairment</w:t>
            </w:r>
          </w:p>
        </w:tc>
        <w:tc>
          <w:tcPr>
            <w:tcW w:w="1180" w:type="dxa"/>
            <w:vAlign w:val="bottom"/>
          </w:tcPr>
          <w:p>
            <w:pPr>
              <w:spacing w:after="0"/>
              <w:rPr>
                <w:sz w:val="17"/>
                <w:szCs w:val="17"/>
                <w:color w:val="auto"/>
              </w:rPr>
            </w:pPr>
          </w:p>
        </w:tc>
        <w:tc>
          <w:tcPr>
            <w:tcW w:w="480" w:type="dxa"/>
            <w:vAlign w:val="bottom"/>
            <w:gridSpan w:val="2"/>
          </w:tcPr>
          <w:p>
            <w:pPr>
              <w:ind w:left="180"/>
              <w:spacing w:after="0"/>
              <w:rPr>
                <w:sz w:val="20"/>
                <w:szCs w:val="20"/>
                <w:color w:val="auto"/>
              </w:rPr>
            </w:pPr>
            <w:r>
              <w:rPr>
                <w:rFonts w:ascii="Verdana" w:cs="Verdana" w:eastAsia="Verdana" w:hAnsi="Verdana"/>
                <w:sz w:val="14"/>
                <w:szCs w:val="14"/>
                <w:color w:val="auto"/>
              </w:rPr>
              <w:t>—</w:t>
            </w:r>
          </w:p>
        </w:tc>
        <w:tc>
          <w:tcPr>
            <w:tcW w:w="118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Verdana" w:cs="Verdana" w:eastAsia="Verdana" w:hAnsi="Verdana"/>
                <w:sz w:val="14"/>
                <w:szCs w:val="14"/>
                <w:color w:val="auto"/>
              </w:rPr>
              <w: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Verdana" w:cs="Verdana" w:eastAsia="Verdana" w:hAnsi="Verdana"/>
                <w:sz w:val="14"/>
                <w:szCs w:val="14"/>
                <w:color w:val="auto"/>
              </w:rPr>
              <w:t>4,286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Verdana" w:cs="Verdana" w:eastAsia="Verdana" w:hAnsi="Verdana"/>
                <w:sz w:val="14"/>
                <w:szCs w:val="14"/>
                <w:color w:val="auto"/>
              </w:rPr>
              <w:t>4,286</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The following table presents additional quantitative information about assets measured at estimated fair value on a non-recurring basis using Level 3 inputs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gridSpan w:val="4"/>
          </w:tcPr>
          <w:p>
            <w:pPr>
              <w:ind w:left="2060"/>
              <w:spacing w:after="0"/>
              <w:rPr>
                <w:sz w:val="20"/>
                <w:szCs w:val="20"/>
                <w:color w:val="auto"/>
              </w:rPr>
            </w:pPr>
            <w:r>
              <w:rPr>
                <w:rFonts w:ascii="Verdana" w:cs="Verdana" w:eastAsia="Verdana" w:hAnsi="Verdana"/>
                <w:sz w:val="10"/>
                <w:szCs w:val="10"/>
                <w:b w:val="1"/>
                <w:bCs w:val="1"/>
                <w:color w:val="auto"/>
              </w:rPr>
              <w:t>As of December 31, 2024</w:t>
            </w:r>
          </w:p>
        </w:tc>
        <w:tc>
          <w:tcPr>
            <w:tcW w:w="2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right"/>
              <w:ind w:right="236"/>
              <w:spacing w:after="0"/>
              <w:rPr>
                <w:sz w:val="20"/>
                <w:szCs w:val="20"/>
                <w:color w:val="auto"/>
              </w:rPr>
            </w:pPr>
            <w:r>
              <w:rPr>
                <w:rFonts w:ascii="Verdana" w:cs="Verdana" w:eastAsia="Verdana" w:hAnsi="Verdana"/>
                <w:sz w:val="10"/>
                <w:szCs w:val="10"/>
                <w:b w:val="1"/>
                <w:bCs w:val="1"/>
                <w:color w:val="auto"/>
              </w:rPr>
              <w:t>Fair Value</w:t>
            </w:r>
          </w:p>
        </w:tc>
        <w:tc>
          <w:tcPr>
            <w:tcW w:w="80" w:type="dxa"/>
            <w:vAlign w:val="bottom"/>
            <w:vMerge w:val="restart"/>
          </w:tcPr>
          <w:p>
            <w:pPr>
              <w:spacing w:after="0"/>
              <w:rPr>
                <w:sz w:val="8"/>
                <w:szCs w:val="8"/>
                <w:color w:val="auto"/>
              </w:rPr>
            </w:pPr>
          </w:p>
        </w:tc>
        <w:tc>
          <w:tcPr>
            <w:tcW w:w="2660" w:type="dxa"/>
            <w:vAlign w:val="bottom"/>
            <w:gridSpan w:val="2"/>
          </w:tcPr>
          <w:p>
            <w:pPr>
              <w:jc w:val="center"/>
              <w:ind w:right="80"/>
              <w:spacing w:after="0" w:line="94" w:lineRule="exact"/>
              <w:rPr>
                <w:sz w:val="20"/>
                <w:szCs w:val="20"/>
                <w:color w:val="auto"/>
              </w:rPr>
            </w:pPr>
            <w:r>
              <w:rPr>
                <w:rFonts w:ascii="Verdana" w:cs="Verdana" w:eastAsia="Verdana" w:hAnsi="Verdana"/>
                <w:sz w:val="10"/>
                <w:szCs w:val="10"/>
                <w:b w:val="1"/>
                <w:bCs w:val="1"/>
                <w:color w:val="auto"/>
              </w:rPr>
              <w:t>Valuation</w:t>
            </w:r>
          </w:p>
        </w:tc>
        <w:tc>
          <w:tcPr>
            <w:tcW w:w="1680" w:type="dxa"/>
            <w:vAlign w:val="bottom"/>
            <w:gridSpan w:val="2"/>
          </w:tcPr>
          <w:p>
            <w:pPr>
              <w:jc w:val="center"/>
              <w:ind w:right="80"/>
              <w:spacing w:after="0" w:line="94" w:lineRule="exact"/>
              <w:rPr>
                <w:sz w:val="20"/>
                <w:szCs w:val="20"/>
                <w:color w:val="auto"/>
              </w:rPr>
            </w:pPr>
            <w:r>
              <w:rPr>
                <w:rFonts w:ascii="Verdana" w:cs="Verdana" w:eastAsia="Verdana" w:hAnsi="Verdana"/>
                <w:sz w:val="10"/>
                <w:szCs w:val="10"/>
                <w:b w:val="1"/>
                <w:bCs w:val="1"/>
                <w:color w:val="auto"/>
                <w:w w:val="98"/>
              </w:rPr>
              <w:t>Unobservable</w:t>
            </w:r>
          </w:p>
        </w:tc>
        <w:tc>
          <w:tcPr>
            <w:tcW w:w="238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auto"/>
                <w:w w:val="96"/>
              </w:rPr>
              <w:t>Range</w:t>
            </w:r>
          </w:p>
        </w:tc>
        <w:tc>
          <w:tcPr>
            <w:tcW w:w="0" w:type="dxa"/>
            <w:vAlign w:val="bottom"/>
          </w:tcPr>
          <w:p>
            <w:pPr>
              <w:spacing w:after="0"/>
              <w:rPr>
                <w:sz w:val="1"/>
                <w:szCs w:val="1"/>
                <w:color w:val="auto"/>
              </w:rPr>
            </w:pPr>
          </w:p>
        </w:tc>
      </w:tr>
      <w:tr>
        <w:trPr>
          <w:trHeight w:val="133"/>
        </w:trPr>
        <w:tc>
          <w:tcPr>
            <w:tcW w:w="334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7"/>
              </w:rPr>
              <w:t>Techniques</w:t>
            </w:r>
          </w:p>
        </w:tc>
        <w:tc>
          <w:tcPr>
            <w:tcW w:w="80" w:type="dxa"/>
            <w:vAlign w:val="bottom"/>
            <w:tcBorders>
              <w:bottom w:val="single" w:sz="8" w:color="E0E7ED"/>
            </w:tcBorders>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Input</w:t>
            </w:r>
          </w:p>
        </w:tc>
        <w:tc>
          <w:tcPr>
            <w:tcW w:w="80" w:type="dxa"/>
            <w:vAlign w:val="bottom"/>
            <w:tcBorders>
              <w:bottom w:val="single" w:sz="8" w:color="E0E7ED"/>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9"/>
              </w:rPr>
              <w:t>(Weighted Average)</w:t>
            </w:r>
          </w:p>
        </w:tc>
        <w:tc>
          <w:tcPr>
            <w:tcW w:w="0" w:type="dxa"/>
            <w:vAlign w:val="bottom"/>
          </w:tcPr>
          <w:p>
            <w:pPr>
              <w:spacing w:after="0"/>
              <w:rPr>
                <w:sz w:val="1"/>
                <w:szCs w:val="1"/>
                <w:color w:val="auto"/>
              </w:rPr>
            </w:pPr>
          </w:p>
        </w:tc>
      </w:tr>
      <w:tr>
        <w:trPr>
          <w:trHeight w:val="172"/>
        </w:trPr>
        <w:tc>
          <w:tcPr>
            <w:tcW w:w="3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Loans evaluated individually, net of related</w:t>
            </w: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616</w:t>
            </w:r>
          </w:p>
        </w:tc>
        <w:tc>
          <w:tcPr>
            <w:tcW w:w="80" w:type="dxa"/>
            <w:vAlign w:val="bottom"/>
            <w:shd w:val="clear" w:color="auto" w:fill="E0E7ED"/>
          </w:tcPr>
          <w:p>
            <w:pPr>
              <w:spacing w:after="0"/>
              <w:rPr>
                <w:sz w:val="14"/>
                <w:szCs w:val="14"/>
                <w:color w:val="auto"/>
              </w:rPr>
            </w:pPr>
          </w:p>
        </w:tc>
        <w:tc>
          <w:tcPr>
            <w:tcW w:w="266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4"/>
                <w:szCs w:val="14"/>
                <w:color w:val="auto"/>
              </w:rPr>
              <w:t>Appraisal of collateral</w:t>
            </w:r>
          </w:p>
        </w:tc>
        <w:tc>
          <w:tcPr>
            <w:tcW w:w="168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4"/>
                <w:szCs w:val="14"/>
                <w:color w:val="auto"/>
              </w:rPr>
              <w:t>Appraisal</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-25.0% to -100.0%</w:t>
            </w:r>
          </w:p>
        </w:tc>
        <w:tc>
          <w:tcPr>
            <w:tcW w:w="0" w:type="dxa"/>
            <w:vAlign w:val="bottom"/>
          </w:tcPr>
          <w:p>
            <w:pPr>
              <w:spacing w:after="0"/>
              <w:rPr>
                <w:sz w:val="1"/>
                <w:szCs w:val="1"/>
                <w:color w:val="auto"/>
              </w:rPr>
            </w:pPr>
          </w:p>
        </w:tc>
      </w:tr>
      <w:tr>
        <w:trPr>
          <w:trHeight w:val="206"/>
        </w:trPr>
        <w:tc>
          <w:tcPr>
            <w:tcW w:w="3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allowance</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6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4"/>
                <w:szCs w:val="14"/>
                <w:color w:val="auto"/>
              </w:rPr>
              <w:t>adjustments</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(-74.9)%</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Verdana" w:cs="Verdana" w:eastAsia="Verdana" w:hAnsi="Verdana"/>
                <w:sz w:val="14"/>
                <w:szCs w:val="14"/>
                <w:color w:val="auto"/>
              </w:rPr>
              <w:t>Bank property held for sale with impairment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2,841</w:t>
            </w: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Appraisal of collateral or real estate</w:t>
            </w:r>
          </w:p>
        </w:tc>
        <w:tc>
          <w:tcPr>
            <w:tcW w:w="1680" w:type="dxa"/>
            <w:vAlign w:val="bottom"/>
            <w:gridSpan w:val="2"/>
          </w:tcPr>
          <w:p>
            <w:pPr>
              <w:jc w:val="center"/>
              <w:ind w:right="100"/>
              <w:spacing w:after="0"/>
              <w:rPr>
                <w:sz w:val="20"/>
                <w:szCs w:val="20"/>
                <w:color w:val="auto"/>
              </w:rPr>
            </w:pPr>
            <w:r>
              <w:rPr>
                <w:rFonts w:ascii="Verdana" w:cs="Verdana" w:eastAsia="Verdana" w:hAnsi="Verdana"/>
                <w:sz w:val="14"/>
                <w:szCs w:val="14"/>
                <w:color w:val="auto"/>
              </w:rPr>
              <w:t>Appraisal</w:t>
            </w:r>
          </w:p>
        </w:tc>
        <w:tc>
          <w:tcPr>
            <w:tcW w:w="2380" w:type="dxa"/>
            <w:vAlign w:val="bottom"/>
          </w:tcPr>
          <w:p>
            <w:pPr>
              <w:jc w:val="center"/>
              <w:spacing w:after="0"/>
              <w:rPr>
                <w:sz w:val="20"/>
                <w:szCs w:val="20"/>
                <w:color w:val="auto"/>
              </w:rPr>
            </w:pPr>
            <w:r>
              <w:rPr>
                <w:rFonts w:ascii="Verdana" w:cs="Verdana" w:eastAsia="Verdana" w:hAnsi="Verdana"/>
                <w:sz w:val="14"/>
                <w:szCs w:val="14"/>
                <w:color w:val="auto"/>
              </w:rPr>
              <w:t>-9.0% to -76.7%</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listing price</w:t>
            </w:r>
          </w:p>
        </w:tc>
        <w:tc>
          <w:tcPr>
            <w:tcW w:w="168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adjustments</w:t>
            </w:r>
          </w:p>
        </w:tc>
        <w:tc>
          <w:tcPr>
            <w:tcW w:w="2380" w:type="dxa"/>
            <w:vAlign w:val="bottom"/>
          </w:tcPr>
          <w:p>
            <w:pPr>
              <w:jc w:val="center"/>
              <w:spacing w:after="0"/>
              <w:rPr>
                <w:sz w:val="20"/>
                <w:szCs w:val="20"/>
                <w:color w:val="auto"/>
              </w:rPr>
            </w:pPr>
            <w:r>
              <w:rPr>
                <w:rFonts w:ascii="Verdana" w:cs="Verdana" w:eastAsia="Verdana" w:hAnsi="Verdana"/>
                <w:sz w:val="14"/>
                <w:szCs w:val="14"/>
                <w:color w:val="auto"/>
                <w:w w:val="99"/>
              </w:rPr>
              <w:t>(-51.8)%</w:t>
            </w:r>
          </w:p>
        </w:tc>
        <w:tc>
          <w:tcPr>
            <w:tcW w:w="0" w:type="dxa"/>
            <w:vAlign w:val="bottom"/>
          </w:tcPr>
          <w:p>
            <w:pPr>
              <w:spacing w:after="0"/>
              <w:rPr>
                <w:sz w:val="1"/>
                <w:szCs w:val="1"/>
                <w:color w:val="auto"/>
              </w:rPr>
            </w:pPr>
          </w:p>
        </w:tc>
      </w:tr>
      <w:tr>
        <w:trPr>
          <w:trHeight w:val="375"/>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4"/>
          </w:tcPr>
          <w:p>
            <w:pPr>
              <w:ind w:left="2060"/>
              <w:spacing w:after="0"/>
              <w:rPr>
                <w:sz w:val="20"/>
                <w:szCs w:val="20"/>
                <w:color w:val="auto"/>
              </w:rPr>
            </w:pPr>
            <w:r>
              <w:rPr>
                <w:rFonts w:ascii="Verdana" w:cs="Verdana" w:eastAsia="Verdana" w:hAnsi="Verdana"/>
                <w:sz w:val="10"/>
                <w:szCs w:val="10"/>
                <w:b w:val="1"/>
                <w:bCs w:val="1"/>
                <w:color w:val="auto"/>
              </w:rPr>
              <w:t>As of December 31, 2023</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right"/>
              <w:ind w:right="236"/>
              <w:spacing w:after="0"/>
              <w:rPr>
                <w:sz w:val="20"/>
                <w:szCs w:val="20"/>
                <w:color w:val="auto"/>
              </w:rPr>
            </w:pPr>
            <w:r>
              <w:rPr>
                <w:rFonts w:ascii="Verdana" w:cs="Verdana" w:eastAsia="Verdana" w:hAnsi="Verdana"/>
                <w:sz w:val="10"/>
                <w:szCs w:val="10"/>
                <w:b w:val="1"/>
                <w:bCs w:val="1"/>
                <w:color w:val="auto"/>
              </w:rPr>
              <w:t>Fair Value</w:t>
            </w:r>
          </w:p>
        </w:tc>
        <w:tc>
          <w:tcPr>
            <w:tcW w:w="80" w:type="dxa"/>
            <w:vAlign w:val="bottom"/>
            <w:vMerge w:val="restart"/>
          </w:tcPr>
          <w:p>
            <w:pPr>
              <w:spacing w:after="0"/>
              <w:rPr>
                <w:sz w:val="8"/>
                <w:szCs w:val="8"/>
                <w:color w:val="auto"/>
              </w:rPr>
            </w:pPr>
          </w:p>
        </w:tc>
        <w:tc>
          <w:tcPr>
            <w:tcW w:w="2660" w:type="dxa"/>
            <w:vAlign w:val="bottom"/>
            <w:gridSpan w:val="2"/>
          </w:tcPr>
          <w:p>
            <w:pPr>
              <w:jc w:val="center"/>
              <w:ind w:right="80"/>
              <w:spacing w:after="0" w:line="94" w:lineRule="exact"/>
              <w:rPr>
                <w:sz w:val="20"/>
                <w:szCs w:val="20"/>
                <w:color w:val="auto"/>
              </w:rPr>
            </w:pPr>
            <w:r>
              <w:rPr>
                <w:rFonts w:ascii="Verdana" w:cs="Verdana" w:eastAsia="Verdana" w:hAnsi="Verdana"/>
                <w:sz w:val="10"/>
                <w:szCs w:val="10"/>
                <w:b w:val="1"/>
                <w:bCs w:val="1"/>
                <w:color w:val="auto"/>
              </w:rPr>
              <w:t>Valuation</w:t>
            </w:r>
          </w:p>
        </w:tc>
        <w:tc>
          <w:tcPr>
            <w:tcW w:w="1680" w:type="dxa"/>
            <w:vAlign w:val="bottom"/>
            <w:gridSpan w:val="2"/>
          </w:tcPr>
          <w:p>
            <w:pPr>
              <w:jc w:val="center"/>
              <w:ind w:right="80"/>
              <w:spacing w:after="0" w:line="94" w:lineRule="exact"/>
              <w:rPr>
                <w:sz w:val="20"/>
                <w:szCs w:val="20"/>
                <w:color w:val="auto"/>
              </w:rPr>
            </w:pPr>
            <w:r>
              <w:rPr>
                <w:rFonts w:ascii="Verdana" w:cs="Verdana" w:eastAsia="Verdana" w:hAnsi="Verdana"/>
                <w:sz w:val="10"/>
                <w:szCs w:val="10"/>
                <w:b w:val="1"/>
                <w:bCs w:val="1"/>
                <w:color w:val="auto"/>
                <w:w w:val="98"/>
              </w:rPr>
              <w:t>Unobservable</w:t>
            </w:r>
          </w:p>
        </w:tc>
        <w:tc>
          <w:tcPr>
            <w:tcW w:w="2380" w:type="dxa"/>
            <w:vAlign w:val="bottom"/>
          </w:tcPr>
          <w:p>
            <w:pPr>
              <w:jc w:val="center"/>
              <w:spacing w:after="0" w:line="94" w:lineRule="exact"/>
              <w:rPr>
                <w:sz w:val="20"/>
                <w:szCs w:val="20"/>
                <w:color w:val="auto"/>
              </w:rPr>
            </w:pPr>
            <w:r>
              <w:rPr>
                <w:rFonts w:ascii="Verdana" w:cs="Verdana" w:eastAsia="Verdana" w:hAnsi="Verdana"/>
                <w:sz w:val="10"/>
                <w:szCs w:val="10"/>
                <w:b w:val="1"/>
                <w:bCs w:val="1"/>
                <w:color w:val="auto"/>
                <w:w w:val="96"/>
              </w:rPr>
              <w:t>Range</w:t>
            </w:r>
          </w:p>
        </w:tc>
        <w:tc>
          <w:tcPr>
            <w:tcW w:w="0" w:type="dxa"/>
            <w:vAlign w:val="bottom"/>
          </w:tcPr>
          <w:p>
            <w:pPr>
              <w:spacing w:after="0"/>
              <w:rPr>
                <w:sz w:val="1"/>
                <w:szCs w:val="1"/>
                <w:color w:val="auto"/>
              </w:rPr>
            </w:pPr>
          </w:p>
        </w:tc>
      </w:tr>
      <w:tr>
        <w:trPr>
          <w:trHeight w:val="133"/>
        </w:trPr>
        <w:tc>
          <w:tcPr>
            <w:tcW w:w="3340" w:type="dxa"/>
            <w:vAlign w:val="bottom"/>
            <w:tcBorders>
              <w:bottom w:val="single" w:sz="8" w:color="E0E7ED"/>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E0E7ED"/>
            </w:tcBorders>
            <w:vMerge w:val="continue"/>
          </w:tcPr>
          <w:p>
            <w:pPr>
              <w:spacing w:after="0"/>
              <w:rPr>
                <w:sz w:val="11"/>
                <w:szCs w:val="11"/>
                <w:color w:val="auto"/>
              </w:rPr>
            </w:pPr>
          </w:p>
        </w:tc>
        <w:tc>
          <w:tcPr>
            <w:tcW w:w="258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7"/>
              </w:rPr>
              <w:t>Techniques</w:t>
            </w:r>
          </w:p>
        </w:tc>
        <w:tc>
          <w:tcPr>
            <w:tcW w:w="80" w:type="dxa"/>
            <w:vAlign w:val="bottom"/>
            <w:tcBorders>
              <w:bottom w:val="single" w:sz="8" w:color="E0E7ED"/>
            </w:tcBorders>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Input</w:t>
            </w:r>
          </w:p>
        </w:tc>
        <w:tc>
          <w:tcPr>
            <w:tcW w:w="80" w:type="dxa"/>
            <w:vAlign w:val="bottom"/>
            <w:tcBorders>
              <w:bottom w:val="single" w:sz="8" w:color="E0E7ED"/>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9"/>
              </w:rPr>
              <w:t>(Weighted Average)</w:t>
            </w:r>
          </w:p>
        </w:tc>
        <w:tc>
          <w:tcPr>
            <w:tcW w:w="0" w:type="dxa"/>
            <w:vAlign w:val="bottom"/>
          </w:tcPr>
          <w:p>
            <w:pPr>
              <w:spacing w:after="0"/>
              <w:rPr>
                <w:sz w:val="1"/>
                <w:szCs w:val="1"/>
                <w:color w:val="auto"/>
              </w:rPr>
            </w:pPr>
          </w:p>
        </w:tc>
      </w:tr>
      <w:tr>
        <w:trPr>
          <w:trHeight w:val="172"/>
        </w:trPr>
        <w:tc>
          <w:tcPr>
            <w:tcW w:w="3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Loans evaluated individually, net of related</w:t>
            </w:r>
          </w:p>
        </w:tc>
        <w:tc>
          <w:tcPr>
            <w:tcW w:w="200" w:type="dxa"/>
            <w:vAlign w:val="bottom"/>
            <w:shd w:val="clear" w:color="auto" w:fill="E0E7ED"/>
          </w:tcPr>
          <w:p>
            <w:pPr>
              <w:jc w:val="right"/>
              <w:ind w:right="29"/>
              <w:spacing w:after="0"/>
              <w:rPr>
                <w:sz w:val="20"/>
                <w:szCs w:val="20"/>
                <w:color w:val="auto"/>
              </w:rPr>
            </w:pPr>
            <w:r>
              <w:rPr>
                <w:rFonts w:ascii="Verdana" w:cs="Verdana" w:eastAsia="Verdana" w:hAnsi="Verdana"/>
                <w:sz w:val="14"/>
                <w:szCs w:val="14"/>
                <w:color w:val="auto"/>
                <w:w w:val="88"/>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1,000</w:t>
            </w:r>
          </w:p>
        </w:tc>
        <w:tc>
          <w:tcPr>
            <w:tcW w:w="80" w:type="dxa"/>
            <w:vAlign w:val="bottom"/>
            <w:shd w:val="clear" w:color="auto" w:fill="E0E7ED"/>
          </w:tcPr>
          <w:p>
            <w:pPr>
              <w:spacing w:after="0"/>
              <w:rPr>
                <w:sz w:val="14"/>
                <w:szCs w:val="14"/>
                <w:color w:val="auto"/>
              </w:rPr>
            </w:pPr>
          </w:p>
        </w:tc>
        <w:tc>
          <w:tcPr>
            <w:tcW w:w="266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4"/>
                <w:szCs w:val="14"/>
                <w:color w:val="auto"/>
              </w:rPr>
              <w:t>Appraisal of collateral</w:t>
            </w:r>
          </w:p>
        </w:tc>
        <w:tc>
          <w:tcPr>
            <w:tcW w:w="1680" w:type="dxa"/>
            <w:vAlign w:val="bottom"/>
            <w:gridSpan w:val="2"/>
            <w:shd w:val="clear" w:color="auto" w:fill="E0E7ED"/>
          </w:tcPr>
          <w:p>
            <w:pPr>
              <w:jc w:val="center"/>
              <w:ind w:right="100"/>
              <w:spacing w:after="0"/>
              <w:rPr>
                <w:sz w:val="20"/>
                <w:szCs w:val="20"/>
                <w:color w:val="auto"/>
              </w:rPr>
            </w:pPr>
            <w:r>
              <w:rPr>
                <w:rFonts w:ascii="Verdana" w:cs="Verdana" w:eastAsia="Verdana" w:hAnsi="Verdana"/>
                <w:sz w:val="14"/>
                <w:szCs w:val="14"/>
                <w:color w:val="auto"/>
              </w:rPr>
              <w:t>Appraisal</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-41.2% to -100.0%</w:t>
            </w:r>
          </w:p>
        </w:tc>
        <w:tc>
          <w:tcPr>
            <w:tcW w:w="0" w:type="dxa"/>
            <w:vAlign w:val="bottom"/>
          </w:tcPr>
          <w:p>
            <w:pPr>
              <w:spacing w:after="0"/>
              <w:rPr>
                <w:sz w:val="1"/>
                <w:szCs w:val="1"/>
                <w:color w:val="auto"/>
              </w:rPr>
            </w:pPr>
          </w:p>
        </w:tc>
      </w:tr>
      <w:tr>
        <w:trPr>
          <w:trHeight w:val="206"/>
        </w:trPr>
        <w:tc>
          <w:tcPr>
            <w:tcW w:w="3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allowance</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5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6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4"/>
                <w:szCs w:val="14"/>
                <w:color w:val="auto"/>
              </w:rPr>
              <w:t>adjustments</w:t>
            </w:r>
          </w:p>
        </w:tc>
        <w:tc>
          <w:tcPr>
            <w:tcW w:w="238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(-47.2)%</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Verdana" w:cs="Verdana" w:eastAsia="Verdana" w:hAnsi="Verdana"/>
                <w:sz w:val="14"/>
                <w:szCs w:val="14"/>
                <w:color w:val="auto"/>
              </w:rPr>
              <w:t>Bank property held for sale with impairment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Verdana" w:cs="Verdana" w:eastAsia="Verdana" w:hAnsi="Verdana"/>
                <w:sz w:val="14"/>
                <w:szCs w:val="14"/>
                <w:color w:val="auto"/>
              </w:rPr>
              <w:t>4,286</w:t>
            </w: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Appraisal of collateral or real estate</w:t>
            </w:r>
          </w:p>
        </w:tc>
        <w:tc>
          <w:tcPr>
            <w:tcW w:w="1680" w:type="dxa"/>
            <w:vAlign w:val="bottom"/>
            <w:gridSpan w:val="2"/>
          </w:tcPr>
          <w:p>
            <w:pPr>
              <w:jc w:val="center"/>
              <w:ind w:right="100"/>
              <w:spacing w:after="0"/>
              <w:rPr>
                <w:sz w:val="20"/>
                <w:szCs w:val="20"/>
                <w:color w:val="auto"/>
              </w:rPr>
            </w:pPr>
            <w:r>
              <w:rPr>
                <w:rFonts w:ascii="Verdana" w:cs="Verdana" w:eastAsia="Verdana" w:hAnsi="Verdana"/>
                <w:sz w:val="14"/>
                <w:szCs w:val="14"/>
                <w:color w:val="auto"/>
              </w:rPr>
              <w:t>Appraisal</w:t>
            </w:r>
          </w:p>
        </w:tc>
        <w:tc>
          <w:tcPr>
            <w:tcW w:w="2380" w:type="dxa"/>
            <w:vAlign w:val="bottom"/>
          </w:tcPr>
          <w:p>
            <w:pPr>
              <w:jc w:val="center"/>
              <w:spacing w:after="0"/>
              <w:rPr>
                <w:sz w:val="20"/>
                <w:szCs w:val="20"/>
                <w:color w:val="auto"/>
              </w:rPr>
            </w:pPr>
            <w:r>
              <w:rPr>
                <w:rFonts w:ascii="Verdana" w:cs="Verdana" w:eastAsia="Verdana" w:hAnsi="Verdana"/>
                <w:sz w:val="14"/>
                <w:szCs w:val="14"/>
                <w:color w:val="auto"/>
              </w:rPr>
              <w:t>-6.2% to -64.9%</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listing price</w:t>
            </w:r>
          </w:p>
        </w:tc>
        <w:tc>
          <w:tcPr>
            <w:tcW w:w="168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adjustments</w:t>
            </w:r>
          </w:p>
        </w:tc>
        <w:tc>
          <w:tcPr>
            <w:tcW w:w="2380" w:type="dxa"/>
            <w:vAlign w:val="bottom"/>
          </w:tcPr>
          <w:p>
            <w:pPr>
              <w:jc w:val="center"/>
              <w:spacing w:after="0"/>
              <w:rPr>
                <w:sz w:val="20"/>
                <w:szCs w:val="20"/>
                <w:color w:val="auto"/>
              </w:rPr>
            </w:pPr>
            <w:r>
              <w:rPr>
                <w:rFonts w:ascii="Verdana" w:cs="Verdana" w:eastAsia="Verdana" w:hAnsi="Verdana"/>
                <w:sz w:val="14"/>
                <w:szCs w:val="14"/>
                <w:color w:val="auto"/>
                <w:w w:val="99"/>
              </w:rPr>
              <w:t>(-38.4)%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5" w:name="page166"/>
    <w:bookmarkEnd w:id="16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Financial Assets and Financial Liabilities That Are Not Carried at Fair Value</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Fair values of financial instruments that are not carried at fair value on Busey’s </w:t>
      </w:r>
      <w:r>
        <w:rPr>
          <w:rFonts w:ascii="Verdana" w:cs="Verdana" w:eastAsia="Verdana" w:hAnsi="Verdana"/>
          <w:sz w:val="14"/>
          <w:szCs w:val="14"/>
          <w:u w:val="single" w:color="auto"/>
          <w:color w:val="0000FF"/>
        </w:rPr>
        <w:t>Consolidated Balance Sheets</w:t>
      </w:r>
      <w:r>
        <w:rPr>
          <w:rFonts w:ascii="Verdana" w:cs="Verdana" w:eastAsia="Verdana" w:hAnsi="Verdana"/>
          <w:sz w:val="14"/>
          <w:szCs w:val="14"/>
          <w:color w:val="auto"/>
        </w:rPr>
        <w:t xml:space="preserve"> were estimated as follows, segregated by the level of the valuation inputs within the fair value hierarchy used to measure fair value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20" w:type="dxa"/>
            <w:vAlign w:val="bottom"/>
            <w:gridSpan w:val="5"/>
          </w:tcPr>
          <w:p>
            <w:pPr>
              <w:ind w:left="600"/>
              <w:spacing w:after="0"/>
              <w:rPr>
                <w:sz w:val="20"/>
                <w:szCs w:val="20"/>
                <w:color w:val="auto"/>
              </w:rPr>
            </w:pPr>
            <w:r>
              <w:rPr>
                <w:rFonts w:ascii="Verdana" w:cs="Verdana" w:eastAsia="Verdana" w:hAnsi="Verdana"/>
                <w:sz w:val="10"/>
                <w:szCs w:val="10"/>
                <w:b w:val="1"/>
                <w:bCs w:val="1"/>
                <w:color w:val="auto"/>
              </w:rPr>
              <w:t>As of December 31, 2024</w:t>
            </w:r>
          </w:p>
        </w:tc>
        <w:tc>
          <w:tcPr>
            <w:tcW w:w="320" w:type="dxa"/>
            <w:vAlign w:val="bottom"/>
          </w:tcPr>
          <w:p>
            <w:pPr>
              <w:spacing w:after="0"/>
              <w:rPr>
                <w:sz w:val="11"/>
                <w:szCs w:val="11"/>
                <w:color w:val="auto"/>
              </w:rPr>
            </w:pPr>
          </w:p>
        </w:tc>
        <w:tc>
          <w:tcPr>
            <w:tcW w:w="2940" w:type="dxa"/>
            <w:vAlign w:val="bottom"/>
            <w:gridSpan w:val="4"/>
          </w:tcPr>
          <w:p>
            <w:pPr>
              <w:jc w:val="right"/>
              <w:ind w:right="872"/>
              <w:spacing w:after="0"/>
              <w:rPr>
                <w:sz w:val="20"/>
                <w:szCs w:val="20"/>
                <w:color w:val="auto"/>
              </w:rPr>
            </w:pPr>
            <w:r>
              <w:rPr>
                <w:rFonts w:ascii="Verdana" w:cs="Verdana" w:eastAsia="Verdana" w:hAnsi="Verdana"/>
                <w:sz w:val="10"/>
                <w:szCs w:val="10"/>
                <w:b w:val="1"/>
                <w:bCs w:val="1"/>
                <w:color w:val="auto"/>
              </w:rPr>
              <w:t>As of December 31, 2023</w:t>
            </w:r>
          </w:p>
        </w:tc>
      </w:tr>
      <w:tr>
        <w:trPr>
          <w:trHeight w:val="93"/>
        </w:trPr>
        <w:tc>
          <w:tcPr>
            <w:tcW w:w="46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ind w:left="220"/>
              <w:spacing w:after="0" w:line="94" w:lineRule="exact"/>
              <w:rPr>
                <w:sz w:val="20"/>
                <w:szCs w:val="20"/>
                <w:color w:val="auto"/>
              </w:rPr>
            </w:pPr>
            <w:r>
              <w:rPr>
                <w:rFonts w:ascii="Verdana" w:cs="Verdana" w:eastAsia="Verdana" w:hAnsi="Verdana"/>
                <w:sz w:val="10"/>
                <w:szCs w:val="10"/>
                <w:b w:val="1"/>
                <w:bCs w:val="1"/>
                <w:color w:val="auto"/>
              </w:rPr>
              <w:t>Carrying</w:t>
            </w: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center"/>
              <w:ind w:right="332"/>
              <w:spacing w:after="0" w:line="94" w:lineRule="exact"/>
              <w:rPr>
                <w:sz w:val="20"/>
                <w:szCs w:val="20"/>
                <w:color w:val="auto"/>
              </w:rPr>
            </w:pPr>
            <w:r>
              <w:rPr>
                <w:rFonts w:ascii="Verdana" w:cs="Verdana" w:eastAsia="Verdana" w:hAnsi="Verdana"/>
                <w:sz w:val="10"/>
                <w:szCs w:val="10"/>
                <w:b w:val="1"/>
                <w:bCs w:val="1"/>
                <w:color w:val="auto"/>
              </w:rPr>
              <w:t>Fair</w:t>
            </w:r>
          </w:p>
        </w:tc>
        <w:tc>
          <w:tcPr>
            <w:tcW w:w="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ind w:left="240"/>
              <w:spacing w:after="0" w:line="94" w:lineRule="exact"/>
              <w:rPr>
                <w:sz w:val="20"/>
                <w:szCs w:val="20"/>
                <w:color w:val="auto"/>
              </w:rPr>
            </w:pPr>
            <w:r>
              <w:rPr>
                <w:rFonts w:ascii="Verdana" w:cs="Verdana" w:eastAsia="Verdana" w:hAnsi="Verdana"/>
                <w:sz w:val="10"/>
                <w:szCs w:val="10"/>
                <w:b w:val="1"/>
                <w:bCs w:val="1"/>
                <w:color w:val="auto"/>
              </w:rPr>
              <w:t>Carrying</w:t>
            </w:r>
          </w:p>
        </w:tc>
        <w:tc>
          <w:tcPr>
            <w:tcW w:w="36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jc w:val="right"/>
              <w:ind w:right="612"/>
              <w:spacing w:after="0" w:line="94" w:lineRule="exact"/>
              <w:rPr>
                <w:sz w:val="20"/>
                <w:szCs w:val="20"/>
                <w:color w:val="auto"/>
              </w:rPr>
            </w:pPr>
            <w:r>
              <w:rPr>
                <w:rFonts w:ascii="Verdana" w:cs="Verdana" w:eastAsia="Verdana" w:hAnsi="Verdana"/>
                <w:sz w:val="10"/>
                <w:szCs w:val="10"/>
                <w:b w:val="1"/>
                <w:bCs w:val="1"/>
                <w:color w:val="auto"/>
              </w:rPr>
              <w:t>Fair</w:t>
            </w:r>
          </w:p>
        </w:tc>
      </w:tr>
      <w:tr>
        <w:trPr>
          <w:trHeight w:val="133"/>
        </w:trPr>
        <w:tc>
          <w:tcPr>
            <w:tcW w:w="4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Amount</w:t>
            </w:r>
          </w:p>
        </w:tc>
        <w:tc>
          <w:tcPr>
            <w:tcW w:w="380" w:type="dxa"/>
            <w:vAlign w:val="bottom"/>
          </w:tcPr>
          <w:p>
            <w:pPr>
              <w:spacing w:after="0"/>
              <w:rPr>
                <w:sz w:val="11"/>
                <w:szCs w:val="11"/>
                <w:color w:val="auto"/>
              </w:rPr>
            </w:pPr>
          </w:p>
        </w:tc>
        <w:tc>
          <w:tcPr>
            <w:tcW w:w="1300" w:type="dxa"/>
            <w:vAlign w:val="bottom"/>
            <w:gridSpan w:val="2"/>
          </w:tcPr>
          <w:p>
            <w:pPr>
              <w:jc w:val="center"/>
              <w:ind w:right="460"/>
              <w:spacing w:after="0"/>
              <w:rPr>
                <w:sz w:val="20"/>
                <w:szCs w:val="20"/>
                <w:color w:val="auto"/>
              </w:rPr>
            </w:pPr>
            <w:r>
              <w:rPr>
                <w:rFonts w:ascii="Verdana" w:cs="Verdana" w:eastAsia="Verdana" w:hAnsi="Verdana"/>
                <w:sz w:val="10"/>
                <w:szCs w:val="10"/>
                <w:b w:val="1"/>
                <w:bCs w:val="1"/>
                <w:color w:val="auto"/>
              </w:rPr>
              <w:t>Value</w:t>
            </w:r>
          </w:p>
        </w:tc>
        <w:tc>
          <w:tcPr>
            <w:tcW w:w="320" w:type="dxa"/>
            <w:vAlign w:val="bottom"/>
          </w:tcPr>
          <w:p>
            <w:pPr>
              <w:spacing w:after="0"/>
              <w:rPr>
                <w:sz w:val="11"/>
                <w:szCs w:val="11"/>
                <w:color w:val="auto"/>
              </w:rPr>
            </w:pPr>
          </w:p>
        </w:tc>
        <w:tc>
          <w:tcPr>
            <w:tcW w:w="1360" w:type="dxa"/>
            <w:vAlign w:val="bottom"/>
            <w:gridSpan w:val="2"/>
          </w:tcPr>
          <w:p>
            <w:pPr>
              <w:ind w:left="260"/>
              <w:spacing w:after="0"/>
              <w:rPr>
                <w:sz w:val="20"/>
                <w:szCs w:val="20"/>
                <w:color w:val="auto"/>
              </w:rPr>
            </w:pPr>
            <w:r>
              <w:rPr>
                <w:rFonts w:ascii="Verdana" w:cs="Verdana" w:eastAsia="Verdana" w:hAnsi="Verdana"/>
                <w:sz w:val="10"/>
                <w:szCs w:val="10"/>
                <w:b w:val="1"/>
                <w:bCs w:val="1"/>
                <w:color w:val="auto"/>
              </w:rPr>
              <w:t>Amount</w:t>
            </w:r>
          </w:p>
        </w:tc>
        <w:tc>
          <w:tcPr>
            <w:tcW w:w="360" w:type="dxa"/>
            <w:vAlign w:val="bottom"/>
          </w:tcPr>
          <w:p>
            <w:pPr>
              <w:spacing w:after="0"/>
              <w:rPr>
                <w:sz w:val="11"/>
                <w:szCs w:val="11"/>
                <w:color w:val="auto"/>
              </w:rPr>
            </w:pPr>
          </w:p>
        </w:tc>
        <w:tc>
          <w:tcPr>
            <w:tcW w:w="1220" w:type="dxa"/>
            <w:vAlign w:val="bottom"/>
          </w:tcPr>
          <w:p>
            <w:pPr>
              <w:jc w:val="right"/>
              <w:ind w:right="572"/>
              <w:spacing w:after="0"/>
              <w:rPr>
                <w:sz w:val="20"/>
                <w:szCs w:val="20"/>
                <w:color w:val="auto"/>
              </w:rPr>
            </w:pPr>
            <w:r>
              <w:rPr>
                <w:rFonts w:ascii="Verdana" w:cs="Verdana" w:eastAsia="Verdana" w:hAnsi="Verdana"/>
                <w:sz w:val="10"/>
                <w:szCs w:val="10"/>
                <w:b w:val="1"/>
                <w:bCs w:val="1"/>
                <w:color w:val="auto"/>
              </w:rPr>
              <w:t>Value</w:t>
            </w:r>
          </w:p>
        </w:tc>
      </w:tr>
      <w:tr>
        <w:trPr>
          <w:trHeight w:val="197"/>
        </w:trPr>
        <w:tc>
          <w:tcPr>
            <w:tcW w:w="4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Financial assets</w:t>
            </w:r>
          </w:p>
        </w:tc>
        <w:tc>
          <w:tcPr>
            <w:tcW w:w="34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2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60" w:type="dxa"/>
            <w:vAlign w:val="bottom"/>
            <w:tcBorders>
              <w:top w:val="single" w:sz="8" w:color="auto"/>
            </w:tcBorders>
            <w:shd w:val="clear" w:color="auto" w:fill="E0E7ED"/>
          </w:tcPr>
          <w:p>
            <w:pPr>
              <w:spacing w:after="0"/>
              <w:rPr>
                <w:sz w:val="17"/>
                <w:szCs w:val="17"/>
                <w:color w:val="auto"/>
              </w:rPr>
            </w:pPr>
          </w:p>
        </w:tc>
        <w:tc>
          <w:tcPr>
            <w:tcW w:w="1220" w:type="dxa"/>
            <w:vAlign w:val="bottom"/>
            <w:tcBorders>
              <w:top w:val="single" w:sz="8" w:color="auto"/>
            </w:tcBorders>
            <w:shd w:val="clear" w:color="auto" w:fill="E0E7ED"/>
          </w:tcPr>
          <w:p>
            <w:pPr>
              <w:spacing w:after="0"/>
              <w:rPr>
                <w:sz w:val="17"/>
                <w:szCs w:val="17"/>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Level 1 inputs: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Cash and cash equivalents</w:t>
            </w:r>
          </w:p>
        </w:tc>
        <w:tc>
          <w:tcPr>
            <w:tcW w:w="34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697,659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697,659</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719,581</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719,581</w:t>
            </w: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Level 2 inputs: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Debt securities held to maturity</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826,630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675,053</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872,628</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730,397</w:t>
            </w: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Loans held for sale</w:t>
            </w:r>
          </w:p>
        </w:tc>
        <w:tc>
          <w:tcPr>
            <w:tcW w:w="340" w:type="dxa"/>
            <w:vAlign w:val="bottom"/>
          </w:tcPr>
          <w:p>
            <w:pPr>
              <w:spacing w:after="0"/>
              <w:rPr>
                <w:sz w:val="17"/>
                <w:szCs w:val="17"/>
                <w:color w:val="auto"/>
              </w:rPr>
            </w:pP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3,657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3,726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2,379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2,401</w:t>
            </w: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Restricted bank stock</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49,930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49,930</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6,000</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6,000</w:t>
            </w: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Accrued interest receivable</w:t>
            </w:r>
          </w:p>
        </w:tc>
        <w:tc>
          <w:tcPr>
            <w:tcW w:w="340" w:type="dxa"/>
            <w:vAlign w:val="bottom"/>
          </w:tcPr>
          <w:p>
            <w:pPr>
              <w:spacing w:after="0"/>
              <w:rPr>
                <w:sz w:val="17"/>
                <w:szCs w:val="17"/>
                <w:color w:val="auto"/>
              </w:rPr>
            </w:pP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45,141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45,141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45,288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45,288</w:t>
            </w:r>
          </w:p>
        </w:tc>
      </w:tr>
      <w:tr>
        <w:trPr>
          <w:trHeight w:val="218"/>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Level 3 inputs:</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Portfolio loans, net</w:t>
            </w:r>
          </w:p>
        </w:tc>
        <w:tc>
          <w:tcPr>
            <w:tcW w:w="340" w:type="dxa"/>
            <w:vAlign w:val="bottom"/>
          </w:tcPr>
          <w:p>
            <w:pPr>
              <w:spacing w:after="0"/>
              <w:rPr>
                <w:sz w:val="17"/>
                <w:szCs w:val="17"/>
                <w:color w:val="auto"/>
              </w:rPr>
            </w:pP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7,613,683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7,426,158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7,559,294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7,276,905</w:t>
            </w: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Mortgage servicing rights</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1,304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5,627</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3,289</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18,079</w:t>
            </w: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Other servicing rights</w:t>
            </w:r>
          </w:p>
        </w:tc>
        <w:tc>
          <w:tcPr>
            <w:tcW w:w="340" w:type="dxa"/>
            <w:vAlign w:val="bottom"/>
          </w:tcPr>
          <w:p>
            <w:pPr>
              <w:spacing w:after="0"/>
              <w:rPr>
                <w:sz w:val="17"/>
                <w:szCs w:val="17"/>
                <w:color w:val="auto"/>
              </w:rPr>
            </w:pP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1,482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1,591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1,597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2,062</w:t>
            </w:r>
          </w:p>
        </w:tc>
      </w:tr>
      <w:tr>
        <w:trPr>
          <w:trHeight w:val="218"/>
        </w:trPr>
        <w:tc>
          <w:tcPr>
            <w:tcW w:w="466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r>
      <w:tr>
        <w:trPr>
          <w:trHeight w:val="207"/>
        </w:trPr>
        <w:tc>
          <w:tcPr>
            <w:tcW w:w="4660" w:type="dxa"/>
            <w:vAlign w:val="bottom"/>
          </w:tcPr>
          <w:p>
            <w:pPr>
              <w:ind w:left="20"/>
              <w:spacing w:after="0"/>
              <w:rPr>
                <w:sz w:val="20"/>
                <w:szCs w:val="20"/>
                <w:color w:val="auto"/>
              </w:rPr>
            </w:pPr>
            <w:r>
              <w:rPr>
                <w:rFonts w:ascii="Verdana" w:cs="Verdana" w:eastAsia="Verdana" w:hAnsi="Verdana"/>
                <w:sz w:val="14"/>
                <w:szCs w:val="14"/>
                <w:b w:val="1"/>
                <w:bCs w:val="1"/>
                <w:color w:val="auto"/>
              </w:rPr>
              <w:t>Financial liabilities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Level 2 inputs:</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Time deposits</w:t>
            </w:r>
          </w:p>
        </w:tc>
        <w:tc>
          <w:tcPr>
            <w:tcW w:w="340" w:type="dxa"/>
            <w:vAlign w:val="bottom"/>
          </w:tcPr>
          <w:p>
            <w:pPr>
              <w:jc w:val="right"/>
              <w:ind w:right="16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1,490,635</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1,481,591</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Verdana" w:cs="Verdana" w:eastAsia="Verdana" w:hAnsi="Verdana"/>
                <w:sz w:val="14"/>
                <w:szCs w:val="14"/>
                <w:color w:val="auto"/>
                <w:w w:val="88"/>
              </w:rPr>
              <w:t>$</w:t>
            </w:r>
          </w:p>
        </w:tc>
        <w:tc>
          <w:tcPr>
            <w:tcW w:w="1260" w:type="dxa"/>
            <w:vAlign w:val="bottom"/>
          </w:tcPr>
          <w:p>
            <w:pPr>
              <w:jc w:val="right"/>
              <w:spacing w:after="0"/>
              <w:rPr>
                <w:sz w:val="20"/>
                <w:szCs w:val="20"/>
                <w:color w:val="auto"/>
              </w:rPr>
            </w:pPr>
            <w:r>
              <w:rPr>
                <w:rFonts w:ascii="Verdana" w:cs="Verdana" w:eastAsia="Verdana" w:hAnsi="Verdana"/>
                <w:sz w:val="14"/>
                <w:szCs w:val="14"/>
                <w:color w:val="auto"/>
              </w:rPr>
              <w:t>1,819,274</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spacing w:after="0"/>
              <w:rPr>
                <w:sz w:val="20"/>
                <w:szCs w:val="20"/>
                <w:color w:val="auto"/>
              </w:rPr>
            </w:pPr>
            <w:r>
              <w:rPr>
                <w:rFonts w:ascii="Verdana" w:cs="Verdana" w:eastAsia="Verdana" w:hAnsi="Verdana"/>
                <w:sz w:val="14"/>
                <w:szCs w:val="14"/>
                <w:color w:val="auto"/>
              </w:rPr>
              <w:t>1,804,905</w:t>
            </w: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Securities sold under agreements to repurchase</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155,610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155,610</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187,396</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187,396</w:t>
            </w: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Short-term borrowings</w:t>
            </w:r>
          </w:p>
        </w:tc>
        <w:tc>
          <w:tcPr>
            <w:tcW w:w="3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12,000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12,034</w:t>
            </w: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Long-term debt</w:t>
            </w:r>
          </w:p>
        </w:tc>
        <w:tc>
          <w:tcPr>
            <w:tcW w:w="340" w:type="dxa"/>
            <w:vAlign w:val="bottom"/>
            <w:shd w:val="clear" w:color="auto" w:fill="E0E7ED"/>
          </w:tcPr>
          <w:p>
            <w:pPr>
              <w:spacing w:after="0"/>
              <w:rPr>
                <w:sz w:val="18"/>
                <w:szCs w:val="18"/>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18,000</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18,020</w:t>
            </w:r>
          </w:p>
        </w:tc>
      </w:tr>
      <w:tr>
        <w:trPr>
          <w:trHeight w:val="207"/>
        </w:trPr>
        <w:tc>
          <w:tcPr>
            <w:tcW w:w="4660" w:type="dxa"/>
            <w:vAlign w:val="bottom"/>
          </w:tcPr>
          <w:p>
            <w:pPr>
              <w:ind w:left="280"/>
              <w:spacing w:after="0"/>
              <w:rPr>
                <w:sz w:val="20"/>
                <w:szCs w:val="20"/>
                <w:color w:val="auto"/>
              </w:rPr>
            </w:pPr>
            <w:r>
              <w:rPr>
                <w:rFonts w:ascii="Verdana" w:cs="Verdana" w:eastAsia="Verdana" w:hAnsi="Verdana"/>
                <w:sz w:val="14"/>
                <w:szCs w:val="14"/>
                <w:color w:val="auto"/>
              </w:rPr>
              <w:t>Junior subordinated debt owed to unconsolidated trusts</w:t>
            </w:r>
          </w:p>
        </w:tc>
        <w:tc>
          <w:tcPr>
            <w:tcW w:w="340" w:type="dxa"/>
            <w:vAlign w:val="bottom"/>
          </w:tcPr>
          <w:p>
            <w:pPr>
              <w:spacing w:after="0"/>
              <w:rPr>
                <w:sz w:val="17"/>
                <w:szCs w:val="17"/>
                <w:color w:val="auto"/>
              </w:rPr>
            </w:pPr>
          </w:p>
        </w:tc>
        <w:tc>
          <w:tcPr>
            <w:tcW w:w="1260" w:type="dxa"/>
            <w:vAlign w:val="bottom"/>
          </w:tcPr>
          <w:p>
            <w:pPr>
              <w:jc w:val="right"/>
              <w:ind w:right="13"/>
              <w:spacing w:after="0"/>
              <w:rPr>
                <w:sz w:val="20"/>
                <w:szCs w:val="20"/>
                <w:color w:val="auto"/>
              </w:rPr>
            </w:pPr>
            <w:r>
              <w:rPr>
                <w:rFonts w:ascii="Verdana" w:cs="Verdana" w:eastAsia="Verdana" w:hAnsi="Verdana"/>
                <w:sz w:val="14"/>
                <w:szCs w:val="14"/>
                <w:color w:val="auto"/>
              </w:rPr>
              <w:t>74,815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67,314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71,993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57,153</w:t>
            </w: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Accrued interest payable</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21,129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21,129</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28,418</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28,418</w:t>
            </w: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Level 3 inputs: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466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Subordinated notes, net of unamortized issuance costs</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4"/>
                <w:szCs w:val="14"/>
                <w:color w:val="auto"/>
              </w:rPr>
              <w:t>227,723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219,043</w:t>
            </w:r>
          </w:p>
        </w:tc>
        <w:tc>
          <w:tcPr>
            <w:tcW w:w="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222,882</w:t>
            </w:r>
          </w:p>
        </w:tc>
        <w:tc>
          <w:tcPr>
            <w:tcW w:w="10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200,000</w:t>
            </w:r>
          </w:p>
        </w:tc>
      </w:tr>
    </w:tbl>
    <w:p>
      <w:pPr>
        <w:spacing w:after="0" w:line="39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6" w:name="page167"/>
    <w:bookmarkEnd w:id="166"/>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21. EARNINGS PER COMMON SHARE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Earnings per common share have been computed as follows </w:t>
      </w:r>
      <w:r>
        <w:rPr>
          <w:rFonts w:ascii="Verdana" w:cs="Verdana" w:eastAsia="Verdana" w:hAnsi="Verdana"/>
          <w:sz w:val="14"/>
          <w:szCs w:val="14"/>
          <w:i w:val="1"/>
          <w:iCs w:val="1"/>
          <w:color w:val="auto"/>
        </w:rPr>
        <w:t>(dollars in thousands, except per share amounts)</w:t>
      </w:r>
      <w:r>
        <w:rPr>
          <w:rFonts w:ascii="Verdana" w:cs="Verdana" w:eastAsia="Verdana" w:hAnsi="Verdana"/>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1"/>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0"/>
                <w:szCs w:val="10"/>
                <w:b w:val="1"/>
                <w:bCs w:val="1"/>
                <w:color w:val="auto"/>
              </w:rPr>
              <w:t>2022</w:t>
            </w: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income</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113,691</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122,565</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128,311</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Weighted average number of common shares outstanding, basic</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56,610,032</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55,432,322</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55,387,073</w:t>
            </w:r>
          </w:p>
        </w:tc>
      </w:tr>
      <w:tr>
        <w:trPr>
          <w:trHeight w:val="207"/>
        </w:trPr>
        <w:tc>
          <w:tcPr>
            <w:tcW w:w="6340" w:type="dxa"/>
            <w:vAlign w:val="bottom"/>
          </w:tcPr>
          <w:p>
            <w:pPr>
              <w:ind w:left="20"/>
              <w:spacing w:after="0"/>
              <w:rPr>
                <w:sz w:val="20"/>
                <w:szCs w:val="20"/>
                <w:color w:val="auto"/>
              </w:rPr>
            </w:pPr>
            <w:r>
              <w:rPr>
                <w:rFonts w:ascii="Verdana" w:cs="Verdana" w:eastAsia="Verdana" w:hAnsi="Verdana"/>
                <w:sz w:val="14"/>
                <w:szCs w:val="14"/>
                <w:color w:val="auto"/>
              </w:rPr>
              <w:t>Dilutive effect of common stock equivalents: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Options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753</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1,632</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Warrants</w:t>
            </w:r>
          </w:p>
        </w:tc>
        <w:tc>
          <w:tcPr>
            <w:tcW w:w="38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1,753</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RSU awards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662,341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647,217</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665,998</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PSU awards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243,166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151,190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58,206</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DSU awards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19,956</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18,154</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15,532</w:t>
            </w: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ESPP</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6,753</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6,941</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6,970</w:t>
            </w:r>
          </w:p>
        </w:tc>
      </w:tr>
      <w:tr>
        <w:trPr>
          <w:trHeight w:val="233"/>
        </w:trPr>
        <w:tc>
          <w:tcPr>
            <w:tcW w:w="63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Weighted average number of common shares outstanding, diluted</w:t>
            </w:r>
          </w:p>
        </w:tc>
        <w:tc>
          <w:tcPr>
            <w:tcW w:w="380" w:type="dxa"/>
            <w:vAlign w:val="bottom"/>
            <w:tcBorders>
              <w:bottom w:val="single" w:sz="8" w:color="auto"/>
            </w:tcBorders>
            <w:shd w:val="clear" w:color="auto" w:fill="E0E7ED"/>
          </w:tcPr>
          <w:p>
            <w:pPr>
              <w:spacing w:after="0"/>
              <w:rPr>
                <w:sz w:val="19"/>
                <w:szCs w:val="19"/>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57,543,001</w:t>
            </w:r>
          </w:p>
        </w:tc>
        <w:tc>
          <w:tcPr>
            <w:tcW w:w="8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spacing w:after="0"/>
              <w:rPr>
                <w:sz w:val="19"/>
                <w:szCs w:val="19"/>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56,256,148</w:t>
            </w:r>
          </w:p>
        </w:tc>
        <w:tc>
          <w:tcPr>
            <w:tcW w:w="100" w:type="dxa"/>
            <w:vAlign w:val="bottom"/>
            <w:tcBorders>
              <w:bottom w:val="single" w:sz="8" w:color="E0E7ED"/>
            </w:tcBorders>
            <w:shd w:val="clear" w:color="auto" w:fill="E0E7ED"/>
          </w:tcPr>
          <w:p>
            <w:pPr>
              <w:spacing w:after="0"/>
              <w:rPr>
                <w:sz w:val="19"/>
                <w:szCs w:val="19"/>
                <w:color w:val="auto"/>
              </w:rPr>
            </w:pPr>
          </w:p>
        </w:tc>
        <w:tc>
          <w:tcPr>
            <w:tcW w:w="380" w:type="dxa"/>
            <w:vAlign w:val="bottom"/>
            <w:tcBorders>
              <w:bottom w:val="single" w:sz="8" w:color="auto"/>
            </w:tcBorders>
            <w:shd w:val="clear" w:color="auto" w:fill="E0E7ED"/>
          </w:tcPr>
          <w:p>
            <w:pPr>
              <w:spacing w:after="0"/>
              <w:rPr>
                <w:sz w:val="19"/>
                <w:szCs w:val="19"/>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56,137,164</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Basic earnings per common share</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2.01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2.21</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2.32</w:t>
            </w:r>
          </w:p>
        </w:tc>
      </w:tr>
      <w:tr>
        <w:trPr>
          <w:trHeight w:val="201"/>
        </w:trPr>
        <w:tc>
          <w:tcPr>
            <w:tcW w:w="6340" w:type="dxa"/>
            <w:vAlign w:val="bottom"/>
          </w:tcPr>
          <w:p>
            <w:pPr>
              <w:ind w:left="20"/>
              <w:spacing w:after="0"/>
              <w:rPr>
                <w:sz w:val="20"/>
                <w:szCs w:val="20"/>
                <w:color w:val="auto"/>
              </w:rPr>
            </w:pPr>
            <w:r>
              <w:rPr>
                <w:rFonts w:ascii="Verdana" w:cs="Verdana" w:eastAsia="Verdana" w:hAnsi="Verdana"/>
                <w:sz w:val="14"/>
                <w:szCs w:val="14"/>
                <w:color w:val="auto"/>
              </w:rPr>
              <w:t>Diluted earnings per common share</w:t>
            </w:r>
          </w:p>
        </w:tc>
        <w:tc>
          <w:tcPr>
            <w:tcW w:w="380" w:type="dxa"/>
            <w:vAlign w:val="bottom"/>
          </w:tcPr>
          <w:p>
            <w:pPr>
              <w:spacing w:after="0"/>
              <w:rPr>
                <w:sz w:val="17"/>
                <w:szCs w:val="17"/>
                <w:color w:val="auto"/>
              </w:rPr>
            </w:pPr>
          </w:p>
        </w:tc>
        <w:tc>
          <w:tcPr>
            <w:tcW w:w="1220" w:type="dxa"/>
            <w:vAlign w:val="bottom"/>
          </w:tcPr>
          <w:p>
            <w:pPr>
              <w:jc w:val="right"/>
              <w:ind w:right="11"/>
              <w:spacing w:after="0"/>
              <w:rPr>
                <w:sz w:val="20"/>
                <w:szCs w:val="20"/>
                <w:color w:val="auto"/>
              </w:rPr>
            </w:pPr>
            <w:r>
              <w:rPr>
                <w:rFonts w:ascii="Verdana" w:cs="Verdana" w:eastAsia="Verdana" w:hAnsi="Verdana"/>
                <w:sz w:val="14"/>
                <w:szCs w:val="14"/>
                <w:color w:val="auto"/>
              </w:rPr>
              <w:t>1.98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2.29</w:t>
            </w:r>
          </w:p>
        </w:tc>
      </w:tr>
    </w:tbl>
    <w:p>
      <w:pPr>
        <w:spacing w:after="0" w:line="219"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Average shares that were excluded from the computation of diluted earnings per common share because their effect would have been anti-dilutive are summarized in the table below for the periods presented:</w:t>
      </w:r>
    </w:p>
    <w:p>
      <w:pPr>
        <w:spacing w:after="0" w:line="132" w:lineRule="exact"/>
        <w:rPr>
          <w:sz w:val="20"/>
          <w:szCs w:val="20"/>
          <w:color w:val="auto"/>
        </w:rPr>
      </w:pPr>
    </w:p>
    <w:p>
      <w:pPr>
        <w:ind w:left="8060"/>
        <w:spacing w:after="0"/>
        <w:rPr>
          <w:sz w:val="20"/>
          <w:szCs w:val="20"/>
          <w:color w:val="auto"/>
        </w:rPr>
      </w:pPr>
      <w:r>
        <w:rPr>
          <w:rFonts w:ascii="Verdana" w:cs="Verdana" w:eastAsia="Verdana" w:hAnsi="Verdana"/>
          <w:sz w:val="10"/>
          <w:szCs w:val="10"/>
          <w:b w:val="1"/>
          <w:bCs w:val="1"/>
          <w:color w:val="auto"/>
        </w:rPr>
        <w:t>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40" w:type="dxa"/>
            <w:vAlign w:val="bottom"/>
            <w:tcBorders>
              <w:bottom w:val="single" w:sz="8" w:color="E0E7ED"/>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0"/>
                <w:szCs w:val="10"/>
                <w:b w:val="1"/>
                <w:bCs w:val="1"/>
                <w:color w:val="auto"/>
              </w:rPr>
              <w:t>2024</w:t>
            </w:r>
          </w:p>
        </w:tc>
        <w:tc>
          <w:tcPr>
            <w:tcW w:w="6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E0E7ED"/>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574"/>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top w:val="single" w:sz="8" w:color="auto"/>
              <w:bottom w:val="single" w:sz="8" w:color="E0E7ED"/>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594"/>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730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Anti-dilutive common stock equivalents</w:t>
            </w:r>
          </w:p>
        </w:tc>
        <w:tc>
          <w:tcPr>
            <w:tcW w:w="6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5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580" w:type="dxa"/>
            <w:vAlign w:val="bottom"/>
            <w:shd w:val="clear" w:color="auto" w:fill="E0E7ED"/>
          </w:tcPr>
          <w:p>
            <w:pPr>
              <w:spacing w:after="0"/>
              <w:rPr>
                <w:sz w:val="17"/>
                <w:szCs w:val="17"/>
                <w:color w:val="auto"/>
              </w:rPr>
            </w:pPr>
          </w:p>
        </w:tc>
      </w:tr>
      <w:tr>
        <w:trPr>
          <w:trHeight w:val="207"/>
        </w:trPr>
        <w:tc>
          <w:tcPr>
            <w:tcW w:w="7300" w:type="dxa"/>
            <w:vAlign w:val="bottom"/>
            <w:gridSpan w:val="2"/>
          </w:tcPr>
          <w:p>
            <w:pPr>
              <w:ind w:left="140"/>
              <w:spacing w:after="0"/>
              <w:rPr>
                <w:sz w:val="20"/>
                <w:szCs w:val="20"/>
                <w:color w:val="auto"/>
              </w:rPr>
            </w:pPr>
            <w:r>
              <w:rPr>
                <w:rFonts w:ascii="Verdana" w:cs="Verdana" w:eastAsia="Verdana" w:hAnsi="Verdana"/>
                <w:sz w:val="14"/>
                <w:szCs w:val="14"/>
                <w:color w:val="auto"/>
              </w:rPr>
              <w:t>Options</w:t>
            </w:r>
          </w:p>
        </w:tc>
        <w:tc>
          <w:tcPr>
            <w:tcW w:w="640" w:type="dxa"/>
            <w:vAlign w:val="bottom"/>
          </w:tcPr>
          <w:p>
            <w:pPr>
              <w:jc w:val="right"/>
              <w:spacing w:after="0"/>
              <w:rPr>
                <w:sz w:val="20"/>
                <w:szCs w:val="20"/>
                <w:color w:val="auto"/>
              </w:rPr>
            </w:pPr>
            <w:r>
              <w:rPr>
                <w:rFonts w:ascii="Verdana" w:cs="Verdana" w:eastAsia="Verdana" w:hAnsi="Verdana"/>
                <w:sz w:val="14"/>
                <w:szCs w:val="14"/>
                <w:color w:val="auto"/>
              </w:rPr>
              <w:t>9,588</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Verdana" w:cs="Verdana" w:eastAsia="Verdana" w:hAnsi="Verdana"/>
                <w:sz w:val="14"/>
                <w:szCs w:val="14"/>
                <w:color w:val="auto"/>
              </w:rPr>
              <w:t>21,981</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Verdana" w:cs="Verdana" w:eastAsia="Verdana" w:hAnsi="Verdana"/>
                <w:sz w:val="14"/>
                <w:szCs w:val="14"/>
                <w:color w:val="auto"/>
              </w:rPr>
              <w:t>7,792</w:t>
            </w:r>
          </w:p>
        </w:tc>
      </w:tr>
      <w:tr>
        <w:trPr>
          <w:trHeight w:val="218"/>
        </w:trPr>
        <w:tc>
          <w:tcPr>
            <w:tcW w:w="730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RSU awards</w:t>
            </w:r>
          </w:p>
        </w:tc>
        <w:tc>
          <w:tcPr>
            <w:tcW w:w="6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3,216</w:t>
            </w:r>
          </w:p>
        </w:tc>
        <w:tc>
          <w:tcPr>
            <w:tcW w:w="80" w:type="dxa"/>
            <w:vAlign w:val="bottom"/>
            <w:shd w:val="clear" w:color="auto" w:fill="E0E7ED"/>
          </w:tcPr>
          <w:p>
            <w:pPr>
              <w:spacing w:after="0"/>
              <w:rPr>
                <w:sz w:val="18"/>
                <w:szCs w:val="18"/>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39,445</w:t>
            </w:r>
          </w:p>
        </w:tc>
        <w:tc>
          <w:tcPr>
            <w:tcW w:w="100" w:type="dxa"/>
            <w:vAlign w:val="bottom"/>
            <w:shd w:val="clear" w:color="auto" w:fill="E0E7ED"/>
          </w:tcPr>
          <w:p>
            <w:pPr>
              <w:spacing w:after="0"/>
              <w:rPr>
                <w:sz w:val="18"/>
                <w:szCs w:val="18"/>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38,912</w:t>
            </w:r>
          </w:p>
        </w:tc>
      </w:tr>
      <w:tr>
        <w:trPr>
          <w:trHeight w:val="207"/>
        </w:trPr>
        <w:tc>
          <w:tcPr>
            <w:tcW w:w="634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PSU awards</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140,937</w:t>
            </w:r>
          </w:p>
        </w:tc>
        <w:tc>
          <w:tcPr>
            <w:tcW w:w="80" w:type="dxa"/>
            <w:vAlign w:val="bottom"/>
            <w:tcBorders>
              <w:bottom w:val="single" w:sz="8" w:color="E0E7ED"/>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106,955</w:t>
            </w:r>
          </w:p>
        </w:tc>
        <w:tc>
          <w:tcPr>
            <w:tcW w:w="100" w:type="dxa"/>
            <w:vAlign w:val="bottom"/>
            <w:tcBorders>
              <w:bottom w:val="single" w:sz="8" w:color="E0E7ED"/>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189,000</w:t>
            </w:r>
          </w:p>
        </w:tc>
      </w:tr>
      <w:tr>
        <w:trPr>
          <w:trHeight w:val="228"/>
        </w:trPr>
        <w:tc>
          <w:tcPr>
            <w:tcW w:w="730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Total anti-dilutive common stock equivalents</w:t>
            </w:r>
          </w:p>
        </w:tc>
        <w:tc>
          <w:tcPr>
            <w:tcW w:w="6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153,741</w:t>
            </w:r>
          </w:p>
        </w:tc>
        <w:tc>
          <w:tcPr>
            <w:tcW w:w="80" w:type="dxa"/>
            <w:vAlign w:val="bottom"/>
            <w:shd w:val="clear" w:color="auto" w:fill="E0E7ED"/>
          </w:tcPr>
          <w:p>
            <w:pPr>
              <w:spacing w:after="0"/>
              <w:rPr>
                <w:sz w:val="19"/>
                <w:szCs w:val="19"/>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168,381</w:t>
            </w:r>
          </w:p>
        </w:tc>
        <w:tc>
          <w:tcPr>
            <w:tcW w:w="100" w:type="dxa"/>
            <w:vAlign w:val="bottom"/>
            <w:shd w:val="clear" w:color="auto" w:fill="E0E7ED"/>
          </w:tcPr>
          <w:p>
            <w:pPr>
              <w:spacing w:after="0"/>
              <w:rPr>
                <w:sz w:val="19"/>
                <w:szCs w:val="19"/>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235,704</w:t>
            </w:r>
          </w:p>
        </w:tc>
      </w:tr>
      <w:tr>
        <w:trPr>
          <w:trHeight w:val="20"/>
        </w:trPr>
        <w:tc>
          <w:tcPr>
            <w:tcW w:w="6340" w:type="dxa"/>
            <w:vAlign w:val="bottom"/>
            <w:tcBorders>
              <w:top w:val="single" w:sz="8" w:color="E0E7ED"/>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7" w:name="page168"/>
    <w:bookmarkEnd w:id="167"/>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22. ACCUMULATED OTHER COMPREHENSIVE INCOME (LOSS)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The following table summarizes changes AOCI by component, net of tax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660" w:type="dxa"/>
            <w:vAlign w:val="bottom"/>
          </w:tcPr>
          <w:p>
            <w:pPr>
              <w:spacing w:after="0"/>
              <w:rPr>
                <w:sz w:val="10"/>
                <w:szCs w:val="10"/>
                <w:color w:val="auto"/>
              </w:rPr>
            </w:pPr>
          </w:p>
        </w:tc>
        <w:tc>
          <w:tcPr>
            <w:tcW w:w="1680" w:type="dxa"/>
            <w:vAlign w:val="bottom"/>
            <w:gridSpan w:val="3"/>
          </w:tcPr>
          <w:p>
            <w:pPr>
              <w:ind w:left="80"/>
              <w:spacing w:after="0"/>
              <w:rPr>
                <w:sz w:val="20"/>
                <w:szCs w:val="20"/>
                <w:color w:val="auto"/>
              </w:rPr>
            </w:pPr>
            <w:r>
              <w:rPr>
                <w:rFonts w:ascii="Verdana" w:cs="Verdana" w:eastAsia="Verdana" w:hAnsi="Verdana"/>
                <w:sz w:val="10"/>
                <w:szCs w:val="10"/>
                <w:b w:val="1"/>
                <w:bCs w:val="1"/>
                <w:color w:val="auto"/>
              </w:rPr>
              <w:t>Unrealized Gains (Losses)</w:t>
            </w:r>
          </w:p>
        </w:tc>
        <w:tc>
          <w:tcPr>
            <w:tcW w:w="180" w:type="dxa"/>
            <w:vAlign w:val="bottom"/>
          </w:tcPr>
          <w:p>
            <w:pPr>
              <w:spacing w:after="0"/>
              <w:rPr>
                <w:sz w:val="10"/>
                <w:szCs w:val="10"/>
                <w:color w:val="auto"/>
              </w:rPr>
            </w:pPr>
          </w:p>
        </w:tc>
        <w:tc>
          <w:tcPr>
            <w:tcW w:w="1500" w:type="dxa"/>
            <w:vAlign w:val="bottom"/>
            <w:gridSpan w:val="2"/>
          </w:tcPr>
          <w:p>
            <w:pPr>
              <w:ind w:left="60"/>
              <w:spacing w:after="0"/>
              <w:rPr>
                <w:sz w:val="20"/>
                <w:szCs w:val="20"/>
                <w:color w:val="auto"/>
              </w:rPr>
            </w:pPr>
            <w:r>
              <w:rPr>
                <w:rFonts w:ascii="Verdana" w:cs="Verdana" w:eastAsia="Verdana" w:hAnsi="Verdana"/>
                <w:sz w:val="10"/>
                <w:szCs w:val="10"/>
                <w:b w:val="1"/>
                <w:bCs w:val="1"/>
                <w:color w:val="auto"/>
              </w:rPr>
              <w:t>Unrecognized Gains</w:t>
            </w:r>
          </w:p>
        </w:tc>
        <w:tc>
          <w:tcPr>
            <w:tcW w:w="1680" w:type="dxa"/>
            <w:vAlign w:val="bottom"/>
            <w:gridSpan w:val="3"/>
            <w:vMerge w:val="restart"/>
          </w:tcPr>
          <w:p>
            <w:pPr>
              <w:ind w:left="60"/>
              <w:spacing w:after="0"/>
              <w:rPr>
                <w:sz w:val="20"/>
                <w:szCs w:val="20"/>
                <w:color w:val="auto"/>
              </w:rPr>
            </w:pPr>
            <w:r>
              <w:rPr>
                <w:rFonts w:ascii="Verdana" w:cs="Verdana" w:eastAsia="Verdana" w:hAnsi="Verdana"/>
                <w:sz w:val="10"/>
                <w:szCs w:val="10"/>
                <w:b w:val="1"/>
                <w:bCs w:val="1"/>
                <w:color w:val="auto"/>
              </w:rPr>
              <w:t>Unrealized Gains (Losses)</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60" w:type="dxa"/>
            <w:vAlign w:val="bottom"/>
          </w:tcPr>
          <w:p>
            <w:pPr>
              <w:spacing w:after="0"/>
              <w:rPr>
                <w:sz w:val="8"/>
                <w:szCs w:val="8"/>
                <w:color w:val="auto"/>
              </w:rPr>
            </w:pPr>
          </w:p>
        </w:tc>
        <w:tc>
          <w:tcPr>
            <w:tcW w:w="1680" w:type="dxa"/>
            <w:vAlign w:val="bottom"/>
            <w:gridSpan w:val="3"/>
          </w:tcPr>
          <w:p>
            <w:pPr>
              <w:ind w:left="20"/>
              <w:spacing w:after="0" w:line="96" w:lineRule="exact"/>
              <w:rPr>
                <w:sz w:val="20"/>
                <w:szCs w:val="20"/>
                <w:color w:val="auto"/>
              </w:rPr>
            </w:pPr>
            <w:r>
              <w:rPr>
                <w:rFonts w:ascii="Verdana" w:cs="Verdana" w:eastAsia="Verdana" w:hAnsi="Verdana"/>
                <w:sz w:val="10"/>
                <w:szCs w:val="10"/>
                <w:b w:val="1"/>
                <w:bCs w:val="1"/>
                <w:color w:val="auto"/>
              </w:rPr>
              <w:t>on Debt Securities Available</w:t>
            </w:r>
          </w:p>
        </w:tc>
        <w:tc>
          <w:tcPr>
            <w:tcW w:w="1680" w:type="dxa"/>
            <w:vAlign w:val="bottom"/>
            <w:gridSpan w:val="3"/>
          </w:tcPr>
          <w:p>
            <w:pPr>
              <w:ind w:left="20"/>
              <w:spacing w:after="0" w:line="96" w:lineRule="exact"/>
              <w:rPr>
                <w:sz w:val="20"/>
                <w:szCs w:val="20"/>
                <w:color w:val="auto"/>
              </w:rPr>
            </w:pPr>
            <w:r>
              <w:rPr>
                <w:rFonts w:ascii="Verdana" w:cs="Verdana" w:eastAsia="Verdana" w:hAnsi="Verdana"/>
                <w:sz w:val="10"/>
                <w:szCs w:val="10"/>
                <w:b w:val="1"/>
                <w:bCs w:val="1"/>
                <w:color w:val="auto"/>
              </w:rPr>
              <w:t>(Losses) on Debt Securities</w:t>
            </w:r>
          </w:p>
        </w:tc>
        <w:tc>
          <w:tcPr>
            <w:tcW w:w="168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vMerge w:val="restart"/>
          </w:tcPr>
          <w:p>
            <w:pPr>
              <w:jc w:val="right"/>
              <w:ind w:right="591"/>
              <w:spacing w:after="0"/>
              <w:rPr>
                <w:sz w:val="20"/>
                <w:szCs w:val="20"/>
                <w:color w:val="auto"/>
              </w:rPr>
            </w:pPr>
            <w:r>
              <w:rPr>
                <w:rFonts w:ascii="Verdana" w:cs="Verdana" w:eastAsia="Verdana" w:hAnsi="Verdana"/>
                <w:sz w:val="10"/>
                <w:szCs w:val="10"/>
                <w:b w:val="1"/>
                <w:bCs w:val="1"/>
                <w:color w:val="auto"/>
              </w:rPr>
              <w:t>Total</w:t>
            </w:r>
          </w:p>
        </w:tc>
        <w:tc>
          <w:tcPr>
            <w:tcW w:w="0" w:type="dxa"/>
            <w:vAlign w:val="bottom"/>
          </w:tcPr>
          <w:p>
            <w:pPr>
              <w:spacing w:after="0"/>
              <w:rPr>
                <w:sz w:val="1"/>
                <w:szCs w:val="1"/>
                <w:color w:val="auto"/>
              </w:rPr>
            </w:pPr>
          </w:p>
        </w:tc>
      </w:tr>
      <w:tr>
        <w:trPr>
          <w:trHeight w:val="133"/>
        </w:trPr>
        <w:tc>
          <w:tcPr>
            <w:tcW w:w="466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11"/>
              <w:spacing w:after="0"/>
              <w:rPr>
                <w:sz w:val="20"/>
                <w:szCs w:val="20"/>
                <w:color w:val="auto"/>
              </w:rPr>
            </w:pPr>
            <w:r>
              <w:rPr>
                <w:rFonts w:ascii="Verdana" w:cs="Verdana" w:eastAsia="Verdana" w:hAnsi="Verdana"/>
                <w:sz w:val="10"/>
                <w:szCs w:val="10"/>
                <w:b w:val="1"/>
                <w:bCs w:val="1"/>
                <w:color w:val="auto"/>
              </w:rPr>
              <w:t>For Sale</w:t>
            </w:r>
          </w:p>
        </w:tc>
        <w:tc>
          <w:tcPr>
            <w:tcW w:w="80" w:type="dxa"/>
            <w:vAlign w:val="bottom"/>
            <w:tcBorders>
              <w:bottom w:val="single" w:sz="8" w:color="E0E7ED"/>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92"/>
              <w:spacing w:after="0"/>
              <w:rPr>
                <w:sz w:val="20"/>
                <w:szCs w:val="20"/>
                <w:color w:val="auto"/>
              </w:rPr>
            </w:pPr>
            <w:r>
              <w:rPr>
                <w:rFonts w:ascii="Verdana" w:cs="Verdana" w:eastAsia="Verdana" w:hAnsi="Verdana"/>
                <w:sz w:val="10"/>
                <w:szCs w:val="10"/>
                <w:b w:val="1"/>
                <w:bCs w:val="1"/>
                <w:color w:val="auto"/>
              </w:rPr>
              <w:t>Held to Maturity</w:t>
            </w:r>
          </w:p>
        </w:tc>
        <w:tc>
          <w:tcPr>
            <w:tcW w:w="8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0"/>
                <w:szCs w:val="10"/>
                <w:b w:val="1"/>
                <w:bCs w:val="1"/>
                <w:color w:val="auto"/>
              </w:rPr>
              <w:t>on Cash Flow Hedges</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Balance, December 31, 2021</w:t>
            </w:r>
          </w:p>
        </w:tc>
        <w:tc>
          <w:tcPr>
            <w:tcW w:w="34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(23,073)</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w:t>
            </w:r>
          </w:p>
        </w:tc>
        <w:tc>
          <w:tcPr>
            <w:tcW w:w="15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(685)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(23,758)</w:t>
            </w: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Unrealized holding gains (losses), net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(199,302)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Verdana" w:cs="Verdana" w:eastAsia="Verdana" w:hAnsi="Verdana"/>
                <w:sz w:val="14"/>
                <w:szCs w:val="14"/>
                <w:color w:val="auto"/>
              </w:rPr>
              <w:t>(20,717)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(220,019)</w:t>
            </w:r>
          </w:p>
        </w:tc>
        <w:tc>
          <w:tcPr>
            <w:tcW w:w="0" w:type="dxa"/>
            <w:vAlign w:val="bottom"/>
          </w:tcPr>
          <w:p>
            <w:pPr>
              <w:spacing w:after="0"/>
              <w:rPr>
                <w:sz w:val="1"/>
                <w:szCs w:val="1"/>
                <w:color w:val="auto"/>
              </w:rPr>
            </w:pPr>
          </w:p>
        </w:tc>
      </w:tr>
      <w:tr>
        <w:trPr>
          <w:trHeight w:val="19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Unrecognized losses on debt securities transferred to held to</w:t>
            </w:r>
          </w:p>
        </w:tc>
        <w:tc>
          <w:tcPr>
            <w:tcW w:w="34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4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maturity from available for sale</w:t>
            </w:r>
          </w:p>
        </w:tc>
        <w:tc>
          <w:tcPr>
            <w:tcW w:w="340" w:type="dxa"/>
            <w:vAlign w:val="bottom"/>
            <w:shd w:val="clear" w:color="auto" w:fill="E0E7ED"/>
          </w:tcPr>
          <w:p>
            <w:pPr>
              <w:spacing w:after="0"/>
              <w:rPr>
                <w:sz w:val="16"/>
                <w:szCs w:val="16"/>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(34,644)</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5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(34,644)</w:t>
            </w: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Amounts reclassified from AOCI, net</w:t>
            </w:r>
          </w:p>
        </w:tc>
        <w:tc>
          <w:tcPr>
            <w:tcW w:w="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Verdana" w:cs="Verdana" w:eastAsia="Verdana" w:hAnsi="Verdana"/>
                <w:sz w:val="14"/>
                <w:szCs w:val="14"/>
                <w:color w:val="auto"/>
              </w:rPr>
              <w:t>(19)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Verdana" w:cs="Verdana" w:eastAsia="Verdana" w:hAnsi="Verdana"/>
                <w:sz w:val="14"/>
                <w:szCs w:val="14"/>
                <w:color w:val="auto"/>
              </w:rPr>
              <w:t>417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398</w:t>
            </w:r>
          </w:p>
        </w:tc>
        <w:tc>
          <w:tcPr>
            <w:tcW w:w="0" w:type="dxa"/>
            <w:vAlign w:val="bottom"/>
          </w:tcPr>
          <w:p>
            <w:pPr>
              <w:spacing w:after="0"/>
              <w:rPr>
                <w:sz w:val="1"/>
                <w:szCs w:val="1"/>
                <w:color w:val="auto"/>
              </w:rPr>
            </w:pPr>
          </w:p>
        </w:tc>
      </w:tr>
      <w:tr>
        <w:trPr>
          <w:trHeight w:val="19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Amortization of unrecognized losses on securities transferred</w:t>
            </w:r>
          </w:p>
        </w:tc>
        <w:tc>
          <w:tcPr>
            <w:tcW w:w="34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4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to held to maturity</w:t>
            </w:r>
          </w:p>
        </w:tc>
        <w:tc>
          <w:tcPr>
            <w:tcW w:w="340" w:type="dxa"/>
            <w:vAlign w:val="bottom"/>
            <w:shd w:val="clear" w:color="auto" w:fill="E0E7ED"/>
          </w:tcPr>
          <w:p>
            <w:pPr>
              <w:spacing w:after="0"/>
              <w:rPr>
                <w:sz w:val="16"/>
                <w:szCs w:val="16"/>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4,745</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5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4,745</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Verdana" w:cs="Verdana" w:eastAsia="Verdana" w:hAnsi="Verdana"/>
                <w:sz w:val="14"/>
                <w:szCs w:val="14"/>
                <w:b w:val="1"/>
                <w:bCs w:val="1"/>
                <w:color w:val="auto"/>
              </w:rPr>
              <w:t>Balance, December 31, 2022</w:t>
            </w: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Verdana" w:cs="Verdana" w:eastAsia="Verdana" w:hAnsi="Verdana"/>
                <w:sz w:val="14"/>
                <w:szCs w:val="14"/>
                <w:color w:val="auto"/>
              </w:rPr>
              <w:t>(222,394)</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Verdana" w:cs="Verdana" w:eastAsia="Verdana" w:hAnsi="Verdana"/>
                <w:sz w:val="14"/>
                <w:szCs w:val="14"/>
                <w:color w:val="auto"/>
              </w:rPr>
              <w:t>(29,899)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Verdana" w:cs="Verdana" w:eastAsia="Verdana" w:hAnsi="Verdana"/>
                <w:sz w:val="14"/>
                <w:szCs w:val="14"/>
                <w:color w:val="auto"/>
              </w:rPr>
              <w:t>(20,985)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Verdana" w:cs="Verdana" w:eastAsia="Verdana" w:hAnsi="Verdana"/>
                <w:sz w:val="14"/>
                <w:szCs w:val="14"/>
                <w:color w:val="auto"/>
              </w:rPr>
              <w:t>(273,278)</w:t>
            </w:r>
          </w:p>
        </w:tc>
        <w:tc>
          <w:tcPr>
            <w:tcW w:w="0" w:type="dxa"/>
            <w:vAlign w:val="bottom"/>
          </w:tcPr>
          <w:p>
            <w:pPr>
              <w:spacing w:after="0"/>
              <w:rPr>
                <w:sz w:val="1"/>
                <w:szCs w:val="1"/>
                <w:color w:val="auto"/>
              </w:rPr>
            </w:pPr>
          </w:p>
        </w:tc>
      </w:tr>
      <w:tr>
        <w:trPr>
          <w:trHeight w:val="218"/>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Unrealized holding gains (losses), net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41,824</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5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8"/>
                <w:szCs w:val="18"/>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(1,835)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39,989</w:t>
            </w:r>
          </w:p>
        </w:tc>
        <w:tc>
          <w:tcPr>
            <w:tcW w:w="0" w:type="dxa"/>
            <w:vAlign w:val="bottom"/>
          </w:tcPr>
          <w:p>
            <w:pPr>
              <w:spacing w:after="0"/>
              <w:rPr>
                <w:sz w:val="1"/>
                <w:szCs w:val="1"/>
                <w:color w:val="auto"/>
              </w:rPr>
            </w:pPr>
          </w:p>
        </w:tc>
      </w:tr>
      <w:tr>
        <w:trPr>
          <w:trHeight w:val="187"/>
        </w:trPr>
        <w:tc>
          <w:tcPr>
            <w:tcW w:w="4660" w:type="dxa"/>
            <w:vAlign w:val="bottom"/>
          </w:tcPr>
          <w:p>
            <w:pPr>
              <w:ind w:left="140"/>
              <w:spacing w:after="0"/>
              <w:rPr>
                <w:sz w:val="20"/>
                <w:szCs w:val="20"/>
                <w:color w:val="auto"/>
              </w:rPr>
            </w:pPr>
            <w:r>
              <w:rPr>
                <w:rFonts w:ascii="Verdana" w:cs="Verdana" w:eastAsia="Verdana" w:hAnsi="Verdana"/>
                <w:sz w:val="14"/>
                <w:szCs w:val="14"/>
                <w:color w:val="auto"/>
              </w:rPr>
              <w:t>Unrecognized losses on debt securities transferred to held to</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40"/>
              <w:spacing w:after="0"/>
              <w:rPr>
                <w:sz w:val="20"/>
                <w:szCs w:val="20"/>
                <w:color w:val="auto"/>
              </w:rPr>
            </w:pPr>
            <w:r>
              <w:rPr>
                <w:rFonts w:ascii="Verdana" w:cs="Verdana" w:eastAsia="Verdana" w:hAnsi="Verdana"/>
                <w:sz w:val="14"/>
                <w:szCs w:val="14"/>
                <w:color w:val="auto"/>
              </w:rPr>
              <w:t>maturity from available for sale</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0" w:type="dxa"/>
            <w:vAlign w:val="bottom"/>
          </w:tcPr>
          <w:p>
            <w:pPr>
              <w:spacing w:after="0"/>
              <w:rPr>
                <w:sz w:val="1"/>
                <w:szCs w:val="1"/>
                <w:color w:val="auto"/>
              </w:rPr>
            </w:pPr>
          </w:p>
        </w:tc>
      </w:tr>
      <w:tr>
        <w:trPr>
          <w:trHeight w:val="218"/>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Amounts reclassified from AOCI, net</w:t>
            </w:r>
          </w:p>
        </w:tc>
        <w:tc>
          <w:tcPr>
            <w:tcW w:w="340" w:type="dxa"/>
            <w:vAlign w:val="bottom"/>
            <w:shd w:val="clear" w:color="auto" w:fill="E0E7ED"/>
          </w:tcPr>
          <w:p>
            <w:pPr>
              <w:spacing w:after="0"/>
              <w:rPr>
                <w:sz w:val="18"/>
                <w:szCs w:val="18"/>
                <w:color w:val="auto"/>
              </w:rPr>
            </w:pPr>
          </w:p>
        </w:tc>
        <w:tc>
          <w:tcPr>
            <w:tcW w:w="126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3,934</w:t>
            </w:r>
          </w:p>
        </w:tc>
        <w:tc>
          <w:tcPr>
            <w:tcW w:w="8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15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8"/>
                <w:szCs w:val="18"/>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6,126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10,060</w:t>
            </w:r>
          </w:p>
        </w:tc>
        <w:tc>
          <w:tcPr>
            <w:tcW w:w="0" w:type="dxa"/>
            <w:vAlign w:val="bottom"/>
          </w:tcPr>
          <w:p>
            <w:pPr>
              <w:spacing w:after="0"/>
              <w:rPr>
                <w:sz w:val="1"/>
                <w:szCs w:val="1"/>
                <w:color w:val="auto"/>
              </w:rPr>
            </w:pPr>
          </w:p>
        </w:tc>
      </w:tr>
      <w:tr>
        <w:trPr>
          <w:trHeight w:val="187"/>
        </w:trPr>
        <w:tc>
          <w:tcPr>
            <w:tcW w:w="4660" w:type="dxa"/>
            <w:vAlign w:val="bottom"/>
          </w:tcPr>
          <w:p>
            <w:pPr>
              <w:ind w:left="140"/>
              <w:spacing w:after="0"/>
              <w:rPr>
                <w:sz w:val="20"/>
                <w:szCs w:val="20"/>
                <w:color w:val="auto"/>
              </w:rPr>
            </w:pPr>
            <w:r>
              <w:rPr>
                <w:rFonts w:ascii="Verdana" w:cs="Verdana" w:eastAsia="Verdana" w:hAnsi="Verdana"/>
                <w:sz w:val="14"/>
                <w:szCs w:val="14"/>
                <w:color w:val="auto"/>
              </w:rPr>
              <w:t>Amortization of unrecognized losses on securities transferred</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40"/>
              <w:spacing w:after="0"/>
              <w:rPr>
                <w:sz w:val="20"/>
                <w:szCs w:val="20"/>
                <w:color w:val="auto"/>
              </w:rPr>
            </w:pPr>
            <w:r>
              <w:rPr>
                <w:rFonts w:ascii="Verdana" w:cs="Verdana" w:eastAsia="Verdana" w:hAnsi="Verdana"/>
                <w:sz w:val="14"/>
                <w:szCs w:val="14"/>
                <w:color w:val="auto"/>
              </w:rPr>
              <w:t>to held to maturity</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tcPr>
          <w:p>
            <w:pPr>
              <w:spacing w:after="0"/>
              <w:rPr>
                <w:sz w:val="16"/>
                <w:szCs w:val="16"/>
                <w:color w:val="auto"/>
              </w:rPr>
            </w:pPr>
          </w:p>
        </w:tc>
        <w:tc>
          <w:tcPr>
            <w:tcW w:w="1420" w:type="dxa"/>
            <w:vAlign w:val="bottom"/>
          </w:tcPr>
          <w:p>
            <w:pPr>
              <w:jc w:val="right"/>
              <w:ind w:right="12"/>
              <w:spacing w:after="0"/>
              <w:rPr>
                <w:sz w:val="20"/>
                <w:szCs w:val="20"/>
                <w:color w:val="auto"/>
              </w:rPr>
            </w:pPr>
            <w:r>
              <w:rPr>
                <w:rFonts w:ascii="Verdana" w:cs="Verdana" w:eastAsia="Verdana" w:hAnsi="Verdana"/>
                <w:sz w:val="14"/>
                <w:szCs w:val="14"/>
                <w:color w:val="auto"/>
              </w:rPr>
              <w:t>4,426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4,426</w:t>
            </w:r>
          </w:p>
        </w:tc>
        <w:tc>
          <w:tcPr>
            <w:tcW w:w="0" w:type="dxa"/>
            <w:vAlign w:val="bottom"/>
          </w:tcPr>
          <w:p>
            <w:pPr>
              <w:spacing w:after="0"/>
              <w:rPr>
                <w:sz w:val="1"/>
                <w:szCs w:val="1"/>
                <w:color w:val="auto"/>
              </w:rPr>
            </w:pPr>
          </w:p>
        </w:tc>
      </w:tr>
      <w:tr>
        <w:trPr>
          <w:trHeight w:val="208"/>
        </w:trPr>
        <w:tc>
          <w:tcPr>
            <w:tcW w:w="46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Balance, December 31, 2023</w:t>
            </w:r>
          </w:p>
        </w:tc>
        <w:tc>
          <w:tcPr>
            <w:tcW w:w="340" w:type="dxa"/>
            <w:vAlign w:val="bottom"/>
            <w:tcBorders>
              <w:top w:val="single" w:sz="8" w:color="auto"/>
            </w:tcBorders>
            <w:shd w:val="clear" w:color="auto" w:fill="E0E7ED"/>
          </w:tcPr>
          <w:p>
            <w:pPr>
              <w:spacing w:after="0"/>
              <w:rPr>
                <w:sz w:val="18"/>
                <w:szCs w:val="18"/>
                <w:color w:val="auto"/>
              </w:rPr>
            </w:pPr>
          </w:p>
        </w:tc>
        <w:tc>
          <w:tcPr>
            <w:tcW w:w="12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(176,636)</w:t>
            </w:r>
          </w:p>
        </w:tc>
        <w:tc>
          <w:tcPr>
            <w:tcW w:w="80" w:type="dxa"/>
            <w:vAlign w:val="bottom"/>
            <w:tcBorders>
              <w:top w:val="single" w:sz="8" w:color="E0E7ED"/>
            </w:tcBorders>
            <w:shd w:val="clear" w:color="auto" w:fill="E0E7ED"/>
          </w:tcPr>
          <w:p>
            <w:pPr>
              <w:spacing w:after="0"/>
              <w:rPr>
                <w:sz w:val="18"/>
                <w:szCs w:val="18"/>
                <w:color w:val="auto"/>
              </w:rPr>
            </w:pPr>
          </w:p>
        </w:tc>
        <w:tc>
          <w:tcPr>
            <w:tcW w:w="180" w:type="dxa"/>
            <w:vAlign w:val="bottom"/>
            <w:tcBorders>
              <w:top w:val="single" w:sz="8" w:color="auto"/>
            </w:tcBorders>
            <w:shd w:val="clear" w:color="auto" w:fill="E0E7ED"/>
          </w:tcPr>
          <w:p>
            <w:pPr>
              <w:spacing w:after="0"/>
              <w:rPr>
                <w:sz w:val="18"/>
                <w:szCs w:val="18"/>
                <w:color w:val="auto"/>
              </w:rPr>
            </w:pPr>
          </w:p>
        </w:tc>
        <w:tc>
          <w:tcPr>
            <w:tcW w:w="14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(25,473)</w:t>
            </w:r>
          </w:p>
        </w:tc>
        <w:tc>
          <w:tcPr>
            <w:tcW w:w="80" w:type="dxa"/>
            <w:vAlign w:val="bottom"/>
            <w:tcBorders>
              <w:top w:val="single" w:sz="8" w:color="E0E7ED"/>
            </w:tcBorders>
            <w:shd w:val="clear" w:color="auto" w:fill="E0E7ED"/>
          </w:tcPr>
          <w:p>
            <w:pPr>
              <w:spacing w:after="0"/>
              <w:rPr>
                <w:sz w:val="18"/>
                <w:szCs w:val="18"/>
                <w:color w:val="auto"/>
              </w:rPr>
            </w:pPr>
          </w:p>
        </w:tc>
        <w:tc>
          <w:tcPr>
            <w:tcW w:w="140" w:type="dxa"/>
            <w:vAlign w:val="bottom"/>
            <w:tcBorders>
              <w:top w:val="single" w:sz="8" w:color="auto"/>
            </w:tcBorders>
            <w:shd w:val="clear" w:color="auto" w:fill="E0E7ED"/>
          </w:tcPr>
          <w:p>
            <w:pPr>
              <w:spacing w:after="0"/>
              <w:rPr>
                <w:sz w:val="18"/>
                <w:szCs w:val="18"/>
                <w:color w:val="auto"/>
              </w:rPr>
            </w:pPr>
          </w:p>
        </w:tc>
        <w:tc>
          <w:tcPr>
            <w:tcW w:w="14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(16,694)</w:t>
            </w:r>
          </w:p>
        </w:tc>
        <w:tc>
          <w:tcPr>
            <w:tcW w:w="100" w:type="dxa"/>
            <w:vAlign w:val="bottom"/>
            <w:tcBorders>
              <w:top w:val="single" w:sz="8" w:color="E0E7ED"/>
            </w:tcBorders>
            <w:shd w:val="clear" w:color="auto" w:fill="E0E7ED"/>
          </w:tcPr>
          <w:p>
            <w:pPr>
              <w:spacing w:after="0"/>
              <w:rPr>
                <w:sz w:val="18"/>
                <w:szCs w:val="18"/>
                <w:color w:val="auto"/>
              </w:rPr>
            </w:pPr>
          </w:p>
        </w:tc>
        <w:tc>
          <w:tcPr>
            <w:tcW w:w="380" w:type="dxa"/>
            <w:vAlign w:val="bottom"/>
            <w:tcBorders>
              <w:top w:val="single" w:sz="8" w:color="auto"/>
            </w:tcBorders>
            <w:shd w:val="clear" w:color="auto" w:fill="E0E7ED"/>
          </w:tcPr>
          <w:p>
            <w:pPr>
              <w:spacing w:after="0"/>
              <w:rPr>
                <w:sz w:val="18"/>
                <w:szCs w:val="18"/>
                <w:color w:val="auto"/>
              </w:rPr>
            </w:pPr>
          </w:p>
        </w:tc>
        <w:tc>
          <w:tcPr>
            <w:tcW w:w="12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(218,803)</w:t>
            </w: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Unrealized holding gains (losses), net</w:t>
            </w:r>
          </w:p>
        </w:tc>
        <w:tc>
          <w:tcPr>
            <w:tcW w:w="340" w:type="dxa"/>
            <w:vAlign w:val="bottom"/>
          </w:tcPr>
          <w:p>
            <w:pPr>
              <w:spacing w:after="0"/>
              <w:rPr>
                <w:sz w:val="17"/>
                <w:szCs w:val="17"/>
                <w:color w:val="auto"/>
              </w:rPr>
            </w:pPr>
          </w:p>
        </w:tc>
        <w:tc>
          <w:tcPr>
            <w:tcW w:w="1260" w:type="dxa"/>
            <w:vAlign w:val="bottom"/>
          </w:tcPr>
          <w:p>
            <w:pPr>
              <w:jc w:val="right"/>
              <w:ind w:right="11"/>
              <w:spacing w:after="0"/>
              <w:rPr>
                <w:sz w:val="20"/>
                <w:szCs w:val="20"/>
                <w:color w:val="auto"/>
              </w:rPr>
            </w:pPr>
            <w:r>
              <w:rPr>
                <w:rFonts w:ascii="Verdana" w:cs="Verdana" w:eastAsia="Verdana" w:hAnsi="Verdana"/>
                <w:sz w:val="14"/>
                <w:szCs w:val="14"/>
                <w:color w:val="auto"/>
              </w:rPr>
              <w:t>6,509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Verdana" w:cs="Verdana" w:eastAsia="Verdana" w:hAnsi="Verdana"/>
                <w:sz w:val="14"/>
                <w:szCs w:val="14"/>
                <w:color w:val="auto"/>
              </w:rPr>
              <w:t>(10,790)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(4,281)</w:t>
            </w:r>
          </w:p>
        </w:tc>
        <w:tc>
          <w:tcPr>
            <w:tcW w:w="0" w:type="dxa"/>
            <w:vAlign w:val="bottom"/>
          </w:tcPr>
          <w:p>
            <w:pPr>
              <w:spacing w:after="0"/>
              <w:rPr>
                <w:sz w:val="1"/>
                <w:szCs w:val="1"/>
                <w:color w:val="auto"/>
              </w:rPr>
            </w:pPr>
          </w:p>
        </w:tc>
      </w:tr>
      <w:tr>
        <w:trPr>
          <w:trHeight w:val="19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Unrecognized losses on debt securities transferred to held to</w:t>
            </w:r>
          </w:p>
        </w:tc>
        <w:tc>
          <w:tcPr>
            <w:tcW w:w="34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4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maturity from available for sale</w:t>
            </w:r>
          </w:p>
        </w:tc>
        <w:tc>
          <w:tcPr>
            <w:tcW w:w="340" w:type="dxa"/>
            <w:vAlign w:val="bottom"/>
            <w:shd w:val="clear" w:color="auto" w:fill="E0E7ED"/>
          </w:tcPr>
          <w:p>
            <w:pPr>
              <w:spacing w:after="0"/>
              <w:rPr>
                <w:sz w:val="16"/>
                <w:szCs w:val="16"/>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6"/>
                <w:szCs w:val="16"/>
                <w:color w:val="auto"/>
              </w:rPr>
            </w:pPr>
          </w:p>
        </w:tc>
        <w:tc>
          <w:tcPr>
            <w:tcW w:w="15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6"/>
                <w:szCs w:val="16"/>
                <w:color w:val="auto"/>
              </w:rPr>
            </w:pPr>
          </w:p>
        </w:tc>
        <w:tc>
          <w:tcPr>
            <w:tcW w:w="15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0" w:type="dxa"/>
            <w:vAlign w:val="bottom"/>
          </w:tcPr>
          <w:p>
            <w:pPr>
              <w:spacing w:after="0"/>
              <w:rPr>
                <w:sz w:val="1"/>
                <w:szCs w:val="1"/>
                <w:color w:val="auto"/>
              </w:rPr>
            </w:pPr>
          </w:p>
        </w:tc>
      </w:tr>
      <w:tr>
        <w:trPr>
          <w:trHeight w:val="207"/>
        </w:trPr>
        <w:tc>
          <w:tcPr>
            <w:tcW w:w="4660" w:type="dxa"/>
            <w:vAlign w:val="bottom"/>
          </w:tcPr>
          <w:p>
            <w:pPr>
              <w:ind w:left="140"/>
              <w:spacing w:after="0"/>
              <w:rPr>
                <w:sz w:val="20"/>
                <w:szCs w:val="20"/>
                <w:color w:val="auto"/>
              </w:rPr>
            </w:pPr>
            <w:r>
              <w:rPr>
                <w:rFonts w:ascii="Verdana" w:cs="Verdana" w:eastAsia="Verdana" w:hAnsi="Verdana"/>
                <w:sz w:val="14"/>
                <w:szCs w:val="14"/>
                <w:color w:val="auto"/>
              </w:rPr>
              <w:t>Amounts reclassified from AOCI, net</w:t>
            </w:r>
          </w:p>
        </w:tc>
        <w:tc>
          <w:tcPr>
            <w:tcW w:w="340" w:type="dxa"/>
            <w:vAlign w:val="bottom"/>
          </w:tcPr>
          <w:p>
            <w:pPr>
              <w:spacing w:after="0"/>
              <w:rPr>
                <w:sz w:val="17"/>
                <w:szCs w:val="17"/>
                <w:color w:val="auto"/>
              </w:rPr>
            </w:pPr>
          </w:p>
        </w:tc>
        <w:tc>
          <w:tcPr>
            <w:tcW w:w="1260" w:type="dxa"/>
            <w:vAlign w:val="bottom"/>
          </w:tcPr>
          <w:p>
            <w:pPr>
              <w:jc w:val="right"/>
              <w:ind w:right="11"/>
              <w:spacing w:after="0"/>
              <w:rPr>
                <w:sz w:val="20"/>
                <w:szCs w:val="20"/>
                <w:color w:val="auto"/>
              </w:rPr>
            </w:pPr>
            <w:r>
              <w:rPr>
                <w:rFonts w:ascii="Verdana" w:cs="Verdana" w:eastAsia="Verdana" w:hAnsi="Verdana"/>
                <w:sz w:val="14"/>
                <w:szCs w:val="14"/>
                <w:color w:val="auto"/>
              </w:rPr>
              <w:t>4,447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Verdana" w:cs="Verdana" w:eastAsia="Verdana" w:hAnsi="Verdana"/>
                <w:sz w:val="14"/>
                <w:szCs w:val="14"/>
                <w:color w:val="auto"/>
              </w:rPr>
              <w:t>7,679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12,126</w:t>
            </w:r>
          </w:p>
        </w:tc>
        <w:tc>
          <w:tcPr>
            <w:tcW w:w="0" w:type="dxa"/>
            <w:vAlign w:val="bottom"/>
          </w:tcPr>
          <w:p>
            <w:pPr>
              <w:spacing w:after="0"/>
              <w:rPr>
                <w:sz w:val="1"/>
                <w:szCs w:val="1"/>
                <w:color w:val="auto"/>
              </w:rPr>
            </w:pPr>
          </w:p>
        </w:tc>
      </w:tr>
      <w:tr>
        <w:trPr>
          <w:trHeight w:val="192"/>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Amortization of unrecognized losses on securities transferred</w:t>
            </w:r>
          </w:p>
        </w:tc>
        <w:tc>
          <w:tcPr>
            <w:tcW w:w="340" w:type="dxa"/>
            <w:vAlign w:val="bottom"/>
            <w:shd w:val="clear" w:color="auto" w:fill="E0E7ED"/>
          </w:tcPr>
          <w:p>
            <w:pPr>
              <w:spacing w:after="0"/>
              <w:rPr>
                <w:sz w:val="16"/>
                <w:szCs w:val="16"/>
                <w:color w:val="auto"/>
              </w:rPr>
            </w:pPr>
          </w:p>
        </w:tc>
        <w:tc>
          <w:tcPr>
            <w:tcW w:w="12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4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to held to maturity</w:t>
            </w:r>
          </w:p>
        </w:tc>
        <w:tc>
          <w:tcPr>
            <w:tcW w:w="340" w:type="dxa"/>
            <w:vAlign w:val="bottom"/>
            <w:shd w:val="clear" w:color="auto" w:fill="E0E7ED"/>
          </w:tcPr>
          <w:p>
            <w:pPr>
              <w:spacing w:after="0"/>
              <w:rPr>
                <w:sz w:val="16"/>
                <w:szCs w:val="16"/>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80" w:type="dxa"/>
            <w:vAlign w:val="bottom"/>
            <w:shd w:val="clear" w:color="auto" w:fill="E0E7ED"/>
          </w:tcPr>
          <w:p>
            <w:pPr>
              <w:spacing w:after="0"/>
              <w:rPr>
                <w:sz w:val="16"/>
                <w:szCs w:val="16"/>
                <w:color w:val="auto"/>
              </w:rPr>
            </w:pPr>
          </w:p>
        </w:tc>
        <w:tc>
          <w:tcPr>
            <w:tcW w:w="14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3,919</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15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3,919</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Verdana" w:cs="Verdana" w:eastAsia="Verdana" w:hAnsi="Verdana"/>
                <w:sz w:val="14"/>
                <w:szCs w:val="14"/>
                <w:b w:val="1"/>
                <w:bCs w:val="1"/>
                <w:color w:val="auto"/>
              </w:rPr>
              <w:t>Balance, December 31, 2024</w:t>
            </w:r>
          </w:p>
        </w:tc>
        <w:tc>
          <w:tcPr>
            <w:tcW w:w="340" w:type="dxa"/>
            <w:vAlign w:val="bottom"/>
            <w:tcBorders>
              <w:top w:val="single" w:sz="8" w:color="auto"/>
              <w:bottom w:val="single" w:sz="8" w:color="auto"/>
            </w:tcBorders>
          </w:tcPr>
          <w:p>
            <w:pPr>
              <w:ind w:left="20"/>
              <w:spacing w:after="0"/>
              <w:rPr>
                <w:sz w:val="20"/>
                <w:szCs w:val="20"/>
                <w:color w:val="auto"/>
              </w:rPr>
            </w:pPr>
            <w:r>
              <w:rPr>
                <w:rFonts w:ascii="Verdana" w:cs="Verdana" w:eastAsia="Verdana" w:hAnsi="Verdana"/>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(165,680)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Verdana" w:cs="Verdana" w:eastAsia="Verdana" w:hAnsi="Verdana"/>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(21,554)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(19,805)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(207,039)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8" w:name="page169"/>
    <w:bookmarkEnd w:id="168"/>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23. OPERATING SEGMENTS AND RELATED INFORMATION</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Busey’s reportable segments are determined by its chief executive officer, Van A. Dukeman, who is the designated chief operating decision maker. Busey is organized into three reportable operating segments: Banking, Wealth Management, and FirsTech. These operating segments are strategic business units that are separately managed, as they offer different products and services and have different marketing strategies.</w:t>
      </w:r>
    </w:p>
    <w:p>
      <w:pPr>
        <w:spacing w:after="0" w:line="11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To evaluate segment performance and make informed decisions regarding the allocation of capital and personnel to the segments, the chief operating decision maker reviews each segment’s actual revenues, consisting of net interest income plus noninterest income, and net income against budgeted revenues and net income on a monthly basis. This process enables the Company to (1) determine the cost and availability of funds within each business segment, (2) assess the profitability of a specific business segment by aligning relevant costs with revenues, and (3) evaluate each business segment in a way that reflects its economic impact on consolidated earnings.</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Banking</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Banking operating segment provides a full range of banking services to individual and corporate customers through First Busey Corporation’s wholly-owned bank subsidiary, Busey Bank, with 62 banking centers in Illinois; the St. Louis, Missouri, metropolitan area; southwest Florida; and Indianapolis, Indiana.</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CRE, real estate construction, and agricultural loans, as well as commercial depository services such as cash management.</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Wealth Management</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69" w:name="page170"/>
    <w:bookmarkEnd w:id="169"/>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FirsTech</w:t>
      </w:r>
    </w:p>
    <w:p>
      <w:pPr>
        <w:spacing w:after="0" w:line="13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2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FirsTech's client base represents a diverse set of industries, with a higher concentration in highly regulated industries, such as financial institutions, utility, insurance, and telecommunications industries.</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Segment Financial Information</w:t>
      </w:r>
    </w:p>
    <w:p>
      <w:pPr>
        <w:spacing w:after="0" w:line="137" w:lineRule="exact"/>
        <w:rPr>
          <w:sz w:val="20"/>
          <w:szCs w:val="20"/>
          <w:color w:val="auto"/>
        </w:rPr>
      </w:pPr>
    </w:p>
    <w:p>
      <w:pPr>
        <w:spacing w:after="0"/>
        <w:rPr>
          <w:sz w:val="20"/>
          <w:szCs w:val="20"/>
          <w:color w:val="auto"/>
        </w:rPr>
      </w:pPr>
      <w:r>
        <w:rPr>
          <w:rFonts w:ascii="Verdana" w:cs="Verdana" w:eastAsia="Verdana" w:hAnsi="Verdana"/>
          <w:sz w:val="14"/>
          <w:szCs w:val="14"/>
          <w:color w:val="auto"/>
        </w:rPr>
        <w:t>The accounting policies of Busey’s operating segments are the same as those described in the summary of significant accounting policies in “</w:t>
      </w:r>
      <w:r>
        <w:rPr>
          <w:rFonts w:ascii="Verdana" w:cs="Verdana" w:eastAsia="Verdana" w:hAnsi="Verdana"/>
          <w:sz w:val="14"/>
          <w:szCs w:val="14"/>
          <w:i w:val="1"/>
          <w:iCs w:val="1"/>
          <w:u w:val="single" w:color="auto"/>
          <w:color w:val="0000FF"/>
        </w:rPr>
        <w:t>Note 1.</w:t>
      </w:r>
    </w:p>
    <w:p>
      <w:pPr>
        <w:spacing w:after="0"/>
        <w:rPr>
          <w:sz w:val="20"/>
          <w:szCs w:val="20"/>
          <w:color w:val="auto"/>
        </w:rPr>
      </w:pPr>
      <w:r>
        <w:rPr>
          <w:rFonts w:ascii="Verdana" w:cs="Verdana" w:eastAsia="Verdana" w:hAnsi="Verdana"/>
          <w:sz w:val="14"/>
          <w:szCs w:val="14"/>
          <w:i w:val="1"/>
          <w:iCs w:val="1"/>
          <w:u w:val="single" w:color="auto"/>
          <w:color w:val="0000FF"/>
        </w:rPr>
        <w:t>Significant Accounting Policies</w:t>
      </w:r>
      <w:r>
        <w:rPr>
          <w:rFonts w:ascii="Verdana" w:cs="Verdana" w:eastAsia="Verdana" w:hAnsi="Verdana"/>
          <w:sz w:val="14"/>
          <w:szCs w:val="14"/>
          <w:u w:val="single" w:color="auto"/>
          <w:color w:val="0000FF"/>
        </w:rPr>
        <w:t>.</w:t>
      </w:r>
      <w:r>
        <w:rPr>
          <w:rFonts w:ascii="Verdana" w:cs="Verdana" w:eastAsia="Verdana" w:hAnsi="Verdana"/>
          <w:sz w:val="14"/>
          <w:szCs w:val="14"/>
          <w:color w:val="000000"/>
        </w:rPr>
        <w:t>” Busey accounts for intersegment revenue and transfers at current market prices.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 xml:space="preserve">Goodwill and total assets are detailed below by operating segment. The “other” category included in the tables below consists of the parent company, First Busey Risk Management until its dissolution on December 18, 2023, and the elimination of intercompany transactions </w:t>
      </w:r>
      <w:r>
        <w:rPr>
          <w:rFonts w:ascii="Verdana" w:cs="Verdana" w:eastAsia="Verdana" w:hAnsi="Verdana"/>
          <w:sz w:val="14"/>
          <w:szCs w:val="14"/>
          <w:i w:val="1"/>
          <w:iCs w:val="1"/>
          <w:color w:val="auto"/>
        </w:rPr>
        <w:t>(dollars in thousands)</w:t>
      </w:r>
      <w:r>
        <w:rPr>
          <w:rFonts w:ascii="Verdana" w:cs="Verdana" w:eastAsia="Verdana" w:hAnsi="Verdana"/>
          <w:sz w:val="14"/>
          <w:szCs w:val="14"/>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2024</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1"/>
        </w:trPr>
        <w:tc>
          <w:tcPr>
            <w:tcW w:w="352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56"/>
              <w:spacing w:after="0"/>
              <w:rPr>
                <w:sz w:val="20"/>
                <w:szCs w:val="20"/>
                <w:color w:val="auto"/>
              </w:rPr>
            </w:pPr>
            <w:r>
              <w:rPr>
                <w:rFonts w:ascii="Verdana" w:cs="Verdana" w:eastAsia="Verdana" w:hAnsi="Verdana"/>
                <w:sz w:val="10"/>
                <w:szCs w:val="10"/>
                <w:b w:val="1"/>
                <w:bCs w:val="1"/>
                <w:color w:val="auto"/>
              </w:rPr>
              <w:t>Banking</w:t>
            </w:r>
          </w:p>
        </w:tc>
        <w:tc>
          <w:tcPr>
            <w:tcW w:w="8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16"/>
              <w:spacing w:after="0"/>
              <w:rPr>
                <w:sz w:val="20"/>
                <w:szCs w:val="20"/>
                <w:color w:val="auto"/>
              </w:rPr>
            </w:pPr>
            <w:r>
              <w:rPr>
                <w:rFonts w:ascii="Verdana" w:cs="Verdana" w:eastAsia="Verdana" w:hAnsi="Verdana"/>
                <w:sz w:val="10"/>
                <w:szCs w:val="10"/>
                <w:b w:val="1"/>
                <w:bCs w:val="1"/>
                <w:color w:val="auto"/>
              </w:rPr>
              <w:t>Wealth Management</w:t>
            </w:r>
          </w:p>
        </w:tc>
        <w:tc>
          <w:tcPr>
            <w:tcW w:w="8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36"/>
              <w:spacing w:after="0"/>
              <w:rPr>
                <w:sz w:val="20"/>
                <w:szCs w:val="20"/>
                <w:color w:val="auto"/>
              </w:rPr>
            </w:pPr>
            <w:r>
              <w:rPr>
                <w:rFonts w:ascii="Verdana" w:cs="Verdana" w:eastAsia="Verdana" w:hAnsi="Verdana"/>
                <w:sz w:val="10"/>
                <w:szCs w:val="10"/>
                <w:b w:val="1"/>
                <w:bCs w:val="1"/>
                <w:color w:val="auto"/>
              </w:rPr>
              <w:t>FirsTech</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Other</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Goodwill</w:t>
            </w:r>
          </w:p>
        </w:tc>
        <w:tc>
          <w:tcPr>
            <w:tcW w:w="30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310,595</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36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14,108</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40"/>
              <w:spacing w:after="0"/>
              <w:rPr>
                <w:sz w:val="20"/>
                <w:szCs w:val="20"/>
                <w:color w:val="auto"/>
              </w:rPr>
            </w:pPr>
            <w:r>
              <w:rPr>
                <w:rFonts w:ascii="Verdana" w:cs="Verdana" w:eastAsia="Verdana" w:hAnsi="Verdana"/>
                <w:sz w:val="14"/>
                <w:szCs w:val="14"/>
                <w:color w:val="auto"/>
                <w:w w:val="88"/>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8,992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333,695</w:t>
            </w:r>
          </w:p>
        </w:tc>
      </w:tr>
      <w:tr>
        <w:trPr>
          <w:trHeight w:val="201"/>
        </w:trPr>
        <w:tc>
          <w:tcPr>
            <w:tcW w:w="3520" w:type="dxa"/>
            <w:vAlign w:val="bottom"/>
          </w:tcPr>
          <w:p>
            <w:pPr>
              <w:ind w:left="20"/>
              <w:spacing w:after="0"/>
              <w:rPr>
                <w:sz w:val="20"/>
                <w:szCs w:val="20"/>
                <w:color w:val="auto"/>
              </w:rPr>
            </w:pPr>
            <w:r>
              <w:rPr>
                <w:rFonts w:ascii="Verdana" w:cs="Verdana" w:eastAsia="Verdana" w:hAnsi="Verdana"/>
                <w:sz w:val="14"/>
                <w:szCs w:val="14"/>
                <w:color w:val="auto"/>
              </w:rPr>
              <w:t>Total assets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11,856,651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Verdana" w:cs="Verdana" w:eastAsia="Verdana" w:hAnsi="Verdana"/>
                <w:sz w:val="14"/>
                <w:szCs w:val="14"/>
                <w:color w:val="auto"/>
              </w:rPr>
              <w:t>126,180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57,737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6"/>
              <w:spacing w:after="0"/>
              <w:rPr>
                <w:sz w:val="20"/>
                <w:szCs w:val="20"/>
                <w:color w:val="auto"/>
              </w:rPr>
            </w:pPr>
            <w:r>
              <w:rPr>
                <w:rFonts w:ascii="Verdana" w:cs="Verdana" w:eastAsia="Verdana" w:hAnsi="Verdana"/>
                <w:sz w:val="14"/>
                <w:szCs w:val="14"/>
                <w:color w:val="auto"/>
              </w:rPr>
              <w:t>6,154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12,046,722</w:t>
            </w:r>
          </w:p>
        </w:tc>
      </w:tr>
      <w:tr>
        <w:trPr>
          <w:trHeight w:val="375"/>
        </w:trPr>
        <w:tc>
          <w:tcPr>
            <w:tcW w:w="3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0"/>
                <w:szCs w:val="10"/>
                <w:b w:val="1"/>
                <w:bCs w:val="1"/>
                <w:color w:val="auto"/>
                <w:w w:val="98"/>
              </w:rPr>
              <w:t>As of December 31, 2023</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1"/>
        </w:trPr>
        <w:tc>
          <w:tcPr>
            <w:tcW w:w="352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56"/>
              <w:spacing w:after="0"/>
              <w:rPr>
                <w:sz w:val="20"/>
                <w:szCs w:val="20"/>
                <w:color w:val="auto"/>
              </w:rPr>
            </w:pPr>
            <w:r>
              <w:rPr>
                <w:rFonts w:ascii="Verdana" w:cs="Verdana" w:eastAsia="Verdana" w:hAnsi="Verdana"/>
                <w:sz w:val="10"/>
                <w:szCs w:val="10"/>
                <w:b w:val="1"/>
                <w:bCs w:val="1"/>
                <w:color w:val="auto"/>
              </w:rPr>
              <w:t>Banking</w:t>
            </w:r>
          </w:p>
        </w:tc>
        <w:tc>
          <w:tcPr>
            <w:tcW w:w="8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16"/>
              <w:spacing w:after="0"/>
              <w:rPr>
                <w:sz w:val="20"/>
                <w:szCs w:val="20"/>
                <w:color w:val="auto"/>
              </w:rPr>
            </w:pPr>
            <w:r>
              <w:rPr>
                <w:rFonts w:ascii="Verdana" w:cs="Verdana" w:eastAsia="Verdana" w:hAnsi="Verdana"/>
                <w:sz w:val="10"/>
                <w:szCs w:val="10"/>
                <w:b w:val="1"/>
                <w:bCs w:val="1"/>
                <w:color w:val="auto"/>
              </w:rPr>
              <w:t>Wealth Management</w:t>
            </w:r>
          </w:p>
        </w:tc>
        <w:tc>
          <w:tcPr>
            <w:tcW w:w="8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36"/>
              <w:spacing w:after="0"/>
              <w:rPr>
                <w:sz w:val="20"/>
                <w:szCs w:val="20"/>
                <w:color w:val="auto"/>
              </w:rPr>
            </w:pPr>
            <w:r>
              <w:rPr>
                <w:rFonts w:ascii="Verdana" w:cs="Verdana" w:eastAsia="Verdana" w:hAnsi="Verdana"/>
                <w:sz w:val="10"/>
                <w:szCs w:val="10"/>
                <w:b w:val="1"/>
                <w:bCs w:val="1"/>
                <w:color w:val="auto"/>
              </w:rPr>
              <w:t>FirsTech</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Other</w:t>
            </w:r>
          </w:p>
        </w:tc>
        <w:tc>
          <w:tcPr>
            <w:tcW w:w="80" w:type="dxa"/>
            <w:vAlign w:val="bottom"/>
            <w:tcBorders>
              <w:bottom w:val="single" w:sz="8" w:color="E0E7ED"/>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6"/>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Goodwill</w:t>
            </w:r>
          </w:p>
        </w:tc>
        <w:tc>
          <w:tcPr>
            <w:tcW w:w="30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w w:val="88"/>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294,773</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360" w:type="dxa"/>
            <w:vAlign w:val="bottom"/>
            <w:shd w:val="clear" w:color="auto" w:fill="E0E7ED"/>
          </w:tcPr>
          <w:p>
            <w:pPr>
              <w:jc w:val="right"/>
              <w:ind w:right="16"/>
              <w:spacing w:after="0"/>
              <w:rPr>
                <w:sz w:val="20"/>
                <w:szCs w:val="20"/>
                <w:color w:val="auto"/>
              </w:rPr>
            </w:pPr>
            <w:r>
              <w:rPr>
                <w:rFonts w:ascii="Verdana" w:cs="Verdana" w:eastAsia="Verdana" w:hAnsi="Verdana"/>
                <w:sz w:val="14"/>
                <w:szCs w:val="14"/>
                <w:color w:val="auto"/>
              </w:rPr>
              <w:t>14,108</w:t>
            </w: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jc w:val="right"/>
              <w:ind w:right="140"/>
              <w:spacing w:after="0"/>
              <w:rPr>
                <w:sz w:val="20"/>
                <w:szCs w:val="20"/>
                <w:color w:val="auto"/>
              </w:rPr>
            </w:pPr>
            <w:r>
              <w:rPr>
                <w:rFonts w:ascii="Verdana" w:cs="Verdana" w:eastAsia="Verdana" w:hAnsi="Verdana"/>
                <w:sz w:val="14"/>
                <w:szCs w:val="14"/>
                <w:color w:val="auto"/>
                <w:w w:val="88"/>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8,992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4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w w:val="88"/>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317,873</w:t>
            </w:r>
          </w:p>
        </w:tc>
      </w:tr>
      <w:tr>
        <w:trPr>
          <w:trHeight w:val="201"/>
        </w:trPr>
        <w:tc>
          <w:tcPr>
            <w:tcW w:w="3520" w:type="dxa"/>
            <w:vAlign w:val="bottom"/>
          </w:tcPr>
          <w:p>
            <w:pPr>
              <w:ind w:left="20"/>
              <w:spacing w:after="0"/>
              <w:rPr>
                <w:sz w:val="20"/>
                <w:szCs w:val="20"/>
                <w:color w:val="auto"/>
              </w:rPr>
            </w:pPr>
            <w:r>
              <w:rPr>
                <w:rFonts w:ascii="Verdana" w:cs="Verdana" w:eastAsia="Verdana" w:hAnsi="Verdana"/>
                <w:sz w:val="14"/>
                <w:szCs w:val="14"/>
                <w:color w:val="auto"/>
              </w:rPr>
              <w:t>Total assets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12,125,298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Verdana" w:cs="Verdana" w:eastAsia="Verdana" w:hAnsi="Verdana"/>
                <w:sz w:val="14"/>
                <w:szCs w:val="14"/>
                <w:color w:val="auto"/>
              </w:rPr>
              <w:t>103,147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51,600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6"/>
              <w:spacing w:after="0"/>
              <w:rPr>
                <w:sz w:val="20"/>
                <w:szCs w:val="20"/>
                <w:color w:val="auto"/>
              </w:rPr>
            </w:pPr>
            <w:r>
              <w:rPr>
                <w:rFonts w:ascii="Verdana" w:cs="Verdana" w:eastAsia="Verdana" w:hAnsi="Verdana"/>
                <w:sz w:val="14"/>
                <w:szCs w:val="14"/>
                <w:color w:val="auto"/>
              </w:rPr>
              <w:t>3,370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12,283,415</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0" w:name="page171"/>
    <w:bookmarkEnd w:id="170"/>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Financial results by operating segment, including significant expense categories provided to the chief operating decision maker, are detailed below </w:t>
      </w:r>
      <w:r>
        <w:rPr>
          <w:rFonts w:ascii="Verdana" w:cs="Verdana" w:eastAsia="Verdana" w:hAnsi="Verdana"/>
          <w:sz w:val="14"/>
          <w:szCs w:val="14"/>
          <w:i w:val="1"/>
          <w:iCs w:val="1"/>
          <w:color w:val="auto"/>
        </w:rPr>
        <w:t>(dollars 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thousands)</w:t>
      </w:r>
      <w:r>
        <w:rPr>
          <w:rFonts w:ascii="Verdana" w:cs="Verdana" w:eastAsia="Verdana" w:hAnsi="Verdana"/>
          <w:sz w:val="14"/>
          <w:szCs w:val="14"/>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6"/>
          </w:tcPr>
          <w:p>
            <w:pPr>
              <w:jc w:val="center"/>
              <w:ind w:right="209"/>
              <w:spacing w:after="0"/>
              <w:rPr>
                <w:sz w:val="20"/>
                <w:szCs w:val="20"/>
                <w:color w:val="auto"/>
              </w:rPr>
            </w:pPr>
            <w:r>
              <w:rPr>
                <w:rFonts w:ascii="Verdana" w:cs="Verdana" w:eastAsia="Verdana" w:hAnsi="Verdana"/>
                <w:sz w:val="10"/>
                <w:szCs w:val="10"/>
                <w:b w:val="1"/>
                <w:bCs w:val="1"/>
                <w:color w:val="auto"/>
                <w:w w:val="98"/>
              </w:rPr>
              <w:t>Year Ended December 31, 2024</w:t>
            </w: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1"/>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200"/>
              <w:spacing w:after="0"/>
              <w:rPr>
                <w:sz w:val="20"/>
                <w:szCs w:val="20"/>
                <w:color w:val="auto"/>
              </w:rPr>
            </w:pPr>
            <w:r>
              <w:rPr>
                <w:rFonts w:ascii="Verdana" w:cs="Verdana" w:eastAsia="Verdana" w:hAnsi="Verdana"/>
                <w:sz w:val="10"/>
                <w:szCs w:val="10"/>
                <w:b w:val="1"/>
                <w:bCs w:val="1"/>
                <w:color w:val="auto"/>
              </w:rPr>
              <w:t>Banking</w:t>
            </w:r>
          </w:p>
        </w:tc>
        <w:tc>
          <w:tcPr>
            <w:tcW w:w="140" w:type="dxa"/>
            <w:vAlign w:val="bottom"/>
          </w:tcPr>
          <w:p>
            <w:pPr>
              <w:spacing w:after="0"/>
              <w:rPr>
                <w:sz w:val="11"/>
                <w:szCs w:val="11"/>
                <w:color w:val="auto"/>
              </w:rPr>
            </w:pPr>
          </w:p>
        </w:tc>
        <w:tc>
          <w:tcPr>
            <w:tcW w:w="1300" w:type="dxa"/>
            <w:vAlign w:val="bottom"/>
          </w:tcPr>
          <w:p>
            <w:pPr>
              <w:jc w:val="right"/>
              <w:ind w:right="50"/>
              <w:spacing w:after="0"/>
              <w:rPr>
                <w:sz w:val="20"/>
                <w:szCs w:val="20"/>
                <w:color w:val="auto"/>
              </w:rPr>
            </w:pPr>
            <w:r>
              <w:rPr>
                <w:rFonts w:ascii="Verdana" w:cs="Verdana" w:eastAsia="Verdana" w:hAnsi="Verdana"/>
                <w:sz w:val="10"/>
                <w:szCs w:val="10"/>
                <w:b w:val="1"/>
                <w:bCs w:val="1"/>
                <w:color w:val="auto"/>
              </w:rPr>
              <w:t>Wealth Management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0"/>
                <w:szCs w:val="10"/>
                <w:b w:val="1"/>
                <w:bCs w:val="1"/>
                <w:color w:val="auto"/>
              </w:rPr>
              <w:t>FirsTech</w:t>
            </w:r>
          </w:p>
        </w:tc>
        <w:tc>
          <w:tcPr>
            <w:tcW w:w="360" w:type="dxa"/>
            <w:vAlign w:val="bottom"/>
          </w:tcPr>
          <w:p>
            <w:pPr>
              <w:spacing w:after="0"/>
              <w:rPr>
                <w:sz w:val="11"/>
                <w:szCs w:val="11"/>
                <w:color w:val="auto"/>
              </w:rPr>
            </w:pPr>
          </w:p>
        </w:tc>
        <w:tc>
          <w:tcPr>
            <w:tcW w:w="1220" w:type="dxa"/>
            <w:vAlign w:val="bottom"/>
            <w:gridSpan w:val="2"/>
          </w:tcPr>
          <w:p>
            <w:pPr>
              <w:ind w:left="240"/>
              <w:spacing w:after="0"/>
              <w:rPr>
                <w:sz w:val="20"/>
                <w:szCs w:val="20"/>
                <w:color w:val="auto"/>
              </w:rPr>
            </w:pPr>
            <w:r>
              <w:rPr>
                <w:rFonts w:ascii="Verdana" w:cs="Verdana" w:eastAsia="Verdana" w:hAnsi="Verdana"/>
                <w:sz w:val="10"/>
                <w:szCs w:val="10"/>
                <w:b w:val="1"/>
                <w:bCs w:val="1"/>
                <w:color w:val="auto"/>
              </w:rPr>
              <w:t>Other</w:t>
            </w:r>
          </w:p>
        </w:tc>
        <w:tc>
          <w:tcPr>
            <w:tcW w:w="360" w:type="dxa"/>
            <w:vAlign w:val="bottom"/>
          </w:tcPr>
          <w:p>
            <w:pPr>
              <w:spacing w:after="0"/>
              <w:rPr>
                <w:sz w:val="11"/>
                <w:szCs w:val="11"/>
                <w:color w:val="auto"/>
              </w:rPr>
            </w:pPr>
          </w:p>
        </w:tc>
        <w:tc>
          <w:tcPr>
            <w:tcW w:w="1120" w:type="dxa"/>
            <w:vAlign w:val="bottom"/>
          </w:tcPr>
          <w:p>
            <w:pPr>
              <w:jc w:val="right"/>
              <w:ind w:right="530"/>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income</w:t>
            </w:r>
          </w:p>
        </w:tc>
        <w:tc>
          <w:tcPr>
            <w:tcW w:w="320" w:type="dxa"/>
            <w:vAlign w:val="bottom"/>
            <w:tcBorders>
              <w:top w:val="single" w:sz="8" w:color="auto"/>
            </w:tcBorders>
            <w:shd w:val="clear" w:color="auto" w:fill="E0E7ED"/>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523,648</w:t>
            </w:r>
          </w:p>
        </w:tc>
        <w:tc>
          <w:tcPr>
            <w:tcW w:w="80" w:type="dxa"/>
            <w:vAlign w:val="bottom"/>
            <w:tcBorders>
              <w:top w:val="single" w:sz="8" w:color="auto"/>
            </w:tcBorders>
            <w:shd w:val="clear" w:color="auto" w:fill="E0E7ED"/>
          </w:tcPr>
          <w:p>
            <w:pPr>
              <w:spacing w:after="0"/>
              <w:rPr>
                <w:sz w:val="18"/>
                <w:szCs w:val="18"/>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440" w:type="dxa"/>
            <w:vAlign w:val="bottom"/>
            <w:tcBorders>
              <w:top w:val="single" w:sz="8" w:color="auto"/>
            </w:tcBorders>
            <w:gridSpan w:val="3"/>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60" w:type="dxa"/>
            <w:vAlign w:val="bottom"/>
            <w:tcBorders>
              <w:top w:val="single" w:sz="8" w:color="auto"/>
            </w:tcBorders>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Borders>
              <w:top w:val="single" w:sz="8" w:color="auto"/>
            </w:tcBorders>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4"/>
                <w:szCs w:val="14"/>
                <w:color w:val="auto"/>
              </w:rPr>
              <w:t>33</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523,681</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income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324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(372)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183,126</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17,944</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201,070</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2,664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(2,664)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8"/>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w:t>
            </w:r>
          </w:p>
        </w:tc>
        <w:tc>
          <w:tcPr>
            <w:tcW w:w="320" w:type="dxa"/>
            <w:vAlign w:val="bottom"/>
            <w:tcBorders>
              <w:top w:val="single" w:sz="8" w:color="auto"/>
            </w:tcBorders>
            <w:shd w:val="clear" w:color="auto" w:fill="E0E7ED"/>
          </w:tcPr>
          <w:p>
            <w:pPr>
              <w:spacing w:after="0"/>
              <w:rPr>
                <w:sz w:val="18"/>
                <w:szCs w:val="18"/>
                <w:color w:val="auto"/>
              </w:rPr>
            </w:pPr>
          </w:p>
        </w:tc>
        <w:tc>
          <w:tcPr>
            <w:tcW w:w="1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338,182</w:t>
            </w:r>
          </w:p>
        </w:tc>
        <w:tc>
          <w:tcPr>
            <w:tcW w:w="80" w:type="dxa"/>
            <w:vAlign w:val="bottom"/>
            <w:tcBorders>
              <w:top w:val="single" w:sz="8" w:color="E0E7ED"/>
            </w:tcBorders>
            <w:shd w:val="clear" w:color="auto" w:fill="E0E7ED"/>
          </w:tcPr>
          <w:p>
            <w:pPr>
              <w:spacing w:after="0"/>
              <w:rPr>
                <w:sz w:val="18"/>
                <w:szCs w:val="18"/>
                <w:color w:val="auto"/>
              </w:rPr>
            </w:pPr>
          </w:p>
        </w:tc>
        <w:tc>
          <w:tcPr>
            <w:tcW w:w="140" w:type="dxa"/>
            <w:vAlign w:val="bottom"/>
            <w:tcBorders>
              <w:top w:val="single" w:sz="8" w:color="auto"/>
            </w:tcBorders>
            <w:shd w:val="clear" w:color="auto" w:fill="E0E7ED"/>
          </w:tcPr>
          <w:p>
            <w:pPr>
              <w:spacing w:after="0"/>
              <w:rPr>
                <w:sz w:val="18"/>
                <w:szCs w:val="18"/>
                <w:color w:val="auto"/>
              </w:rPr>
            </w:pPr>
          </w:p>
        </w:tc>
        <w:tc>
          <w:tcPr>
            <w:tcW w:w="13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300" w:type="dxa"/>
            <w:vAlign w:val="bottom"/>
            <w:tcBorders>
              <w:top w:val="single" w:sz="8" w:color="auto"/>
            </w:tcBorders>
            <w:shd w:val="clear" w:color="auto" w:fill="E0E7ED"/>
          </w:tcPr>
          <w:p>
            <w:pPr>
              <w:spacing w:after="0"/>
              <w:rPr>
                <w:sz w:val="18"/>
                <w:szCs w:val="18"/>
                <w:color w:val="auto"/>
              </w:rPr>
            </w:pPr>
          </w:p>
        </w:tc>
        <w:tc>
          <w:tcPr>
            <w:tcW w:w="11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48</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(15,619)</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322,611</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Provision for credit losses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8,590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8,590</w:t>
            </w:r>
          </w:p>
        </w:tc>
      </w:tr>
      <w:tr>
        <w:trPr>
          <w:trHeight w:val="172"/>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interest income after provision for credit</w:t>
            </w:r>
          </w:p>
        </w:tc>
        <w:tc>
          <w:tcPr>
            <w:tcW w:w="320" w:type="dxa"/>
            <w:vAlign w:val="bottom"/>
            <w:tcBorders>
              <w:top w:val="single" w:sz="8" w:color="auto"/>
            </w:tcBorders>
            <w:shd w:val="clear" w:color="auto" w:fill="E0E7ED"/>
          </w:tcPr>
          <w:p>
            <w:pPr>
              <w:spacing w:after="0"/>
              <w:rPr>
                <w:sz w:val="14"/>
                <w:szCs w:val="14"/>
                <w:color w:val="auto"/>
              </w:rPr>
            </w:pPr>
          </w:p>
        </w:tc>
        <w:tc>
          <w:tcPr>
            <w:tcW w:w="11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1300" w:type="dxa"/>
            <w:vAlign w:val="bottom"/>
            <w:tcBorders>
              <w:top w:val="single" w:sz="8" w:color="auto"/>
            </w:tcBorders>
            <w:shd w:val="clear" w:color="auto" w:fill="E0E7ED"/>
          </w:tcPr>
          <w:p>
            <w:pPr>
              <w:spacing w:after="0"/>
              <w:rPr>
                <w:sz w:val="14"/>
                <w:szCs w:val="14"/>
                <w:color w:val="auto"/>
              </w:rPr>
            </w:pPr>
          </w:p>
        </w:tc>
        <w:tc>
          <w:tcPr>
            <w:tcW w:w="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00" w:type="dxa"/>
            <w:vAlign w:val="bottom"/>
            <w:tcBorders>
              <w:top w:val="single" w:sz="8" w:color="auto"/>
            </w:tcBorders>
            <w:shd w:val="clear" w:color="auto" w:fill="E0E7ED"/>
          </w:tcPr>
          <w:p>
            <w:pPr>
              <w:spacing w:after="0"/>
              <w:rPr>
                <w:sz w:val="14"/>
                <w:szCs w:val="14"/>
                <w:color w:val="auto"/>
              </w:rPr>
            </w:pPr>
          </w:p>
        </w:tc>
        <w:tc>
          <w:tcPr>
            <w:tcW w:w="11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spacing w:after="0"/>
              <w:rPr>
                <w:sz w:val="14"/>
                <w:szCs w:val="14"/>
                <w:color w:val="auto"/>
              </w:rPr>
            </w:pPr>
          </w:p>
        </w:tc>
      </w:tr>
      <w:tr>
        <w:trPr>
          <w:trHeight w:val="190"/>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losses</w:t>
            </w:r>
          </w:p>
        </w:tc>
        <w:tc>
          <w:tcPr>
            <w:tcW w:w="320" w:type="dxa"/>
            <w:vAlign w:val="bottom"/>
            <w:tcBorders>
              <w:bottom w:val="single" w:sz="8" w:color="auto"/>
            </w:tcBorders>
            <w:shd w:val="clear" w:color="auto" w:fill="E0E7ED"/>
          </w:tcPr>
          <w:p>
            <w:pPr>
              <w:spacing w:after="0"/>
              <w:rPr>
                <w:sz w:val="16"/>
                <w:szCs w:val="16"/>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329,592</w:t>
            </w:r>
          </w:p>
        </w:tc>
        <w:tc>
          <w:tcPr>
            <w:tcW w:w="8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48</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(15,619)</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314,021</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Wealth management fees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63,630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63,630</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Fees for customer services</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30,933</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30,933</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Payment technology solutions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21,983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21,983</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All other 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20,871</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1,323</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942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23,136</w:t>
            </w:r>
          </w:p>
        </w:tc>
      </w:tr>
      <w:tr>
        <w:trPr>
          <w:trHeight w:val="207"/>
        </w:trPr>
        <w:tc>
          <w:tcPr>
            <w:tcW w:w="3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Intersegment noninterest income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1,402</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1,071</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(2,473)</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Noninterest income</w:t>
            </w:r>
          </w:p>
        </w:tc>
        <w:tc>
          <w:tcPr>
            <w:tcW w:w="32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53,206</w:t>
            </w:r>
          </w:p>
        </w:tc>
        <w:tc>
          <w:tcPr>
            <w:tcW w:w="80" w:type="dxa"/>
            <w:vAlign w:val="bottom"/>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spacing w:after="0"/>
              <w:rPr>
                <w:sz w:val="17"/>
                <w:szCs w:val="17"/>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64,953</w:t>
            </w:r>
          </w:p>
        </w:tc>
        <w:tc>
          <w:tcPr>
            <w:tcW w:w="60" w:type="dxa"/>
            <w:vAlign w:val="bottom"/>
            <w:tcBorders>
              <w:bottom w:val="single" w:sz="8" w:color="auto"/>
            </w:tcBorders>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23,054</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(1,531)</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139,682</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Revenue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391,388</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64,953</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23,102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(17,150)</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462,293</w:t>
            </w:r>
          </w:p>
        </w:tc>
      </w:tr>
      <w:tr>
        <w:trPr>
          <w:trHeight w:val="138"/>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117,730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26,631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10,130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21,128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175,619</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Data processing</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20,631</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2,263</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3,692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538</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27,124</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Amortization of intangible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8,916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1,141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10,057</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Interchange expense</w:t>
            </w:r>
          </w:p>
        </w:tc>
        <w:tc>
          <w:tcPr>
            <w:tcW w:w="320" w:type="dxa"/>
            <w:vAlign w:val="bottom"/>
            <w:shd w:val="clear" w:color="auto" w:fill="E0E7ED"/>
          </w:tcPr>
          <w:p>
            <w:pPr>
              <w:spacing w:after="0"/>
              <w:rPr>
                <w:sz w:val="18"/>
                <w:szCs w:val="18"/>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6,001</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6,001</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All other noninterest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66,433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2,836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2,736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9,593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81,598</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Intersegment noninterest expense</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11,457</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3,096</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1,443</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(15,996)</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Noninterest expense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225,167</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35,967</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24,002</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15,263</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300,399</w:t>
            </w:r>
          </w:p>
        </w:tc>
      </w:tr>
      <w:tr>
        <w:trPr>
          <w:trHeight w:val="123"/>
        </w:trPr>
        <w:tc>
          <w:tcPr>
            <w:tcW w:w="352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1300" w:type="dxa"/>
            <w:vAlign w:val="bottom"/>
            <w:shd w:val="clear" w:color="auto" w:fill="E0E7ED"/>
          </w:tcPr>
          <w:p>
            <w:pPr>
              <w:spacing w:after="0"/>
              <w:rPr>
                <w:sz w:val="10"/>
                <w:szCs w:val="10"/>
                <w:color w:val="auto"/>
              </w:rPr>
            </w:pPr>
          </w:p>
        </w:tc>
        <w:tc>
          <w:tcPr>
            <w:tcW w:w="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00" w:type="dxa"/>
            <w:vAlign w:val="bottom"/>
            <w:shd w:val="clear" w:color="auto" w:fill="E0E7ED"/>
          </w:tcPr>
          <w:p>
            <w:pPr>
              <w:spacing w:after="0"/>
              <w:rPr>
                <w:sz w:val="10"/>
                <w:szCs w:val="10"/>
                <w:color w:val="auto"/>
              </w:rPr>
            </w:pPr>
          </w:p>
        </w:tc>
        <w:tc>
          <w:tcPr>
            <w:tcW w:w="118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20" w:type="dxa"/>
            <w:vAlign w:val="bottom"/>
            <w:shd w:val="clear" w:color="auto" w:fill="E0E7ED"/>
          </w:tcPr>
          <w:p>
            <w:pPr>
              <w:spacing w:after="0"/>
              <w:rPr>
                <w:sz w:val="10"/>
                <w:szCs w:val="10"/>
                <w:color w:val="auto"/>
              </w:rPr>
            </w:pP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Income (loss) before income taxes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157,631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28,986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(900)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(32,413)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153,304</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Income taxes</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40,365</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6,956</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(230)</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(7,478)</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39,613</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b w:val="1"/>
                <w:bCs w:val="1"/>
                <w:color w:val="auto"/>
              </w:rPr>
              <w:t>Net income</w:t>
            </w:r>
          </w:p>
        </w:tc>
        <w:tc>
          <w:tcPr>
            <w:tcW w:w="320" w:type="dxa"/>
            <w:vAlign w:val="bottom"/>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117,266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22,030</w:t>
            </w:r>
          </w:p>
        </w:tc>
        <w:tc>
          <w:tcPr>
            <w:tcW w:w="440" w:type="dxa"/>
            <w:vAlign w:val="bottom"/>
            <w:gridSpan w:val="3"/>
          </w:tcPr>
          <w:p>
            <w:pPr>
              <w:jc w:val="right"/>
              <w:ind w:right="200"/>
              <w:spacing w:after="0"/>
              <w:rPr>
                <w:sz w:val="20"/>
                <w:szCs w:val="20"/>
                <w:color w:val="auto"/>
              </w:rPr>
            </w:pPr>
            <w:r>
              <w:rPr>
                <w:rFonts w:ascii="Verdana" w:cs="Verdana" w:eastAsia="Verdana" w:hAnsi="Verdana"/>
                <w:sz w:val="14"/>
                <w:szCs w:val="14"/>
                <w:color w:val="auto"/>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(670)</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Pr>
          <w:p>
            <w:pPr>
              <w:jc w:val="right"/>
              <w:spacing w:after="0"/>
              <w:rPr>
                <w:sz w:val="20"/>
                <w:szCs w:val="20"/>
                <w:color w:val="auto"/>
              </w:rPr>
            </w:pPr>
            <w:r>
              <w:rPr>
                <w:rFonts w:ascii="Verdana" w:cs="Verdana" w:eastAsia="Verdana" w:hAnsi="Verdana"/>
                <w:sz w:val="14"/>
                <w:szCs w:val="14"/>
                <w:color w:val="auto"/>
              </w:rPr>
              <w:t>(24,935)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Pr>
          <w:p>
            <w:pPr>
              <w:jc w:val="right"/>
              <w:spacing w:after="0"/>
              <w:rPr>
                <w:sz w:val="20"/>
                <w:szCs w:val="20"/>
                <w:color w:val="auto"/>
              </w:rPr>
            </w:pPr>
            <w:r>
              <w:rPr>
                <w:rFonts w:ascii="Verdana" w:cs="Verdana" w:eastAsia="Verdana" w:hAnsi="Verdana"/>
                <w:sz w:val="14"/>
                <w:szCs w:val="14"/>
                <w:color w:val="auto"/>
              </w:rPr>
              <w:t>113,691</w:t>
            </w:r>
          </w:p>
        </w:tc>
      </w:tr>
    </w:tbl>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1" w:name="page172"/>
    <w:bookmarkEnd w:id="171"/>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6"/>
          </w:tcPr>
          <w:p>
            <w:pPr>
              <w:jc w:val="right"/>
              <w:ind w:right="229"/>
              <w:spacing w:after="0"/>
              <w:rPr>
                <w:sz w:val="20"/>
                <w:szCs w:val="20"/>
                <w:color w:val="auto"/>
              </w:rPr>
            </w:pPr>
            <w:r>
              <w:rPr>
                <w:rFonts w:ascii="Verdana" w:cs="Verdana" w:eastAsia="Verdana" w:hAnsi="Verdana"/>
                <w:sz w:val="10"/>
                <w:szCs w:val="10"/>
                <w:b w:val="1"/>
                <w:bCs w:val="1"/>
                <w:color w:val="auto"/>
                <w:w w:val="98"/>
              </w:rPr>
              <w:t>Year Ended December 31, 2023</w:t>
            </w: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1"/>
        </w:trPr>
        <w:tc>
          <w:tcPr>
            <w:tcW w:w="352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30"/>
              <w:spacing w:after="0"/>
              <w:rPr>
                <w:sz w:val="20"/>
                <w:szCs w:val="20"/>
                <w:color w:val="auto"/>
              </w:rPr>
            </w:pPr>
            <w:r>
              <w:rPr>
                <w:rFonts w:ascii="Verdana" w:cs="Verdana" w:eastAsia="Verdana" w:hAnsi="Verdana"/>
                <w:sz w:val="10"/>
                <w:szCs w:val="10"/>
                <w:b w:val="1"/>
                <w:bCs w:val="1"/>
                <w:color w:val="auto"/>
              </w:rPr>
              <w:t>Banking</w:t>
            </w:r>
          </w:p>
        </w:tc>
        <w:tc>
          <w:tcPr>
            <w:tcW w:w="8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0"/>
                <w:szCs w:val="10"/>
                <w:b w:val="1"/>
                <w:bCs w:val="1"/>
                <w:color w:val="auto"/>
              </w:rPr>
              <w:t>Wealth Management</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30"/>
              <w:spacing w:after="0"/>
              <w:rPr>
                <w:sz w:val="20"/>
                <w:szCs w:val="20"/>
                <w:color w:val="auto"/>
              </w:rPr>
            </w:pPr>
            <w:r>
              <w:rPr>
                <w:rFonts w:ascii="Verdana" w:cs="Verdana" w:eastAsia="Verdana" w:hAnsi="Verdana"/>
                <w:sz w:val="10"/>
                <w:szCs w:val="10"/>
                <w:b w:val="1"/>
                <w:bCs w:val="1"/>
                <w:color w:val="auto"/>
              </w:rPr>
              <w:t>FirsTech</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0"/>
              <w:spacing w:after="0"/>
              <w:rPr>
                <w:sz w:val="20"/>
                <w:szCs w:val="20"/>
                <w:color w:val="auto"/>
              </w:rPr>
            </w:pPr>
            <w:r>
              <w:rPr>
                <w:rFonts w:ascii="Verdana" w:cs="Verdana" w:eastAsia="Verdana" w:hAnsi="Verdana"/>
                <w:sz w:val="10"/>
                <w:szCs w:val="10"/>
                <w:b w:val="1"/>
                <w:bCs w:val="1"/>
                <w:color w:val="auto"/>
              </w:rPr>
              <w:t>Other</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30"/>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income</w:t>
            </w:r>
          </w:p>
        </w:tc>
        <w:tc>
          <w:tcPr>
            <w:tcW w:w="32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480,438</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440" w:type="dxa"/>
            <w:vAlign w:val="bottom"/>
            <w:gridSpan w:val="3"/>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105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480,543</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income</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140,917</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19,005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159,922</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3,006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(3,006)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8"/>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w:t>
            </w:r>
          </w:p>
        </w:tc>
        <w:tc>
          <w:tcPr>
            <w:tcW w:w="320" w:type="dxa"/>
            <w:vAlign w:val="bottom"/>
            <w:tcBorders>
              <w:top w:val="single" w:sz="8" w:color="auto"/>
            </w:tcBorders>
            <w:shd w:val="clear" w:color="auto" w:fill="E0E7ED"/>
          </w:tcPr>
          <w:p>
            <w:pPr>
              <w:spacing w:after="0"/>
              <w:rPr>
                <w:sz w:val="18"/>
                <w:szCs w:val="18"/>
                <w:color w:val="auto"/>
              </w:rPr>
            </w:pPr>
          </w:p>
        </w:tc>
        <w:tc>
          <w:tcPr>
            <w:tcW w:w="1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336,515</w:t>
            </w:r>
          </w:p>
        </w:tc>
        <w:tc>
          <w:tcPr>
            <w:tcW w:w="80" w:type="dxa"/>
            <w:vAlign w:val="bottom"/>
            <w:tcBorders>
              <w:top w:val="single" w:sz="8" w:color="E0E7ED"/>
            </w:tcBorders>
            <w:shd w:val="clear" w:color="auto" w:fill="E0E7ED"/>
          </w:tcPr>
          <w:p>
            <w:pPr>
              <w:spacing w:after="0"/>
              <w:rPr>
                <w:sz w:val="18"/>
                <w:szCs w:val="18"/>
                <w:color w:val="auto"/>
              </w:rPr>
            </w:pPr>
          </w:p>
        </w:tc>
        <w:tc>
          <w:tcPr>
            <w:tcW w:w="140" w:type="dxa"/>
            <w:vAlign w:val="bottom"/>
            <w:tcBorders>
              <w:top w:val="single" w:sz="8" w:color="auto"/>
            </w:tcBorders>
            <w:shd w:val="clear" w:color="auto" w:fill="E0E7ED"/>
          </w:tcPr>
          <w:p>
            <w:pPr>
              <w:spacing w:after="0"/>
              <w:rPr>
                <w:sz w:val="18"/>
                <w:szCs w:val="18"/>
                <w:color w:val="auto"/>
              </w:rPr>
            </w:pPr>
          </w:p>
        </w:tc>
        <w:tc>
          <w:tcPr>
            <w:tcW w:w="13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300" w:type="dxa"/>
            <w:vAlign w:val="bottom"/>
            <w:tcBorders>
              <w:top w:val="single" w:sz="8" w:color="auto"/>
            </w:tcBorders>
            <w:shd w:val="clear" w:color="auto" w:fill="E0E7ED"/>
          </w:tcPr>
          <w:p>
            <w:pPr>
              <w:spacing w:after="0"/>
              <w:rPr>
                <w:sz w:val="18"/>
                <w:szCs w:val="18"/>
                <w:color w:val="auto"/>
              </w:rPr>
            </w:pPr>
          </w:p>
        </w:tc>
        <w:tc>
          <w:tcPr>
            <w:tcW w:w="11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54</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(15,948)</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320,621</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Provision for credit losses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2,399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2,399</w:t>
            </w:r>
          </w:p>
        </w:tc>
      </w:tr>
      <w:tr>
        <w:trPr>
          <w:trHeight w:val="172"/>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interest income after provision for credit</w:t>
            </w:r>
          </w:p>
        </w:tc>
        <w:tc>
          <w:tcPr>
            <w:tcW w:w="320" w:type="dxa"/>
            <w:vAlign w:val="bottom"/>
            <w:tcBorders>
              <w:top w:val="single" w:sz="8" w:color="auto"/>
            </w:tcBorders>
            <w:shd w:val="clear" w:color="auto" w:fill="E0E7ED"/>
          </w:tcPr>
          <w:p>
            <w:pPr>
              <w:spacing w:after="0"/>
              <w:rPr>
                <w:sz w:val="14"/>
                <w:szCs w:val="14"/>
                <w:color w:val="auto"/>
              </w:rPr>
            </w:pPr>
          </w:p>
        </w:tc>
        <w:tc>
          <w:tcPr>
            <w:tcW w:w="11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1300" w:type="dxa"/>
            <w:vAlign w:val="bottom"/>
            <w:tcBorders>
              <w:top w:val="single" w:sz="8" w:color="auto"/>
            </w:tcBorders>
            <w:shd w:val="clear" w:color="auto" w:fill="E0E7ED"/>
          </w:tcPr>
          <w:p>
            <w:pPr>
              <w:spacing w:after="0"/>
              <w:rPr>
                <w:sz w:val="14"/>
                <w:szCs w:val="14"/>
                <w:color w:val="auto"/>
              </w:rPr>
            </w:pPr>
          </w:p>
        </w:tc>
        <w:tc>
          <w:tcPr>
            <w:tcW w:w="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00" w:type="dxa"/>
            <w:vAlign w:val="bottom"/>
            <w:tcBorders>
              <w:top w:val="single" w:sz="8" w:color="auto"/>
            </w:tcBorders>
            <w:shd w:val="clear" w:color="auto" w:fill="E0E7ED"/>
          </w:tcPr>
          <w:p>
            <w:pPr>
              <w:spacing w:after="0"/>
              <w:rPr>
                <w:sz w:val="14"/>
                <w:szCs w:val="14"/>
                <w:color w:val="auto"/>
              </w:rPr>
            </w:pPr>
          </w:p>
        </w:tc>
        <w:tc>
          <w:tcPr>
            <w:tcW w:w="11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spacing w:after="0"/>
              <w:rPr>
                <w:sz w:val="14"/>
                <w:szCs w:val="14"/>
                <w:color w:val="auto"/>
              </w:rPr>
            </w:pPr>
          </w:p>
        </w:tc>
      </w:tr>
      <w:tr>
        <w:trPr>
          <w:trHeight w:val="190"/>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losses</w:t>
            </w:r>
          </w:p>
        </w:tc>
        <w:tc>
          <w:tcPr>
            <w:tcW w:w="320" w:type="dxa"/>
            <w:vAlign w:val="bottom"/>
            <w:tcBorders>
              <w:bottom w:val="single" w:sz="8" w:color="auto"/>
            </w:tcBorders>
            <w:shd w:val="clear" w:color="auto" w:fill="E0E7ED"/>
          </w:tcPr>
          <w:p>
            <w:pPr>
              <w:spacing w:after="0"/>
              <w:rPr>
                <w:sz w:val="16"/>
                <w:szCs w:val="16"/>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334,116</w:t>
            </w:r>
          </w:p>
        </w:tc>
        <w:tc>
          <w:tcPr>
            <w:tcW w:w="8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54</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(15,948)</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318,222</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Wealth management fees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57,309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57,309</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Fees for customer services</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29,044</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29,044</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Payment technology solutions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21,192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21,192</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All other 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15,337</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514</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(2,182)</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13,669</w:t>
            </w:r>
          </w:p>
        </w:tc>
      </w:tr>
      <w:tr>
        <w:trPr>
          <w:trHeight w:val="207"/>
        </w:trPr>
        <w:tc>
          <w:tcPr>
            <w:tcW w:w="3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Intersegment noninterest income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1,149</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1,554</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(2,703)</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Noninterest income</w:t>
            </w:r>
          </w:p>
        </w:tc>
        <w:tc>
          <w:tcPr>
            <w:tcW w:w="32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45,530</w:t>
            </w:r>
          </w:p>
        </w:tc>
        <w:tc>
          <w:tcPr>
            <w:tcW w:w="80" w:type="dxa"/>
            <w:vAlign w:val="bottom"/>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spacing w:after="0"/>
              <w:rPr>
                <w:sz w:val="17"/>
                <w:szCs w:val="17"/>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57,823</w:t>
            </w:r>
          </w:p>
        </w:tc>
        <w:tc>
          <w:tcPr>
            <w:tcW w:w="60" w:type="dxa"/>
            <w:vAlign w:val="bottom"/>
            <w:tcBorders>
              <w:bottom w:val="single" w:sz="8" w:color="auto"/>
            </w:tcBorders>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22,746</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(4,885)</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121,214</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Revenue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382,045</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57,823</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22,800</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(20,833)</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441,835</w:t>
            </w:r>
          </w:p>
        </w:tc>
      </w:tr>
      <w:tr>
        <w:trPr>
          <w:trHeight w:val="138"/>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111,834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24,474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8,522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17,767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162,597</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Data processing</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18,217</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1,937</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3,013</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541</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23,708</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Amortization of intangible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8,963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1,469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10,432</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Interchange expense</w:t>
            </w:r>
          </w:p>
        </w:tc>
        <w:tc>
          <w:tcPr>
            <w:tcW w:w="320" w:type="dxa"/>
            <w:vAlign w:val="bottom"/>
            <w:shd w:val="clear" w:color="auto" w:fill="E0E7ED"/>
          </w:tcPr>
          <w:p>
            <w:pPr>
              <w:spacing w:after="0"/>
              <w:rPr>
                <w:sz w:val="18"/>
                <w:szCs w:val="18"/>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6,864</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6,864</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All other noninterest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71,259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2,503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2,154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6,015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81,931</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Intersegment noninterest expense</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13,178</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2,698</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1,100</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(16,976)</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Noninterest expense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223,451</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33,081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21,653</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7,347</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285,532</w:t>
            </w:r>
          </w:p>
        </w:tc>
      </w:tr>
      <w:tr>
        <w:trPr>
          <w:trHeight w:val="123"/>
        </w:trPr>
        <w:tc>
          <w:tcPr>
            <w:tcW w:w="352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1300" w:type="dxa"/>
            <w:vAlign w:val="bottom"/>
            <w:shd w:val="clear" w:color="auto" w:fill="E0E7ED"/>
          </w:tcPr>
          <w:p>
            <w:pPr>
              <w:spacing w:after="0"/>
              <w:rPr>
                <w:sz w:val="10"/>
                <w:szCs w:val="10"/>
                <w:color w:val="auto"/>
              </w:rPr>
            </w:pPr>
          </w:p>
        </w:tc>
        <w:tc>
          <w:tcPr>
            <w:tcW w:w="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00" w:type="dxa"/>
            <w:vAlign w:val="bottom"/>
            <w:shd w:val="clear" w:color="auto" w:fill="E0E7ED"/>
          </w:tcPr>
          <w:p>
            <w:pPr>
              <w:spacing w:after="0"/>
              <w:rPr>
                <w:sz w:val="10"/>
                <w:szCs w:val="10"/>
                <w:color w:val="auto"/>
              </w:rPr>
            </w:pPr>
          </w:p>
        </w:tc>
        <w:tc>
          <w:tcPr>
            <w:tcW w:w="118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20" w:type="dxa"/>
            <w:vAlign w:val="bottom"/>
            <w:shd w:val="clear" w:color="auto" w:fill="E0E7ED"/>
          </w:tcPr>
          <w:p>
            <w:pPr>
              <w:spacing w:after="0"/>
              <w:rPr>
                <w:sz w:val="10"/>
                <w:szCs w:val="10"/>
                <w:color w:val="auto"/>
              </w:rPr>
            </w:pP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Income (loss) before income taxes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156,195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24,742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1,147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(28,180)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153,904</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Income taxes</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32,342</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5,938</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317</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(7,258)</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31,339</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b w:val="1"/>
                <w:bCs w:val="1"/>
                <w:color w:val="auto"/>
              </w:rPr>
              <w:t>Net income</w:t>
            </w:r>
          </w:p>
        </w:tc>
        <w:tc>
          <w:tcPr>
            <w:tcW w:w="320" w:type="dxa"/>
            <w:vAlign w:val="bottom"/>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123,853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18,804</w:t>
            </w:r>
          </w:p>
        </w:tc>
        <w:tc>
          <w:tcPr>
            <w:tcW w:w="440" w:type="dxa"/>
            <w:vAlign w:val="bottom"/>
            <w:gridSpan w:val="3"/>
          </w:tcPr>
          <w:p>
            <w:pPr>
              <w:jc w:val="right"/>
              <w:ind w:right="200"/>
              <w:spacing w:after="0"/>
              <w:rPr>
                <w:sz w:val="20"/>
                <w:szCs w:val="20"/>
                <w:color w:val="auto"/>
              </w:rPr>
            </w:pPr>
            <w:r>
              <w:rPr>
                <w:rFonts w:ascii="Verdana" w:cs="Verdana" w:eastAsia="Verdana" w:hAnsi="Verdana"/>
                <w:sz w:val="14"/>
                <w:szCs w:val="14"/>
                <w:color w:val="auto"/>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830</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Pr>
          <w:p>
            <w:pPr>
              <w:jc w:val="right"/>
              <w:spacing w:after="0"/>
              <w:rPr>
                <w:sz w:val="20"/>
                <w:szCs w:val="20"/>
                <w:color w:val="auto"/>
              </w:rPr>
            </w:pPr>
            <w:r>
              <w:rPr>
                <w:rFonts w:ascii="Verdana" w:cs="Verdana" w:eastAsia="Verdana" w:hAnsi="Verdana"/>
                <w:sz w:val="14"/>
                <w:szCs w:val="14"/>
                <w:color w:val="auto"/>
              </w:rPr>
              <w:t>(20,922)</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Pr>
          <w:p>
            <w:pPr>
              <w:jc w:val="right"/>
              <w:spacing w:after="0"/>
              <w:rPr>
                <w:sz w:val="20"/>
                <w:szCs w:val="20"/>
                <w:color w:val="auto"/>
              </w:rPr>
            </w:pPr>
            <w:r>
              <w:rPr>
                <w:rFonts w:ascii="Verdana" w:cs="Verdana" w:eastAsia="Verdana" w:hAnsi="Verdana"/>
                <w:sz w:val="14"/>
                <w:szCs w:val="14"/>
                <w:color w:val="auto"/>
              </w:rPr>
              <w:t>122,565</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2" w:name="page173"/>
    <w:bookmarkEnd w:id="172"/>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6"/>
          </w:tcPr>
          <w:p>
            <w:pPr>
              <w:jc w:val="right"/>
              <w:ind w:right="229"/>
              <w:spacing w:after="0"/>
              <w:rPr>
                <w:sz w:val="20"/>
                <w:szCs w:val="20"/>
                <w:color w:val="auto"/>
              </w:rPr>
            </w:pPr>
            <w:r>
              <w:rPr>
                <w:rFonts w:ascii="Verdana" w:cs="Verdana" w:eastAsia="Verdana" w:hAnsi="Verdana"/>
                <w:sz w:val="10"/>
                <w:szCs w:val="10"/>
                <w:b w:val="1"/>
                <w:bCs w:val="1"/>
                <w:color w:val="auto"/>
                <w:w w:val="98"/>
              </w:rPr>
              <w:t>Year Ended December 31, 2022</w:t>
            </w: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31"/>
        </w:trPr>
        <w:tc>
          <w:tcPr>
            <w:tcW w:w="3520" w:type="dxa"/>
            <w:vAlign w:val="bottom"/>
            <w:tcBorders>
              <w:bottom w:val="single" w:sz="8" w:color="E0E7ED"/>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30"/>
              <w:spacing w:after="0"/>
              <w:rPr>
                <w:sz w:val="20"/>
                <w:szCs w:val="20"/>
                <w:color w:val="auto"/>
              </w:rPr>
            </w:pPr>
            <w:r>
              <w:rPr>
                <w:rFonts w:ascii="Verdana" w:cs="Verdana" w:eastAsia="Verdana" w:hAnsi="Verdana"/>
                <w:sz w:val="10"/>
                <w:szCs w:val="10"/>
                <w:b w:val="1"/>
                <w:bCs w:val="1"/>
                <w:color w:val="auto"/>
              </w:rPr>
              <w:t>Banking</w:t>
            </w:r>
          </w:p>
        </w:tc>
        <w:tc>
          <w:tcPr>
            <w:tcW w:w="80" w:type="dxa"/>
            <w:vAlign w:val="bottom"/>
            <w:tcBorders>
              <w:bottom w:val="single" w:sz="8" w:color="E0E7ED"/>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0"/>
                <w:szCs w:val="10"/>
                <w:b w:val="1"/>
                <w:bCs w:val="1"/>
                <w:color w:val="auto"/>
              </w:rPr>
              <w:t>Wealth Management</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E0E7ED"/>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30"/>
              <w:spacing w:after="0"/>
              <w:rPr>
                <w:sz w:val="20"/>
                <w:szCs w:val="20"/>
                <w:color w:val="auto"/>
              </w:rPr>
            </w:pPr>
            <w:r>
              <w:rPr>
                <w:rFonts w:ascii="Verdana" w:cs="Verdana" w:eastAsia="Verdana" w:hAnsi="Verdana"/>
                <w:sz w:val="10"/>
                <w:szCs w:val="10"/>
                <w:b w:val="1"/>
                <w:bCs w:val="1"/>
                <w:color w:val="auto"/>
              </w:rPr>
              <w:t>FirsTech</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0"/>
              <w:spacing w:after="0"/>
              <w:rPr>
                <w:sz w:val="20"/>
                <w:szCs w:val="20"/>
                <w:color w:val="auto"/>
              </w:rPr>
            </w:pPr>
            <w:r>
              <w:rPr>
                <w:rFonts w:ascii="Verdana" w:cs="Verdana" w:eastAsia="Verdana" w:hAnsi="Verdana"/>
                <w:sz w:val="10"/>
                <w:szCs w:val="10"/>
                <w:b w:val="1"/>
                <w:bCs w:val="1"/>
                <w:color w:val="auto"/>
              </w:rPr>
              <w:t>Other</w:t>
            </w:r>
          </w:p>
        </w:tc>
        <w:tc>
          <w:tcPr>
            <w:tcW w:w="80" w:type="dxa"/>
            <w:vAlign w:val="bottom"/>
            <w:tcBorders>
              <w:bottom w:val="single" w:sz="8" w:color="E0E7ED"/>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30"/>
              <w:spacing w:after="0"/>
              <w:rPr>
                <w:sz w:val="20"/>
                <w:szCs w:val="20"/>
                <w:color w:val="auto"/>
              </w:rPr>
            </w:pPr>
            <w:r>
              <w:rPr>
                <w:rFonts w:ascii="Verdana" w:cs="Verdana" w:eastAsia="Verdana" w:hAnsi="Verdana"/>
                <w:sz w:val="10"/>
                <w:szCs w:val="10"/>
                <w:b w:val="1"/>
                <w:bCs w:val="1"/>
                <w:color w:val="auto"/>
              </w:rPr>
              <w:t>Total</w:t>
            </w:r>
          </w:p>
        </w:tc>
      </w:tr>
      <w:tr>
        <w:trPr>
          <w:trHeight w:val="20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income</w:t>
            </w:r>
          </w:p>
        </w:tc>
        <w:tc>
          <w:tcPr>
            <w:tcW w:w="320" w:type="dxa"/>
            <w:vAlign w:val="bottom"/>
            <w:shd w:val="clear" w:color="auto" w:fill="E0E7ED"/>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360,126</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440" w:type="dxa"/>
            <w:vAlign w:val="bottom"/>
            <w:gridSpan w:val="3"/>
            <w:shd w:val="clear" w:color="auto" w:fill="E0E7ED"/>
          </w:tcPr>
          <w:p>
            <w:pPr>
              <w:jc w:val="right"/>
              <w:ind w:right="200"/>
              <w:spacing w:after="0"/>
              <w:rPr>
                <w:sz w:val="20"/>
                <w:szCs w:val="20"/>
                <w:color w:val="auto"/>
              </w:rPr>
            </w:pPr>
            <w:r>
              <w:rPr>
                <w:rFonts w:ascii="Verdana" w:cs="Verdana" w:eastAsia="Verdana" w:hAnsi="Verdana"/>
                <w:sz w:val="14"/>
                <w:szCs w:val="14"/>
                <w:color w:val="auto"/>
              </w:rPr>
              <w:t>$</w:t>
            </w: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50</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360,176</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income</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18,694</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17,854</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36,548</w:t>
            </w: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Intersegment 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1,159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(1,159)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8"/>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interest income</w:t>
            </w:r>
          </w:p>
        </w:tc>
        <w:tc>
          <w:tcPr>
            <w:tcW w:w="320" w:type="dxa"/>
            <w:vAlign w:val="bottom"/>
            <w:tcBorders>
              <w:top w:val="single" w:sz="8" w:color="auto"/>
            </w:tcBorders>
            <w:shd w:val="clear" w:color="auto" w:fill="E0E7ED"/>
          </w:tcPr>
          <w:p>
            <w:pPr>
              <w:spacing w:after="0"/>
              <w:rPr>
                <w:sz w:val="18"/>
                <w:szCs w:val="18"/>
                <w:color w:val="auto"/>
              </w:rPr>
            </w:pPr>
          </w:p>
        </w:tc>
        <w:tc>
          <w:tcPr>
            <w:tcW w:w="1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340,273</w:t>
            </w:r>
          </w:p>
        </w:tc>
        <w:tc>
          <w:tcPr>
            <w:tcW w:w="80" w:type="dxa"/>
            <w:vAlign w:val="bottom"/>
            <w:tcBorders>
              <w:top w:val="single" w:sz="8" w:color="E0E7ED"/>
            </w:tcBorders>
            <w:shd w:val="clear" w:color="auto" w:fill="E0E7ED"/>
          </w:tcPr>
          <w:p>
            <w:pPr>
              <w:spacing w:after="0"/>
              <w:rPr>
                <w:sz w:val="18"/>
                <w:szCs w:val="18"/>
                <w:color w:val="auto"/>
              </w:rPr>
            </w:pPr>
          </w:p>
        </w:tc>
        <w:tc>
          <w:tcPr>
            <w:tcW w:w="140" w:type="dxa"/>
            <w:vAlign w:val="bottom"/>
            <w:tcBorders>
              <w:top w:val="single" w:sz="8" w:color="auto"/>
            </w:tcBorders>
            <w:shd w:val="clear" w:color="auto" w:fill="E0E7ED"/>
          </w:tcPr>
          <w:p>
            <w:pPr>
              <w:spacing w:after="0"/>
              <w:rPr>
                <w:sz w:val="18"/>
                <w:szCs w:val="18"/>
                <w:color w:val="auto"/>
              </w:rPr>
            </w:pPr>
          </w:p>
        </w:tc>
        <w:tc>
          <w:tcPr>
            <w:tcW w:w="13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top w:val="single" w:sz="8" w:color="auto"/>
            </w:tcBorders>
            <w:shd w:val="clear" w:color="auto" w:fill="E0E7ED"/>
          </w:tcPr>
          <w:p>
            <w:pPr>
              <w:spacing w:after="0"/>
              <w:rPr>
                <w:sz w:val="18"/>
                <w:szCs w:val="18"/>
                <w:color w:val="auto"/>
              </w:rPr>
            </w:pPr>
          </w:p>
        </w:tc>
        <w:tc>
          <w:tcPr>
            <w:tcW w:w="80" w:type="dxa"/>
            <w:vAlign w:val="bottom"/>
            <w:tcBorders>
              <w:top w:val="single" w:sz="8" w:color="E0E7ED"/>
            </w:tcBorders>
            <w:shd w:val="clear" w:color="auto" w:fill="E0E7ED"/>
          </w:tcPr>
          <w:p>
            <w:pPr>
              <w:spacing w:after="0"/>
              <w:rPr>
                <w:sz w:val="18"/>
                <w:szCs w:val="18"/>
                <w:color w:val="auto"/>
              </w:rPr>
            </w:pPr>
          </w:p>
        </w:tc>
        <w:tc>
          <w:tcPr>
            <w:tcW w:w="300" w:type="dxa"/>
            <w:vAlign w:val="bottom"/>
            <w:tcBorders>
              <w:top w:val="single" w:sz="8" w:color="auto"/>
            </w:tcBorders>
            <w:shd w:val="clear" w:color="auto" w:fill="E0E7ED"/>
          </w:tcPr>
          <w:p>
            <w:pPr>
              <w:spacing w:after="0"/>
              <w:rPr>
                <w:sz w:val="18"/>
                <w:szCs w:val="18"/>
                <w:color w:val="auto"/>
              </w:rPr>
            </w:pPr>
          </w:p>
        </w:tc>
        <w:tc>
          <w:tcPr>
            <w:tcW w:w="11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65</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(16,710)</w:t>
            </w:r>
          </w:p>
        </w:tc>
        <w:tc>
          <w:tcPr>
            <w:tcW w:w="80" w:type="dxa"/>
            <w:vAlign w:val="bottom"/>
            <w:tcBorders>
              <w:top w:val="single" w:sz="8" w:color="E0E7ED"/>
            </w:tcBorders>
            <w:shd w:val="clear" w:color="auto" w:fill="E0E7ED"/>
          </w:tcPr>
          <w:p>
            <w:pPr>
              <w:spacing w:after="0"/>
              <w:rPr>
                <w:sz w:val="18"/>
                <w:szCs w:val="18"/>
                <w:color w:val="auto"/>
              </w:rPr>
            </w:pPr>
          </w:p>
        </w:tc>
        <w:tc>
          <w:tcPr>
            <w:tcW w:w="360" w:type="dxa"/>
            <w:vAlign w:val="bottom"/>
            <w:tcBorders>
              <w:top w:val="single" w:sz="8" w:color="auto"/>
            </w:tcBorders>
            <w:shd w:val="clear" w:color="auto" w:fill="E0E7ED"/>
          </w:tcPr>
          <w:p>
            <w:pPr>
              <w:spacing w:after="0"/>
              <w:rPr>
                <w:sz w:val="18"/>
                <w:szCs w:val="18"/>
                <w:color w:val="auto"/>
              </w:rPr>
            </w:pPr>
          </w:p>
        </w:tc>
        <w:tc>
          <w:tcPr>
            <w:tcW w:w="11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323,628</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Provision for credit losses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4,623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4,623</w:t>
            </w:r>
          </w:p>
        </w:tc>
      </w:tr>
      <w:tr>
        <w:trPr>
          <w:trHeight w:val="172"/>
        </w:trPr>
        <w:tc>
          <w:tcPr>
            <w:tcW w:w="35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interest income after provision for credit</w:t>
            </w:r>
          </w:p>
        </w:tc>
        <w:tc>
          <w:tcPr>
            <w:tcW w:w="320" w:type="dxa"/>
            <w:vAlign w:val="bottom"/>
            <w:tcBorders>
              <w:top w:val="single" w:sz="8" w:color="auto"/>
            </w:tcBorders>
            <w:shd w:val="clear" w:color="auto" w:fill="E0E7ED"/>
          </w:tcPr>
          <w:p>
            <w:pPr>
              <w:spacing w:after="0"/>
              <w:rPr>
                <w:sz w:val="14"/>
                <w:szCs w:val="14"/>
                <w:color w:val="auto"/>
              </w:rPr>
            </w:pPr>
          </w:p>
        </w:tc>
        <w:tc>
          <w:tcPr>
            <w:tcW w:w="11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1300" w:type="dxa"/>
            <w:vAlign w:val="bottom"/>
            <w:tcBorders>
              <w:top w:val="single" w:sz="8" w:color="auto"/>
            </w:tcBorders>
            <w:shd w:val="clear" w:color="auto" w:fill="E0E7ED"/>
          </w:tcPr>
          <w:p>
            <w:pPr>
              <w:spacing w:after="0"/>
              <w:rPr>
                <w:sz w:val="14"/>
                <w:szCs w:val="14"/>
                <w:color w:val="auto"/>
              </w:rPr>
            </w:pPr>
          </w:p>
        </w:tc>
        <w:tc>
          <w:tcPr>
            <w:tcW w:w="6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00" w:type="dxa"/>
            <w:vAlign w:val="bottom"/>
            <w:tcBorders>
              <w:top w:val="single" w:sz="8" w:color="auto"/>
            </w:tcBorders>
            <w:shd w:val="clear" w:color="auto" w:fill="E0E7ED"/>
          </w:tcPr>
          <w:p>
            <w:pPr>
              <w:spacing w:after="0"/>
              <w:rPr>
                <w:sz w:val="14"/>
                <w:szCs w:val="14"/>
                <w:color w:val="auto"/>
              </w:rPr>
            </w:pPr>
          </w:p>
        </w:tc>
        <w:tc>
          <w:tcPr>
            <w:tcW w:w="11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360" w:type="dxa"/>
            <w:vAlign w:val="bottom"/>
            <w:tcBorders>
              <w:top w:val="single" w:sz="8" w:color="auto"/>
            </w:tcBorders>
            <w:shd w:val="clear" w:color="auto" w:fill="E0E7ED"/>
          </w:tcPr>
          <w:p>
            <w:pPr>
              <w:spacing w:after="0"/>
              <w:rPr>
                <w:sz w:val="14"/>
                <w:szCs w:val="14"/>
                <w:color w:val="auto"/>
              </w:rPr>
            </w:pPr>
          </w:p>
        </w:tc>
        <w:tc>
          <w:tcPr>
            <w:tcW w:w="1120" w:type="dxa"/>
            <w:vAlign w:val="bottom"/>
            <w:tcBorders>
              <w:top w:val="single" w:sz="8" w:color="auto"/>
            </w:tcBorders>
            <w:shd w:val="clear" w:color="auto" w:fill="E0E7ED"/>
          </w:tcPr>
          <w:p>
            <w:pPr>
              <w:spacing w:after="0"/>
              <w:rPr>
                <w:sz w:val="14"/>
                <w:szCs w:val="14"/>
                <w:color w:val="auto"/>
              </w:rPr>
            </w:pPr>
          </w:p>
        </w:tc>
      </w:tr>
      <w:tr>
        <w:trPr>
          <w:trHeight w:val="190"/>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losses</w:t>
            </w:r>
          </w:p>
        </w:tc>
        <w:tc>
          <w:tcPr>
            <w:tcW w:w="320" w:type="dxa"/>
            <w:vAlign w:val="bottom"/>
            <w:tcBorders>
              <w:bottom w:val="single" w:sz="8" w:color="auto"/>
            </w:tcBorders>
            <w:shd w:val="clear" w:color="auto" w:fill="E0E7ED"/>
          </w:tcPr>
          <w:p>
            <w:pPr>
              <w:spacing w:after="0"/>
              <w:rPr>
                <w:sz w:val="16"/>
                <w:szCs w:val="16"/>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335,650</w:t>
            </w:r>
          </w:p>
        </w:tc>
        <w:tc>
          <w:tcPr>
            <w:tcW w:w="8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65</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(16,710)</w:t>
            </w:r>
          </w:p>
        </w:tc>
        <w:tc>
          <w:tcPr>
            <w:tcW w:w="80" w:type="dxa"/>
            <w:vAlign w:val="bottom"/>
            <w:shd w:val="clear" w:color="auto" w:fill="E0E7ED"/>
          </w:tcPr>
          <w:p>
            <w:pPr>
              <w:spacing w:after="0"/>
              <w:rPr>
                <w:sz w:val="16"/>
                <w:szCs w:val="16"/>
                <w:color w:val="auto"/>
              </w:rPr>
            </w:pPr>
          </w:p>
        </w:tc>
        <w:tc>
          <w:tcPr>
            <w:tcW w:w="36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319,005</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Wealth management fees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55,378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55,378</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Fees for customer services</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33,111</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26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33,111</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Payment technology solutions</w:t>
            </w:r>
          </w:p>
        </w:tc>
        <w:tc>
          <w:tcPr>
            <w:tcW w:w="3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20,067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20,067</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All other noninterest income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19,890</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(1,846)</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18,057</w:t>
            </w:r>
          </w:p>
        </w:tc>
      </w:tr>
      <w:tr>
        <w:trPr>
          <w:trHeight w:val="207"/>
        </w:trPr>
        <w:tc>
          <w:tcPr>
            <w:tcW w:w="352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Intersegment noninterest income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962</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1,656</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(2,618)</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Noninterest income</w:t>
            </w:r>
          </w:p>
        </w:tc>
        <w:tc>
          <w:tcPr>
            <w:tcW w:w="320" w:type="dxa"/>
            <w:vAlign w:val="bottom"/>
            <w:tcBorders>
              <w:bottom w:val="single" w:sz="8" w:color="auto"/>
            </w:tcBorders>
            <w:shd w:val="clear" w:color="auto" w:fill="E0E7ED"/>
          </w:tcPr>
          <w:p>
            <w:pPr>
              <w:spacing w:after="0"/>
              <w:rPr>
                <w:sz w:val="17"/>
                <w:szCs w:val="17"/>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53,963</w:t>
            </w:r>
          </w:p>
        </w:tc>
        <w:tc>
          <w:tcPr>
            <w:tcW w:w="80" w:type="dxa"/>
            <w:vAlign w:val="bottom"/>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spacing w:after="0"/>
              <w:rPr>
                <w:sz w:val="17"/>
                <w:szCs w:val="17"/>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55,394</w:t>
            </w:r>
          </w:p>
        </w:tc>
        <w:tc>
          <w:tcPr>
            <w:tcW w:w="60" w:type="dxa"/>
            <w:vAlign w:val="bottom"/>
            <w:tcBorders>
              <w:bottom w:val="single" w:sz="8" w:color="auto"/>
            </w:tcBorders>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spacing w:after="0"/>
              <w:rPr>
                <w:sz w:val="17"/>
                <w:szCs w:val="17"/>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21,720</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(4,464)</w:t>
            </w:r>
          </w:p>
        </w:tc>
        <w:tc>
          <w:tcPr>
            <w:tcW w:w="80" w:type="dxa"/>
            <w:vAlign w:val="bottom"/>
            <w:shd w:val="clear" w:color="auto" w:fill="E0E7ED"/>
          </w:tcPr>
          <w:p>
            <w:pPr>
              <w:spacing w:after="0"/>
              <w:rPr>
                <w:sz w:val="17"/>
                <w:szCs w:val="17"/>
                <w:color w:val="auto"/>
              </w:rPr>
            </w:pPr>
          </w:p>
        </w:tc>
        <w:tc>
          <w:tcPr>
            <w:tcW w:w="360" w:type="dxa"/>
            <w:vAlign w:val="bottom"/>
            <w:tcBorders>
              <w:bottom w:val="single" w:sz="8" w:color="auto"/>
            </w:tcBorders>
            <w:shd w:val="clear" w:color="auto" w:fill="E0E7ED"/>
          </w:tcPr>
          <w:p>
            <w:pPr>
              <w:spacing w:after="0"/>
              <w:rPr>
                <w:sz w:val="17"/>
                <w:szCs w:val="17"/>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126,613</w:t>
            </w:r>
          </w:p>
        </w:tc>
      </w:tr>
      <w:tr>
        <w:trPr>
          <w:trHeight w:val="123"/>
        </w:trPr>
        <w:tc>
          <w:tcPr>
            <w:tcW w:w="3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Revenue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394,236</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55,394</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21,785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(21,174)</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450,241</w:t>
            </w:r>
          </w:p>
        </w:tc>
      </w:tr>
      <w:tr>
        <w:trPr>
          <w:trHeight w:val="138"/>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2"/>
        </w:trPr>
        <w:tc>
          <w:tcPr>
            <w:tcW w:w="352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Noninterest expense</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spacing w:after="0"/>
              <w:rPr>
                <w:sz w:val="18"/>
                <w:szCs w:val="18"/>
                <w:color w:val="auto"/>
              </w:rPr>
            </w:pP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107,159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22,993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7,899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20,965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159,016</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Data processing</w:t>
            </w: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16,420</w:t>
            </w:r>
          </w:p>
        </w:tc>
        <w:tc>
          <w:tcPr>
            <w:tcW w:w="80" w:type="dxa"/>
            <w:vAlign w:val="bottom"/>
            <w:shd w:val="clear" w:color="auto" w:fill="E0E7ED"/>
          </w:tcPr>
          <w:p>
            <w:pPr>
              <w:spacing w:after="0"/>
              <w:rPr>
                <w:sz w:val="18"/>
                <w:szCs w:val="18"/>
                <w:color w:val="auto"/>
              </w:rPr>
            </w:pP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1,962</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2,721</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545</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21,648</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Amortization of intangible assets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9,831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1,797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11,628</w:t>
            </w:r>
          </w:p>
        </w:tc>
      </w:tr>
      <w:tr>
        <w:trPr>
          <w:trHeight w:val="218"/>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Interchange expense</w:t>
            </w:r>
          </w:p>
        </w:tc>
        <w:tc>
          <w:tcPr>
            <w:tcW w:w="320" w:type="dxa"/>
            <w:vAlign w:val="bottom"/>
            <w:shd w:val="clear" w:color="auto" w:fill="E0E7ED"/>
          </w:tcPr>
          <w:p>
            <w:pPr>
              <w:spacing w:after="0"/>
              <w:rPr>
                <w:sz w:val="18"/>
                <w:szCs w:val="18"/>
                <w:color w:val="auto"/>
              </w:rPr>
            </w:pPr>
          </w:p>
        </w:tc>
        <w:tc>
          <w:tcPr>
            <w:tcW w:w="124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4"/>
                <w:szCs w:val="14"/>
                <w:color w:val="auto"/>
              </w:rPr>
              <w:t>—</w:t>
            </w:r>
          </w:p>
        </w:tc>
        <w:tc>
          <w:tcPr>
            <w:tcW w:w="140" w:type="dxa"/>
            <w:vAlign w:val="bottom"/>
            <w:shd w:val="clear" w:color="auto" w:fill="E0E7ED"/>
          </w:tcPr>
          <w:p>
            <w:pPr>
              <w:spacing w:after="0"/>
              <w:rPr>
                <w:sz w:val="18"/>
                <w:szCs w:val="18"/>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6,298</w:t>
            </w: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2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60" w:type="dxa"/>
            <w:vAlign w:val="bottom"/>
            <w:shd w:val="clear" w:color="auto" w:fill="E0E7ED"/>
          </w:tcPr>
          <w:p>
            <w:pPr>
              <w:spacing w:after="0"/>
              <w:rPr>
                <w:sz w:val="18"/>
                <w:szCs w:val="18"/>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6,298</w:t>
            </w:r>
          </w:p>
        </w:tc>
      </w:tr>
      <w:tr>
        <w:trPr>
          <w:trHeight w:val="207"/>
        </w:trPr>
        <w:tc>
          <w:tcPr>
            <w:tcW w:w="3520" w:type="dxa"/>
            <w:vAlign w:val="bottom"/>
          </w:tcPr>
          <w:p>
            <w:pPr>
              <w:ind w:left="140"/>
              <w:spacing w:after="0"/>
              <w:rPr>
                <w:sz w:val="20"/>
                <w:szCs w:val="20"/>
                <w:color w:val="auto"/>
              </w:rPr>
            </w:pPr>
            <w:r>
              <w:rPr>
                <w:rFonts w:ascii="Verdana" w:cs="Verdana" w:eastAsia="Verdana" w:hAnsi="Verdana"/>
                <w:sz w:val="14"/>
                <w:szCs w:val="14"/>
                <w:color w:val="auto"/>
              </w:rPr>
              <w:t>All other noninterest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73,544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2,593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2,415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Verdana" w:cs="Verdana" w:eastAsia="Verdana" w:hAnsi="Verdana"/>
                <w:sz w:val="14"/>
                <w:szCs w:val="14"/>
                <w:color w:val="auto"/>
              </w:rPr>
              <w:t>6,739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85,291</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Intersegment noninterest expense</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15,042</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2,200</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1,286</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(18,528)</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352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Noninterest expense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221,996</w:t>
            </w:r>
          </w:p>
        </w:tc>
        <w:tc>
          <w:tcPr>
            <w:tcW w:w="80" w:type="dxa"/>
            <w:vAlign w:val="bottom"/>
            <w:tcBorders>
              <w:bottom w:val="single" w:sz="8" w:color="E0E7E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31,545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E0E7E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20,619</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9,721</w:t>
            </w:r>
          </w:p>
        </w:tc>
        <w:tc>
          <w:tcPr>
            <w:tcW w:w="80" w:type="dxa"/>
            <w:vAlign w:val="bottom"/>
            <w:tcBorders>
              <w:bottom w:val="single" w:sz="8" w:color="E0E7ED"/>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283,881</w:t>
            </w:r>
          </w:p>
        </w:tc>
      </w:tr>
      <w:tr>
        <w:trPr>
          <w:trHeight w:val="123"/>
        </w:trPr>
        <w:tc>
          <w:tcPr>
            <w:tcW w:w="352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1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140" w:type="dxa"/>
            <w:vAlign w:val="bottom"/>
            <w:shd w:val="clear" w:color="auto" w:fill="E0E7ED"/>
          </w:tcPr>
          <w:p>
            <w:pPr>
              <w:spacing w:after="0"/>
              <w:rPr>
                <w:sz w:val="10"/>
                <w:szCs w:val="10"/>
                <w:color w:val="auto"/>
              </w:rPr>
            </w:pPr>
          </w:p>
        </w:tc>
        <w:tc>
          <w:tcPr>
            <w:tcW w:w="1300" w:type="dxa"/>
            <w:vAlign w:val="bottom"/>
            <w:shd w:val="clear" w:color="auto" w:fill="E0E7ED"/>
          </w:tcPr>
          <w:p>
            <w:pPr>
              <w:spacing w:after="0"/>
              <w:rPr>
                <w:sz w:val="10"/>
                <w:szCs w:val="10"/>
                <w:color w:val="auto"/>
              </w:rPr>
            </w:pPr>
          </w:p>
        </w:tc>
        <w:tc>
          <w:tcPr>
            <w:tcW w:w="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00" w:type="dxa"/>
            <w:vAlign w:val="bottom"/>
            <w:shd w:val="clear" w:color="auto" w:fill="E0E7ED"/>
          </w:tcPr>
          <w:p>
            <w:pPr>
              <w:spacing w:after="0"/>
              <w:rPr>
                <w:sz w:val="10"/>
                <w:szCs w:val="10"/>
                <w:color w:val="auto"/>
              </w:rPr>
            </w:pPr>
          </w:p>
        </w:tc>
        <w:tc>
          <w:tcPr>
            <w:tcW w:w="118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360" w:type="dxa"/>
            <w:vAlign w:val="bottom"/>
            <w:shd w:val="clear" w:color="auto" w:fill="E0E7ED"/>
          </w:tcPr>
          <w:p>
            <w:pPr>
              <w:spacing w:after="0"/>
              <w:rPr>
                <w:sz w:val="10"/>
                <w:szCs w:val="10"/>
                <w:color w:val="auto"/>
              </w:rPr>
            </w:pPr>
          </w:p>
        </w:tc>
        <w:tc>
          <w:tcPr>
            <w:tcW w:w="1120" w:type="dxa"/>
            <w:vAlign w:val="bottom"/>
            <w:shd w:val="clear" w:color="auto" w:fill="E0E7ED"/>
          </w:tcPr>
          <w:p>
            <w:pPr>
              <w:spacing w:after="0"/>
              <w:rPr>
                <w:sz w:val="10"/>
                <w:szCs w:val="10"/>
                <w:color w:val="auto"/>
              </w:rPr>
            </w:pPr>
          </w:p>
        </w:tc>
      </w:tr>
      <w:tr>
        <w:trPr>
          <w:trHeight w:val="207"/>
        </w:trPr>
        <w:tc>
          <w:tcPr>
            <w:tcW w:w="3520" w:type="dxa"/>
            <w:vAlign w:val="bottom"/>
          </w:tcPr>
          <w:p>
            <w:pPr>
              <w:ind w:left="20"/>
              <w:spacing w:after="0"/>
              <w:rPr>
                <w:sz w:val="20"/>
                <w:szCs w:val="20"/>
                <w:color w:val="auto"/>
              </w:rPr>
            </w:pPr>
            <w:r>
              <w:rPr>
                <w:rFonts w:ascii="Verdana" w:cs="Verdana" w:eastAsia="Verdana" w:hAnsi="Verdana"/>
                <w:sz w:val="14"/>
                <w:szCs w:val="14"/>
                <w:color w:val="auto"/>
              </w:rPr>
              <w:t>Income (loss) before income taxes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Verdana" w:cs="Verdana" w:eastAsia="Verdana" w:hAnsi="Verdana"/>
                <w:sz w:val="14"/>
                <w:szCs w:val="14"/>
                <w:color w:val="auto"/>
              </w:rPr>
              <w:t>167,617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Verdana" w:cs="Verdana" w:eastAsia="Verdana" w:hAnsi="Verdana"/>
                <w:sz w:val="14"/>
                <w:szCs w:val="14"/>
                <w:color w:val="auto"/>
              </w:rPr>
              <w:t>23,849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Verdana" w:cs="Verdana" w:eastAsia="Verdana" w:hAnsi="Verdana"/>
                <w:sz w:val="14"/>
                <w:szCs w:val="14"/>
                <w:color w:val="auto"/>
              </w:rPr>
              <w:t>1,166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Verdana" w:cs="Verdana" w:eastAsia="Verdana" w:hAnsi="Verdana"/>
                <w:sz w:val="14"/>
                <w:szCs w:val="14"/>
                <w:color w:val="auto"/>
              </w:rPr>
              <w:t>(30,895)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Verdana" w:cs="Verdana" w:eastAsia="Verdana" w:hAnsi="Verdana"/>
                <w:sz w:val="14"/>
                <w:szCs w:val="14"/>
                <w:color w:val="auto"/>
              </w:rPr>
              <w:t>161,737</w:t>
            </w:r>
          </w:p>
        </w:tc>
      </w:tr>
      <w:tr>
        <w:trPr>
          <w:trHeight w:val="212"/>
        </w:trPr>
        <w:tc>
          <w:tcPr>
            <w:tcW w:w="352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Income taxes</w:t>
            </w:r>
          </w:p>
        </w:tc>
        <w:tc>
          <w:tcPr>
            <w:tcW w:w="320" w:type="dxa"/>
            <w:vAlign w:val="bottom"/>
            <w:tcBorders>
              <w:bottom w:val="single" w:sz="8" w:color="auto"/>
            </w:tcBorders>
            <w:shd w:val="clear" w:color="auto" w:fill="E0E7ED"/>
          </w:tcPr>
          <w:p>
            <w:pPr>
              <w:spacing w:after="0"/>
              <w:rPr>
                <w:sz w:val="18"/>
                <w:szCs w:val="18"/>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36,021</w:t>
            </w:r>
          </w:p>
        </w:tc>
        <w:tc>
          <w:tcPr>
            <w:tcW w:w="80" w:type="dxa"/>
            <w:vAlign w:val="bottom"/>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spacing w:after="0"/>
              <w:rPr>
                <w:sz w:val="18"/>
                <w:szCs w:val="18"/>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5,306</w:t>
            </w:r>
          </w:p>
        </w:tc>
        <w:tc>
          <w:tcPr>
            <w:tcW w:w="60" w:type="dxa"/>
            <w:vAlign w:val="bottom"/>
            <w:tcBorders>
              <w:bottom w:val="single" w:sz="8" w:color="auto"/>
            </w:tcBorders>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00" w:type="dxa"/>
            <w:vAlign w:val="bottom"/>
            <w:tcBorders>
              <w:bottom w:val="single" w:sz="8" w:color="auto"/>
            </w:tcBorders>
            <w:shd w:val="clear" w:color="auto" w:fill="E0E7ED"/>
          </w:tcPr>
          <w:p>
            <w:pPr>
              <w:spacing w:after="0"/>
              <w:rPr>
                <w:sz w:val="18"/>
                <w:szCs w:val="18"/>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319</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(8,220)</w:t>
            </w:r>
          </w:p>
        </w:tc>
        <w:tc>
          <w:tcPr>
            <w:tcW w:w="80" w:type="dxa"/>
            <w:vAlign w:val="bottom"/>
            <w:shd w:val="clear" w:color="auto" w:fill="E0E7ED"/>
          </w:tcPr>
          <w:p>
            <w:pPr>
              <w:spacing w:after="0"/>
              <w:rPr>
                <w:sz w:val="18"/>
                <w:szCs w:val="18"/>
                <w:color w:val="auto"/>
              </w:rPr>
            </w:pPr>
          </w:p>
        </w:tc>
        <w:tc>
          <w:tcPr>
            <w:tcW w:w="360" w:type="dxa"/>
            <w:vAlign w:val="bottom"/>
            <w:tcBorders>
              <w:bottom w:val="single" w:sz="8" w:color="auto"/>
            </w:tcBorders>
            <w:shd w:val="clear" w:color="auto" w:fill="E0E7ED"/>
          </w:tcPr>
          <w:p>
            <w:pPr>
              <w:spacing w:after="0"/>
              <w:rPr>
                <w:sz w:val="18"/>
                <w:szCs w:val="18"/>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33,426</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b w:val="1"/>
                <w:bCs w:val="1"/>
                <w:color w:val="auto"/>
              </w:rPr>
              <w:t>Net income</w:t>
            </w:r>
          </w:p>
        </w:tc>
        <w:tc>
          <w:tcPr>
            <w:tcW w:w="320" w:type="dxa"/>
            <w:vAlign w:val="bottom"/>
          </w:tcPr>
          <w:p>
            <w:pPr>
              <w:jc w:val="right"/>
              <w:ind w:right="129"/>
              <w:spacing w:after="0"/>
              <w:rPr>
                <w:sz w:val="20"/>
                <w:szCs w:val="20"/>
                <w:color w:val="auto"/>
              </w:rPr>
            </w:pPr>
            <w:r>
              <w:rPr>
                <w:rFonts w:ascii="Verdana" w:cs="Verdana" w:eastAsia="Verdana" w:hAnsi="Verdana"/>
                <w:sz w:val="14"/>
                <w:szCs w:val="14"/>
                <w:color w:val="auto"/>
              </w:rPr>
              <w:t>$</w:t>
            </w:r>
          </w:p>
        </w:tc>
        <w:tc>
          <w:tcPr>
            <w:tcW w:w="1160" w:type="dxa"/>
            <w:vAlign w:val="bottom"/>
          </w:tcPr>
          <w:p>
            <w:pPr>
              <w:jc w:val="right"/>
              <w:spacing w:after="0"/>
              <w:rPr>
                <w:sz w:val="20"/>
                <w:szCs w:val="20"/>
                <w:color w:val="auto"/>
              </w:rPr>
            </w:pPr>
            <w:r>
              <w:rPr>
                <w:rFonts w:ascii="Verdana" w:cs="Verdana" w:eastAsia="Verdana" w:hAnsi="Verdana"/>
                <w:sz w:val="14"/>
                <w:szCs w:val="14"/>
                <w:color w:val="auto"/>
              </w:rPr>
              <w:t>131,596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300" w:type="dxa"/>
            <w:vAlign w:val="bottom"/>
          </w:tcPr>
          <w:p>
            <w:pPr>
              <w:jc w:val="right"/>
              <w:spacing w:after="0"/>
              <w:rPr>
                <w:sz w:val="20"/>
                <w:szCs w:val="20"/>
                <w:color w:val="auto"/>
              </w:rPr>
            </w:pPr>
            <w:r>
              <w:rPr>
                <w:rFonts w:ascii="Verdana" w:cs="Verdana" w:eastAsia="Verdana" w:hAnsi="Verdana"/>
                <w:sz w:val="14"/>
                <w:szCs w:val="14"/>
                <w:color w:val="auto"/>
              </w:rPr>
              <w:t>18,543</w:t>
            </w:r>
          </w:p>
        </w:tc>
        <w:tc>
          <w:tcPr>
            <w:tcW w:w="440" w:type="dxa"/>
            <w:vAlign w:val="bottom"/>
            <w:gridSpan w:val="3"/>
          </w:tcPr>
          <w:p>
            <w:pPr>
              <w:jc w:val="right"/>
              <w:ind w:right="200"/>
              <w:spacing w:after="0"/>
              <w:rPr>
                <w:sz w:val="20"/>
                <w:szCs w:val="20"/>
                <w:color w:val="auto"/>
              </w:rPr>
            </w:pPr>
            <w:r>
              <w:rPr>
                <w:rFonts w:ascii="Verdana" w:cs="Verdana" w:eastAsia="Verdana" w:hAnsi="Verdana"/>
                <w:sz w:val="14"/>
                <w:szCs w:val="14"/>
                <w:color w:val="auto"/>
              </w:rPr>
              <w:t>$</w:t>
            </w:r>
          </w:p>
        </w:tc>
        <w:tc>
          <w:tcPr>
            <w:tcW w:w="1180" w:type="dxa"/>
            <w:vAlign w:val="bottom"/>
          </w:tcPr>
          <w:p>
            <w:pPr>
              <w:jc w:val="right"/>
              <w:spacing w:after="0"/>
              <w:rPr>
                <w:sz w:val="20"/>
                <w:szCs w:val="20"/>
                <w:color w:val="auto"/>
              </w:rPr>
            </w:pPr>
            <w:r>
              <w:rPr>
                <w:rFonts w:ascii="Verdana" w:cs="Verdana" w:eastAsia="Verdana" w:hAnsi="Verdana"/>
                <w:sz w:val="14"/>
                <w:szCs w:val="14"/>
                <w:color w:val="auto"/>
              </w:rPr>
              <w:t>847</w:t>
            </w:r>
          </w:p>
        </w:tc>
        <w:tc>
          <w:tcPr>
            <w:tcW w:w="80" w:type="dxa"/>
            <w:vAlign w:val="bottom"/>
          </w:tcPr>
          <w:p>
            <w:pPr>
              <w:spacing w:after="0"/>
              <w:rPr>
                <w:sz w:val="17"/>
                <w:szCs w:val="17"/>
                <w:color w:val="auto"/>
              </w:rPr>
            </w:pPr>
          </w:p>
        </w:tc>
        <w:tc>
          <w:tcPr>
            <w:tcW w:w="360" w:type="dxa"/>
            <w:vAlign w:val="bottom"/>
          </w:tcPr>
          <w:p>
            <w:pPr>
              <w:jc w:val="right"/>
              <w:ind w:right="169"/>
              <w:spacing w:after="0"/>
              <w:rPr>
                <w:sz w:val="20"/>
                <w:szCs w:val="20"/>
                <w:color w:val="auto"/>
              </w:rPr>
            </w:pPr>
            <w:r>
              <w:rPr>
                <w:rFonts w:ascii="Verdana" w:cs="Verdana" w:eastAsia="Verdana" w:hAnsi="Verdana"/>
                <w:sz w:val="14"/>
                <w:szCs w:val="14"/>
                <w:color w:val="auto"/>
              </w:rPr>
              <w:t>$</w:t>
            </w:r>
          </w:p>
        </w:tc>
        <w:tc>
          <w:tcPr>
            <w:tcW w:w="1140" w:type="dxa"/>
            <w:vAlign w:val="bottom"/>
          </w:tcPr>
          <w:p>
            <w:pPr>
              <w:jc w:val="right"/>
              <w:spacing w:after="0"/>
              <w:rPr>
                <w:sz w:val="20"/>
                <w:szCs w:val="20"/>
                <w:color w:val="auto"/>
              </w:rPr>
            </w:pPr>
            <w:r>
              <w:rPr>
                <w:rFonts w:ascii="Verdana" w:cs="Verdana" w:eastAsia="Verdana" w:hAnsi="Verdana"/>
                <w:sz w:val="14"/>
                <w:szCs w:val="14"/>
                <w:color w:val="auto"/>
              </w:rPr>
              <w:t>(22,675)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Verdana" w:cs="Verdana" w:eastAsia="Verdana" w:hAnsi="Verdana"/>
                <w:sz w:val="14"/>
                <w:szCs w:val="14"/>
                <w:color w:val="auto"/>
                <w:w w:val="88"/>
              </w:rPr>
              <w:t>$</w:t>
            </w:r>
          </w:p>
        </w:tc>
        <w:tc>
          <w:tcPr>
            <w:tcW w:w="1120" w:type="dxa"/>
            <w:vAlign w:val="bottom"/>
          </w:tcPr>
          <w:p>
            <w:pPr>
              <w:jc w:val="right"/>
              <w:spacing w:after="0"/>
              <w:rPr>
                <w:sz w:val="20"/>
                <w:szCs w:val="20"/>
                <w:color w:val="auto"/>
              </w:rPr>
            </w:pPr>
            <w:r>
              <w:rPr>
                <w:rFonts w:ascii="Verdana" w:cs="Verdana" w:eastAsia="Verdana" w:hAnsi="Verdana"/>
                <w:sz w:val="14"/>
                <w:szCs w:val="14"/>
                <w:color w:val="auto"/>
              </w:rPr>
              <w:t>128,311</w:t>
            </w: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3" w:name="page174"/>
    <w:bookmarkEnd w:id="173"/>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NOTE 24. PARENT COMPANY ONLY FINANCIAL INFORMATION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Condensed financial data for First Busey Corporation is presented below.</w:t>
      </w:r>
    </w:p>
    <w:p>
      <w:pPr>
        <w:spacing w:after="0" w:line="137" w:lineRule="exact"/>
        <w:rPr>
          <w:sz w:val="20"/>
          <w:szCs w:val="20"/>
          <w:color w:val="auto"/>
        </w:rPr>
      </w:pPr>
    </w:p>
    <w:p>
      <w:pPr>
        <w:ind w:left="4420"/>
        <w:spacing w:after="0"/>
        <w:rPr>
          <w:sz w:val="20"/>
          <w:szCs w:val="20"/>
          <w:color w:val="auto"/>
        </w:rPr>
      </w:pPr>
      <w:r>
        <w:rPr>
          <w:rFonts w:ascii="Verdana" w:cs="Verdana" w:eastAsia="Verdana" w:hAnsi="Verdana"/>
          <w:sz w:val="14"/>
          <w:szCs w:val="14"/>
          <w:b w:val="1"/>
          <w:bCs w:val="1"/>
          <w:color w:val="auto"/>
        </w:rPr>
        <w:t>CONDENSED BALANCE SHEETS</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79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3"/>
          </w:tcPr>
          <w:p>
            <w:pPr>
              <w:jc w:val="right"/>
              <w:ind w:right="9"/>
              <w:spacing w:after="0"/>
              <w:rPr>
                <w:sz w:val="20"/>
                <w:szCs w:val="20"/>
                <w:color w:val="auto"/>
              </w:rPr>
            </w:pPr>
            <w:r>
              <w:rPr>
                <w:rFonts w:ascii="Verdana" w:cs="Verdana" w:eastAsia="Verdana" w:hAnsi="Verdana"/>
                <w:sz w:val="10"/>
                <w:szCs w:val="10"/>
                <w:b w:val="1"/>
                <w:bCs w:val="1"/>
                <w:color w:val="auto"/>
              </w:rPr>
              <w:t>As of December 31,</w:t>
            </w:r>
          </w:p>
        </w:tc>
        <w:tc>
          <w:tcPr>
            <w:tcW w:w="1020" w:type="dxa"/>
            <w:vAlign w:val="bottom"/>
            <w:tcBorders>
              <w:bottom w:val="single" w:sz="8" w:color="auto"/>
            </w:tcBorders>
          </w:tcPr>
          <w:p>
            <w:pPr>
              <w:spacing w:after="0"/>
              <w:rPr>
                <w:sz w:val="11"/>
                <w:szCs w:val="11"/>
                <w:color w:val="auto"/>
              </w:rPr>
            </w:pPr>
          </w:p>
        </w:tc>
      </w:tr>
      <w:tr>
        <w:trPr>
          <w:trHeight w:val="131"/>
        </w:trPr>
        <w:tc>
          <w:tcPr>
            <w:tcW w:w="79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2"/>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1"/>
              <w:spacing w:after="0"/>
              <w:rPr>
                <w:sz w:val="20"/>
                <w:szCs w:val="20"/>
                <w:color w:val="auto"/>
              </w:rPr>
            </w:pPr>
            <w:r>
              <w:rPr>
                <w:rFonts w:ascii="Verdana" w:cs="Verdana" w:eastAsia="Verdana" w:hAnsi="Verdana"/>
                <w:sz w:val="10"/>
                <w:szCs w:val="10"/>
                <w:b w:val="1"/>
                <w:bCs w:val="1"/>
                <w:color w:val="auto"/>
              </w:rPr>
              <w:t>2023</w:t>
            </w:r>
          </w:p>
        </w:tc>
      </w:tr>
      <w:tr>
        <w:trPr>
          <w:trHeight w:val="197"/>
        </w:trPr>
        <w:tc>
          <w:tcPr>
            <w:tcW w:w="7980" w:type="dxa"/>
            <w:vAlign w:val="bottom"/>
            <w:shd w:val="clear" w:color="auto" w:fill="E0E7ED"/>
          </w:tcPr>
          <w:p>
            <w:pPr>
              <w:spacing w:after="0"/>
              <w:rPr>
                <w:sz w:val="20"/>
                <w:szCs w:val="20"/>
                <w:color w:val="auto"/>
              </w:rPr>
            </w:pPr>
            <w:r>
              <w:rPr>
                <w:rFonts w:ascii="Verdana" w:cs="Verdana" w:eastAsia="Verdana" w:hAnsi="Verdana"/>
                <w:sz w:val="14"/>
                <w:szCs w:val="14"/>
                <w:b w:val="1"/>
                <w:bCs w:val="1"/>
                <w:color w:val="auto"/>
              </w:rPr>
              <w:t>Assets</w:t>
            </w: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580" w:type="dxa"/>
            <w:vAlign w:val="bottom"/>
            <w:shd w:val="clear" w:color="auto" w:fill="E0E7ED"/>
          </w:tcPr>
          <w:p>
            <w:pPr>
              <w:spacing w:after="0"/>
              <w:rPr>
                <w:sz w:val="17"/>
                <w:szCs w:val="17"/>
                <w:color w:val="auto"/>
              </w:rPr>
            </w:pPr>
          </w:p>
        </w:tc>
        <w:tc>
          <w:tcPr>
            <w:tcW w:w="1020" w:type="dxa"/>
            <w:vAlign w:val="bottom"/>
            <w:shd w:val="clear" w:color="auto" w:fill="E0E7ED"/>
          </w:tcPr>
          <w:p>
            <w:pPr>
              <w:spacing w:after="0"/>
              <w:rPr>
                <w:sz w:val="17"/>
                <w:szCs w:val="17"/>
                <w:color w:val="auto"/>
              </w:rPr>
            </w:pPr>
          </w:p>
        </w:tc>
      </w:tr>
      <w:tr>
        <w:trPr>
          <w:trHeight w:val="207"/>
        </w:trPr>
        <w:tc>
          <w:tcPr>
            <w:tcW w:w="7980" w:type="dxa"/>
            <w:vAlign w:val="bottom"/>
          </w:tcPr>
          <w:p>
            <w:pPr>
              <w:ind w:left="140"/>
              <w:spacing w:after="0"/>
              <w:rPr>
                <w:sz w:val="20"/>
                <w:szCs w:val="20"/>
                <w:color w:val="auto"/>
              </w:rPr>
            </w:pPr>
            <w:r>
              <w:rPr>
                <w:rFonts w:ascii="Verdana" w:cs="Verdana" w:eastAsia="Verdana" w:hAnsi="Verdana"/>
                <w:sz w:val="14"/>
                <w:szCs w:val="14"/>
                <w:color w:val="auto"/>
              </w:rPr>
              <w:t>Cash and cash equivalents</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73,484</w:t>
            </w:r>
          </w:p>
        </w:tc>
        <w:tc>
          <w:tcPr>
            <w:tcW w:w="80" w:type="dxa"/>
            <w:vAlign w:val="bottom"/>
          </w:tcPr>
          <w:p>
            <w:pPr>
              <w:spacing w:after="0"/>
              <w:rPr>
                <w:sz w:val="17"/>
                <w:szCs w:val="17"/>
                <w:color w:val="auto"/>
              </w:rPr>
            </w:pPr>
          </w:p>
        </w:tc>
        <w:tc>
          <w:tcPr>
            <w:tcW w:w="580" w:type="dxa"/>
            <w:vAlign w:val="bottom"/>
          </w:tcPr>
          <w:p>
            <w:pPr>
              <w:jc w:val="right"/>
              <w:ind w:right="409"/>
              <w:spacing w:after="0"/>
              <w:rPr>
                <w:sz w:val="20"/>
                <w:szCs w:val="20"/>
                <w:color w:val="auto"/>
              </w:rPr>
            </w:pPr>
            <w:r>
              <w:rPr>
                <w:rFonts w:ascii="Verdana" w:cs="Verdana" w:eastAsia="Verdana" w:hAnsi="Verdana"/>
                <w:sz w:val="14"/>
                <w:szCs w:val="14"/>
                <w:color w:val="auto"/>
                <w:w w:val="88"/>
              </w:rPr>
              <w:t>$</w:t>
            </w: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100,098</w:t>
            </w:r>
          </w:p>
        </w:tc>
      </w:tr>
      <w:tr>
        <w:trPr>
          <w:trHeight w:val="218"/>
        </w:trPr>
        <w:tc>
          <w:tcPr>
            <w:tcW w:w="7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Debt securities</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987</w:t>
            </w:r>
          </w:p>
        </w:tc>
      </w:tr>
      <w:tr>
        <w:trPr>
          <w:trHeight w:val="207"/>
        </w:trPr>
        <w:tc>
          <w:tcPr>
            <w:tcW w:w="7980" w:type="dxa"/>
            <w:vAlign w:val="bottom"/>
          </w:tcPr>
          <w:p>
            <w:pPr>
              <w:ind w:left="140"/>
              <w:spacing w:after="0"/>
              <w:rPr>
                <w:sz w:val="20"/>
                <w:szCs w:val="20"/>
                <w:color w:val="auto"/>
              </w:rPr>
            </w:pPr>
            <w:r>
              <w:rPr>
                <w:rFonts w:ascii="Verdana" w:cs="Verdana" w:eastAsia="Verdana" w:hAnsi="Verdana"/>
                <w:sz w:val="14"/>
                <w:szCs w:val="14"/>
                <w:color w:val="auto"/>
              </w:rPr>
              <w:t>Equity securities</w:t>
            </w: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10,295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9,364</w:t>
            </w:r>
          </w:p>
        </w:tc>
      </w:tr>
      <w:tr>
        <w:trPr>
          <w:trHeight w:val="218"/>
        </w:trPr>
        <w:tc>
          <w:tcPr>
            <w:tcW w:w="7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Investments in subsidiaries: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spacing w:after="0"/>
              <w:rPr>
                <w:sz w:val="18"/>
                <w:szCs w:val="18"/>
                <w:color w:val="auto"/>
              </w:rPr>
            </w:pPr>
          </w:p>
        </w:tc>
      </w:tr>
      <w:tr>
        <w:trPr>
          <w:trHeight w:val="207"/>
        </w:trPr>
        <w:tc>
          <w:tcPr>
            <w:tcW w:w="7980" w:type="dxa"/>
            <w:vAlign w:val="bottom"/>
          </w:tcPr>
          <w:p>
            <w:pPr>
              <w:ind w:left="260"/>
              <w:spacing w:after="0"/>
              <w:rPr>
                <w:sz w:val="20"/>
                <w:szCs w:val="20"/>
                <w:color w:val="auto"/>
              </w:rPr>
            </w:pPr>
            <w:r>
              <w:rPr>
                <w:rFonts w:ascii="Verdana" w:cs="Verdana" w:eastAsia="Verdana" w:hAnsi="Verdana"/>
                <w:sz w:val="14"/>
                <w:szCs w:val="14"/>
                <w:color w:val="auto"/>
              </w:rPr>
              <w:t>Bank</w:t>
            </w: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1,584,264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1,478,118</w:t>
            </w:r>
          </w:p>
        </w:tc>
      </w:tr>
      <w:tr>
        <w:trPr>
          <w:trHeight w:val="218"/>
        </w:trPr>
        <w:tc>
          <w:tcPr>
            <w:tcW w:w="798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Premises and equipment, net</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11</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7</w:t>
            </w:r>
          </w:p>
        </w:tc>
      </w:tr>
      <w:tr>
        <w:trPr>
          <w:trHeight w:val="207"/>
        </w:trPr>
        <w:tc>
          <w:tcPr>
            <w:tcW w:w="7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Other assets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29,859</w:t>
            </w:r>
          </w:p>
        </w:tc>
        <w:tc>
          <w:tcPr>
            <w:tcW w:w="80" w:type="dxa"/>
            <w:vAlign w:val="bottom"/>
            <w:tcBorders>
              <w:bottom w:val="single" w:sz="8" w:color="E0E7E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20,100</w:t>
            </w:r>
          </w:p>
        </w:tc>
      </w:tr>
      <w:tr>
        <w:trPr>
          <w:trHeight w:val="233"/>
        </w:trPr>
        <w:tc>
          <w:tcPr>
            <w:tcW w:w="7980" w:type="dxa"/>
            <w:vAlign w:val="bottom"/>
            <w:tcBorders>
              <w:bottom w:val="single" w:sz="8" w:color="E0E7ED"/>
            </w:tcBorders>
            <w:shd w:val="clear" w:color="auto" w:fill="E0E7ED"/>
          </w:tcPr>
          <w:p>
            <w:pPr>
              <w:spacing w:after="0"/>
              <w:rPr>
                <w:sz w:val="20"/>
                <w:szCs w:val="20"/>
                <w:color w:val="auto"/>
              </w:rPr>
            </w:pPr>
            <w:r>
              <w:rPr>
                <w:rFonts w:ascii="Verdana" w:cs="Verdana" w:eastAsia="Verdana" w:hAnsi="Verdana"/>
                <w:sz w:val="14"/>
                <w:szCs w:val="14"/>
                <w:color w:val="auto"/>
              </w:rPr>
              <w:t>Total assets</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1,697,913</w:t>
            </w:r>
          </w:p>
        </w:tc>
        <w:tc>
          <w:tcPr>
            <w:tcW w:w="80" w:type="dxa"/>
            <w:vAlign w:val="bottom"/>
            <w:tcBorders>
              <w:bottom w:val="single" w:sz="8" w:color="E0E7ED"/>
            </w:tcBorders>
            <w:shd w:val="clear" w:color="auto" w:fill="E0E7ED"/>
          </w:tcPr>
          <w:p>
            <w:pPr>
              <w:spacing w:after="0"/>
              <w:rPr>
                <w:sz w:val="19"/>
                <w:szCs w:val="19"/>
                <w:color w:val="auto"/>
              </w:rPr>
            </w:pPr>
          </w:p>
        </w:tc>
        <w:tc>
          <w:tcPr>
            <w:tcW w:w="580" w:type="dxa"/>
            <w:vAlign w:val="bottom"/>
            <w:tcBorders>
              <w:bottom w:val="single" w:sz="8" w:color="auto"/>
            </w:tcBorders>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1,608,674</w:t>
            </w:r>
          </w:p>
        </w:tc>
      </w:tr>
      <w:tr>
        <w:trPr>
          <w:trHeight w:val="20"/>
        </w:trPr>
        <w:tc>
          <w:tcPr>
            <w:tcW w:w="79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r>
        <w:trPr>
          <w:trHeight w:val="153"/>
        </w:trPr>
        <w:tc>
          <w:tcPr>
            <w:tcW w:w="7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7980" w:type="dxa"/>
            <w:vAlign w:val="bottom"/>
            <w:shd w:val="clear" w:color="auto" w:fill="E0E7ED"/>
          </w:tcPr>
          <w:p>
            <w:pPr>
              <w:spacing w:after="0"/>
              <w:rPr>
                <w:sz w:val="20"/>
                <w:szCs w:val="20"/>
                <w:color w:val="auto"/>
              </w:rPr>
            </w:pPr>
            <w:r>
              <w:rPr>
                <w:rFonts w:ascii="Verdana" w:cs="Verdana" w:eastAsia="Verdana" w:hAnsi="Verdana"/>
                <w:sz w:val="14"/>
                <w:szCs w:val="14"/>
                <w:b w:val="1"/>
                <w:bCs w:val="1"/>
                <w:color w:val="auto"/>
              </w:rPr>
              <w:t>Liabilities and stockholders' equity</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spacing w:after="0"/>
              <w:rPr>
                <w:sz w:val="18"/>
                <w:szCs w:val="18"/>
                <w:color w:val="auto"/>
              </w:rPr>
            </w:pPr>
          </w:p>
        </w:tc>
      </w:tr>
      <w:tr>
        <w:trPr>
          <w:trHeight w:val="207"/>
        </w:trPr>
        <w:tc>
          <w:tcPr>
            <w:tcW w:w="7980" w:type="dxa"/>
            <w:vAlign w:val="bottom"/>
          </w:tcPr>
          <w:p>
            <w:pPr>
              <w:ind w:left="140"/>
              <w:spacing w:after="0"/>
              <w:rPr>
                <w:sz w:val="20"/>
                <w:szCs w:val="20"/>
                <w:color w:val="auto"/>
              </w:rPr>
            </w:pPr>
            <w:r>
              <w:rPr>
                <w:rFonts w:ascii="Verdana" w:cs="Verdana" w:eastAsia="Verdana" w:hAnsi="Verdana"/>
                <w:sz w:val="14"/>
                <w:szCs w:val="14"/>
                <w:color w:val="auto"/>
              </w:rPr>
              <w:t>Liabilities: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798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Short-term borrowings</w:t>
            </w: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580" w:type="dxa"/>
            <w:vAlign w:val="bottom"/>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0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12,000</w:t>
            </w:r>
          </w:p>
        </w:tc>
      </w:tr>
      <w:tr>
        <w:trPr>
          <w:trHeight w:val="207"/>
        </w:trPr>
        <w:tc>
          <w:tcPr>
            <w:tcW w:w="7980" w:type="dxa"/>
            <w:vAlign w:val="bottom"/>
          </w:tcPr>
          <w:p>
            <w:pPr>
              <w:ind w:left="260"/>
              <w:spacing w:after="0"/>
              <w:rPr>
                <w:sz w:val="20"/>
                <w:szCs w:val="20"/>
                <w:color w:val="auto"/>
              </w:rPr>
            </w:pPr>
            <w:r>
              <w:rPr>
                <w:rFonts w:ascii="Verdana" w:cs="Verdana" w:eastAsia="Verdana" w:hAnsi="Verdana"/>
                <w:sz w:val="14"/>
                <w:szCs w:val="14"/>
                <w:color w:val="auto"/>
              </w:rPr>
              <w:t>Long-term debt</w:t>
            </w: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58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18,000</w:t>
            </w:r>
          </w:p>
        </w:tc>
      </w:tr>
      <w:tr>
        <w:trPr>
          <w:trHeight w:val="218"/>
        </w:trPr>
        <w:tc>
          <w:tcPr>
            <w:tcW w:w="798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Subordinated notes, net of unamortized issuance costs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4"/>
                <w:szCs w:val="14"/>
                <w:color w:val="auto"/>
              </w:rPr>
              <w:t>227,723</w:t>
            </w: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jc w:val="right"/>
              <w:ind w:right="11"/>
              <w:spacing w:after="0"/>
              <w:rPr>
                <w:sz w:val="20"/>
                <w:szCs w:val="20"/>
                <w:color w:val="auto"/>
              </w:rPr>
            </w:pPr>
            <w:r>
              <w:rPr>
                <w:rFonts w:ascii="Verdana" w:cs="Verdana" w:eastAsia="Verdana" w:hAnsi="Verdana"/>
                <w:sz w:val="14"/>
                <w:szCs w:val="14"/>
                <w:color w:val="auto"/>
              </w:rPr>
              <w:t>222,882</w:t>
            </w:r>
          </w:p>
        </w:tc>
      </w:tr>
      <w:tr>
        <w:trPr>
          <w:trHeight w:val="207"/>
        </w:trPr>
        <w:tc>
          <w:tcPr>
            <w:tcW w:w="7980" w:type="dxa"/>
            <w:vAlign w:val="bottom"/>
          </w:tcPr>
          <w:p>
            <w:pPr>
              <w:ind w:left="260"/>
              <w:spacing w:after="0"/>
              <w:rPr>
                <w:sz w:val="20"/>
                <w:szCs w:val="20"/>
                <w:color w:val="auto"/>
              </w:rPr>
            </w:pPr>
            <w:r>
              <w:rPr>
                <w:rFonts w:ascii="Verdana" w:cs="Verdana" w:eastAsia="Verdana" w:hAnsi="Verdana"/>
                <w:sz w:val="14"/>
                <w:szCs w:val="14"/>
                <w:color w:val="auto"/>
              </w:rPr>
              <w:t>Junior subordinated debentures owed to unconsolidated trusts</w:t>
            </w: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74,815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71,993</w:t>
            </w:r>
          </w:p>
        </w:tc>
      </w:tr>
      <w:tr>
        <w:trPr>
          <w:trHeight w:val="212"/>
        </w:trPr>
        <w:tc>
          <w:tcPr>
            <w:tcW w:w="7980" w:type="dxa"/>
            <w:vAlign w:val="bottom"/>
            <w:shd w:val="clear" w:color="auto" w:fill="E0E7ED"/>
          </w:tcPr>
          <w:p>
            <w:pPr>
              <w:ind w:left="260"/>
              <w:spacing w:after="0"/>
              <w:rPr>
                <w:sz w:val="20"/>
                <w:szCs w:val="20"/>
                <w:color w:val="auto"/>
              </w:rPr>
            </w:pPr>
            <w:r>
              <w:rPr>
                <w:rFonts w:ascii="Verdana" w:cs="Verdana" w:eastAsia="Verdana" w:hAnsi="Verdana"/>
                <w:sz w:val="14"/>
                <w:szCs w:val="14"/>
                <w:color w:val="auto"/>
              </w:rPr>
              <w:t>Other liabilities</w:t>
            </w:r>
          </w:p>
        </w:tc>
        <w:tc>
          <w:tcPr>
            <w:tcW w:w="3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12,106</w:t>
            </w:r>
          </w:p>
        </w:tc>
        <w:tc>
          <w:tcPr>
            <w:tcW w:w="80" w:type="dxa"/>
            <w:vAlign w:val="bottom"/>
            <w:shd w:val="clear" w:color="auto" w:fill="E0E7ED"/>
          </w:tcPr>
          <w:p>
            <w:pPr>
              <w:spacing w:after="0"/>
              <w:rPr>
                <w:sz w:val="18"/>
                <w:szCs w:val="18"/>
                <w:color w:val="auto"/>
              </w:rPr>
            </w:pPr>
          </w:p>
        </w:tc>
        <w:tc>
          <w:tcPr>
            <w:tcW w:w="580" w:type="dxa"/>
            <w:vAlign w:val="bottom"/>
            <w:tcBorders>
              <w:bottom w:val="single" w:sz="8" w:color="auto"/>
            </w:tcBorders>
            <w:shd w:val="clear" w:color="auto" w:fill="E0E7ED"/>
          </w:tcPr>
          <w:p>
            <w:pPr>
              <w:spacing w:after="0"/>
              <w:rPr>
                <w:sz w:val="18"/>
                <w:szCs w:val="18"/>
                <w:color w:val="auto"/>
              </w:rPr>
            </w:pPr>
          </w:p>
        </w:tc>
        <w:tc>
          <w:tcPr>
            <w:tcW w:w="10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11,818</w:t>
            </w:r>
          </w:p>
        </w:tc>
      </w:tr>
      <w:tr>
        <w:trPr>
          <w:trHeight w:val="203"/>
        </w:trPr>
        <w:tc>
          <w:tcPr>
            <w:tcW w:w="7980" w:type="dxa"/>
            <w:vAlign w:val="bottom"/>
          </w:tcPr>
          <w:p>
            <w:pPr>
              <w:ind w:left="140"/>
              <w:spacing w:after="0"/>
              <w:rPr>
                <w:sz w:val="20"/>
                <w:szCs w:val="20"/>
                <w:color w:val="auto"/>
              </w:rPr>
            </w:pPr>
            <w:r>
              <w:rPr>
                <w:rFonts w:ascii="Verdana" w:cs="Verdana" w:eastAsia="Verdana" w:hAnsi="Verdana"/>
                <w:sz w:val="14"/>
                <w:szCs w:val="14"/>
                <w:color w:val="auto"/>
              </w:rPr>
              <w:t>Total liabilities</w:t>
            </w:r>
          </w:p>
        </w:tc>
        <w:tc>
          <w:tcPr>
            <w:tcW w:w="3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Verdana" w:cs="Verdana" w:eastAsia="Verdana" w:hAnsi="Verdana"/>
                <w:sz w:val="14"/>
                <w:szCs w:val="14"/>
                <w:color w:val="auto"/>
              </w:rPr>
              <w:t>314,644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Verdana" w:cs="Verdana" w:eastAsia="Verdana" w:hAnsi="Verdana"/>
                <w:sz w:val="14"/>
                <w:szCs w:val="14"/>
                <w:color w:val="auto"/>
              </w:rPr>
              <w:t>336,693</w:t>
            </w:r>
          </w:p>
        </w:tc>
      </w:tr>
      <w:tr>
        <w:trPr>
          <w:trHeight w:val="218"/>
        </w:trPr>
        <w:tc>
          <w:tcPr>
            <w:tcW w:w="79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580" w:type="dxa"/>
            <w:vAlign w:val="bottom"/>
            <w:shd w:val="clear" w:color="auto" w:fill="E0E7ED"/>
          </w:tcPr>
          <w:p>
            <w:pPr>
              <w:spacing w:after="0"/>
              <w:rPr>
                <w:sz w:val="18"/>
                <w:szCs w:val="18"/>
                <w:color w:val="auto"/>
              </w:rPr>
            </w:pPr>
          </w:p>
        </w:tc>
        <w:tc>
          <w:tcPr>
            <w:tcW w:w="1020" w:type="dxa"/>
            <w:vAlign w:val="bottom"/>
            <w:shd w:val="clear" w:color="auto" w:fill="E0E7ED"/>
          </w:tcPr>
          <w:p>
            <w:pPr>
              <w:spacing w:after="0"/>
              <w:rPr>
                <w:sz w:val="18"/>
                <w:szCs w:val="18"/>
                <w:color w:val="auto"/>
              </w:rPr>
            </w:pPr>
          </w:p>
        </w:tc>
      </w:tr>
      <w:tr>
        <w:trPr>
          <w:trHeight w:val="207"/>
        </w:trPr>
        <w:tc>
          <w:tcPr>
            <w:tcW w:w="7980" w:type="dxa"/>
            <w:vAlign w:val="bottom"/>
            <w:tcBorders>
              <w:bottom w:val="single" w:sz="8" w:color="E0E7ED"/>
            </w:tcBorders>
          </w:tcPr>
          <w:p>
            <w:pPr>
              <w:ind w:left="140"/>
              <w:spacing w:after="0"/>
              <w:rPr>
                <w:sz w:val="20"/>
                <w:szCs w:val="20"/>
                <w:color w:val="auto"/>
              </w:rPr>
            </w:pPr>
            <w:r>
              <w:rPr>
                <w:rFonts w:ascii="Verdana" w:cs="Verdana" w:eastAsia="Verdana" w:hAnsi="Verdana"/>
                <w:sz w:val="14"/>
                <w:szCs w:val="14"/>
                <w:color w:val="auto"/>
              </w:rPr>
              <w:t>Total stockholders' equity</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4"/>
                <w:szCs w:val="14"/>
                <w:color w:val="auto"/>
              </w:rPr>
              <w:t>1,383,269</w:t>
            </w:r>
          </w:p>
        </w:tc>
        <w:tc>
          <w:tcPr>
            <w:tcW w:w="80" w:type="dxa"/>
            <w:vAlign w:val="bottom"/>
            <w:tcBorders>
              <w:bottom w:val="single" w:sz="8" w:color="E0E7ED"/>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4"/>
                <w:szCs w:val="14"/>
                <w:color w:val="auto"/>
              </w:rPr>
              <w:t>1,271,981</w:t>
            </w:r>
          </w:p>
        </w:tc>
      </w:tr>
      <w:tr>
        <w:trPr>
          <w:trHeight w:val="233"/>
        </w:trPr>
        <w:tc>
          <w:tcPr>
            <w:tcW w:w="7980" w:type="dxa"/>
            <w:vAlign w:val="bottom"/>
            <w:tcBorders>
              <w:bottom w:val="single" w:sz="8" w:color="E0E7ED"/>
            </w:tcBorders>
            <w:shd w:val="clear" w:color="auto" w:fill="E0E7ED"/>
          </w:tcPr>
          <w:p>
            <w:pPr>
              <w:spacing w:after="0"/>
              <w:rPr>
                <w:sz w:val="20"/>
                <w:szCs w:val="20"/>
                <w:color w:val="auto"/>
              </w:rPr>
            </w:pPr>
            <w:r>
              <w:rPr>
                <w:rFonts w:ascii="Verdana" w:cs="Verdana" w:eastAsia="Verdana" w:hAnsi="Verdana"/>
                <w:sz w:val="14"/>
                <w:szCs w:val="14"/>
                <w:color w:val="auto"/>
              </w:rPr>
              <w:t>Total liabilities and stockholders' equity</w:t>
            </w:r>
          </w:p>
        </w:tc>
        <w:tc>
          <w:tcPr>
            <w:tcW w:w="380" w:type="dxa"/>
            <w:vAlign w:val="bottom"/>
            <w:tcBorders>
              <w:bottom w:val="single" w:sz="8" w:color="auto"/>
            </w:tcBorders>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4"/>
                <w:szCs w:val="14"/>
                <w:color w:val="auto"/>
              </w:rPr>
              <w:t>1,697,913</w:t>
            </w:r>
          </w:p>
        </w:tc>
        <w:tc>
          <w:tcPr>
            <w:tcW w:w="80" w:type="dxa"/>
            <w:vAlign w:val="bottom"/>
            <w:tcBorders>
              <w:bottom w:val="single" w:sz="8" w:color="E0E7ED"/>
            </w:tcBorders>
            <w:shd w:val="clear" w:color="auto" w:fill="E0E7ED"/>
          </w:tcPr>
          <w:p>
            <w:pPr>
              <w:spacing w:after="0"/>
              <w:rPr>
                <w:sz w:val="19"/>
                <w:szCs w:val="19"/>
                <w:color w:val="auto"/>
              </w:rPr>
            </w:pPr>
          </w:p>
        </w:tc>
        <w:tc>
          <w:tcPr>
            <w:tcW w:w="580" w:type="dxa"/>
            <w:vAlign w:val="bottom"/>
            <w:tcBorders>
              <w:bottom w:val="single" w:sz="8" w:color="auto"/>
            </w:tcBorders>
            <w:shd w:val="clear" w:color="auto" w:fill="E0E7ED"/>
          </w:tcPr>
          <w:p>
            <w:pPr>
              <w:jc w:val="right"/>
              <w:ind w:right="409"/>
              <w:spacing w:after="0"/>
              <w:rPr>
                <w:sz w:val="20"/>
                <w:szCs w:val="20"/>
                <w:color w:val="auto"/>
              </w:rPr>
            </w:pPr>
            <w:r>
              <w:rPr>
                <w:rFonts w:ascii="Verdana" w:cs="Verdana" w:eastAsia="Verdana" w:hAnsi="Verdana"/>
                <w:sz w:val="14"/>
                <w:szCs w:val="14"/>
                <w:color w:val="auto"/>
                <w:w w:val="88"/>
              </w:rPr>
              <w:t>$</w:t>
            </w:r>
          </w:p>
        </w:tc>
        <w:tc>
          <w:tcPr>
            <w:tcW w:w="102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4"/>
                <w:szCs w:val="14"/>
                <w:color w:val="auto"/>
              </w:rPr>
              <w:t>1,608,674</w:t>
            </w:r>
          </w:p>
        </w:tc>
      </w:tr>
      <w:tr>
        <w:trPr>
          <w:trHeight w:val="20"/>
        </w:trPr>
        <w:tc>
          <w:tcPr>
            <w:tcW w:w="798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70"/>
        </w:trPr>
        <w:tc>
          <w:tcPr>
            <w:tcW w:w="1240" w:type="dxa"/>
            <w:vAlign w:val="bottom"/>
            <w:tcBorders>
              <w:bottom w:val="single" w:sz="8" w:color="0000FF"/>
            </w:tcBorders>
          </w:tcPr>
          <w:p>
            <w:pPr>
              <w:spacing w:after="0"/>
              <w:rPr>
                <w:sz w:val="20"/>
                <w:szCs w:val="20"/>
                <w:color w:val="auto"/>
              </w:rPr>
            </w:pPr>
            <w:r>
              <w:rPr>
                <w:rFonts w:ascii="Verdana" w:cs="Verdana" w:eastAsia="Verdana" w:hAnsi="Verdana"/>
                <w:sz w:val="14"/>
                <w:szCs w:val="14"/>
                <w:color w:val="0000FF"/>
                <w:w w:val="98"/>
              </w:rPr>
              <w:t>Table of Contents</w:t>
            </w:r>
          </w:p>
        </w:tc>
        <w:tc>
          <w:tcPr>
            <w:tcW w:w="200" w:type="dxa"/>
            <w:vAlign w:val="bottom"/>
          </w:tcPr>
          <w:p>
            <w:pPr>
              <w:spacing w:after="0"/>
              <w:rPr>
                <w:sz w:val="14"/>
                <w:szCs w:val="14"/>
                <w:color w:val="auto"/>
              </w:rPr>
            </w:pPr>
          </w:p>
        </w:tc>
        <w:tc>
          <w:tcPr>
            <w:tcW w:w="4600" w:type="dxa"/>
            <w:vAlign w:val="bottom"/>
            <w:tcBorders>
              <w:bottom w:val="single" w:sz="8" w:color="0000FF"/>
            </w:tcBorders>
          </w:tcPr>
          <w:p>
            <w:pPr>
              <w:spacing w:after="0"/>
              <w:rPr>
                <w:sz w:val="20"/>
                <w:szCs w:val="20"/>
                <w:color w:val="auto"/>
              </w:rPr>
            </w:pPr>
            <w:r>
              <w:rPr>
                <w:rFonts w:ascii="Verdana" w:cs="Verdana" w:eastAsia="Verdana" w:hAnsi="Verdana"/>
                <w:sz w:val="14"/>
                <w:szCs w:val="14"/>
                <w:color w:val="0000FF"/>
              </w:rPr>
              <w:t>Contents of Item 8. Financial Statements &amp; Supplementary Data</w:t>
            </w:r>
          </w:p>
        </w:tc>
        <w:tc>
          <w:tcPr>
            <w:tcW w:w="86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58"/>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60" w:type="dxa"/>
            <w:vAlign w:val="bottom"/>
            <w:gridSpan w:val="3"/>
          </w:tcPr>
          <w:p>
            <w:pPr>
              <w:jc w:val="center"/>
              <w:ind w:left="2869"/>
              <w:spacing w:after="0"/>
              <w:rPr>
                <w:sz w:val="20"/>
                <w:szCs w:val="20"/>
                <w:color w:val="auto"/>
              </w:rPr>
            </w:pPr>
            <w:r>
              <w:rPr>
                <w:rFonts w:ascii="Verdana" w:cs="Verdana" w:eastAsia="Verdana" w:hAnsi="Verdana"/>
                <w:sz w:val="14"/>
                <w:szCs w:val="14"/>
                <w:b w:val="1"/>
                <w:bCs w:val="1"/>
                <w:color w:val="auto"/>
              </w:rPr>
              <w:t>FIRST BUSEY CORPORATION</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4"/>
        </w:trPr>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80" w:type="dxa"/>
            <w:vAlign w:val="bottom"/>
            <w:gridSpan w:val="5"/>
          </w:tcPr>
          <w:p>
            <w:pPr>
              <w:jc w:val="center"/>
              <w:ind w:left="1749"/>
              <w:spacing w:after="0"/>
              <w:rPr>
                <w:sz w:val="20"/>
                <w:szCs w:val="20"/>
                <w:color w:val="auto"/>
              </w:rPr>
            </w:pPr>
            <w:r>
              <w:rPr>
                <w:rFonts w:ascii="Verdana" w:cs="Verdana" w:eastAsia="Verdana" w:hAnsi="Verdana"/>
                <w:sz w:val="14"/>
                <w:szCs w:val="14"/>
                <w:b w:val="1"/>
                <w:bCs w:val="1"/>
                <w:color w:val="auto"/>
              </w:rPr>
              <w:t>NOTES TO CONSOLIDATED FINANCIAL STATEMENTS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74"/>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5"/>
          </w:tcPr>
          <w:p>
            <w:pPr>
              <w:jc w:val="center"/>
              <w:ind w:left="1749"/>
              <w:spacing w:after="0"/>
              <w:rPr>
                <w:sz w:val="20"/>
                <w:szCs w:val="20"/>
                <w:color w:val="auto"/>
              </w:rPr>
            </w:pPr>
            <w:r>
              <w:rPr>
                <w:rFonts w:ascii="Verdana" w:cs="Verdana" w:eastAsia="Verdana" w:hAnsi="Verdana"/>
                <w:sz w:val="14"/>
                <w:szCs w:val="14"/>
                <w:b w:val="1"/>
                <w:bCs w:val="1"/>
                <w:color w:val="auto"/>
              </w:rPr>
              <w:t>CONDENSED STATEMENTS OF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4"/>
        </w:trPr>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60" w:type="dxa"/>
            <w:vAlign w:val="bottom"/>
            <w:gridSpan w:val="3"/>
          </w:tcPr>
          <w:p>
            <w:pPr>
              <w:jc w:val="center"/>
              <w:ind w:left="2869"/>
              <w:spacing w:after="0"/>
              <w:rPr>
                <w:sz w:val="20"/>
                <w:szCs w:val="20"/>
                <w:color w:val="auto"/>
              </w:rPr>
            </w:pPr>
            <w:r>
              <w:rPr>
                <w:rFonts w:ascii="Verdana" w:cs="Verdana" w:eastAsia="Verdana" w:hAnsi="Verdana"/>
                <w:sz w:val="14"/>
                <w:szCs w:val="14"/>
                <w:i w:val="1"/>
                <w:iCs w:val="1"/>
                <w:color w:val="auto"/>
              </w:rPr>
              <w:t>(dollars in thousands)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90"/>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31"/>
        </w:trPr>
        <w:tc>
          <w:tcPr>
            <w:tcW w:w="1240" w:type="dxa"/>
            <w:vAlign w:val="bottom"/>
            <w:tcBorders>
              <w:bottom w:val="single" w:sz="8" w:color="E0E7ED"/>
            </w:tcBorders>
          </w:tcPr>
          <w:p>
            <w:pPr>
              <w:spacing w:after="0"/>
              <w:rPr>
                <w:sz w:val="11"/>
                <w:szCs w:val="11"/>
                <w:color w:val="auto"/>
              </w:rPr>
            </w:pPr>
          </w:p>
        </w:tc>
        <w:tc>
          <w:tcPr>
            <w:tcW w:w="200" w:type="dxa"/>
            <w:vAlign w:val="bottom"/>
            <w:tcBorders>
              <w:bottom w:val="single" w:sz="8" w:color="E0E7ED"/>
            </w:tcBorders>
          </w:tcPr>
          <w:p>
            <w:pPr>
              <w:spacing w:after="0"/>
              <w:rPr>
                <w:sz w:val="11"/>
                <w:szCs w:val="11"/>
                <w:color w:val="auto"/>
              </w:rPr>
            </w:pPr>
          </w:p>
        </w:tc>
        <w:tc>
          <w:tcPr>
            <w:tcW w:w="4600" w:type="dxa"/>
            <w:vAlign w:val="bottom"/>
            <w:tcBorders>
              <w:bottom w:val="single" w:sz="8" w:color="E0E7ED"/>
            </w:tcBorders>
          </w:tcPr>
          <w:p>
            <w:pPr>
              <w:spacing w:after="0"/>
              <w:rPr>
                <w:sz w:val="11"/>
                <w:szCs w:val="11"/>
                <w:color w:val="auto"/>
              </w:rPr>
            </w:pPr>
          </w:p>
        </w:tc>
        <w:tc>
          <w:tcPr>
            <w:tcW w:w="300" w:type="dxa"/>
            <w:vAlign w:val="bottom"/>
            <w:tcBorders>
              <w:bottom w:val="single" w:sz="8" w:color="E0E7ED"/>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9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0"/>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14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Operating income</w:t>
            </w:r>
          </w:p>
        </w:tc>
        <w:tc>
          <w:tcPr>
            <w:tcW w:w="460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56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900" w:type="dxa"/>
            <w:vAlign w:val="bottom"/>
            <w:gridSpan w:val="5"/>
          </w:tcPr>
          <w:p>
            <w:pPr>
              <w:ind w:left="140"/>
              <w:spacing w:after="0"/>
              <w:rPr>
                <w:sz w:val="20"/>
                <w:szCs w:val="20"/>
                <w:color w:val="auto"/>
              </w:rPr>
            </w:pPr>
            <w:r>
              <w:rPr>
                <w:rFonts w:ascii="Verdana" w:cs="Verdana" w:eastAsia="Verdana" w:hAnsi="Verdana"/>
                <w:sz w:val="14"/>
                <w:szCs w:val="14"/>
                <w:color w:val="auto"/>
              </w:rPr>
              <w:t>Dividends from subsidiaries: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1440" w:type="dxa"/>
            <w:vAlign w:val="bottom"/>
            <w:gridSpan w:val="2"/>
            <w:shd w:val="clear" w:color="auto" w:fill="E0E7ED"/>
          </w:tcPr>
          <w:p>
            <w:pPr>
              <w:ind w:left="280"/>
              <w:spacing w:after="0"/>
              <w:rPr>
                <w:sz w:val="20"/>
                <w:szCs w:val="20"/>
                <w:color w:val="auto"/>
              </w:rPr>
            </w:pPr>
            <w:r>
              <w:rPr>
                <w:rFonts w:ascii="Verdana" w:cs="Verdana" w:eastAsia="Verdana" w:hAnsi="Verdana"/>
                <w:sz w:val="14"/>
                <w:szCs w:val="14"/>
                <w:color w:val="auto"/>
              </w:rPr>
              <w:t>Bank</w:t>
            </w:r>
          </w:p>
        </w:tc>
        <w:tc>
          <w:tcPr>
            <w:tcW w:w="5460" w:type="dxa"/>
            <w:vAlign w:val="bottom"/>
            <w:gridSpan w:val="3"/>
            <w:shd w:val="clear" w:color="auto" w:fill="E0E7ED"/>
          </w:tcPr>
          <w:p>
            <w:pPr>
              <w:jc w:val="right"/>
              <w:ind w:right="460"/>
              <w:spacing w:after="0"/>
              <w:rPr>
                <w:sz w:val="20"/>
                <w:szCs w:val="20"/>
                <w:color w:val="auto"/>
              </w:rPr>
            </w:pPr>
            <w:r>
              <w:rPr>
                <w:rFonts w:ascii="Verdana" w:cs="Verdana" w:eastAsia="Verdana" w:hAnsi="Verdana"/>
                <w:sz w:val="14"/>
                <w:szCs w:val="14"/>
                <w:color w:val="auto"/>
              </w:rPr>
              <w:t>$</w:t>
            </w: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100,000</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90,000</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95,000</w:t>
            </w:r>
          </w:p>
        </w:tc>
      </w:tr>
      <w:tr>
        <w:trPr>
          <w:trHeight w:val="207"/>
        </w:trPr>
        <w:tc>
          <w:tcPr>
            <w:tcW w:w="1440" w:type="dxa"/>
            <w:vAlign w:val="bottom"/>
            <w:gridSpan w:val="2"/>
          </w:tcPr>
          <w:p>
            <w:pPr>
              <w:ind w:left="280"/>
              <w:spacing w:after="0"/>
              <w:rPr>
                <w:sz w:val="20"/>
                <w:szCs w:val="20"/>
                <w:color w:val="auto"/>
              </w:rPr>
            </w:pPr>
            <w:r>
              <w:rPr>
                <w:rFonts w:ascii="Verdana" w:cs="Verdana" w:eastAsia="Verdana" w:hAnsi="Verdana"/>
                <w:sz w:val="14"/>
                <w:szCs w:val="14"/>
                <w:color w:val="auto"/>
              </w:rPr>
              <w:t>Non-bank</w:t>
            </w:r>
          </w:p>
        </w:tc>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900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1,630</w:t>
            </w:r>
          </w:p>
        </w:tc>
      </w:tr>
      <w:tr>
        <w:trPr>
          <w:trHeight w:val="218"/>
        </w:trPr>
        <w:tc>
          <w:tcPr>
            <w:tcW w:w="6900" w:type="dxa"/>
            <w:vAlign w:val="bottom"/>
            <w:gridSpan w:val="5"/>
            <w:shd w:val="clear" w:color="auto" w:fill="E0E7ED"/>
          </w:tcPr>
          <w:p>
            <w:pPr>
              <w:ind w:left="140"/>
              <w:spacing w:after="0"/>
              <w:rPr>
                <w:sz w:val="20"/>
                <w:szCs w:val="20"/>
                <w:color w:val="auto"/>
              </w:rPr>
            </w:pPr>
            <w:r>
              <w:rPr>
                <w:rFonts w:ascii="Verdana" w:cs="Verdana" w:eastAsia="Verdana" w:hAnsi="Verdana"/>
                <w:sz w:val="14"/>
                <w:szCs w:val="14"/>
                <w:color w:val="auto"/>
              </w:rPr>
              <w:t>Income from dissolution of non-bank subsidiary</w:t>
            </w:r>
          </w:p>
        </w:tc>
        <w:tc>
          <w:tcPr>
            <w:tcW w:w="11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733</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r>
      <w:tr>
        <w:trPr>
          <w:trHeight w:val="207"/>
        </w:trPr>
        <w:tc>
          <w:tcPr>
            <w:tcW w:w="1440" w:type="dxa"/>
            <w:vAlign w:val="bottom"/>
            <w:gridSpan w:val="2"/>
          </w:tcPr>
          <w:p>
            <w:pPr>
              <w:ind w:left="140"/>
              <w:spacing w:after="0"/>
              <w:rPr>
                <w:sz w:val="20"/>
                <w:szCs w:val="20"/>
                <w:color w:val="auto"/>
              </w:rPr>
            </w:pPr>
            <w:r>
              <w:rPr>
                <w:rFonts w:ascii="Verdana" w:cs="Verdana" w:eastAsia="Verdana" w:hAnsi="Verdana"/>
                <w:sz w:val="14"/>
                <w:szCs w:val="14"/>
                <w:color w:val="auto"/>
              </w:rPr>
              <w:t>Interest income</w:t>
            </w:r>
          </w:p>
        </w:tc>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Verdana" w:cs="Verdana" w:eastAsia="Verdana" w:hAnsi="Verdana"/>
                <w:sz w:val="14"/>
                <w:szCs w:val="14"/>
                <w:color w:val="auto"/>
              </w:rPr>
              <w:t>2,325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2,956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1,094</w:t>
            </w:r>
          </w:p>
        </w:tc>
      </w:tr>
      <w:tr>
        <w:trPr>
          <w:trHeight w:val="218"/>
        </w:trPr>
        <w:tc>
          <w:tcPr>
            <w:tcW w:w="6900" w:type="dxa"/>
            <w:vAlign w:val="bottom"/>
            <w:gridSpan w:val="5"/>
            <w:shd w:val="clear" w:color="auto" w:fill="E0E7ED"/>
          </w:tcPr>
          <w:p>
            <w:pPr>
              <w:ind w:left="140"/>
              <w:spacing w:after="0"/>
              <w:rPr>
                <w:sz w:val="20"/>
                <w:szCs w:val="20"/>
                <w:color w:val="auto"/>
              </w:rPr>
            </w:pPr>
            <w:r>
              <w:rPr>
                <w:rFonts w:ascii="Verdana" w:cs="Verdana" w:eastAsia="Verdana" w:hAnsi="Verdana"/>
                <w:sz w:val="14"/>
                <w:szCs w:val="14"/>
                <w:color w:val="auto"/>
              </w:rPr>
              <w:t>Gains (losses) recognized on equity securities, net</w:t>
            </w: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931</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(2,171)</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(2,159)</w:t>
            </w:r>
          </w:p>
        </w:tc>
      </w:tr>
      <w:tr>
        <w:trPr>
          <w:trHeight w:val="207"/>
        </w:trPr>
        <w:tc>
          <w:tcPr>
            <w:tcW w:w="1440" w:type="dxa"/>
            <w:vAlign w:val="bottom"/>
            <w:tcBorders>
              <w:bottom w:val="single" w:sz="8" w:color="E0E7ED"/>
            </w:tcBorders>
            <w:gridSpan w:val="2"/>
          </w:tcPr>
          <w:p>
            <w:pPr>
              <w:ind w:left="140"/>
              <w:spacing w:after="0"/>
              <w:rPr>
                <w:sz w:val="20"/>
                <w:szCs w:val="20"/>
                <w:color w:val="auto"/>
              </w:rPr>
            </w:pPr>
            <w:r>
              <w:rPr>
                <w:rFonts w:ascii="Verdana" w:cs="Verdana" w:eastAsia="Verdana" w:hAnsi="Verdana"/>
                <w:sz w:val="14"/>
                <w:szCs w:val="14"/>
                <w:color w:val="auto"/>
              </w:rPr>
              <w:t>Other income</w:t>
            </w:r>
          </w:p>
        </w:tc>
        <w:tc>
          <w:tcPr>
            <w:tcW w:w="4600" w:type="dxa"/>
            <w:vAlign w:val="bottom"/>
            <w:tcBorders>
              <w:bottom w:val="single" w:sz="8" w:color="E0E7ED"/>
            </w:tcBorders>
          </w:tcPr>
          <w:p>
            <w:pPr>
              <w:spacing w:after="0"/>
              <w:rPr>
                <w:sz w:val="17"/>
                <w:szCs w:val="17"/>
                <w:color w:val="auto"/>
              </w:rPr>
            </w:pPr>
          </w:p>
        </w:tc>
        <w:tc>
          <w:tcPr>
            <w:tcW w:w="3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14,641</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14,130</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15,195</w:t>
            </w:r>
          </w:p>
        </w:tc>
      </w:tr>
      <w:tr>
        <w:trPr>
          <w:trHeight w:val="203"/>
        </w:trPr>
        <w:tc>
          <w:tcPr>
            <w:tcW w:w="690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color w:val="auto"/>
              </w:rPr>
              <w:t>Total operating income</w:t>
            </w: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117,897</w:t>
            </w: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106,548</w:t>
            </w: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110,760</w:t>
            </w:r>
          </w:p>
        </w:tc>
      </w:tr>
      <w:tr>
        <w:trPr>
          <w:trHeight w:val="198"/>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2"/>
        </w:trPr>
        <w:tc>
          <w:tcPr>
            <w:tcW w:w="144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b w:val="1"/>
                <w:bCs w:val="1"/>
                <w:color w:val="auto"/>
              </w:rPr>
              <w:t>Expense</w:t>
            </w:r>
          </w:p>
        </w:tc>
        <w:tc>
          <w:tcPr>
            <w:tcW w:w="46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6900" w:type="dxa"/>
            <w:vAlign w:val="bottom"/>
            <w:gridSpan w:val="5"/>
          </w:tcPr>
          <w:p>
            <w:pPr>
              <w:ind w:left="140"/>
              <w:spacing w:after="0"/>
              <w:rPr>
                <w:sz w:val="20"/>
                <w:szCs w:val="20"/>
                <w:color w:val="auto"/>
              </w:rPr>
            </w:pPr>
            <w:r>
              <w:rPr>
                <w:rFonts w:ascii="Verdana" w:cs="Verdana" w:eastAsia="Verdana" w:hAnsi="Verdana"/>
                <w:sz w:val="14"/>
                <w:szCs w:val="14"/>
                <w:color w:val="auto"/>
              </w:rPr>
              <w:t>Salaries, wages, and employee benefits</w:t>
            </w:r>
          </w:p>
        </w:tc>
        <w:tc>
          <w:tcPr>
            <w:tcW w:w="1040" w:type="dxa"/>
            <w:vAlign w:val="bottom"/>
          </w:tcPr>
          <w:p>
            <w:pPr>
              <w:jc w:val="right"/>
              <w:ind w:right="10"/>
              <w:spacing w:after="0"/>
              <w:rPr>
                <w:sz w:val="20"/>
                <w:szCs w:val="20"/>
                <w:color w:val="auto"/>
              </w:rPr>
            </w:pPr>
            <w:r>
              <w:rPr>
                <w:rFonts w:ascii="Verdana" w:cs="Verdana" w:eastAsia="Verdana" w:hAnsi="Verdana"/>
                <w:sz w:val="14"/>
                <w:szCs w:val="14"/>
                <w:color w:val="auto"/>
              </w:rPr>
              <w:t>21,129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17,766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20,964</w:t>
            </w:r>
          </w:p>
        </w:tc>
      </w:tr>
      <w:tr>
        <w:trPr>
          <w:trHeight w:val="218"/>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Interest expense</w:t>
            </w:r>
          </w:p>
        </w:tc>
        <w:tc>
          <w:tcPr>
            <w:tcW w:w="46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560" w:type="dxa"/>
            <w:vAlign w:val="bottom"/>
            <w:shd w:val="clear" w:color="auto" w:fill="E0E7ED"/>
          </w:tcPr>
          <w:p>
            <w:pPr>
              <w:spacing w:after="0"/>
              <w:rPr>
                <w:sz w:val="18"/>
                <w:szCs w:val="18"/>
                <w:color w:val="auto"/>
              </w:rPr>
            </w:pP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17,944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19,005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17,854</w:t>
            </w:r>
          </w:p>
        </w:tc>
      </w:tr>
      <w:tr>
        <w:trPr>
          <w:trHeight w:val="207"/>
        </w:trPr>
        <w:tc>
          <w:tcPr>
            <w:tcW w:w="6900" w:type="dxa"/>
            <w:vAlign w:val="bottom"/>
            <w:gridSpan w:val="5"/>
          </w:tcPr>
          <w:p>
            <w:pPr>
              <w:ind w:left="140"/>
              <w:spacing w:after="0"/>
              <w:rPr>
                <w:sz w:val="20"/>
                <w:szCs w:val="20"/>
                <w:color w:val="auto"/>
              </w:rPr>
            </w:pPr>
            <w:r>
              <w:rPr>
                <w:rFonts w:ascii="Verdana" w:cs="Verdana" w:eastAsia="Verdana" w:hAnsi="Verdana"/>
                <w:sz w:val="14"/>
                <w:szCs w:val="14"/>
                <w:color w:val="auto"/>
              </w:rPr>
              <w:t>Operating expense</w:t>
            </w:r>
          </w:p>
        </w:tc>
        <w:tc>
          <w:tcPr>
            <w:tcW w:w="1040" w:type="dxa"/>
            <w:vAlign w:val="bottom"/>
          </w:tcPr>
          <w:p>
            <w:pPr>
              <w:jc w:val="right"/>
              <w:ind w:right="10"/>
              <w:spacing w:after="0"/>
              <w:rPr>
                <w:sz w:val="20"/>
                <w:szCs w:val="20"/>
                <w:color w:val="auto"/>
              </w:rPr>
            </w:pPr>
            <w:r>
              <w:rPr>
                <w:rFonts w:ascii="Verdana" w:cs="Verdana" w:eastAsia="Verdana" w:hAnsi="Verdana"/>
                <w:sz w:val="14"/>
                <w:szCs w:val="14"/>
                <w:color w:val="auto"/>
              </w:rPr>
              <w:t>11,238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8,009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7,294</w:t>
            </w:r>
          </w:p>
        </w:tc>
      </w:tr>
      <w:tr>
        <w:trPr>
          <w:trHeight w:val="203"/>
        </w:trPr>
        <w:tc>
          <w:tcPr>
            <w:tcW w:w="144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4"/>
                <w:szCs w:val="14"/>
                <w:color w:val="auto"/>
              </w:rPr>
              <w:t>Total expense</w:t>
            </w:r>
          </w:p>
        </w:tc>
        <w:tc>
          <w:tcPr>
            <w:tcW w:w="46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E0E7ED"/>
            </w:tcBorders>
            <w:shd w:val="clear" w:color="auto" w:fill="E0E7ED"/>
          </w:tcPr>
          <w:p>
            <w:pPr>
              <w:spacing w:after="0"/>
              <w:rPr>
                <w:sz w:val="17"/>
                <w:szCs w:val="17"/>
                <w:color w:val="auto"/>
              </w:rPr>
            </w:pPr>
          </w:p>
        </w:tc>
        <w:tc>
          <w:tcPr>
            <w:tcW w:w="560" w:type="dxa"/>
            <w:vAlign w:val="bottom"/>
            <w:tcBorders>
              <w:top w:val="single" w:sz="8" w:color="auto"/>
              <w:bottom w:val="single" w:sz="8" w:color="auto"/>
            </w:tcBorders>
            <w:shd w:val="clear" w:color="auto" w:fill="E0E7ED"/>
          </w:tcPr>
          <w:p>
            <w:pPr>
              <w:spacing w:after="0"/>
              <w:rPr>
                <w:sz w:val="17"/>
                <w:szCs w:val="17"/>
                <w:color w:val="auto"/>
              </w:rPr>
            </w:pPr>
          </w:p>
        </w:tc>
        <w:tc>
          <w:tcPr>
            <w:tcW w:w="1040" w:type="dxa"/>
            <w:vAlign w:val="bottom"/>
            <w:tcBorders>
              <w:top w:val="single" w:sz="8" w:color="auto"/>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4"/>
                <w:szCs w:val="14"/>
                <w:color w:val="auto"/>
              </w:rPr>
              <w:t>50,311</w:t>
            </w: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44,780</w:t>
            </w: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46,112</w:t>
            </w:r>
          </w:p>
        </w:tc>
      </w:tr>
      <w:tr>
        <w:trPr>
          <w:trHeight w:val="198"/>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690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color w:val="auto"/>
              </w:rPr>
              <w:t>Income (loss) before income tax benefit and equity in undistributed (in excess of) net</w:t>
            </w:r>
          </w:p>
        </w:tc>
        <w:tc>
          <w:tcPr>
            <w:tcW w:w="10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r>
      <w:tr>
        <w:trPr>
          <w:trHeight w:val="195"/>
        </w:trPr>
        <w:tc>
          <w:tcPr>
            <w:tcW w:w="690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color w:val="auto"/>
              </w:rPr>
              <w:t>income of subsidiaries</w:t>
            </w: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67,586</w:t>
            </w: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61,768</w:t>
            </w: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64,648</w:t>
            </w:r>
          </w:p>
        </w:tc>
      </w:tr>
      <w:tr>
        <w:trPr>
          <w:trHeight w:val="207"/>
        </w:trPr>
        <w:tc>
          <w:tcPr>
            <w:tcW w:w="144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4"/>
                <w:szCs w:val="14"/>
                <w:color w:val="auto"/>
              </w:rPr>
              <w:t>Income tax benefit</w:t>
            </w:r>
          </w:p>
        </w:tc>
        <w:tc>
          <w:tcPr>
            <w:tcW w:w="4600" w:type="dxa"/>
            <w:vAlign w:val="bottom"/>
            <w:tcBorders>
              <w:bottom w:val="single" w:sz="8" w:color="E0E7ED"/>
            </w:tcBorders>
          </w:tcPr>
          <w:p>
            <w:pPr>
              <w:spacing w:after="0"/>
              <w:rPr>
                <w:sz w:val="17"/>
                <w:szCs w:val="17"/>
                <w:color w:val="auto"/>
              </w:rPr>
            </w:pPr>
          </w:p>
        </w:tc>
        <w:tc>
          <w:tcPr>
            <w:tcW w:w="300" w:type="dxa"/>
            <w:vAlign w:val="bottom"/>
            <w:tcBorders>
              <w:bottom w:val="single" w:sz="8" w:color="E0E7ED"/>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7,480</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7,310</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8,286</w:t>
            </w:r>
          </w:p>
        </w:tc>
      </w:tr>
      <w:tr>
        <w:trPr>
          <w:trHeight w:val="208"/>
        </w:trPr>
        <w:tc>
          <w:tcPr>
            <w:tcW w:w="690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color w:val="auto"/>
              </w:rPr>
              <w:t>Income (loss) before equity in undistributed (in excess of) net income of subsidiaries</w:t>
            </w:r>
          </w:p>
        </w:tc>
        <w:tc>
          <w:tcPr>
            <w:tcW w:w="104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75,066</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69,078</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72,934</w:t>
            </w:r>
          </w:p>
        </w:tc>
      </w:tr>
      <w:tr>
        <w:trPr>
          <w:trHeight w:val="212"/>
        </w:trPr>
        <w:tc>
          <w:tcPr>
            <w:tcW w:w="63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900" w:type="dxa"/>
            <w:vAlign w:val="bottom"/>
            <w:gridSpan w:val="5"/>
            <w:shd w:val="clear" w:color="auto" w:fill="E0E7ED"/>
          </w:tcPr>
          <w:p>
            <w:pPr>
              <w:ind w:left="20"/>
              <w:spacing w:after="0"/>
              <w:rPr>
                <w:sz w:val="20"/>
                <w:szCs w:val="20"/>
                <w:color w:val="auto"/>
              </w:rPr>
            </w:pPr>
            <w:r>
              <w:rPr>
                <w:rFonts w:ascii="Verdana" w:cs="Verdana" w:eastAsia="Verdana" w:hAnsi="Verdana"/>
                <w:sz w:val="14"/>
                <w:szCs w:val="14"/>
                <w:b w:val="1"/>
                <w:bCs w:val="1"/>
                <w:color w:val="auto"/>
              </w:rPr>
              <w:t>Equity in undistributed (in excess of) net income of subsidiaries</w:t>
            </w:r>
          </w:p>
        </w:tc>
        <w:tc>
          <w:tcPr>
            <w:tcW w:w="104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1440" w:type="dxa"/>
            <w:vAlign w:val="bottom"/>
            <w:gridSpan w:val="2"/>
          </w:tcPr>
          <w:p>
            <w:pPr>
              <w:ind w:left="140"/>
              <w:spacing w:after="0"/>
              <w:rPr>
                <w:sz w:val="20"/>
                <w:szCs w:val="20"/>
                <w:color w:val="auto"/>
              </w:rPr>
            </w:pPr>
            <w:r>
              <w:rPr>
                <w:rFonts w:ascii="Verdana" w:cs="Verdana" w:eastAsia="Verdana" w:hAnsi="Verdana"/>
                <w:sz w:val="14"/>
                <w:szCs w:val="14"/>
                <w:color w:val="auto"/>
              </w:rPr>
              <w:t>Bank</w:t>
            </w:r>
          </w:p>
        </w:tc>
        <w:tc>
          <w:tcPr>
            <w:tcW w:w="4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Verdana" w:cs="Verdana" w:eastAsia="Verdana" w:hAnsi="Verdana"/>
                <w:sz w:val="14"/>
                <w:szCs w:val="14"/>
                <w:color w:val="auto"/>
              </w:rPr>
              <w:t>38,625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53,487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55,986</w:t>
            </w:r>
          </w:p>
        </w:tc>
      </w:tr>
      <w:tr>
        <w:trPr>
          <w:trHeight w:val="212"/>
        </w:trPr>
        <w:tc>
          <w:tcPr>
            <w:tcW w:w="1440" w:type="dxa"/>
            <w:vAlign w:val="bottom"/>
            <w:gridSpan w:val="2"/>
            <w:shd w:val="clear" w:color="auto" w:fill="E0E7ED"/>
          </w:tcPr>
          <w:p>
            <w:pPr>
              <w:ind w:left="140"/>
              <w:spacing w:after="0"/>
              <w:rPr>
                <w:sz w:val="20"/>
                <w:szCs w:val="20"/>
                <w:color w:val="auto"/>
              </w:rPr>
            </w:pPr>
            <w:r>
              <w:rPr>
                <w:rFonts w:ascii="Verdana" w:cs="Verdana" w:eastAsia="Verdana" w:hAnsi="Verdana"/>
                <w:sz w:val="14"/>
                <w:szCs w:val="14"/>
                <w:color w:val="auto"/>
              </w:rPr>
              <w:t>Non-bank</w:t>
            </w:r>
          </w:p>
        </w:tc>
        <w:tc>
          <w:tcPr>
            <w:tcW w:w="4600" w:type="dxa"/>
            <w:vAlign w:val="bottom"/>
            <w:shd w:val="clear" w:color="auto" w:fill="E0E7ED"/>
          </w:tcPr>
          <w:p>
            <w:pPr>
              <w:spacing w:after="0"/>
              <w:rPr>
                <w:sz w:val="18"/>
                <w:szCs w:val="18"/>
                <w:color w:val="auto"/>
              </w:rPr>
            </w:pPr>
          </w:p>
        </w:tc>
        <w:tc>
          <w:tcPr>
            <w:tcW w:w="300" w:type="dxa"/>
            <w:vAlign w:val="bottom"/>
            <w:shd w:val="clear" w:color="auto" w:fill="E0E7ED"/>
          </w:tcPr>
          <w:p>
            <w:pPr>
              <w:spacing w:after="0"/>
              <w:rPr>
                <w:sz w:val="18"/>
                <w:szCs w:val="18"/>
                <w:color w:val="auto"/>
              </w:rPr>
            </w:pPr>
          </w:p>
        </w:tc>
        <w:tc>
          <w:tcPr>
            <w:tcW w:w="560" w:type="dxa"/>
            <w:vAlign w:val="bottom"/>
            <w:tcBorders>
              <w:bottom w:val="single" w:sz="8" w:color="auto"/>
            </w:tcBorders>
            <w:shd w:val="clear" w:color="auto" w:fill="E0E7ED"/>
          </w:tcPr>
          <w:p>
            <w:pPr>
              <w:spacing w:after="0"/>
              <w:rPr>
                <w:sz w:val="18"/>
                <w:szCs w:val="18"/>
                <w:color w:val="auto"/>
              </w:rPr>
            </w:pPr>
          </w:p>
        </w:tc>
        <w:tc>
          <w:tcPr>
            <w:tcW w:w="10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4"/>
                <w:szCs w:val="14"/>
                <w:color w:val="auto"/>
              </w:rPr>
              <w:t>—</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(609)</w:t>
            </w:r>
          </w:p>
        </w:tc>
      </w:tr>
      <w:tr>
        <w:trPr>
          <w:trHeight w:val="208"/>
        </w:trPr>
        <w:tc>
          <w:tcPr>
            <w:tcW w:w="1440" w:type="dxa"/>
            <w:vAlign w:val="bottom"/>
            <w:gridSpan w:val="2"/>
          </w:tcPr>
          <w:p>
            <w:pPr>
              <w:ind w:left="20"/>
              <w:spacing w:after="0"/>
              <w:rPr>
                <w:sz w:val="20"/>
                <w:szCs w:val="20"/>
                <w:color w:val="auto"/>
              </w:rPr>
            </w:pPr>
            <w:r>
              <w:rPr>
                <w:rFonts w:ascii="Verdana" w:cs="Verdana" w:eastAsia="Verdana" w:hAnsi="Verdana"/>
                <w:sz w:val="14"/>
                <w:szCs w:val="14"/>
                <w:b w:val="1"/>
                <w:bCs w:val="1"/>
                <w:color w:val="auto"/>
              </w:rPr>
              <w:t>Net income</w:t>
            </w:r>
          </w:p>
        </w:tc>
        <w:tc>
          <w:tcPr>
            <w:tcW w:w="5460" w:type="dxa"/>
            <w:vAlign w:val="bottom"/>
            <w:gridSpan w:val="3"/>
          </w:tcPr>
          <w:p>
            <w:pPr>
              <w:jc w:val="right"/>
              <w:ind w:right="460"/>
              <w:spacing w:after="0"/>
              <w:rPr>
                <w:sz w:val="20"/>
                <w:szCs w:val="20"/>
                <w:color w:val="auto"/>
              </w:rPr>
            </w:pPr>
            <w:r>
              <w:rPr>
                <w:rFonts w:ascii="Verdana" w:cs="Verdana" w:eastAsia="Verdana" w:hAnsi="Verdana"/>
                <w:sz w:val="14"/>
                <w:szCs w:val="14"/>
                <w:color w:val="auto"/>
              </w:rPr>
              <w:t>$</w:t>
            </w:r>
          </w:p>
        </w:tc>
        <w:tc>
          <w:tcPr>
            <w:tcW w:w="1040" w:type="dxa"/>
            <w:vAlign w:val="bottom"/>
          </w:tcPr>
          <w:p>
            <w:pPr>
              <w:jc w:val="right"/>
              <w:ind w:right="10"/>
              <w:spacing w:after="0"/>
              <w:rPr>
                <w:sz w:val="20"/>
                <w:szCs w:val="20"/>
                <w:color w:val="auto"/>
              </w:rPr>
            </w:pPr>
            <w:r>
              <w:rPr>
                <w:rFonts w:ascii="Verdana" w:cs="Verdana" w:eastAsia="Verdana" w:hAnsi="Verdana"/>
                <w:sz w:val="14"/>
                <w:szCs w:val="14"/>
                <w:color w:val="auto"/>
              </w:rPr>
              <w:t>113,691</w:t>
            </w:r>
          </w:p>
        </w:tc>
        <w:tc>
          <w:tcPr>
            <w:tcW w:w="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122,565</w:t>
            </w:r>
          </w:p>
        </w:tc>
        <w:tc>
          <w:tcPr>
            <w:tcW w:w="10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128,311</w:t>
            </w:r>
          </w:p>
        </w:tc>
      </w:tr>
      <w:tr>
        <w:trPr>
          <w:trHeight w:val="20"/>
        </w:trPr>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56" w:right="319" w:bottom="1440" w:gutter="0" w:footer="0" w:header="0"/>
        </w:sectPr>
      </w:pPr>
    </w:p>
    <w:bookmarkStart w:id="175" w:name="page176"/>
    <w:bookmarkEnd w:id="175"/>
    <w:p>
      <w:pPr>
        <w:spacing w:after="0"/>
        <w:tabs>
          <w:tab w:leader="none" w:pos="1420" w:val="left"/>
        </w:tabs>
        <w:rPr>
          <w:sz w:val="20"/>
          <w:szCs w:val="20"/>
          <w:color w:val="auto"/>
        </w:rPr>
      </w:pPr>
      <w:r>
        <w:rPr>
          <w:rFonts w:ascii="Verdana" w:cs="Verdana" w:eastAsia="Verdana" w:hAnsi="Verdana"/>
          <w:sz w:val="14"/>
          <w:szCs w:val="14"/>
          <w:u w:val="single" w:color="auto"/>
          <w:color w:val="0000FF"/>
        </w:rPr>
        <w:t>Table of Contents</w:t>
        <w:tab/>
        <w:t>Contents of Item 8. Financial Statements &amp; Supplementary Data</w:t>
      </w:r>
    </w:p>
    <w:p>
      <w:pPr>
        <w:spacing w:after="0" w:line="19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FIRST BUSEY CORPORATION</w:t>
      </w:r>
    </w:p>
    <w:p>
      <w:pPr>
        <w:jc w:val="center"/>
        <w:spacing w:after="0"/>
        <w:rPr>
          <w:sz w:val="20"/>
          <w:szCs w:val="20"/>
          <w:color w:val="auto"/>
        </w:rPr>
      </w:pPr>
      <w:r>
        <w:rPr>
          <w:rFonts w:ascii="Verdana" w:cs="Verdana" w:eastAsia="Verdana" w:hAnsi="Verdana"/>
          <w:sz w:val="14"/>
          <w:szCs w:val="14"/>
          <w:b w:val="1"/>
          <w:bCs w:val="1"/>
          <w:color w:val="auto"/>
        </w:rPr>
        <w:t>NOTES TO CONSOLIDATED FINANCIAL STATEMENTS</w:t>
      </w:r>
    </w:p>
    <w:p>
      <w:pPr>
        <w:spacing w:after="0" w:line="31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CONDENSED STATEMENTS OF CASH FLOWS</w:t>
      </w:r>
    </w:p>
    <w:p>
      <w:pPr>
        <w:jc w:val="center"/>
        <w:spacing w:after="0"/>
        <w:rPr>
          <w:sz w:val="20"/>
          <w:szCs w:val="20"/>
          <w:color w:val="auto"/>
        </w:rPr>
      </w:pPr>
      <w:r>
        <w:rPr>
          <w:rFonts w:ascii="Verdana" w:cs="Verdana" w:eastAsia="Verdana" w:hAnsi="Verdana"/>
          <w:sz w:val="14"/>
          <w:szCs w:val="14"/>
          <w:i w:val="1"/>
          <w:i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634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0"/>
              <w:spacing w:after="0"/>
              <w:rPr>
                <w:sz w:val="20"/>
                <w:szCs w:val="20"/>
                <w:color w:val="auto"/>
              </w:rPr>
            </w:pPr>
            <w:r>
              <w:rPr>
                <w:rFonts w:ascii="Verdana" w:cs="Verdana" w:eastAsia="Verdana" w:hAnsi="Verdana"/>
                <w:sz w:val="10"/>
                <w:szCs w:val="10"/>
                <w:b w:val="1"/>
                <w:bCs w:val="1"/>
                <w:color w:val="auto"/>
              </w:rPr>
              <w:t>2024</w:t>
            </w:r>
          </w:p>
        </w:tc>
        <w:tc>
          <w:tcPr>
            <w:tcW w:w="8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70"/>
              <w:spacing w:after="0"/>
              <w:rPr>
                <w:sz w:val="20"/>
                <w:szCs w:val="20"/>
                <w:color w:val="auto"/>
              </w:rPr>
            </w:pPr>
            <w:r>
              <w:rPr>
                <w:rFonts w:ascii="Verdana" w:cs="Verdana" w:eastAsia="Verdana" w:hAnsi="Verdana"/>
                <w:sz w:val="10"/>
                <w:szCs w:val="10"/>
                <w:b w:val="1"/>
                <w:bCs w:val="1"/>
                <w:color w:val="auto"/>
              </w:rPr>
              <w:t>2023</w:t>
            </w:r>
          </w:p>
        </w:tc>
        <w:tc>
          <w:tcPr>
            <w:tcW w:w="100" w:type="dxa"/>
            <w:vAlign w:val="bottom"/>
            <w:tcBorders>
              <w:bottom w:val="single" w:sz="8" w:color="E0E7ED"/>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0"/>
              <w:spacing w:after="0"/>
              <w:rPr>
                <w:sz w:val="20"/>
                <w:szCs w:val="20"/>
                <w:color w:val="auto"/>
              </w:rPr>
            </w:pPr>
            <w:r>
              <w:rPr>
                <w:rFonts w:ascii="Verdana" w:cs="Verdana" w:eastAsia="Verdana" w:hAnsi="Verdana"/>
                <w:sz w:val="10"/>
                <w:szCs w:val="10"/>
                <w:b w:val="1"/>
                <w:bCs w:val="1"/>
                <w:color w:val="auto"/>
              </w:rPr>
              <w:t>2022</w:t>
            </w:r>
          </w:p>
        </w:tc>
      </w:tr>
      <w:tr>
        <w:trPr>
          <w:trHeight w:val="197"/>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Cash flows provided by (used in) operating activities</w:t>
            </w: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Net income</w:t>
            </w: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Pr>
          <w:p>
            <w:pPr>
              <w:jc w:val="right"/>
              <w:ind w:right="10"/>
              <w:spacing w:after="0"/>
              <w:rPr>
                <w:sz w:val="20"/>
                <w:szCs w:val="20"/>
                <w:color w:val="auto"/>
              </w:rPr>
            </w:pPr>
            <w:r>
              <w:rPr>
                <w:rFonts w:ascii="Verdana" w:cs="Verdana" w:eastAsia="Verdana" w:hAnsi="Verdana"/>
                <w:sz w:val="14"/>
                <w:szCs w:val="14"/>
                <w:color w:val="auto"/>
              </w:rPr>
              <w:t>113,691</w:t>
            </w:r>
          </w:p>
        </w:tc>
        <w:tc>
          <w:tcPr>
            <w:tcW w:w="80" w:type="dxa"/>
            <w:vAlign w:val="bottom"/>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122,565</w:t>
            </w:r>
          </w:p>
        </w:tc>
        <w:tc>
          <w:tcPr>
            <w:tcW w:w="10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128,311</w:t>
            </w:r>
          </w:p>
        </w:tc>
      </w:tr>
      <w:tr>
        <w:trPr>
          <w:trHeight w:val="19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Adjustments to reconcile net income to net cash provided by (used in) operating</w:t>
            </w:r>
          </w:p>
        </w:tc>
        <w:tc>
          <w:tcPr>
            <w:tcW w:w="3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r>
      <w:tr>
        <w:trPr>
          <w:trHeight w:val="195"/>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activities:</w:t>
            </w:r>
          </w:p>
        </w:tc>
        <w:tc>
          <w:tcPr>
            <w:tcW w:w="3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r>
      <w:tr>
        <w:trPr>
          <w:trHeight w:val="207"/>
        </w:trPr>
        <w:tc>
          <w:tcPr>
            <w:tcW w:w="6340" w:type="dxa"/>
            <w:vAlign w:val="bottom"/>
          </w:tcPr>
          <w:p>
            <w:pPr>
              <w:ind w:left="280"/>
              <w:spacing w:after="0"/>
              <w:rPr>
                <w:sz w:val="20"/>
                <w:szCs w:val="20"/>
                <w:color w:val="auto"/>
              </w:rPr>
            </w:pPr>
            <w:r>
              <w:rPr>
                <w:rFonts w:ascii="Verdana" w:cs="Verdana" w:eastAsia="Verdana" w:hAnsi="Verdana"/>
                <w:sz w:val="14"/>
                <w:szCs w:val="14"/>
                <w:color w:val="auto"/>
              </w:rPr>
              <w:t>Depreciation and amortization</w:t>
            </w:r>
          </w:p>
        </w:tc>
        <w:tc>
          <w:tcPr>
            <w:tcW w:w="380" w:type="dxa"/>
            <w:vAlign w:val="bottom"/>
          </w:tcPr>
          <w:p>
            <w:pPr>
              <w:spacing w:after="0"/>
              <w:rPr>
                <w:sz w:val="17"/>
                <w:szCs w:val="17"/>
                <w:color w:val="auto"/>
              </w:rPr>
            </w:pPr>
          </w:p>
        </w:tc>
        <w:tc>
          <w:tcPr>
            <w:tcW w:w="1220" w:type="dxa"/>
            <w:vAlign w:val="bottom"/>
          </w:tcPr>
          <w:p>
            <w:pPr>
              <w:jc w:val="right"/>
              <w:ind w:right="10"/>
              <w:spacing w:after="0"/>
              <w:rPr>
                <w:sz w:val="20"/>
                <w:szCs w:val="20"/>
                <w:color w:val="auto"/>
              </w:rPr>
            </w:pPr>
            <w:r>
              <w:rPr>
                <w:rFonts w:ascii="Verdana" w:cs="Verdana" w:eastAsia="Verdana" w:hAnsi="Verdana"/>
                <w:sz w:val="14"/>
                <w:szCs w:val="14"/>
                <w:color w:val="auto"/>
              </w:rPr>
              <w:t>1,163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1,423</w:t>
            </w:r>
          </w:p>
        </w:tc>
      </w:tr>
      <w:tr>
        <w:trPr>
          <w:trHeight w:val="218"/>
        </w:trPr>
        <w:tc>
          <w:tcPr>
            <w:tcW w:w="63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Distributions more (less) than net income of subsidiaries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(38,625)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(53,487)</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(55,377)</w:t>
            </w:r>
          </w:p>
        </w:tc>
      </w:tr>
      <w:tr>
        <w:trPr>
          <w:trHeight w:val="207"/>
        </w:trPr>
        <w:tc>
          <w:tcPr>
            <w:tcW w:w="6340" w:type="dxa"/>
            <w:vAlign w:val="bottom"/>
          </w:tcPr>
          <w:p>
            <w:pPr>
              <w:ind w:left="280"/>
              <w:spacing w:after="0"/>
              <w:rPr>
                <w:sz w:val="20"/>
                <w:szCs w:val="20"/>
                <w:color w:val="auto"/>
              </w:rPr>
            </w:pPr>
            <w:r>
              <w:rPr>
                <w:rFonts w:ascii="Verdana" w:cs="Verdana" w:eastAsia="Verdana" w:hAnsi="Verdana"/>
                <w:sz w:val="14"/>
                <w:szCs w:val="14"/>
                <w:color w:val="auto"/>
              </w:rPr>
              <w:t>(Gains) losses recognized on equity securities, net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(931)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2,171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2,159</w:t>
            </w:r>
          </w:p>
        </w:tc>
      </w:tr>
      <w:tr>
        <w:trPr>
          <w:trHeight w:val="218"/>
        </w:trPr>
        <w:tc>
          <w:tcPr>
            <w:tcW w:w="63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Stock-based compensation</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7,726</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6,595</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8,968</w:t>
            </w:r>
          </w:p>
        </w:tc>
      </w:tr>
      <w:tr>
        <w:trPr>
          <w:trHeight w:val="207"/>
        </w:trPr>
        <w:tc>
          <w:tcPr>
            <w:tcW w:w="6340" w:type="dxa"/>
            <w:vAlign w:val="bottom"/>
          </w:tcPr>
          <w:p>
            <w:pPr>
              <w:ind w:left="280"/>
              <w:spacing w:after="0"/>
              <w:rPr>
                <w:sz w:val="20"/>
                <w:szCs w:val="20"/>
                <w:color w:val="auto"/>
              </w:rPr>
            </w:pPr>
            <w:r>
              <w:rPr>
                <w:rFonts w:ascii="Verdana" w:cs="Verdana" w:eastAsia="Verdana" w:hAnsi="Verdana"/>
                <w:sz w:val="14"/>
                <w:szCs w:val="14"/>
                <w:color w:val="auto"/>
              </w:rPr>
              <w:t>(Increase) decrease in other assets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(8,848)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6,253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(17,754)</w:t>
            </w:r>
          </w:p>
        </w:tc>
      </w:tr>
      <w:tr>
        <w:trPr>
          <w:trHeight w:val="212"/>
        </w:trPr>
        <w:tc>
          <w:tcPr>
            <w:tcW w:w="6340" w:type="dxa"/>
            <w:vAlign w:val="bottom"/>
            <w:shd w:val="clear" w:color="auto" w:fill="E0E7ED"/>
          </w:tcPr>
          <w:p>
            <w:pPr>
              <w:ind w:left="280"/>
              <w:spacing w:after="0"/>
              <w:rPr>
                <w:sz w:val="20"/>
                <w:szCs w:val="20"/>
                <w:color w:val="auto"/>
              </w:rPr>
            </w:pPr>
            <w:r>
              <w:rPr>
                <w:rFonts w:ascii="Verdana" w:cs="Verdana" w:eastAsia="Verdana" w:hAnsi="Verdana"/>
                <w:sz w:val="14"/>
                <w:szCs w:val="14"/>
                <w:color w:val="auto"/>
              </w:rPr>
              <w:t>Increase (decrease) in other liabilities</w:t>
            </w:r>
          </w:p>
        </w:tc>
        <w:tc>
          <w:tcPr>
            <w:tcW w:w="380" w:type="dxa"/>
            <w:vAlign w:val="bottom"/>
            <w:tcBorders>
              <w:bottom w:val="single" w:sz="8" w:color="auto"/>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4"/>
                <w:szCs w:val="14"/>
                <w:color w:val="auto"/>
              </w:rPr>
              <w:t>365</w:t>
            </w:r>
          </w:p>
        </w:tc>
        <w:tc>
          <w:tcPr>
            <w:tcW w:w="8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(7,687)</w:t>
            </w:r>
          </w:p>
        </w:tc>
        <w:tc>
          <w:tcPr>
            <w:tcW w:w="100" w:type="dxa"/>
            <w:vAlign w:val="bottom"/>
            <w:shd w:val="clear" w:color="auto" w:fill="E0E7ED"/>
          </w:tcPr>
          <w:p>
            <w:pPr>
              <w:spacing w:after="0"/>
              <w:rPr>
                <w:sz w:val="18"/>
                <w:szCs w:val="18"/>
                <w:color w:val="auto"/>
              </w:rPr>
            </w:pPr>
          </w:p>
        </w:tc>
        <w:tc>
          <w:tcPr>
            <w:tcW w:w="380" w:type="dxa"/>
            <w:vAlign w:val="bottom"/>
            <w:tcBorders>
              <w:bottom w:val="single" w:sz="8" w:color="auto"/>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21,233</w:t>
            </w:r>
          </w:p>
        </w:tc>
      </w:tr>
      <w:tr>
        <w:trPr>
          <w:trHeight w:val="203"/>
        </w:trPr>
        <w:tc>
          <w:tcPr>
            <w:tcW w:w="634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74,541</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77,448</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88,963</w:t>
            </w:r>
          </w:p>
        </w:tc>
      </w:tr>
      <w:tr>
        <w:trPr>
          <w:trHeight w:val="198"/>
        </w:trPr>
        <w:tc>
          <w:tcPr>
            <w:tcW w:w="634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07"/>
        </w:trPr>
        <w:tc>
          <w:tcPr>
            <w:tcW w:w="6340" w:type="dxa"/>
            <w:vAlign w:val="bottom"/>
          </w:tcPr>
          <w:p>
            <w:pPr>
              <w:ind w:left="20"/>
              <w:spacing w:after="0"/>
              <w:rPr>
                <w:sz w:val="20"/>
                <w:szCs w:val="20"/>
                <w:color w:val="auto"/>
              </w:rPr>
            </w:pPr>
            <w:r>
              <w:rPr>
                <w:rFonts w:ascii="Verdana" w:cs="Verdana" w:eastAsia="Verdana" w:hAnsi="Verdana"/>
                <w:sz w:val="14"/>
                <w:szCs w:val="14"/>
                <w:b w:val="1"/>
                <w:bCs w:val="1"/>
                <w:color w:val="auto"/>
              </w:rPr>
              <w:t>Cash flows provided by (used in) investing activities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Sales (purchases) of equity securities, net</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ind w:right="10"/>
              <w:spacing w:after="0"/>
              <w:rPr>
                <w:sz w:val="20"/>
                <w:szCs w:val="20"/>
                <w:color w:val="auto"/>
              </w:rPr>
            </w:pPr>
            <w:r>
              <w:rPr>
                <w:rFonts w:ascii="Verdana" w:cs="Verdana" w:eastAsia="Verdana" w:hAnsi="Verdana"/>
                <w:sz w:val="14"/>
                <w:szCs w:val="14"/>
                <w:color w:val="auto"/>
              </w:rPr>
              <w:t>995</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598</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Net cash paid for acquisitions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(14,623)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Purchases of premises and equipment</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Repayments of investments in subsidiaries</w:t>
            </w: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1,480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cash provided by (used in) investing activities</w:t>
            </w: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(13,637)</w:t>
            </w: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1,480</w:t>
            </w: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589</w:t>
            </w:r>
          </w:p>
        </w:tc>
      </w:tr>
      <w:tr>
        <w:trPr>
          <w:trHeight w:val="198"/>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Cash flows provided by (used in) financing activities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Cash paid for withholding taxes on stock-based payments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(1,755)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(1,093)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(1,276)</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Cash dividends paid</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(54,169)</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(53,076)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(50,863)</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Repayments of borrowings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(31,450)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(12,000)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(112,000)</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Proceeds from issuance of debt</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98,094</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Proceeds from the exercise of stock options and warrants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18"/>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Purchase of treasury stock</w:t>
            </w:r>
          </w:p>
        </w:tc>
        <w:tc>
          <w:tcPr>
            <w:tcW w:w="380" w:type="dxa"/>
            <w:vAlign w:val="bottom"/>
            <w:shd w:val="clear" w:color="auto" w:fill="E0E7ED"/>
          </w:tcPr>
          <w:p>
            <w:pPr>
              <w:spacing w:after="0"/>
              <w:rPr>
                <w:sz w:val="18"/>
                <w:szCs w:val="18"/>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(4,482)</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(9,912)</w:t>
            </w: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Common stock issuance costs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Verdana" w:cs="Verdana" w:eastAsia="Verdana" w:hAnsi="Verdana"/>
                <w:sz w:val="14"/>
                <w:szCs w:val="14"/>
                <w:color w:val="auto"/>
              </w:rPr>
              <w:t>(141)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Verdana" w:cs="Verdana" w:eastAsia="Verdana" w:hAnsi="Verdana"/>
                <w:sz w:val="14"/>
                <w:szCs w:val="14"/>
                <w:color w:val="auto"/>
              </w:rPr>
              <w:t>—</w:t>
            </w:r>
          </w:p>
        </w:tc>
      </w:tr>
      <w:tr>
        <w:trPr>
          <w:trHeight w:val="203"/>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color w:val="auto"/>
              </w:rPr>
              <w:t>Net cash provided (used in) by financing activities</w:t>
            </w: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(87,518)</w:t>
            </w:r>
          </w:p>
        </w:tc>
        <w:tc>
          <w:tcPr>
            <w:tcW w:w="8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(70,642)</w:t>
            </w:r>
          </w:p>
        </w:tc>
        <w:tc>
          <w:tcPr>
            <w:tcW w:w="100" w:type="dxa"/>
            <w:vAlign w:val="bottom"/>
            <w:tcBorders>
              <w:top w:val="single" w:sz="8" w:color="E0E7ED"/>
            </w:tcBorders>
            <w:shd w:val="clear" w:color="auto" w:fill="E0E7ED"/>
          </w:tcPr>
          <w:p>
            <w:pPr>
              <w:spacing w:after="0"/>
              <w:rPr>
                <w:sz w:val="17"/>
                <w:szCs w:val="17"/>
                <w:color w:val="auto"/>
              </w:rPr>
            </w:pPr>
          </w:p>
        </w:tc>
        <w:tc>
          <w:tcPr>
            <w:tcW w:w="380" w:type="dxa"/>
            <w:vAlign w:val="bottom"/>
            <w:tcBorders>
              <w:top w:val="single" w:sz="8" w:color="auto"/>
              <w:bottom w:val="single" w:sz="8" w:color="auto"/>
            </w:tcBorders>
            <w:shd w:val="clear" w:color="auto" w:fill="E0E7ED"/>
          </w:tcPr>
          <w:p>
            <w:pPr>
              <w:spacing w:after="0"/>
              <w:rPr>
                <w:sz w:val="17"/>
                <w:szCs w:val="17"/>
                <w:color w:val="auto"/>
              </w:rPr>
            </w:pPr>
          </w:p>
        </w:tc>
        <w:tc>
          <w:tcPr>
            <w:tcW w:w="12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4"/>
                <w:szCs w:val="14"/>
                <w:color w:val="auto"/>
              </w:rPr>
              <w:t>(75,957)</w:t>
            </w:r>
          </w:p>
        </w:tc>
      </w:tr>
      <w:tr>
        <w:trPr>
          <w:trHeight w:val="198"/>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6340" w:type="dxa"/>
            <w:vAlign w:val="bottom"/>
            <w:shd w:val="clear" w:color="auto" w:fill="E0E7ED"/>
          </w:tcPr>
          <w:p>
            <w:pPr>
              <w:ind w:left="20"/>
              <w:spacing w:after="0"/>
              <w:rPr>
                <w:sz w:val="20"/>
                <w:szCs w:val="20"/>
                <w:color w:val="auto"/>
              </w:rPr>
            </w:pPr>
            <w:r>
              <w:rPr>
                <w:rFonts w:ascii="Verdana" w:cs="Verdana" w:eastAsia="Verdana" w:hAnsi="Verdana"/>
                <w:sz w:val="14"/>
                <w:szCs w:val="14"/>
                <w:b w:val="1"/>
                <w:bCs w:val="1"/>
                <w:color w:val="auto"/>
              </w:rPr>
              <w:t>Net increase (decrease) in cash and cash equivalents</w:t>
            </w:r>
          </w:p>
        </w:tc>
        <w:tc>
          <w:tcPr>
            <w:tcW w:w="380" w:type="dxa"/>
            <w:vAlign w:val="bottom"/>
            <w:shd w:val="clear" w:color="auto" w:fill="E0E7ED"/>
          </w:tcPr>
          <w:p>
            <w:pPr>
              <w:spacing w:after="0"/>
              <w:rPr>
                <w:sz w:val="18"/>
                <w:szCs w:val="18"/>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(26,614)</w:t>
            </w:r>
          </w:p>
        </w:tc>
        <w:tc>
          <w:tcPr>
            <w:tcW w:w="8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8,286</w:t>
            </w:r>
          </w:p>
        </w:tc>
        <w:tc>
          <w:tcPr>
            <w:tcW w:w="100" w:type="dxa"/>
            <w:vAlign w:val="bottom"/>
            <w:shd w:val="clear" w:color="auto" w:fill="E0E7ED"/>
          </w:tcPr>
          <w:p>
            <w:pPr>
              <w:spacing w:after="0"/>
              <w:rPr>
                <w:sz w:val="18"/>
                <w:szCs w:val="18"/>
                <w:color w:val="auto"/>
              </w:rPr>
            </w:pPr>
          </w:p>
        </w:tc>
        <w:tc>
          <w:tcPr>
            <w:tcW w:w="380" w:type="dxa"/>
            <w:vAlign w:val="bottom"/>
            <w:shd w:val="clear" w:color="auto" w:fill="E0E7ED"/>
          </w:tcPr>
          <w:p>
            <w:pPr>
              <w:spacing w:after="0"/>
              <w:rPr>
                <w:sz w:val="18"/>
                <w:szCs w:val="18"/>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13,595</w:t>
            </w:r>
          </w:p>
        </w:tc>
      </w:tr>
      <w:tr>
        <w:trPr>
          <w:trHeight w:val="207"/>
        </w:trPr>
        <w:tc>
          <w:tcPr>
            <w:tcW w:w="6340" w:type="dxa"/>
            <w:vAlign w:val="bottom"/>
            <w:tcBorders>
              <w:bottom w:val="single" w:sz="8" w:color="E0E7ED"/>
            </w:tcBorders>
          </w:tcPr>
          <w:p>
            <w:pPr>
              <w:ind w:left="20"/>
              <w:spacing w:after="0"/>
              <w:rPr>
                <w:sz w:val="20"/>
                <w:szCs w:val="20"/>
                <w:color w:val="auto"/>
              </w:rPr>
            </w:pPr>
            <w:r>
              <w:rPr>
                <w:rFonts w:ascii="Verdana" w:cs="Verdana" w:eastAsia="Verdana" w:hAnsi="Verdana"/>
                <w:sz w:val="14"/>
                <w:szCs w:val="14"/>
                <w:b w:val="1"/>
                <w:bCs w:val="1"/>
                <w:color w:val="auto"/>
              </w:rPr>
              <w:t>Cash and cash equivalents, beginning of period</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100,098</w:t>
            </w:r>
          </w:p>
        </w:tc>
        <w:tc>
          <w:tcPr>
            <w:tcW w:w="8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91,812</w:t>
            </w:r>
          </w:p>
        </w:tc>
        <w:tc>
          <w:tcPr>
            <w:tcW w:w="100" w:type="dxa"/>
            <w:vAlign w:val="bottom"/>
            <w:tcBorders>
              <w:bottom w:val="single" w:sz="8" w:color="E0E7E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78,217</w:t>
            </w:r>
          </w:p>
        </w:tc>
      </w:tr>
      <w:tr>
        <w:trPr>
          <w:trHeight w:val="198"/>
        </w:trPr>
        <w:tc>
          <w:tcPr>
            <w:tcW w:w="634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r>
      <w:tr>
        <w:trPr>
          <w:trHeight w:val="212"/>
        </w:trPr>
        <w:tc>
          <w:tcPr>
            <w:tcW w:w="6340" w:type="dxa"/>
            <w:vAlign w:val="bottom"/>
          </w:tcPr>
          <w:p>
            <w:pPr>
              <w:ind w:left="20"/>
              <w:spacing w:after="0"/>
              <w:rPr>
                <w:sz w:val="20"/>
                <w:szCs w:val="20"/>
                <w:color w:val="auto"/>
              </w:rPr>
            </w:pPr>
            <w:r>
              <w:rPr>
                <w:rFonts w:ascii="Verdana" w:cs="Verdana" w:eastAsia="Verdana" w:hAnsi="Verdana"/>
                <w:sz w:val="14"/>
                <w:szCs w:val="14"/>
                <w:b w:val="1"/>
                <w:bCs w:val="1"/>
                <w:color w:val="auto"/>
              </w:rPr>
              <w:t>Cash and cash equivalents, ending of period</w:t>
            </w: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4"/>
                <w:szCs w:val="14"/>
                <w:color w:val="auto"/>
              </w:rPr>
              <w:t>73,484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100,098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9"/>
              <w:spacing w:after="0"/>
              <w:rPr>
                <w:sz w:val="20"/>
                <w:szCs w:val="20"/>
                <w:color w:val="auto"/>
              </w:rPr>
            </w:pPr>
            <w:r>
              <w:rPr>
                <w:rFonts w:ascii="Verdana" w:cs="Verdana" w:eastAsia="Verdana" w:hAnsi="Verdana"/>
                <w:sz w:val="14"/>
                <w:szCs w:val="14"/>
                <w:color w:val="auto"/>
                <w:w w:val="88"/>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91,812</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6" w:name="page177"/>
    <w:bookmarkEnd w:id="176"/>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9. CHANGES IN AND DISAGREEMENTS WITH ACCOUNTANTS ON ACCOUNTING AND FINANCIAL DISCLOSURE</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None.</w:t>
      </w:r>
    </w:p>
    <w:p>
      <w:pPr>
        <w:spacing w:after="0" w:line="138" w:lineRule="exact"/>
        <w:rPr>
          <w:sz w:val="20"/>
          <w:szCs w:val="20"/>
          <w:color w:val="auto"/>
        </w:rPr>
      </w:pPr>
    </w:p>
    <w:p>
      <w:pPr>
        <w:ind w:left="4080"/>
        <w:spacing w:after="0"/>
        <w:rPr>
          <w:sz w:val="20"/>
          <w:szCs w:val="20"/>
          <w:color w:val="auto"/>
        </w:rPr>
      </w:pPr>
      <w:r>
        <w:rPr>
          <w:rFonts w:ascii="Verdana" w:cs="Verdana" w:eastAsia="Verdana" w:hAnsi="Verdana"/>
          <w:sz w:val="14"/>
          <w:szCs w:val="14"/>
          <w:b w:val="1"/>
          <w:bCs w:val="1"/>
          <w:color w:val="auto"/>
        </w:rPr>
        <w:t>ITEM 9A. CONTROLS AND PROCEDURES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EVALUATION OF DISCLOSURE CONTROLS AND PROCEDURES</w:t>
      </w:r>
    </w:p>
    <w:p>
      <w:pPr>
        <w:spacing w:after="0" w:line="138"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An evaluation of Busey’s disclosure controls and procedures, as defined in Rule 13a-15(e) under the Exchange Act, was carried out as of December 31, 2024, under the supervision and with the participation of its Chief Executive Officer, Chief Financial Officer, and several other members of senior management. Based on this evaluation, Busey’s Chief Executive Officer and Chief Financial Officer concluded that, as of December 31, 2024, Busey’s disclosure controls and procedures were effective in ensuring that the information Busey is required to disclose in the reports Busey files or submits under the Exchange Act was</w:t>
      </w:r>
    </w:p>
    <w:p>
      <w:pPr>
        <w:spacing w:after="0" w:line="1" w:lineRule="exact"/>
        <w:rPr>
          <w:sz w:val="20"/>
          <w:szCs w:val="20"/>
          <w:color w:val="auto"/>
        </w:rPr>
      </w:pPr>
    </w:p>
    <w:p>
      <w:pPr>
        <w:ind w:firstLine="5"/>
        <w:spacing w:after="0" w:line="259" w:lineRule="auto"/>
        <w:tabs>
          <w:tab w:leader="none" w:pos="294" w:val="left"/>
        </w:tabs>
        <w:numPr>
          <w:ilvl w:val="0"/>
          <w:numId w:val="46"/>
        </w:numPr>
        <w:rPr>
          <w:rFonts w:ascii="Verdana" w:cs="Verdana" w:eastAsia="Verdana" w:hAnsi="Verdana"/>
          <w:sz w:val="14"/>
          <w:szCs w:val="14"/>
          <w:color w:val="auto"/>
        </w:rPr>
      </w:pPr>
      <w:r>
        <w:rPr>
          <w:rFonts w:ascii="Verdana" w:cs="Verdana" w:eastAsia="Verdana" w:hAnsi="Verdana"/>
          <w:sz w:val="14"/>
          <w:szCs w:val="14"/>
          <w:color w:val="auto"/>
        </w:rPr>
        <w:t>accumulated and communicated to Busey’s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CHANGES IN INTERNAL CONTROL OVER FINANCIAL REPORTING</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During the three months ended December 31, 2024, no change occurred in Busey’s internal control over financial reporting that has materially affected, or is reasonably likely to materially affect, Busey’s internal control over financial reporting.</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MANAGEMENT’S REPORT ON INTERNAL CONTROL OVER FINANCIAL REPORTING</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Busey’s management is responsible for establishing and maintaining adequate internal control over financial reporting. Busey’s internal control over financial reporting is a process designed under the supervision of Busey’s Chief Executive Officer and Chief Financial Officer to provide reasonable assurance regarding the reliability of financial reporting and the preparation of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for external reporting purposes in accordance with U.S. generally accepted accounting principles.</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As of December 31, 2024, management assessed the effectiveness of Busey’s internal control over financial reporting based on the criteria for effective internal control over financial reporting established in “Internal Control—Integrated Framework,” issued by the COSO in 2013. Based on this assessment, management determined that Busey maintained effective internal control over financial reporting as of December 31, 2024, based on the COSO criteria.</w:t>
      </w:r>
    </w:p>
    <w:p>
      <w:pPr>
        <w:spacing w:after="0" w:line="11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RSM US LLP, an independent registered public accounting firm that audited 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included in this Annual Report, has issued an audit opinion on the effectiveness of Busey’s internal control over financial reporting as of December 31, 2024. The report, which expresses an unqualified opinion on the effectiveness of Busey’s internal control over financial reporting as of December 31, 2024, is included in this Item under the heading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Report of Independent Registered Public Accounting Firm on Internal Control Over Financial Reporting</w:t>
      </w:r>
      <w:r>
        <w:rPr>
          <w:rFonts w:ascii="Verdana" w:cs="Verdana" w:eastAsia="Verdana" w:hAnsi="Verdana"/>
          <w:sz w:val="14"/>
          <w:szCs w:val="14"/>
          <w:i w:val="1"/>
          <w:iCs w:val="1"/>
          <w:color w:val="auto"/>
        </w:rPr>
        <w:t>.”</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7" w:name="page178"/>
    <w:bookmarkEnd w:id="177"/>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First Busey Corporation and 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2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audited First Busey Corporation and Subsidiaries' (the Company) internal control over financial reporting as of December 31, 2024,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2024, based on criteria established in Internal Control — Integrated Framework issued by the Committee of Sponsoring Organizations of the Treadway Commission in 2013.</w:t>
      </w:r>
    </w:p>
    <w:p>
      <w:pPr>
        <w:spacing w:after="0" w:line="164"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balance sheets of the Company as of December 31, 2024 and 2023, the related consolidated statements of income, comprehensive income (loss), stockholders' equity and cash flows for each of the three years in the period ended December 31, 2024, and the related notes to the consolidated financial statements and our report dated February 27, 2025 expressed an unqualified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3"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8" w:name="page179"/>
    <w:bookmarkEnd w:id="178"/>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60" w:firstLine="5"/>
        <w:spacing w:after="0" w:line="258" w:lineRule="auto"/>
        <w:tabs>
          <w:tab w:leader="none" w:pos="212"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2025</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79" w:name="page180"/>
    <w:bookmarkEnd w:id="179"/>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9B. OTHER INFORMATION</w:t>
      </w:r>
    </w:p>
    <w:p>
      <w:pPr>
        <w:spacing w:after="0" w:line="138" w:lineRule="exact"/>
        <w:rPr>
          <w:sz w:val="20"/>
          <w:szCs w:val="20"/>
          <w:color w:val="auto"/>
        </w:rPr>
      </w:pPr>
    </w:p>
    <w:p>
      <w:pPr>
        <w:jc w:val="both"/>
        <w:spacing w:after="0" w:line="182" w:lineRule="exact"/>
        <w:rPr>
          <w:sz w:val="20"/>
          <w:szCs w:val="20"/>
          <w:color w:val="auto"/>
        </w:rPr>
      </w:pPr>
      <w:r>
        <w:rPr>
          <w:rFonts w:ascii="Verdana" w:cs="Verdana" w:eastAsia="Verdana" w:hAnsi="Verdana"/>
          <w:sz w:val="14"/>
          <w:szCs w:val="14"/>
          <w:color w:val="auto"/>
        </w:rPr>
        <w:t>During the fiscal quarter ended December 31, 2024, none of Busey’s directors or executive officers adopted or terminated any contract, instruction, or written plan for the purchase or sale of Busey securities that was intended to satisfy the affirmative defense conditions of Rule 10b5</w:t>
      </w:r>
      <w:r>
        <w:rPr>
          <w:rFonts w:ascii="MS PGothic" w:cs="MS PGothic" w:eastAsia="MS PGothic" w:hAnsi="MS PGothic"/>
          <w:sz w:val="14"/>
          <w:szCs w:val="14"/>
          <w:color w:val="auto"/>
        </w:rPr>
        <w:t>‑</w:t>
      </w:r>
      <w:r>
        <w:rPr>
          <w:rFonts w:ascii="Verdana" w:cs="Verdana" w:eastAsia="Verdana" w:hAnsi="Verdana"/>
          <w:sz w:val="14"/>
          <w:szCs w:val="14"/>
          <w:color w:val="auto"/>
        </w:rPr>
        <w:t>1(c) or any non-Rule 10b5</w:t>
      </w:r>
      <w:r>
        <w:rPr>
          <w:rFonts w:ascii="MS PGothic" w:cs="MS PGothic" w:eastAsia="MS PGothic" w:hAnsi="MS PGothic"/>
          <w:sz w:val="14"/>
          <w:szCs w:val="14"/>
          <w:color w:val="auto"/>
        </w:rPr>
        <w:t>‑</w:t>
      </w:r>
      <w:r>
        <w:rPr>
          <w:rFonts w:ascii="Verdana" w:cs="Verdana" w:eastAsia="Verdana" w:hAnsi="Verdana"/>
          <w:sz w:val="14"/>
          <w:szCs w:val="14"/>
          <w:color w:val="auto"/>
        </w:rPr>
        <w:t>1 trading arrangement.</w:t>
      </w:r>
    </w:p>
    <w:p>
      <w:pPr>
        <w:spacing w:after="0" w:line="103"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9C. DISCLOSURE REGARDING FOREIGN JURISDICTIONS THAT PREVENT INSPECTIONS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Not applicable.</w:t>
      </w:r>
    </w:p>
    <w:p>
      <w:pPr>
        <w:spacing w:after="0" w:line="13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PART III</w:t>
      </w:r>
    </w:p>
    <w:p>
      <w:pPr>
        <w:spacing w:after="0" w:line="13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10. DIRECTORS, EXECUTIVE OFFICERS, AND CORPORATE GOVERNANCE</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EXECUTIVE OFFICERS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The business experience of each of Busey’s executive officers for at least the past five years is set forth below.</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b w:val="1"/>
          <w:bCs w:val="1"/>
          <w:i w:val="1"/>
          <w:iCs w:val="1"/>
          <w:color w:val="auto"/>
        </w:rPr>
        <w:t xml:space="preserve">Van A. Dukeman. </w:t>
      </w:r>
      <w:r>
        <w:rPr>
          <w:rFonts w:ascii="Verdana" w:cs="Verdana" w:eastAsia="Verdana" w:hAnsi="Verdana"/>
          <w:sz w:val="14"/>
          <w:szCs w:val="14"/>
          <w:color w:val="auto"/>
        </w:rPr>
        <w:t>Mr. Dukeman, age 66, has been serving as a Director and Chief Executive Officer of First Busey Corporation since August 2007, as</w:t>
      </w:r>
      <w:r>
        <w:rPr>
          <w:rFonts w:ascii="Verdana" w:cs="Verdana" w:eastAsia="Verdana" w:hAnsi="Verdana"/>
          <w:sz w:val="14"/>
          <w:szCs w:val="14"/>
          <w:b w:val="1"/>
          <w:bCs w:val="1"/>
          <w:i w:val="1"/>
          <w:iCs w:val="1"/>
          <w:color w:val="auto"/>
        </w:rPr>
        <w:t xml:space="preserve"> </w:t>
      </w:r>
      <w:r>
        <w:rPr>
          <w:rFonts w:ascii="Verdana" w:cs="Verdana" w:eastAsia="Verdana" w:hAnsi="Verdana"/>
          <w:sz w:val="14"/>
          <w:szCs w:val="14"/>
          <w:color w:val="auto"/>
        </w:rPr>
        <w:t>Chairman the Board of Directors of First Busey Corporation since July 2020, and as President and Chief Executive Officer of Busey Bank since October 2023. Prior to August 2007, Mr. Dukeman served as a Director, Chief Executive Officer, and President of Main Street Trust, Inc. from May 1998 until its merger with Busey.</w:t>
      </w:r>
    </w:p>
    <w:p>
      <w:pPr>
        <w:spacing w:after="0" w:line="13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b w:val="1"/>
          <w:bCs w:val="1"/>
          <w:i w:val="1"/>
          <w:iCs w:val="1"/>
          <w:color w:val="auto"/>
        </w:rPr>
        <w:t xml:space="preserve">Scott A. Phillips. </w:t>
      </w:r>
      <w:r>
        <w:rPr>
          <w:rFonts w:ascii="Verdana" w:cs="Verdana" w:eastAsia="Verdana" w:hAnsi="Verdana"/>
          <w:sz w:val="14"/>
          <w:szCs w:val="14"/>
          <w:color w:val="auto"/>
        </w:rPr>
        <w:t>Mr. Phillips, age 46, has been serving as Interim Chief Financial Officer, Executive Vice President and Chief Accounting Officer of First</w:t>
      </w:r>
      <w:r>
        <w:rPr>
          <w:rFonts w:ascii="Verdana" w:cs="Verdana" w:eastAsia="Verdana" w:hAnsi="Verdana"/>
          <w:sz w:val="14"/>
          <w:szCs w:val="14"/>
          <w:b w:val="1"/>
          <w:bCs w:val="1"/>
          <w:i w:val="1"/>
          <w:iCs w:val="1"/>
          <w:color w:val="auto"/>
        </w:rPr>
        <w:t xml:space="preserve"> </w:t>
      </w:r>
      <w:r>
        <w:rPr>
          <w:rFonts w:ascii="Verdana" w:cs="Verdana" w:eastAsia="Verdana" w:hAnsi="Verdana"/>
          <w:sz w:val="14"/>
          <w:szCs w:val="14"/>
          <w:color w:val="auto"/>
        </w:rPr>
        <w:t>Busey Corporation since February 2025. Mr. Phillips has served as Busey’s Principal Accounting Officer since March 2023 and previously served as Busey’s Corporate Controller from January 2019 to February 2025. Prior to that, Mr. Phillips was in the banking industry for nine years at BB&amp;T Corporation (now Truist Financial) and Florida Community Bank after beginning his career at a Big 4 public accounting firm serving clients primarily in the financial services industry.</w:t>
      </w:r>
    </w:p>
    <w:p>
      <w:pPr>
        <w:spacing w:after="0" w:line="295"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 xml:space="preserve">Monica L. Bowe. </w:t>
      </w:r>
      <w:r>
        <w:rPr>
          <w:rFonts w:ascii="Verdana" w:cs="Verdana" w:eastAsia="Verdana" w:hAnsi="Verdana"/>
          <w:sz w:val="14"/>
          <w:szCs w:val="14"/>
          <w:color w:val="auto"/>
        </w:rPr>
        <w:t>Ms. Bowe, age 51, has been serving as Chief Risk Officer of First Busey Corporation since January 2020. Prior to that, she served as Senior</w:t>
      </w:r>
      <w:r>
        <w:rPr>
          <w:rFonts w:ascii="Verdana" w:cs="Verdana" w:eastAsia="Verdana" w:hAnsi="Verdana"/>
          <w:sz w:val="14"/>
          <w:szCs w:val="14"/>
          <w:b w:val="1"/>
          <w:bCs w:val="1"/>
          <w:i w:val="1"/>
          <w:iCs w:val="1"/>
          <w:color w:val="auto"/>
        </w:rPr>
        <w:t xml:space="preserve"> </w:t>
      </w:r>
      <w:r>
        <w:rPr>
          <w:rFonts w:ascii="Verdana" w:cs="Verdana" w:eastAsia="Verdana" w:hAnsi="Verdana"/>
          <w:sz w:val="14"/>
          <w:szCs w:val="14"/>
          <w:color w:val="auto"/>
        </w:rPr>
        <w:t>Director of Operational Risk Program Management at KeyBank, a subsidiary of KeyCorp headquartered in Cleveland, Ohio, since 2015.</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i w:val="1"/>
          <w:iCs w:val="1"/>
          <w:color w:val="auto"/>
        </w:rPr>
        <w:t xml:space="preserve">John J. Powers. </w:t>
      </w:r>
      <w:r>
        <w:rPr>
          <w:rFonts w:ascii="Verdana" w:cs="Verdana" w:eastAsia="Verdana" w:hAnsi="Verdana"/>
          <w:sz w:val="14"/>
          <w:szCs w:val="14"/>
          <w:color w:val="auto"/>
        </w:rPr>
        <w:t>Mr. Powers, age 69, has been serving as General Counsel of First Busey Corporation since December 2011. Prior to that, he was a</w:t>
      </w:r>
      <w:r>
        <w:rPr>
          <w:rFonts w:ascii="Verdana" w:cs="Verdana" w:eastAsia="Verdana" w:hAnsi="Verdana"/>
          <w:sz w:val="14"/>
          <w:szCs w:val="14"/>
          <w:b w:val="1"/>
          <w:bCs w:val="1"/>
          <w:i w:val="1"/>
          <w:iCs w:val="1"/>
          <w:color w:val="auto"/>
        </w:rPr>
        <w:t xml:space="preserve"> </w:t>
      </w:r>
      <w:r>
        <w:rPr>
          <w:rFonts w:ascii="Verdana" w:cs="Verdana" w:eastAsia="Verdana" w:hAnsi="Verdana"/>
          <w:sz w:val="14"/>
          <w:szCs w:val="14"/>
          <w:color w:val="auto"/>
        </w:rPr>
        <w:t>stockholder of Meyer Capel, P.C., a law firm based in Champaign, Illinois, since 1998.</w:t>
      </w:r>
    </w:p>
    <w:p>
      <w:pPr>
        <w:spacing w:after="0" w:line="12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i w:val="1"/>
          <w:iCs w:val="1"/>
          <w:color w:val="auto"/>
        </w:rPr>
        <w:t xml:space="preserve">Amy L. Randolph. </w:t>
      </w:r>
      <w:r>
        <w:rPr>
          <w:rFonts w:ascii="Verdana" w:cs="Verdana" w:eastAsia="Verdana" w:hAnsi="Verdana"/>
          <w:sz w:val="14"/>
          <w:szCs w:val="14"/>
          <w:color w:val="auto"/>
        </w:rPr>
        <w:t>Mrs. Randolph, age 50, was appointed Chief Operating Officer of First Busey Corporation in October 2023. Prior to that appointment, she</w:t>
      </w:r>
      <w:r>
        <w:rPr>
          <w:rFonts w:ascii="Verdana" w:cs="Verdana" w:eastAsia="Verdana" w:hAnsi="Verdana"/>
          <w:sz w:val="14"/>
          <w:szCs w:val="14"/>
          <w:b w:val="1"/>
          <w:bCs w:val="1"/>
          <w:i w:val="1"/>
          <w:iCs w:val="1"/>
          <w:color w:val="auto"/>
        </w:rPr>
        <w:t xml:space="preserve"> </w:t>
      </w:r>
      <w:r>
        <w:rPr>
          <w:rFonts w:ascii="Verdana" w:cs="Verdana" w:eastAsia="Verdana" w:hAnsi="Verdana"/>
          <w:sz w:val="14"/>
          <w:szCs w:val="14"/>
          <w:color w:val="auto"/>
        </w:rPr>
        <w:t>served as Chief of Staff from April 2017 to October 2023, Executive Vice President and Chief Brand Officer from March 2014 to April 2017, and Senior Vice President of Growth Strategies from February 2008 to March 2014.</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DIRECTORS OF THE REGISTRANT AND CORPORATE GOVERNANCE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Information required by this Item is incorporated herein by reference to Busey’s Proxy Statement for its 2025 Annual Meeting of Stockholders to be filed with the SEC within 120 days of Busey’s fiscal year end under the captions </w:t>
      </w:r>
      <w:r>
        <w:rPr>
          <w:rFonts w:ascii="Verdana" w:cs="Verdana" w:eastAsia="Verdana" w:hAnsi="Verdana"/>
          <w:sz w:val="14"/>
          <w:szCs w:val="14"/>
          <w:i w:val="1"/>
          <w:iCs w:val="1"/>
          <w:color w:val="auto"/>
        </w:rPr>
        <w:t>“Proposal 1: Election of Directors,” “Corporate Governance and Board of Directors</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 xml:space="preserve">Matters,” </w:t>
      </w:r>
      <w:r>
        <w:rPr>
          <w:rFonts w:ascii="Verdana" w:cs="Verdana" w:eastAsia="Verdana" w:hAnsi="Verdana"/>
          <w:sz w:val="14"/>
          <w:szCs w:val="14"/>
          <w:color w:val="auto"/>
        </w:rPr>
        <w:t>and</w:t>
      </w:r>
      <w:r>
        <w:rPr>
          <w:rFonts w:ascii="Verdana" w:cs="Verdana" w:eastAsia="Verdana" w:hAnsi="Verdana"/>
          <w:sz w:val="14"/>
          <w:szCs w:val="14"/>
          <w:i w:val="1"/>
          <w:iCs w:val="1"/>
          <w:color w:val="auto"/>
        </w:rPr>
        <w:t xml:space="preserve"> “Delinquent Section 16(a) Reports.”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0" w:name="page181"/>
    <w:bookmarkEnd w:id="180"/>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11. EXECUTIVE COMPENSATION</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The information required by this Item is incorporated herein by reference to Busey’s Proxy Statement for its 2025 Annual Meeting of Stockholders to be filed with the SEC within 120 days of Busey’s fiscal year-end under the captions </w:t>
      </w:r>
      <w:r>
        <w:rPr>
          <w:rFonts w:ascii="Verdana" w:cs="Verdana" w:eastAsia="Verdana" w:hAnsi="Verdana"/>
          <w:sz w:val="14"/>
          <w:szCs w:val="14"/>
          <w:i w:val="1"/>
          <w:iCs w:val="1"/>
          <w:color w:val="auto"/>
        </w:rPr>
        <w:t>“Director Compensation,” “Compensation Discussion and Analysis,” “Executive</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Management Compensation and Succession Committee Report,” “Compensation of Named Executive Officers,” “CEO Pay Ratio,” and “Executive Management Compensation and Succession Committee Interlocks and Insider Participation.”</w:t>
      </w:r>
    </w:p>
    <w:p>
      <w:pPr>
        <w:spacing w:after="0" w:line="119" w:lineRule="exact"/>
        <w:rPr>
          <w:sz w:val="20"/>
          <w:szCs w:val="20"/>
          <w:color w:val="auto"/>
        </w:rPr>
      </w:pPr>
    </w:p>
    <w:p>
      <w:pPr>
        <w:ind w:right="560" w:firstLine="557"/>
        <w:spacing w:after="0" w:line="441" w:lineRule="auto"/>
        <w:rPr>
          <w:sz w:val="20"/>
          <w:szCs w:val="20"/>
          <w:color w:val="auto"/>
        </w:rPr>
      </w:pPr>
      <w:r>
        <w:rPr>
          <w:rFonts w:ascii="Verdana" w:cs="Verdana" w:eastAsia="Verdana" w:hAnsi="Verdana"/>
          <w:sz w:val="14"/>
          <w:szCs w:val="14"/>
          <w:b w:val="1"/>
          <w:bCs w:val="1"/>
          <w:color w:val="auto"/>
        </w:rPr>
        <w:t>ITEM 12. SECURITY OWNERSHIP OF CERTAIN BENEFICIAL OWNERS AND MANAGEMENT AND RELATED STOCKHOLDER MATTERS STOCK INCENTIVE PLANS</w:t>
      </w:r>
    </w:p>
    <w:p>
      <w:pPr>
        <w:spacing w:after="0" w:line="1"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 xml:space="preserve">The following table discloses the number of outstanding options, warrants, and rights granted by Busey to participants in its equity compensation plans, as well as the number of securities remaining available for future issuance under these plans, as of December 31, 2024. The table provides this information separately for equity compensation plans that have and have not been approved by security holders. Additional information regarding stock incentive plans is presented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Note 16. Stock-based Compensation</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in the Notes to the Consolidated Financial Statements included pursuant to Item 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Verdana" w:cs="Verdana" w:eastAsia="Verdana" w:hAnsi="Verdana"/>
                <w:sz w:val="10"/>
                <w:szCs w:val="10"/>
                <w:b w:val="1"/>
                <w:bCs w:val="1"/>
                <w:color w:val="auto"/>
              </w:rPr>
              <w:t>(c)</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7"/>
              </w:rPr>
              <w:t>Number of</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vMerge w:val="restart"/>
          </w:tcPr>
          <w:p>
            <w:pPr>
              <w:jc w:val="center"/>
              <w:ind w:right="100"/>
              <w:spacing w:after="0"/>
              <w:rPr>
                <w:sz w:val="20"/>
                <w:szCs w:val="20"/>
                <w:color w:val="auto"/>
              </w:rPr>
            </w:pPr>
            <w:r>
              <w:rPr>
                <w:rFonts w:ascii="Verdana" w:cs="Verdana" w:eastAsia="Verdana" w:hAnsi="Verdana"/>
                <w:sz w:val="10"/>
                <w:szCs w:val="10"/>
                <w:b w:val="1"/>
                <w:bCs w:val="1"/>
                <w:color w:val="auto"/>
              </w:rPr>
              <w:t>(a)</w:t>
            </w:r>
          </w:p>
        </w:tc>
        <w:tc>
          <w:tcPr>
            <w:tcW w:w="220" w:type="dxa"/>
            <w:vAlign w:val="bottom"/>
          </w:tcPr>
          <w:p>
            <w:pPr>
              <w:spacing w:after="0"/>
              <w:rPr>
                <w:sz w:val="8"/>
                <w:szCs w:val="8"/>
                <w:color w:val="auto"/>
              </w:rPr>
            </w:pPr>
          </w:p>
        </w:tc>
        <w:tc>
          <w:tcPr>
            <w:tcW w:w="1460" w:type="dxa"/>
            <w:vAlign w:val="bottom"/>
            <w:gridSpan w:val="2"/>
            <w:vMerge w:val="restart"/>
          </w:tcPr>
          <w:p>
            <w:pPr>
              <w:jc w:val="center"/>
              <w:ind w:right="320"/>
              <w:spacing w:after="0"/>
              <w:rPr>
                <w:sz w:val="20"/>
                <w:szCs w:val="20"/>
                <w:color w:val="auto"/>
              </w:rPr>
            </w:pPr>
            <w:r>
              <w:rPr>
                <w:rFonts w:ascii="Verdana" w:cs="Verdana" w:eastAsia="Verdana" w:hAnsi="Verdana"/>
                <w:sz w:val="10"/>
                <w:szCs w:val="10"/>
                <w:b w:val="1"/>
                <w:bCs w:val="1"/>
                <w:color w:val="auto"/>
              </w:rPr>
              <w:t>(b)</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8"/>
              </w:rPr>
              <w:t>securities</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9"/>
              </w:rPr>
              <w:t>remaining available for</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Verdana" w:cs="Verdana" w:eastAsia="Verdana" w:hAnsi="Verdana"/>
                <w:sz w:val="10"/>
                <w:szCs w:val="10"/>
                <w:b w:val="1"/>
                <w:bCs w:val="1"/>
                <w:color w:val="auto"/>
                <w:w w:val="97"/>
              </w:rPr>
              <w:t>Number of</w:t>
            </w:r>
          </w:p>
        </w:tc>
        <w:tc>
          <w:tcPr>
            <w:tcW w:w="220" w:type="dxa"/>
            <w:vAlign w:val="bottom"/>
          </w:tcPr>
          <w:p>
            <w:pPr>
              <w:spacing w:after="0"/>
              <w:rPr>
                <w:sz w:val="8"/>
                <w:szCs w:val="8"/>
                <w:color w:val="auto"/>
              </w:rPr>
            </w:pPr>
          </w:p>
        </w:tc>
        <w:tc>
          <w:tcPr>
            <w:tcW w:w="1460" w:type="dxa"/>
            <w:vAlign w:val="bottom"/>
            <w:gridSpan w:val="2"/>
          </w:tcPr>
          <w:p>
            <w:pPr>
              <w:jc w:val="center"/>
              <w:ind w:right="320"/>
              <w:spacing w:after="0" w:line="96" w:lineRule="exact"/>
              <w:rPr>
                <w:sz w:val="20"/>
                <w:szCs w:val="20"/>
                <w:color w:val="auto"/>
              </w:rPr>
            </w:pPr>
            <w:r>
              <w:rPr>
                <w:rFonts w:ascii="Verdana" w:cs="Verdana" w:eastAsia="Verdana" w:hAnsi="Verdana"/>
                <w:sz w:val="10"/>
                <w:szCs w:val="10"/>
                <w:b w:val="1"/>
                <w:bCs w:val="1"/>
                <w:color w:val="auto"/>
                <w:w w:val="99"/>
              </w:rPr>
              <w:t>Weighted-</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8"/>
              </w:rPr>
              <w:t>future issuance</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Verdana" w:cs="Verdana" w:eastAsia="Verdana" w:hAnsi="Verdana"/>
                <w:sz w:val="10"/>
                <w:szCs w:val="10"/>
                <w:b w:val="1"/>
                <w:bCs w:val="1"/>
                <w:color w:val="auto"/>
                <w:w w:val="99"/>
              </w:rPr>
              <w:t>securities to be</w:t>
            </w:r>
          </w:p>
        </w:tc>
        <w:tc>
          <w:tcPr>
            <w:tcW w:w="220" w:type="dxa"/>
            <w:vAlign w:val="bottom"/>
          </w:tcPr>
          <w:p>
            <w:pPr>
              <w:spacing w:after="0"/>
              <w:rPr>
                <w:sz w:val="8"/>
                <w:szCs w:val="8"/>
                <w:color w:val="auto"/>
              </w:rPr>
            </w:pPr>
          </w:p>
        </w:tc>
        <w:tc>
          <w:tcPr>
            <w:tcW w:w="1460" w:type="dxa"/>
            <w:vAlign w:val="bottom"/>
            <w:gridSpan w:val="2"/>
          </w:tcPr>
          <w:p>
            <w:pPr>
              <w:jc w:val="center"/>
              <w:ind w:right="320"/>
              <w:spacing w:after="0" w:line="96" w:lineRule="exact"/>
              <w:rPr>
                <w:sz w:val="20"/>
                <w:szCs w:val="20"/>
                <w:color w:val="auto"/>
              </w:rPr>
            </w:pPr>
            <w:r>
              <w:rPr>
                <w:rFonts w:ascii="Verdana" w:cs="Verdana" w:eastAsia="Verdana" w:hAnsi="Verdana"/>
                <w:sz w:val="10"/>
                <w:szCs w:val="10"/>
                <w:b w:val="1"/>
                <w:bCs w:val="1"/>
                <w:color w:val="auto"/>
              </w:rPr>
              <w:t>average</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7"/>
              </w:rPr>
              <w:t>under equity</w:t>
            </w:r>
          </w:p>
        </w:tc>
        <w:tc>
          <w:tcPr>
            <w:tcW w:w="0" w:type="dxa"/>
            <w:vAlign w:val="bottom"/>
          </w:tcPr>
          <w:p>
            <w:pPr>
              <w:spacing w:after="0"/>
              <w:rPr>
                <w:sz w:val="1"/>
                <w:szCs w:val="1"/>
                <w:color w:val="auto"/>
              </w:rPr>
            </w:pPr>
          </w:p>
        </w:tc>
      </w:tr>
      <w:tr>
        <w:trPr>
          <w:trHeight w:val="85"/>
        </w:trPr>
        <w:tc>
          <w:tcPr>
            <w:tcW w:w="6340" w:type="dxa"/>
            <w:vAlign w:val="bottom"/>
          </w:tcPr>
          <w:p>
            <w:pPr>
              <w:spacing w:after="0"/>
              <w:rPr>
                <w:sz w:val="7"/>
                <w:szCs w:val="7"/>
                <w:color w:val="auto"/>
              </w:rPr>
            </w:pPr>
          </w:p>
        </w:tc>
        <w:tc>
          <w:tcPr>
            <w:tcW w:w="1680" w:type="dxa"/>
            <w:vAlign w:val="bottom"/>
            <w:gridSpan w:val="2"/>
          </w:tcPr>
          <w:p>
            <w:pPr>
              <w:jc w:val="center"/>
              <w:ind w:right="100"/>
              <w:spacing w:after="0" w:line="85" w:lineRule="exact"/>
              <w:rPr>
                <w:sz w:val="20"/>
                <w:szCs w:val="20"/>
                <w:color w:val="auto"/>
              </w:rPr>
            </w:pPr>
            <w:r>
              <w:rPr>
                <w:rFonts w:ascii="Verdana" w:cs="Verdana" w:eastAsia="Verdana" w:hAnsi="Verdana"/>
                <w:sz w:val="9"/>
                <w:szCs w:val="9"/>
                <w:b w:val="1"/>
                <w:bCs w:val="1"/>
                <w:color w:val="auto"/>
              </w:rPr>
              <w:t>issued upon</w:t>
            </w:r>
          </w:p>
        </w:tc>
        <w:tc>
          <w:tcPr>
            <w:tcW w:w="220" w:type="dxa"/>
            <w:vAlign w:val="bottom"/>
          </w:tcPr>
          <w:p>
            <w:pPr>
              <w:spacing w:after="0"/>
              <w:rPr>
                <w:sz w:val="7"/>
                <w:szCs w:val="7"/>
                <w:color w:val="auto"/>
              </w:rPr>
            </w:pPr>
          </w:p>
        </w:tc>
        <w:tc>
          <w:tcPr>
            <w:tcW w:w="1460" w:type="dxa"/>
            <w:vAlign w:val="bottom"/>
            <w:gridSpan w:val="2"/>
          </w:tcPr>
          <w:p>
            <w:pPr>
              <w:jc w:val="center"/>
              <w:ind w:right="320"/>
              <w:spacing w:after="0" w:line="85" w:lineRule="exact"/>
              <w:rPr>
                <w:sz w:val="20"/>
                <w:szCs w:val="20"/>
                <w:color w:val="auto"/>
              </w:rPr>
            </w:pPr>
            <w:r>
              <w:rPr>
                <w:rFonts w:ascii="Verdana" w:cs="Verdana" w:eastAsia="Verdana" w:hAnsi="Verdana"/>
                <w:sz w:val="9"/>
                <w:szCs w:val="9"/>
                <w:b w:val="1"/>
                <w:bCs w:val="1"/>
                <w:color w:val="auto"/>
              </w:rPr>
              <w:t>exercise price of</w:t>
            </w:r>
          </w:p>
        </w:tc>
        <w:tc>
          <w:tcPr>
            <w:tcW w:w="1580" w:type="dxa"/>
            <w:vAlign w:val="bottom"/>
          </w:tcPr>
          <w:p>
            <w:pPr>
              <w:jc w:val="center"/>
              <w:spacing w:after="0" w:line="85" w:lineRule="exact"/>
              <w:rPr>
                <w:sz w:val="20"/>
                <w:szCs w:val="20"/>
                <w:color w:val="auto"/>
              </w:rPr>
            </w:pPr>
            <w:r>
              <w:rPr>
                <w:rFonts w:ascii="Verdana" w:cs="Verdana" w:eastAsia="Verdana" w:hAnsi="Verdana"/>
                <w:sz w:val="9"/>
                <w:szCs w:val="9"/>
                <w:b w:val="1"/>
                <w:bCs w:val="1"/>
                <w:color w:val="auto"/>
              </w:rPr>
              <w:t>compensation</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tcPr>
          <w:p>
            <w:pPr>
              <w:jc w:val="center"/>
              <w:ind w:right="80"/>
              <w:spacing w:after="0" w:line="96" w:lineRule="exact"/>
              <w:rPr>
                <w:sz w:val="20"/>
                <w:szCs w:val="20"/>
                <w:color w:val="auto"/>
              </w:rPr>
            </w:pPr>
            <w:r>
              <w:rPr>
                <w:rFonts w:ascii="Verdana" w:cs="Verdana" w:eastAsia="Verdana" w:hAnsi="Verdana"/>
                <w:sz w:val="10"/>
                <w:szCs w:val="10"/>
                <w:b w:val="1"/>
                <w:bCs w:val="1"/>
                <w:color w:val="auto"/>
                <w:w w:val="97"/>
              </w:rPr>
              <w:t>exercise of</w:t>
            </w:r>
          </w:p>
        </w:tc>
        <w:tc>
          <w:tcPr>
            <w:tcW w:w="220" w:type="dxa"/>
            <w:vAlign w:val="bottom"/>
          </w:tcPr>
          <w:p>
            <w:pPr>
              <w:spacing w:after="0"/>
              <w:rPr>
                <w:sz w:val="8"/>
                <w:szCs w:val="8"/>
                <w:color w:val="auto"/>
              </w:rPr>
            </w:pPr>
          </w:p>
        </w:tc>
        <w:tc>
          <w:tcPr>
            <w:tcW w:w="1460" w:type="dxa"/>
            <w:vAlign w:val="bottom"/>
            <w:gridSpan w:val="2"/>
          </w:tcPr>
          <w:p>
            <w:pPr>
              <w:jc w:val="center"/>
              <w:ind w:right="320"/>
              <w:spacing w:after="0" w:line="96" w:lineRule="exact"/>
              <w:rPr>
                <w:sz w:val="20"/>
                <w:szCs w:val="20"/>
                <w:color w:val="auto"/>
              </w:rPr>
            </w:pPr>
            <w:r>
              <w:rPr>
                <w:rFonts w:ascii="Verdana" w:cs="Verdana" w:eastAsia="Verdana" w:hAnsi="Verdana"/>
                <w:sz w:val="10"/>
                <w:szCs w:val="10"/>
                <w:b w:val="1"/>
                <w:bCs w:val="1"/>
                <w:color w:val="auto"/>
                <w:w w:val="97"/>
              </w:rPr>
              <w:t>outstanding</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8"/>
              </w:rPr>
              <w:t>plans (excluding</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Verdana" w:cs="Verdana" w:eastAsia="Verdana" w:hAnsi="Verdana"/>
                <w:sz w:val="10"/>
                <w:szCs w:val="10"/>
                <w:b w:val="1"/>
                <w:bCs w:val="1"/>
                <w:color w:val="auto"/>
                <w:w w:val="97"/>
              </w:rPr>
              <w:t>outstanding</w:t>
            </w:r>
          </w:p>
        </w:tc>
        <w:tc>
          <w:tcPr>
            <w:tcW w:w="220" w:type="dxa"/>
            <w:vAlign w:val="bottom"/>
          </w:tcPr>
          <w:p>
            <w:pPr>
              <w:spacing w:after="0"/>
              <w:rPr>
                <w:sz w:val="8"/>
                <w:szCs w:val="8"/>
                <w:color w:val="auto"/>
              </w:rPr>
            </w:pPr>
          </w:p>
        </w:tc>
        <w:tc>
          <w:tcPr>
            <w:tcW w:w="1460" w:type="dxa"/>
            <w:vAlign w:val="bottom"/>
            <w:gridSpan w:val="2"/>
          </w:tcPr>
          <w:p>
            <w:pPr>
              <w:jc w:val="center"/>
              <w:ind w:right="320"/>
              <w:spacing w:after="0" w:line="96" w:lineRule="exact"/>
              <w:rPr>
                <w:sz w:val="20"/>
                <w:szCs w:val="20"/>
                <w:color w:val="auto"/>
              </w:rPr>
            </w:pPr>
            <w:r>
              <w:rPr>
                <w:rFonts w:ascii="Verdana" w:cs="Verdana" w:eastAsia="Verdana" w:hAnsi="Verdana"/>
                <w:sz w:val="10"/>
                <w:szCs w:val="10"/>
                <w:b w:val="1"/>
                <w:bCs w:val="1"/>
                <w:color w:val="auto"/>
              </w:rPr>
              <w:t>options,</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8"/>
              </w:rPr>
              <w:t>securities</w:t>
            </w:r>
          </w:p>
        </w:tc>
        <w:tc>
          <w:tcPr>
            <w:tcW w:w="0" w:type="dxa"/>
            <w:vAlign w:val="bottom"/>
          </w:tcPr>
          <w:p>
            <w:pPr>
              <w:spacing w:after="0"/>
              <w:rPr>
                <w:sz w:val="1"/>
                <w:szCs w:val="1"/>
                <w:color w:val="auto"/>
              </w:rPr>
            </w:pPr>
          </w:p>
        </w:tc>
      </w:tr>
      <w:tr>
        <w:trPr>
          <w:trHeight w:val="95"/>
        </w:trPr>
        <w:tc>
          <w:tcPr>
            <w:tcW w:w="6340" w:type="dxa"/>
            <w:vAlign w:val="bottom"/>
          </w:tcPr>
          <w:p>
            <w:pPr>
              <w:spacing w:after="0"/>
              <w:rPr>
                <w:sz w:val="8"/>
                <w:szCs w:val="8"/>
                <w:color w:val="auto"/>
              </w:rPr>
            </w:pPr>
          </w:p>
        </w:tc>
        <w:tc>
          <w:tcPr>
            <w:tcW w:w="1680" w:type="dxa"/>
            <w:vAlign w:val="bottom"/>
            <w:gridSpan w:val="2"/>
          </w:tcPr>
          <w:p>
            <w:pPr>
              <w:jc w:val="center"/>
              <w:ind w:right="100"/>
              <w:spacing w:after="0" w:line="96" w:lineRule="exact"/>
              <w:rPr>
                <w:sz w:val="20"/>
                <w:szCs w:val="20"/>
                <w:color w:val="auto"/>
              </w:rPr>
            </w:pPr>
            <w:r>
              <w:rPr>
                <w:rFonts w:ascii="Verdana" w:cs="Verdana" w:eastAsia="Verdana" w:hAnsi="Verdana"/>
                <w:sz w:val="10"/>
                <w:szCs w:val="10"/>
                <w:b w:val="1"/>
                <w:bCs w:val="1"/>
                <w:color w:val="auto"/>
                <w:w w:val="98"/>
              </w:rPr>
              <w:t>options, warrants</w:t>
            </w:r>
          </w:p>
        </w:tc>
        <w:tc>
          <w:tcPr>
            <w:tcW w:w="220" w:type="dxa"/>
            <w:vAlign w:val="bottom"/>
          </w:tcPr>
          <w:p>
            <w:pPr>
              <w:spacing w:after="0"/>
              <w:rPr>
                <w:sz w:val="8"/>
                <w:szCs w:val="8"/>
                <w:color w:val="auto"/>
              </w:rPr>
            </w:pPr>
          </w:p>
        </w:tc>
        <w:tc>
          <w:tcPr>
            <w:tcW w:w="1460" w:type="dxa"/>
            <w:vAlign w:val="bottom"/>
            <w:gridSpan w:val="2"/>
          </w:tcPr>
          <w:p>
            <w:pPr>
              <w:jc w:val="center"/>
              <w:ind w:right="320"/>
              <w:spacing w:after="0" w:line="96" w:lineRule="exact"/>
              <w:rPr>
                <w:sz w:val="20"/>
                <w:szCs w:val="20"/>
                <w:color w:val="auto"/>
              </w:rPr>
            </w:pPr>
            <w:r>
              <w:rPr>
                <w:rFonts w:ascii="Verdana" w:cs="Verdana" w:eastAsia="Verdana" w:hAnsi="Verdana"/>
                <w:sz w:val="10"/>
                <w:szCs w:val="10"/>
                <w:b w:val="1"/>
                <w:bCs w:val="1"/>
                <w:color w:val="auto"/>
                <w:w w:val="98"/>
              </w:rPr>
              <w:t>warrants and</w:t>
            </w:r>
          </w:p>
        </w:tc>
        <w:tc>
          <w:tcPr>
            <w:tcW w:w="158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6"/>
              </w:rPr>
              <w:t>reflected in</w:t>
            </w:r>
          </w:p>
        </w:tc>
        <w:tc>
          <w:tcPr>
            <w:tcW w:w="0" w:type="dxa"/>
            <w:vAlign w:val="bottom"/>
          </w:tcPr>
          <w:p>
            <w:pPr>
              <w:spacing w:after="0"/>
              <w:rPr>
                <w:sz w:val="1"/>
                <w:szCs w:val="1"/>
                <w:color w:val="auto"/>
              </w:rPr>
            </w:pPr>
          </w:p>
        </w:tc>
      </w:tr>
      <w:tr>
        <w:trPr>
          <w:trHeight w:val="127"/>
        </w:trPr>
        <w:tc>
          <w:tcPr>
            <w:tcW w:w="6340" w:type="dxa"/>
            <w:vAlign w:val="bottom"/>
          </w:tcPr>
          <w:p>
            <w:pPr>
              <w:spacing w:after="0"/>
              <w:rPr>
                <w:sz w:val="11"/>
                <w:szCs w:val="11"/>
                <w:color w:val="auto"/>
              </w:rPr>
            </w:pPr>
          </w:p>
        </w:tc>
        <w:tc>
          <w:tcPr>
            <w:tcW w:w="1680" w:type="dxa"/>
            <w:vAlign w:val="bottom"/>
            <w:gridSpan w:val="2"/>
          </w:tcPr>
          <w:p>
            <w:pPr>
              <w:jc w:val="center"/>
              <w:ind w:right="100"/>
              <w:spacing w:after="0" w:line="128" w:lineRule="exact"/>
              <w:rPr>
                <w:sz w:val="20"/>
                <w:szCs w:val="20"/>
                <w:color w:val="auto"/>
              </w:rPr>
            </w:pPr>
            <w:r>
              <w:rPr>
                <w:rFonts w:ascii="Verdana" w:cs="Verdana" w:eastAsia="Verdana" w:hAnsi="Verdana"/>
                <w:sz w:val="10"/>
                <w:szCs w:val="10"/>
                <w:b w:val="1"/>
                <w:bCs w:val="1"/>
                <w:color w:val="auto"/>
                <w:w w:val="98"/>
              </w:rPr>
              <w:t>and rights</w:t>
            </w:r>
            <w:r>
              <w:rPr>
                <w:rFonts w:ascii="Verdana" w:cs="Verdana" w:eastAsia="Verdana" w:hAnsi="Verdana"/>
                <w:sz w:val="12"/>
                <w:szCs w:val="12"/>
                <w:b w:val="1"/>
                <w:bCs w:val="1"/>
                <w:color w:val="auto"/>
                <w:w w:val="98"/>
                <w:vertAlign w:val="superscript"/>
              </w:rPr>
              <w:t>1</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28" w:lineRule="exact"/>
              <w:rPr>
                <w:sz w:val="20"/>
                <w:szCs w:val="20"/>
                <w:color w:val="auto"/>
              </w:rPr>
            </w:pPr>
            <w:r>
              <w:rPr>
                <w:rFonts w:ascii="Verdana" w:cs="Verdana" w:eastAsia="Verdana" w:hAnsi="Verdana"/>
                <w:sz w:val="10"/>
                <w:szCs w:val="10"/>
                <w:b w:val="1"/>
                <w:bCs w:val="1"/>
                <w:color w:val="auto"/>
                <w:w w:val="97"/>
              </w:rPr>
              <w:t>rights</w:t>
            </w:r>
            <w:r>
              <w:rPr>
                <w:rFonts w:ascii="Verdana" w:cs="Verdana" w:eastAsia="Verdana" w:hAnsi="Verdana"/>
                <w:sz w:val="12"/>
                <w:szCs w:val="12"/>
                <w:b w:val="1"/>
                <w:bCs w:val="1"/>
                <w:color w:val="auto"/>
                <w:w w:val="97"/>
                <w:vertAlign w:val="superscript"/>
              </w:rPr>
              <w:t>2</w:t>
            </w:r>
          </w:p>
        </w:tc>
        <w:tc>
          <w:tcPr>
            <w:tcW w:w="1580" w:type="dxa"/>
            <w:vAlign w:val="bottom"/>
          </w:tcPr>
          <w:p>
            <w:pPr>
              <w:jc w:val="center"/>
              <w:spacing w:after="0" w:line="128" w:lineRule="exact"/>
              <w:rPr>
                <w:sz w:val="20"/>
                <w:szCs w:val="20"/>
                <w:color w:val="auto"/>
              </w:rPr>
            </w:pPr>
            <w:r>
              <w:rPr>
                <w:rFonts w:ascii="Verdana" w:cs="Verdana" w:eastAsia="Verdana" w:hAnsi="Verdana"/>
                <w:sz w:val="10"/>
                <w:szCs w:val="10"/>
                <w:b w:val="1"/>
                <w:bCs w:val="1"/>
                <w:color w:val="auto"/>
                <w:w w:val="95"/>
              </w:rPr>
              <w:t>column (a))</w:t>
            </w:r>
            <w:r>
              <w:rPr>
                <w:rFonts w:ascii="Verdana" w:cs="Verdana" w:eastAsia="Verdana" w:hAnsi="Verdana"/>
                <w:sz w:val="12"/>
                <w:szCs w:val="12"/>
                <w:b w:val="1"/>
                <w:bCs w:val="1"/>
                <w:color w:val="auto"/>
                <w:w w:val="95"/>
                <w:vertAlign w:val="superscript"/>
              </w:rPr>
              <w:t>3</w:t>
            </w:r>
          </w:p>
        </w:tc>
        <w:tc>
          <w:tcPr>
            <w:tcW w:w="0" w:type="dxa"/>
            <w:vAlign w:val="bottom"/>
          </w:tcPr>
          <w:p>
            <w:pPr>
              <w:spacing w:after="0"/>
              <w:rPr>
                <w:sz w:val="1"/>
                <w:szCs w:val="1"/>
                <w:color w:val="auto"/>
              </w:rPr>
            </w:pPr>
          </w:p>
        </w:tc>
      </w:tr>
      <w:tr>
        <w:trPr>
          <w:trHeight w:val="192"/>
        </w:trPr>
        <w:tc>
          <w:tcPr>
            <w:tcW w:w="63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4"/>
                <w:szCs w:val="14"/>
                <w:b w:val="1"/>
                <w:bCs w:val="1"/>
                <w:color w:val="auto"/>
              </w:rPr>
              <w:t>Equity compensation plans</w:t>
            </w:r>
          </w:p>
        </w:tc>
        <w:tc>
          <w:tcPr>
            <w:tcW w:w="1600" w:type="dxa"/>
            <w:vAlign w:val="bottom"/>
            <w:tcBorders>
              <w:top w:val="single" w:sz="8" w:color="auto"/>
            </w:tcBorders>
            <w:shd w:val="clear" w:color="auto" w:fill="E0E7ED"/>
          </w:tcPr>
          <w:p>
            <w:pPr>
              <w:spacing w:after="0"/>
              <w:rPr>
                <w:sz w:val="16"/>
                <w:szCs w:val="16"/>
                <w:color w:val="auto"/>
              </w:rPr>
            </w:pPr>
          </w:p>
        </w:tc>
        <w:tc>
          <w:tcPr>
            <w:tcW w:w="80" w:type="dxa"/>
            <w:vAlign w:val="bottom"/>
            <w:tcBorders>
              <w:top w:val="single" w:sz="8" w:color="E0E7ED"/>
            </w:tcBorders>
            <w:shd w:val="clear" w:color="auto" w:fill="E0E7ED"/>
          </w:tcPr>
          <w:p>
            <w:pPr>
              <w:spacing w:after="0"/>
              <w:rPr>
                <w:sz w:val="16"/>
                <w:szCs w:val="16"/>
                <w:color w:val="auto"/>
              </w:rPr>
            </w:pPr>
          </w:p>
        </w:tc>
        <w:tc>
          <w:tcPr>
            <w:tcW w:w="220" w:type="dxa"/>
            <w:vAlign w:val="bottom"/>
            <w:tcBorders>
              <w:top w:val="single" w:sz="8" w:color="auto"/>
            </w:tcBorders>
            <w:shd w:val="clear" w:color="auto" w:fill="E0E7ED"/>
          </w:tcPr>
          <w:p>
            <w:pPr>
              <w:spacing w:after="0"/>
              <w:rPr>
                <w:sz w:val="16"/>
                <w:szCs w:val="16"/>
                <w:color w:val="auto"/>
              </w:rPr>
            </w:pPr>
          </w:p>
        </w:tc>
        <w:tc>
          <w:tcPr>
            <w:tcW w:w="1360" w:type="dxa"/>
            <w:vAlign w:val="bottom"/>
            <w:tcBorders>
              <w:top w:val="single" w:sz="8" w:color="auto"/>
            </w:tcBorders>
            <w:shd w:val="clear" w:color="auto" w:fill="E0E7ED"/>
          </w:tcPr>
          <w:p>
            <w:pPr>
              <w:spacing w:after="0"/>
              <w:rPr>
                <w:sz w:val="16"/>
                <w:szCs w:val="16"/>
                <w:color w:val="auto"/>
              </w:rPr>
            </w:pPr>
          </w:p>
        </w:tc>
        <w:tc>
          <w:tcPr>
            <w:tcW w:w="100" w:type="dxa"/>
            <w:vAlign w:val="bottom"/>
            <w:tcBorders>
              <w:top w:val="single" w:sz="8" w:color="E0E7ED"/>
            </w:tcBorders>
            <w:shd w:val="clear" w:color="auto" w:fill="E0E7ED"/>
          </w:tcPr>
          <w:p>
            <w:pPr>
              <w:spacing w:after="0"/>
              <w:rPr>
                <w:sz w:val="16"/>
                <w:szCs w:val="16"/>
                <w:color w:val="auto"/>
              </w:rPr>
            </w:pPr>
          </w:p>
        </w:tc>
        <w:tc>
          <w:tcPr>
            <w:tcW w:w="1580" w:type="dxa"/>
            <w:vAlign w:val="bottom"/>
            <w:tcBorders>
              <w:top w:val="single" w:sz="8" w:color="auto"/>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140"/>
              <w:spacing w:after="0"/>
              <w:rPr>
                <w:sz w:val="20"/>
                <w:szCs w:val="20"/>
                <w:color w:val="auto"/>
              </w:rPr>
            </w:pPr>
            <w:r>
              <w:rPr>
                <w:rFonts w:ascii="Verdana" w:cs="Verdana" w:eastAsia="Verdana" w:hAnsi="Verdana"/>
                <w:sz w:val="14"/>
                <w:szCs w:val="14"/>
                <w:color w:val="auto"/>
              </w:rPr>
              <w:t>Approved by stockholders</w:t>
            </w:r>
            <w:r>
              <w:rPr>
                <w:rFonts w:ascii="Verdana" w:cs="Verdana" w:eastAsia="Verdana" w:hAnsi="Verdana"/>
                <w:sz w:val="9"/>
                <w:szCs w:val="9"/>
                <w:color w:val="auto"/>
              </w:rPr>
              <w:t>4</w:t>
            </w:r>
          </w:p>
        </w:tc>
        <w:tc>
          <w:tcPr>
            <w:tcW w:w="1600" w:type="dxa"/>
            <w:vAlign w:val="bottom"/>
          </w:tcPr>
          <w:p>
            <w:pPr>
              <w:jc w:val="right"/>
              <w:spacing w:after="0"/>
              <w:rPr>
                <w:sz w:val="20"/>
                <w:szCs w:val="20"/>
                <w:color w:val="auto"/>
              </w:rPr>
            </w:pPr>
            <w:r>
              <w:rPr>
                <w:rFonts w:ascii="Verdana" w:cs="Verdana" w:eastAsia="Verdana" w:hAnsi="Verdana"/>
                <w:sz w:val="14"/>
                <w:szCs w:val="14"/>
                <w:color w:val="auto"/>
              </w:rPr>
              <w:t>1,818,887</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Verdana" w:cs="Verdana" w:eastAsia="Verdana" w:hAnsi="Verdana"/>
                <w:sz w:val="14"/>
                <w:szCs w:val="14"/>
                <w:color w:val="auto"/>
                <w:w w:val="88"/>
              </w:rPr>
              <w:t>$</w:t>
            </w:r>
          </w:p>
        </w:tc>
        <w:tc>
          <w:tcPr>
            <w:tcW w:w="1360" w:type="dxa"/>
            <w:vAlign w:val="bottom"/>
          </w:tcPr>
          <w:p>
            <w:pPr>
              <w:jc w:val="right"/>
              <w:ind w:right="5"/>
              <w:spacing w:after="0"/>
              <w:rPr>
                <w:sz w:val="20"/>
                <w:szCs w:val="20"/>
                <w:color w:val="auto"/>
              </w:rPr>
            </w:pPr>
            <w:r>
              <w:rPr>
                <w:rFonts w:ascii="Verdana" w:cs="Verdana" w:eastAsia="Verdana" w:hAnsi="Verdana"/>
                <w:sz w:val="14"/>
                <w:szCs w:val="14"/>
                <w:color w:val="auto"/>
              </w:rPr>
              <w:t>23.53</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Verdana" w:cs="Verdana" w:eastAsia="Verdana" w:hAnsi="Verdana"/>
                <w:sz w:val="14"/>
                <w:szCs w:val="14"/>
                <w:color w:val="auto"/>
              </w:rPr>
              <w:t>1,719,850</w:t>
            </w:r>
          </w:p>
        </w:tc>
        <w:tc>
          <w:tcPr>
            <w:tcW w:w="0" w:type="dxa"/>
            <w:vAlign w:val="bottom"/>
          </w:tcPr>
          <w:p>
            <w:pPr>
              <w:spacing w:after="0"/>
              <w:rPr>
                <w:sz w:val="1"/>
                <w:szCs w:val="1"/>
                <w:color w:val="auto"/>
              </w:rPr>
            </w:pPr>
          </w:p>
        </w:tc>
      </w:tr>
      <w:tr>
        <w:trPr>
          <w:trHeight w:val="212"/>
        </w:trPr>
        <w:tc>
          <w:tcPr>
            <w:tcW w:w="6340" w:type="dxa"/>
            <w:vAlign w:val="bottom"/>
            <w:shd w:val="clear" w:color="auto" w:fill="E0E7ED"/>
          </w:tcPr>
          <w:p>
            <w:pPr>
              <w:ind w:left="140"/>
              <w:spacing w:after="0"/>
              <w:rPr>
                <w:sz w:val="20"/>
                <w:szCs w:val="20"/>
                <w:color w:val="auto"/>
              </w:rPr>
            </w:pPr>
            <w:r>
              <w:rPr>
                <w:rFonts w:ascii="Verdana" w:cs="Verdana" w:eastAsia="Verdana" w:hAnsi="Verdana"/>
                <w:sz w:val="14"/>
                <w:szCs w:val="14"/>
                <w:color w:val="auto"/>
              </w:rPr>
              <w:t>Not approved by stockholders</w:t>
            </w:r>
          </w:p>
        </w:tc>
        <w:tc>
          <w:tcPr>
            <w:tcW w:w="168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4"/>
                <w:szCs w:val="14"/>
                <w:color w:val="auto"/>
              </w:rPr>
              <w:t>—</w:t>
            </w:r>
          </w:p>
        </w:tc>
        <w:tc>
          <w:tcPr>
            <w:tcW w:w="220" w:type="dxa"/>
            <w:vAlign w:val="bottom"/>
            <w:shd w:val="clear" w:color="auto" w:fill="E0E7ED"/>
          </w:tcPr>
          <w:p>
            <w:pPr>
              <w:spacing w:after="0"/>
              <w:rPr>
                <w:sz w:val="18"/>
                <w:szCs w:val="18"/>
                <w:color w:val="auto"/>
              </w:rPr>
            </w:pPr>
          </w:p>
        </w:tc>
        <w:tc>
          <w:tcPr>
            <w:tcW w:w="14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4"/>
                <w:szCs w:val="14"/>
                <w:color w:val="auto"/>
              </w:rPr>
              <w:t>—</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4"/>
                <w:szCs w:val="14"/>
                <w:color w:val="auto"/>
              </w:rPr>
              <w:t>—</w:t>
            </w:r>
          </w:p>
        </w:tc>
        <w:tc>
          <w:tcPr>
            <w:tcW w:w="0" w:type="dxa"/>
            <w:vAlign w:val="bottom"/>
          </w:tcPr>
          <w:p>
            <w:pPr>
              <w:spacing w:after="0"/>
              <w:rPr>
                <w:sz w:val="1"/>
                <w:szCs w:val="1"/>
                <w:color w:val="auto"/>
              </w:rPr>
            </w:pPr>
          </w:p>
        </w:tc>
      </w:tr>
      <w:tr>
        <w:trPr>
          <w:trHeight w:val="208"/>
        </w:trPr>
        <w:tc>
          <w:tcPr>
            <w:tcW w:w="6340" w:type="dxa"/>
            <w:vAlign w:val="bottom"/>
          </w:tcPr>
          <w:p>
            <w:pPr>
              <w:ind w:left="20"/>
              <w:spacing w:after="0"/>
              <w:rPr>
                <w:sz w:val="20"/>
                <w:szCs w:val="20"/>
                <w:color w:val="auto"/>
              </w:rPr>
            </w:pPr>
            <w:r>
              <w:rPr>
                <w:rFonts w:ascii="Verdana" w:cs="Verdana" w:eastAsia="Verdana" w:hAnsi="Verdana"/>
                <w:sz w:val="14"/>
                <w:szCs w:val="14"/>
                <w:color w:val="auto"/>
              </w:rPr>
              <w:t>Total as of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1,818,887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Verdana" w:cs="Verdana" w:eastAsia="Verdana" w:hAnsi="Verdana"/>
                <w:sz w:val="14"/>
                <w:szCs w:val="14"/>
                <w:color w:val="auto"/>
                <w:w w:val="88"/>
              </w:rPr>
              <w:t>$</w:t>
            </w:r>
          </w:p>
        </w:tc>
        <w:tc>
          <w:tcPr>
            <w:tcW w:w="1360" w:type="dxa"/>
            <w:vAlign w:val="bottom"/>
            <w:tcBorders>
              <w:top w:val="single" w:sz="8" w:color="auto"/>
              <w:bottom w:val="single" w:sz="8" w:color="auto"/>
            </w:tcBorders>
          </w:tcPr>
          <w:p>
            <w:pPr>
              <w:jc w:val="right"/>
              <w:ind w:right="5"/>
              <w:spacing w:after="0"/>
              <w:rPr>
                <w:sz w:val="20"/>
                <w:szCs w:val="20"/>
                <w:color w:val="auto"/>
              </w:rPr>
            </w:pPr>
            <w:r>
              <w:rPr>
                <w:rFonts w:ascii="Verdana" w:cs="Verdana" w:eastAsia="Verdana" w:hAnsi="Verdana"/>
                <w:sz w:val="14"/>
                <w:szCs w:val="14"/>
                <w:color w:val="auto"/>
              </w:rPr>
              <w:t>23.53</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4"/>
                <w:szCs w:val="14"/>
                <w:color w:val="auto"/>
              </w:rPr>
              <w:t>1,719,850</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Verdana" w:cs="Verdana" w:eastAsia="Verdana" w:hAnsi="Verdana"/>
                <w:sz w:val="10"/>
                <w:szCs w:val="10"/>
                <w:color w:val="auto"/>
              </w:rPr>
              <w:t>___________________________________________</w:t>
            </w: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4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380" w:hanging="248"/>
        <w:spacing w:after="0" w:line="237" w:lineRule="auto"/>
        <w:tabs>
          <w:tab w:leader="none" w:pos="373" w:val="left"/>
        </w:tabs>
        <w:numPr>
          <w:ilvl w:val="0"/>
          <w:numId w:val="48"/>
        </w:numPr>
        <w:rPr>
          <w:rFonts w:ascii="Verdana" w:cs="Verdana" w:eastAsia="Verdana" w:hAnsi="Verdana"/>
          <w:sz w:val="10"/>
          <w:szCs w:val="10"/>
          <w:color w:val="auto"/>
        </w:rPr>
      </w:pPr>
      <w:r>
        <w:rPr>
          <w:rFonts w:ascii="Verdana" w:cs="Verdana" w:eastAsia="Verdana" w:hAnsi="Verdana"/>
          <w:sz w:val="10"/>
          <w:szCs w:val="10"/>
          <w:color w:val="auto"/>
        </w:rPr>
        <w:t>Includes 1,066,772 shares issuable upon the vesting and settlement of outstanding RSU awards, 515,175 shares issuable upon the vesting and settlement of outstanding PSU awards, 221,834 shares issuable upon the vesting and settlement of outstanding DSU awards, and 15,106 shares issuable upon the exercise of outstanding stock option awards. The stock option awards were assumed in connection with the acquisition of First Community.</w:t>
      </w:r>
    </w:p>
    <w:p>
      <w:pPr>
        <w:ind w:left="380" w:hanging="248"/>
        <w:spacing w:after="0" w:line="230" w:lineRule="auto"/>
        <w:tabs>
          <w:tab w:leader="none" w:pos="380" w:val="left"/>
        </w:tabs>
        <w:numPr>
          <w:ilvl w:val="0"/>
          <w:numId w:val="48"/>
        </w:numPr>
        <w:rPr>
          <w:rFonts w:ascii="Verdana" w:cs="Verdana" w:eastAsia="Verdana" w:hAnsi="Verdana"/>
          <w:sz w:val="10"/>
          <w:szCs w:val="10"/>
          <w:color w:val="auto"/>
        </w:rPr>
      </w:pPr>
      <w:r>
        <w:rPr>
          <w:rFonts w:ascii="Verdana" w:cs="Verdana" w:eastAsia="Verdana" w:hAnsi="Verdana"/>
          <w:sz w:val="10"/>
          <w:szCs w:val="10"/>
          <w:color w:val="auto"/>
        </w:rPr>
        <w:t>The weighted average exercise price only relates to stock options and does not relate to RSU, PSU, DSU awards, each of which does not have an exercise price, or awards under the ESPP.</w:t>
      </w:r>
    </w:p>
    <w:p>
      <w:pPr>
        <w:ind w:left="380" w:hanging="248"/>
        <w:spacing w:after="0" w:line="230" w:lineRule="auto"/>
        <w:tabs>
          <w:tab w:leader="none" w:pos="373" w:val="left"/>
        </w:tabs>
        <w:numPr>
          <w:ilvl w:val="0"/>
          <w:numId w:val="48"/>
        </w:numPr>
        <w:rPr>
          <w:rFonts w:ascii="Verdana" w:cs="Verdana" w:eastAsia="Verdana" w:hAnsi="Verdana"/>
          <w:sz w:val="10"/>
          <w:szCs w:val="10"/>
          <w:color w:val="auto"/>
        </w:rPr>
      </w:pPr>
      <w:r>
        <w:rPr>
          <w:rFonts w:ascii="Verdana" w:cs="Verdana" w:eastAsia="Verdana" w:hAnsi="Verdana"/>
          <w:sz w:val="10"/>
          <w:szCs w:val="10"/>
          <w:color w:val="auto"/>
        </w:rPr>
        <w:t>Shares remain available for future issuance under the 2020 Equity Plan and the ESPP in the amounts of 1,326,314 and 393,536, respectively. All of the shares that remain available for future issuance under the ESPP are eligible to be purchased during the current offering period.</w:t>
      </w:r>
    </w:p>
    <w:p>
      <w:pPr>
        <w:ind w:left="380" w:hanging="248"/>
        <w:spacing w:after="0"/>
        <w:tabs>
          <w:tab w:leader="none" w:pos="380" w:val="left"/>
        </w:tabs>
        <w:numPr>
          <w:ilvl w:val="0"/>
          <w:numId w:val="48"/>
        </w:numPr>
        <w:rPr>
          <w:rFonts w:ascii="Verdana" w:cs="Verdana" w:eastAsia="Verdana" w:hAnsi="Verdana"/>
          <w:sz w:val="10"/>
          <w:szCs w:val="10"/>
          <w:color w:val="auto"/>
        </w:rPr>
      </w:pPr>
      <w:r>
        <w:rPr>
          <w:rFonts w:ascii="Verdana" w:cs="Verdana" w:eastAsia="Verdana" w:hAnsi="Verdana"/>
          <w:sz w:val="10"/>
          <w:szCs w:val="10"/>
          <w:color w:val="auto"/>
        </w:rPr>
        <w:t>Includes the 2020 Equity Plan, the 2010 Equity Incentive Plan, as amended, the First Community 2016 Equity Incentive Plan, and the ESPP.</w:t>
      </w:r>
    </w:p>
    <w:p>
      <w:pPr>
        <w:spacing w:after="0" w:line="144"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Other information required by Item 12 is incorporated herein by reference to Busey’s Proxy Statement for its 2025 Annual Meeting of Stockholders to be filed with the SEC within 120 days of Busey’s fiscal year-end under the caption “</w:t>
      </w:r>
      <w:r>
        <w:rPr>
          <w:rFonts w:ascii="Verdana" w:cs="Verdana" w:eastAsia="Verdana" w:hAnsi="Verdana"/>
          <w:sz w:val="14"/>
          <w:szCs w:val="14"/>
          <w:i w:val="1"/>
          <w:iCs w:val="1"/>
          <w:color w:val="auto"/>
        </w:rPr>
        <w:t>Stock Ownership of Certain Beneficial Owners and Management</w:t>
      </w:r>
      <w:r>
        <w:rPr>
          <w:rFonts w:ascii="Verdana" w:cs="Verdana" w:eastAsia="Verdana" w:hAnsi="Verdana"/>
          <w:sz w:val="14"/>
          <w:szCs w:val="14"/>
          <w:color w:val="auto"/>
        </w:rPr>
        <w:t>.”</w:t>
      </w:r>
    </w:p>
    <w:p>
      <w:pPr>
        <w:spacing w:after="0" w:line="110"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13. CERTAIN RELATIONSHIPS AND RELATED TRANSACTIONS, AND DIRECTOR INDEPENDENCE</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 xml:space="preserve">The information required by this Item is incorporated herein by reference to Busey’s Proxy Statement for its 2025 Annual Meeting of Stockholders to be filed with the SEC within 120 days of Busey’s fiscal year-end under the captions </w:t>
      </w:r>
      <w:r>
        <w:rPr>
          <w:rFonts w:ascii="Verdana" w:cs="Verdana" w:eastAsia="Verdana" w:hAnsi="Verdana"/>
          <w:sz w:val="14"/>
          <w:szCs w:val="14"/>
          <w:i w:val="1"/>
          <w:iCs w:val="1"/>
          <w:color w:val="auto"/>
        </w:rPr>
        <w:t>“Corporate Governance and Board of Directors Matters”</w:t>
      </w:r>
      <w:r>
        <w:rPr>
          <w:rFonts w:ascii="Verdana" w:cs="Verdana" w:eastAsia="Verdana" w:hAnsi="Verdana"/>
          <w:sz w:val="14"/>
          <w:szCs w:val="14"/>
          <w:color w:val="auto"/>
        </w:rPr>
        <w:t xml:space="preserve"> and </w:t>
      </w:r>
      <w:r>
        <w:rPr>
          <w:rFonts w:ascii="Verdana" w:cs="Verdana" w:eastAsia="Verdana" w:hAnsi="Verdana"/>
          <w:sz w:val="14"/>
          <w:szCs w:val="14"/>
          <w:i w:val="1"/>
          <w:iCs w:val="1"/>
          <w:color w:val="auto"/>
        </w:rPr>
        <w:t>“Certain</w:t>
      </w:r>
      <w:r>
        <w:rPr>
          <w:rFonts w:ascii="Verdana" w:cs="Verdana" w:eastAsia="Verdana" w:hAnsi="Verdana"/>
          <w:sz w:val="14"/>
          <w:szCs w:val="14"/>
          <w:color w:val="auto"/>
        </w:rPr>
        <w:t xml:space="preserve"> </w:t>
      </w:r>
      <w:r>
        <w:rPr>
          <w:rFonts w:ascii="Verdana" w:cs="Verdana" w:eastAsia="Verdana" w:hAnsi="Verdana"/>
          <w:sz w:val="14"/>
          <w:szCs w:val="14"/>
          <w:i w:val="1"/>
          <w:iCs w:val="1"/>
          <w:color w:val="auto"/>
        </w:rPr>
        <w:t>Relationships and Related-Person Transactions.”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1" w:name="page182"/>
    <w:bookmarkEnd w:id="181"/>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14. PRINCIPAL ACCOUNTANT FEES AND SERVICES</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The information required by this Item is incorporated herein by reference to Busey’s Proxy Statement for its 2025 Annual Meeting of Stockholders to be filed with the SEC within 120 days of Busey’s fiscal year-end under the caption </w:t>
      </w:r>
      <w:r>
        <w:rPr>
          <w:rFonts w:ascii="Verdana" w:cs="Verdana" w:eastAsia="Verdana" w:hAnsi="Verdana"/>
          <w:sz w:val="14"/>
          <w:szCs w:val="14"/>
          <w:i w:val="1"/>
          <w:iCs w:val="1"/>
          <w:color w:val="auto"/>
        </w:rPr>
        <w:t>“Audit and Related Fees.”</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2" w:name="page183"/>
    <w:bookmarkEnd w:id="182"/>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PART IV</w:t>
      </w:r>
    </w:p>
    <w:p>
      <w:pPr>
        <w:spacing w:after="0" w:line="138"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15. EXHIBIT AND FINANCIAL STATEMENT SCHEDULES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EXHIBITS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A list of exhibits to this Annual Report is set forth on the </w:t>
      </w:r>
      <w:r>
        <w:rPr>
          <w:rFonts w:ascii="Verdana" w:cs="Verdana" w:eastAsia="Verdana" w:hAnsi="Verdana"/>
          <w:sz w:val="14"/>
          <w:szCs w:val="14"/>
          <w:u w:val="single" w:color="auto"/>
          <w:color w:val="0000FF"/>
        </w:rPr>
        <w:t>Exhibit Index</w:t>
      </w:r>
      <w:r>
        <w:rPr>
          <w:rFonts w:ascii="Verdana" w:cs="Verdana" w:eastAsia="Verdana" w:hAnsi="Verdana"/>
          <w:sz w:val="14"/>
          <w:szCs w:val="14"/>
          <w:color w:val="auto"/>
        </w:rPr>
        <w:t xml:space="preserve"> beginning on page </w:t>
      </w:r>
      <w:r>
        <w:rPr>
          <w:rFonts w:ascii="Verdana" w:cs="Verdana" w:eastAsia="Verdana" w:hAnsi="Verdana"/>
          <w:sz w:val="14"/>
          <w:szCs w:val="14"/>
          <w:u w:val="single" w:color="auto"/>
          <w:color w:val="0000FF"/>
        </w:rPr>
        <w:t>184</w:t>
      </w:r>
      <w:r>
        <w:rPr>
          <w:rFonts w:ascii="Verdana" w:cs="Verdana" w:eastAsia="Verdana" w:hAnsi="Verdana"/>
          <w:sz w:val="14"/>
          <w:szCs w:val="14"/>
          <w:color w:val="auto"/>
        </w:rPr>
        <w:t>, and is incorporated into this Annual Report by reference.</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Stockholders may obtain a copy of any of the exhibits by writing to First Busey Corporation, Corporate Secretary, at 100 W. University Avenue, Champaign, Illinois 61820, or by visiting the SEC’s EDGAR database at </w:t>
      </w:r>
      <w:r>
        <w:rPr>
          <w:rFonts w:ascii="Verdana" w:cs="Verdana" w:eastAsia="Verdana" w:hAnsi="Verdana"/>
          <w:sz w:val="14"/>
          <w:szCs w:val="14"/>
          <w:i w:val="1"/>
          <w:iCs w:val="1"/>
          <w:color w:val="auto"/>
        </w:rPr>
        <w:t>sec.gov</w:t>
      </w:r>
      <w:r>
        <w:rPr>
          <w:rFonts w:ascii="Verdana" w:cs="Verdana" w:eastAsia="Verdana" w:hAnsi="Verdana"/>
          <w:sz w:val="14"/>
          <w:szCs w:val="14"/>
          <w:color w:val="auto"/>
        </w:rPr>
        <w:t>. Busey’s SEC file number is 0-15950.</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FINANCIAL STATEMENT SCHEDULES</w:t>
      </w:r>
    </w:p>
    <w:p>
      <w:pPr>
        <w:spacing w:after="0" w:line="14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 xml:space="preserve">Busey’s </w:t>
      </w:r>
      <w:r>
        <w:rPr>
          <w:rFonts w:ascii="Verdana" w:cs="Verdana" w:eastAsia="Verdana" w:hAnsi="Verdana"/>
          <w:sz w:val="14"/>
          <w:szCs w:val="14"/>
          <w:u w:val="single" w:color="auto"/>
          <w:color w:val="0000FF"/>
        </w:rPr>
        <w:t>Consolidated Financial Statements</w:t>
      </w:r>
      <w:r>
        <w:rPr>
          <w:rFonts w:ascii="Verdana" w:cs="Verdana" w:eastAsia="Verdana" w:hAnsi="Verdana"/>
          <w:sz w:val="14"/>
          <w:szCs w:val="14"/>
          <w:color w:val="auto"/>
        </w:rPr>
        <w:t xml:space="preserve"> are included as part of this Annual Report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Part II, Item 8. Financial Statements and Supplementary Data</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120" w:type="dxa"/>
            <w:vAlign w:val="bottom"/>
          </w:tcPr>
          <w:p>
            <w:pPr>
              <w:spacing w:after="0"/>
              <w:rPr>
                <w:sz w:val="20"/>
                <w:szCs w:val="20"/>
                <w:color w:val="auto"/>
              </w:rPr>
            </w:pPr>
            <w:r>
              <w:rPr>
                <w:rFonts w:ascii="Verdana" w:cs="Verdana" w:eastAsia="Verdana" w:hAnsi="Verdana"/>
                <w:sz w:val="14"/>
                <w:szCs w:val="14"/>
                <w:color w:val="auto"/>
              </w:rPr>
              <w:t>Report of Independent Registered Public Accounting Firm (PCAOB ID 49)</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89</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Consolidated Balance Sheets</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91</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Consolidated Statements of Income</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92</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Consolidated Statements of Comprehensive Income (Loss)</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93</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Consolidated Statements of Stockholders’ Equity</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94</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Consolidated Statements of Cash Flows</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95</w:t>
            </w:r>
          </w:p>
        </w:tc>
      </w:tr>
      <w:tr>
        <w:trPr>
          <w:trHeight w:val="212"/>
        </w:trPr>
        <w:tc>
          <w:tcPr>
            <w:tcW w:w="8120" w:type="dxa"/>
            <w:vAlign w:val="bottom"/>
          </w:tcPr>
          <w:p>
            <w:pPr>
              <w:spacing w:after="0"/>
              <w:rPr>
                <w:sz w:val="20"/>
                <w:szCs w:val="20"/>
                <w:color w:val="auto"/>
              </w:rPr>
            </w:pPr>
            <w:r>
              <w:rPr>
                <w:rFonts w:ascii="Verdana" w:cs="Verdana" w:eastAsia="Verdana" w:hAnsi="Verdana"/>
                <w:sz w:val="14"/>
                <w:szCs w:val="14"/>
                <w:color w:val="auto"/>
              </w:rPr>
              <w:t>Notes to Consolidated Financial Statements</w:t>
            </w:r>
          </w:p>
        </w:tc>
        <w:tc>
          <w:tcPr>
            <w:tcW w:w="3120" w:type="dxa"/>
            <w:vAlign w:val="bottom"/>
          </w:tcPr>
          <w:p>
            <w:pPr>
              <w:jc w:val="right"/>
              <w:spacing w:after="0"/>
              <w:rPr>
                <w:sz w:val="20"/>
                <w:szCs w:val="20"/>
                <w:color w:val="auto"/>
              </w:rPr>
            </w:pPr>
            <w:r>
              <w:rPr>
                <w:rFonts w:ascii="Verdana" w:cs="Verdana" w:eastAsia="Verdana" w:hAnsi="Verdana"/>
                <w:sz w:val="14"/>
                <w:szCs w:val="14"/>
                <w:color w:val="auto"/>
              </w:rPr>
              <w:t>97</w:t>
            </w:r>
          </w:p>
        </w:tc>
      </w:tr>
    </w:tbl>
    <w:p>
      <w:pPr>
        <w:spacing w:after="0" w:line="219" w:lineRule="exact"/>
        <w:rPr>
          <w:sz w:val="20"/>
          <w:szCs w:val="20"/>
          <w:color w:val="auto"/>
        </w:rPr>
      </w:pPr>
    </w:p>
    <w:p>
      <w:pPr>
        <w:spacing w:after="0"/>
        <w:rPr>
          <w:sz w:val="20"/>
          <w:szCs w:val="20"/>
          <w:color w:val="auto"/>
        </w:rPr>
      </w:pPr>
      <w:r>
        <w:rPr>
          <w:rFonts w:ascii="Verdana" w:cs="Verdana" w:eastAsia="Verdana" w:hAnsi="Verdana"/>
          <w:sz w:val="14"/>
          <w:szCs w:val="14"/>
          <w:color w:val="auto"/>
        </w:rPr>
        <w:t xml:space="preserve">Reports on Internal Control Over Financial Reporting are included as part of this Annual Report in </w:t>
      </w:r>
      <w:r>
        <w:rPr>
          <w:rFonts w:ascii="Verdana" w:cs="Verdana" w:eastAsia="Verdana" w:hAnsi="Verdana"/>
          <w:sz w:val="14"/>
          <w:szCs w:val="14"/>
          <w:i w:val="1"/>
          <w:iCs w:val="1"/>
          <w:color w:val="auto"/>
        </w:rPr>
        <w:t>“</w:t>
      </w:r>
      <w:r>
        <w:rPr>
          <w:rFonts w:ascii="Verdana" w:cs="Verdana" w:eastAsia="Verdana" w:hAnsi="Verdana"/>
          <w:sz w:val="14"/>
          <w:szCs w:val="14"/>
          <w:i w:val="1"/>
          <w:iCs w:val="1"/>
          <w:u w:val="single" w:color="auto"/>
          <w:color w:val="0000FF"/>
        </w:rPr>
        <w:t>Part II, Item 9A. Controls and Procedures</w:t>
      </w:r>
      <w:r>
        <w:rPr>
          <w:rFonts w:ascii="Verdana" w:cs="Verdana" w:eastAsia="Verdana" w:hAnsi="Verdana"/>
          <w:sz w:val="14"/>
          <w:szCs w:val="14"/>
          <w:i w:val="1"/>
          <w:iCs w:val="1"/>
          <w:color w:val="auto"/>
        </w:rPr>
        <w:t>,”</w:t>
      </w:r>
      <w:r>
        <w:rPr>
          <w:rFonts w:ascii="Verdana" w:cs="Verdana" w:eastAsia="Verdana" w:hAnsi="Verdana"/>
          <w:sz w:val="14"/>
          <w:szCs w:val="14"/>
          <w:color w:val="auto"/>
        </w:rPr>
        <w:t xml:space="preserve"> as follows: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80" w:type="dxa"/>
            <w:vAlign w:val="bottom"/>
          </w:tcPr>
          <w:p>
            <w:pPr>
              <w:spacing w:after="0"/>
              <w:rPr>
                <w:sz w:val="20"/>
                <w:szCs w:val="20"/>
                <w:color w:val="auto"/>
              </w:rPr>
            </w:pPr>
            <w:r>
              <w:rPr>
                <w:rFonts w:ascii="Verdana" w:cs="Verdana" w:eastAsia="Verdana" w:hAnsi="Verdana"/>
                <w:sz w:val="14"/>
                <w:szCs w:val="14"/>
                <w:color w:val="auto"/>
              </w:rPr>
              <w:t>Management’s Report on Internal Control Over Financial Reporting</w:t>
            </w:r>
          </w:p>
        </w:tc>
        <w:tc>
          <w:tcPr>
            <w:tcW w:w="3160" w:type="dxa"/>
            <w:vAlign w:val="bottom"/>
          </w:tcPr>
          <w:p>
            <w:pPr>
              <w:jc w:val="right"/>
              <w:spacing w:after="0"/>
              <w:rPr>
                <w:sz w:val="20"/>
                <w:szCs w:val="20"/>
                <w:color w:val="auto"/>
              </w:rPr>
            </w:pPr>
            <w:r>
              <w:rPr>
                <w:rFonts w:ascii="Verdana" w:cs="Verdana" w:eastAsia="Verdana" w:hAnsi="Verdana"/>
                <w:sz w:val="14"/>
                <w:szCs w:val="14"/>
                <w:color w:val="auto"/>
              </w:rPr>
              <w:t>177</w:t>
            </w:r>
          </w:p>
        </w:tc>
      </w:tr>
      <w:tr>
        <w:trPr>
          <w:trHeight w:val="212"/>
        </w:trPr>
        <w:tc>
          <w:tcPr>
            <w:tcW w:w="8080" w:type="dxa"/>
            <w:vAlign w:val="bottom"/>
          </w:tcPr>
          <w:p>
            <w:pPr>
              <w:spacing w:after="0"/>
              <w:rPr>
                <w:sz w:val="20"/>
                <w:szCs w:val="20"/>
                <w:color w:val="auto"/>
              </w:rPr>
            </w:pPr>
            <w:r>
              <w:rPr>
                <w:rFonts w:ascii="Verdana" w:cs="Verdana" w:eastAsia="Verdana" w:hAnsi="Verdana"/>
                <w:sz w:val="14"/>
                <w:szCs w:val="14"/>
                <w:color w:val="auto"/>
              </w:rPr>
              <w:t>Report of Independent Registered Public Accounting Firm (PCAOB ID 49)</w:t>
            </w:r>
          </w:p>
        </w:tc>
        <w:tc>
          <w:tcPr>
            <w:tcW w:w="3160" w:type="dxa"/>
            <w:vAlign w:val="bottom"/>
          </w:tcPr>
          <w:p>
            <w:pPr>
              <w:jc w:val="right"/>
              <w:spacing w:after="0"/>
              <w:rPr>
                <w:sz w:val="20"/>
                <w:szCs w:val="20"/>
                <w:color w:val="auto"/>
              </w:rPr>
            </w:pPr>
            <w:r>
              <w:rPr>
                <w:rFonts w:ascii="Verdana" w:cs="Verdana" w:eastAsia="Verdana" w:hAnsi="Verdana"/>
                <w:sz w:val="14"/>
                <w:szCs w:val="14"/>
                <w:color w:val="auto"/>
              </w:rPr>
              <w:t>178</w:t>
            </w:r>
          </w:p>
        </w:tc>
      </w:tr>
    </w:tbl>
    <w:p>
      <w:pPr>
        <w:spacing w:after="0" w:line="219"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color w:val="auto"/>
        </w:rPr>
        <w:t>None.</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3" w:name="page184"/>
    <w:bookmarkEnd w:id="183"/>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Incorporated herein by reference</w:t>
            </w: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60" w:type="dxa"/>
            <w:vAlign w:val="bottom"/>
            <w:gridSpan w:val="2"/>
          </w:tcPr>
          <w:p>
            <w:pPr>
              <w:ind w:left="260"/>
              <w:spacing w:after="0" w:line="96" w:lineRule="exact"/>
              <w:rPr>
                <w:sz w:val="20"/>
                <w:szCs w:val="20"/>
                <w:color w:val="auto"/>
              </w:rPr>
            </w:pPr>
            <w:r>
              <w:rPr>
                <w:rFonts w:ascii="Verdana" w:cs="Verdana" w:eastAsia="Verdana" w:hAnsi="Verdana"/>
                <w:sz w:val="10"/>
                <w:szCs w:val="10"/>
                <w:b w:val="1"/>
                <w:bCs w:val="1"/>
                <w:color w:val="auto"/>
              </w:rPr>
              <w:t>Exhibit</w:t>
            </w: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60" w:type="dxa"/>
            <w:vAlign w:val="bottom"/>
            <w:gridSpan w:val="7"/>
            <w:vMerge w:val="restart"/>
          </w:tcPr>
          <w:p>
            <w:pPr>
              <w:ind w:left="720"/>
              <w:spacing w:after="0"/>
              <w:rPr>
                <w:sz w:val="20"/>
                <w:szCs w:val="20"/>
                <w:color w:val="auto"/>
              </w:rPr>
            </w:pPr>
            <w:r>
              <w:rPr>
                <w:rFonts w:ascii="Verdana" w:cs="Verdana" w:eastAsia="Verdana" w:hAnsi="Verdana"/>
                <w:sz w:val="10"/>
                <w:szCs w:val="10"/>
                <w:b w:val="1"/>
                <w:bCs w:val="1"/>
                <w:color w:val="auto"/>
              </w:rPr>
              <w:t>Description of Exhibit</w:t>
            </w:r>
          </w:p>
        </w:tc>
        <w:tc>
          <w:tcPr>
            <w:tcW w:w="40" w:type="dxa"/>
            <w:vAlign w:val="bottom"/>
            <w:vMerge w:val="restart"/>
          </w:tcPr>
          <w:p>
            <w:pPr>
              <w:spacing w:after="0"/>
              <w:rPr>
                <w:sz w:val="8"/>
                <w:szCs w:val="8"/>
                <w:color w:val="auto"/>
              </w:rPr>
            </w:pPr>
          </w:p>
        </w:tc>
        <w:tc>
          <w:tcPr>
            <w:tcW w:w="1400" w:type="dxa"/>
            <w:vAlign w:val="bottom"/>
            <w:gridSpan w:val="2"/>
          </w:tcPr>
          <w:p>
            <w:pPr>
              <w:jc w:val="center"/>
              <w:ind w:right="60"/>
              <w:spacing w:after="0" w:line="96" w:lineRule="exact"/>
              <w:rPr>
                <w:sz w:val="20"/>
                <w:szCs w:val="20"/>
                <w:color w:val="auto"/>
              </w:rPr>
            </w:pPr>
            <w:r>
              <w:rPr>
                <w:rFonts w:ascii="Verdana" w:cs="Verdana" w:eastAsia="Verdana" w:hAnsi="Verdana"/>
                <w:sz w:val="8"/>
                <w:szCs w:val="8"/>
                <w:b w:val="1"/>
                <w:bCs w:val="1"/>
                <w:color w:val="auto"/>
              </w:rPr>
              <w:t>Filing Entity</w:t>
            </w:r>
            <w:r>
              <w:rPr>
                <w:rFonts w:ascii="Verdana" w:cs="Verdana" w:eastAsia="Verdana" w:hAnsi="Verdana"/>
                <w:sz w:val="10"/>
                <w:szCs w:val="10"/>
                <w:b w:val="1"/>
                <w:bCs w:val="1"/>
                <w:color w:val="auto"/>
                <w:vertAlign w:val="superscript"/>
              </w:rPr>
              <w:t>1</w:t>
            </w:r>
          </w:p>
        </w:tc>
        <w:tc>
          <w:tcPr>
            <w:tcW w:w="110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rPr>
              <w:t>Form</w:t>
            </w:r>
          </w:p>
        </w:tc>
        <w:tc>
          <w:tcPr>
            <w:tcW w:w="60" w:type="dxa"/>
            <w:vAlign w:val="bottom"/>
            <w:vMerge w:val="restart"/>
          </w:tcPr>
          <w:p>
            <w:pPr>
              <w:spacing w:after="0"/>
              <w:rPr>
                <w:sz w:val="8"/>
                <w:szCs w:val="8"/>
                <w:color w:val="auto"/>
              </w:rPr>
            </w:pPr>
          </w:p>
        </w:tc>
        <w:tc>
          <w:tcPr>
            <w:tcW w:w="1080" w:type="dxa"/>
            <w:vAlign w:val="bottom"/>
            <w:vMerge w:val="restart"/>
          </w:tcPr>
          <w:p>
            <w:pPr>
              <w:ind w:left="360"/>
              <w:spacing w:after="0"/>
              <w:rPr>
                <w:sz w:val="20"/>
                <w:szCs w:val="20"/>
                <w:color w:val="auto"/>
              </w:rPr>
            </w:pPr>
            <w:r>
              <w:rPr>
                <w:rFonts w:ascii="Verdana" w:cs="Verdana" w:eastAsia="Verdana" w:hAnsi="Verdana"/>
                <w:sz w:val="10"/>
                <w:szCs w:val="10"/>
                <w:b w:val="1"/>
                <w:bCs w:val="1"/>
                <w:color w:val="auto"/>
              </w:rPr>
              <w:t>Exhibit</w:t>
            </w:r>
          </w:p>
        </w:tc>
        <w:tc>
          <w:tcPr>
            <w:tcW w:w="8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9"/>
              </w:rPr>
              <w:t>Filing Date</w:t>
            </w:r>
          </w:p>
        </w:tc>
        <w:tc>
          <w:tcPr>
            <w:tcW w:w="60" w:type="dxa"/>
            <w:vAlign w:val="bottom"/>
            <w:vMerge w:val="restart"/>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5"/>
              </w:rPr>
              <w:t>Filed</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tcPr>
          <w:p>
            <w:pPr>
              <w:ind w:left="220"/>
              <w:spacing w:after="0"/>
              <w:rPr>
                <w:sz w:val="20"/>
                <w:szCs w:val="20"/>
                <w:color w:val="auto"/>
              </w:rPr>
            </w:pPr>
            <w:r>
              <w:rPr>
                <w:rFonts w:ascii="Verdana" w:cs="Verdana" w:eastAsia="Verdana" w:hAnsi="Verdana"/>
                <w:sz w:val="10"/>
                <w:szCs w:val="10"/>
                <w:b w:val="1"/>
                <w:bCs w:val="1"/>
                <w:color w:val="auto"/>
              </w:rPr>
              <w:t>Number</w:t>
            </w: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gridSpan w:val="7"/>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(File No.)</w:t>
            </w: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6"/>
              </w:rPr>
              <w:t>Herewith</w:t>
            </w:r>
          </w:p>
        </w:tc>
        <w:tc>
          <w:tcPr>
            <w:tcW w:w="0" w:type="dxa"/>
            <w:vAlign w:val="bottom"/>
          </w:tcPr>
          <w:p>
            <w:pPr>
              <w:spacing w:after="0"/>
              <w:rPr>
                <w:sz w:val="1"/>
                <w:szCs w:val="1"/>
                <w:color w:val="auto"/>
              </w:rPr>
            </w:pPr>
          </w:p>
        </w:tc>
      </w:tr>
      <w:tr>
        <w:trPr>
          <w:trHeight w:val="166"/>
        </w:trPr>
        <w:tc>
          <w:tcPr>
            <w:tcW w:w="900" w:type="dxa"/>
            <w:vAlign w:val="bottom"/>
          </w:tcPr>
          <w:p>
            <w:pPr>
              <w:ind w:left="20"/>
              <w:spacing w:after="0" w:line="166" w:lineRule="exact"/>
              <w:rPr>
                <w:sz w:val="20"/>
                <w:szCs w:val="20"/>
                <w:color w:val="auto"/>
              </w:rPr>
            </w:pPr>
            <w:r>
              <w:rPr>
                <w:rFonts w:ascii="Verdana" w:cs="Verdana" w:eastAsia="Verdana" w:hAnsi="Verdana"/>
                <w:sz w:val="14"/>
                <w:szCs w:val="14"/>
                <w:color w:val="auto"/>
              </w:rPr>
              <w:t>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bottom w:val="single" w:sz="8" w:color="0000FF"/>
            </w:tcBorders>
            <w:gridSpan w:val="7"/>
          </w:tcPr>
          <w:p>
            <w:pPr>
              <w:spacing w:after="0" w:line="166" w:lineRule="exact"/>
              <w:rPr>
                <w:rFonts w:ascii="Verdana" w:cs="Verdana" w:eastAsia="Verdana" w:hAnsi="Verdana"/>
                <w:sz w:val="14"/>
                <w:szCs w:val="14"/>
                <w:color w:val="0000FF"/>
              </w:rPr>
            </w:pPr>
            <w:hyperlink r:id="rId217">
              <w:r>
                <w:rPr>
                  <w:rFonts w:ascii="Verdana" w:cs="Verdana" w:eastAsia="Verdana" w:hAnsi="Verdana"/>
                  <w:sz w:val="14"/>
                  <w:szCs w:val="14"/>
                  <w:color w:val="0000FF"/>
                </w:rPr>
                <w:t>Agreement and Plan of Merger, dated August 26, 2024, by and</w:t>
              </w:r>
            </w:hyperlink>
          </w:p>
        </w:tc>
        <w:tc>
          <w:tcPr>
            <w:tcW w:w="80" w:type="dxa"/>
            <w:vAlign w:val="bottom"/>
            <w:gridSpan w:val="3"/>
          </w:tcPr>
          <w:p>
            <w:pPr>
              <w:spacing w:after="0"/>
              <w:rPr>
                <w:sz w:val="14"/>
                <w:szCs w:val="14"/>
                <w:color w:val="auto"/>
              </w:rPr>
            </w:pPr>
          </w:p>
        </w:tc>
        <w:tc>
          <w:tcPr>
            <w:tcW w:w="1400" w:type="dxa"/>
            <w:vAlign w:val="bottom"/>
            <w:gridSpan w:val="2"/>
          </w:tcPr>
          <w:p>
            <w:pPr>
              <w:jc w:val="center"/>
              <w:ind w:right="60"/>
              <w:spacing w:after="0" w:line="166" w:lineRule="exact"/>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line="166" w:lineRule="exact"/>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line="166" w:lineRule="exact"/>
              <w:rPr>
                <w:sz w:val="20"/>
                <w:szCs w:val="20"/>
                <w:color w:val="auto"/>
              </w:rPr>
            </w:pPr>
            <w:r>
              <w:rPr>
                <w:rFonts w:ascii="Verdana" w:cs="Verdana" w:eastAsia="Verdana" w:hAnsi="Verdana"/>
                <w:sz w:val="14"/>
                <w:szCs w:val="14"/>
                <w:color w:val="auto"/>
              </w:rPr>
              <w:t>2.1</w:t>
            </w:r>
          </w:p>
        </w:tc>
        <w:tc>
          <w:tcPr>
            <w:tcW w:w="80" w:type="dxa"/>
            <w:vAlign w:val="bottom"/>
          </w:tcPr>
          <w:p>
            <w:pPr>
              <w:spacing w:after="0"/>
              <w:rPr>
                <w:sz w:val="14"/>
                <w:szCs w:val="14"/>
                <w:color w:val="auto"/>
              </w:rPr>
            </w:pPr>
          </w:p>
        </w:tc>
        <w:tc>
          <w:tcPr>
            <w:tcW w:w="108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08/27/2024</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gridSpan w:val="10"/>
          </w:tcPr>
          <w:p>
            <w:pPr>
              <w:spacing w:after="0" w:line="150" w:lineRule="exact"/>
              <w:rPr>
                <w:rFonts w:ascii="Verdana" w:cs="Verdana" w:eastAsia="Verdana" w:hAnsi="Verdana"/>
                <w:sz w:val="14"/>
                <w:szCs w:val="14"/>
                <w:color w:val="0000FF"/>
              </w:rPr>
            </w:pPr>
            <w:hyperlink r:id="rId217">
              <w:r>
                <w:rPr>
                  <w:rFonts w:ascii="Verdana" w:cs="Verdana" w:eastAsia="Verdana" w:hAnsi="Verdana"/>
                  <w:sz w:val="14"/>
                  <w:szCs w:val="14"/>
                  <w:color w:val="0000FF"/>
                </w:rPr>
                <w:t>among First Busey Corporation and CrossFirst Bankshares, Inc.</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900" w:type="dxa"/>
            <w:vAlign w:val="bottom"/>
          </w:tcPr>
          <w:p>
            <w:pPr>
              <w:ind w:left="20"/>
              <w:spacing w:after="0"/>
              <w:rPr>
                <w:sz w:val="20"/>
                <w:szCs w:val="20"/>
                <w:color w:val="auto"/>
              </w:rPr>
            </w:pPr>
            <w:r>
              <w:rPr>
                <w:rFonts w:ascii="Verdana" w:cs="Verdana" w:eastAsia="Verdana" w:hAnsi="Verdana"/>
                <w:sz w:val="14"/>
                <w:szCs w:val="14"/>
                <w:color w:val="auto"/>
              </w:rPr>
              <w:t>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8"/>
          </w:tcPr>
          <w:p>
            <w:pPr>
              <w:spacing w:after="0"/>
              <w:rPr>
                <w:rFonts w:ascii="Verdana" w:cs="Verdana" w:eastAsia="Verdana" w:hAnsi="Verdana"/>
                <w:sz w:val="14"/>
                <w:szCs w:val="14"/>
                <w:color w:val="0000FF"/>
              </w:rPr>
            </w:pPr>
            <w:hyperlink r:id="rId218">
              <w:r>
                <w:rPr>
                  <w:rFonts w:ascii="Verdana" w:cs="Verdana" w:eastAsia="Verdana" w:hAnsi="Verdana"/>
                  <w:sz w:val="14"/>
                  <w:szCs w:val="14"/>
                  <w:color w:val="0000FF"/>
                </w:rPr>
                <w:t>Amended and Restated Articles of Incorporation of First Busey</w:t>
              </w:r>
            </w:hyperlink>
          </w:p>
        </w:tc>
        <w:tc>
          <w:tcPr>
            <w:tcW w:w="6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10-Q</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3.1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11/06/2015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7"/>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Corporation, together with: (1) the Certificate of Amendment to</w:t>
              </w:r>
            </w:hyperlink>
          </w:p>
        </w:tc>
        <w:tc>
          <w:tcPr>
            <w:tcW w:w="80" w:type="dxa"/>
            <w:vAlign w:val="bottom"/>
            <w:gridSpan w:val="3"/>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8"/>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Articles  of  Incorporation,  dated  July  31,  2007;  (2)  the</w:t>
              </w:r>
            </w:hyperlink>
          </w:p>
        </w:tc>
        <w:tc>
          <w:tcPr>
            <w:tcW w:w="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8"/>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Certificate of Amendment to Articles of Incorporation, dated</w:t>
              </w:r>
            </w:hyperlink>
          </w:p>
        </w:tc>
        <w:tc>
          <w:tcPr>
            <w:tcW w:w="6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7"/>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December 3, 2009; (3) the Certificate of Amendment to Articles</w:t>
              </w:r>
            </w:hyperlink>
          </w:p>
        </w:tc>
        <w:tc>
          <w:tcPr>
            <w:tcW w:w="8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7"/>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of Incorporation, dated May 21, 2010; and (4) the Certificate of</w:t>
              </w:r>
            </w:hyperlink>
          </w:p>
        </w:tc>
        <w:tc>
          <w:tcPr>
            <w:tcW w:w="8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7"/>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Change Pursuant to Nevada Revised Statutes Section 78.209,</w:t>
              </w:r>
            </w:hyperlink>
          </w:p>
        </w:tc>
        <w:tc>
          <w:tcPr>
            <w:tcW w:w="8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gridSpan w:val="10"/>
          </w:tcPr>
          <w:p>
            <w:pPr>
              <w:spacing w:after="0" w:line="150" w:lineRule="exact"/>
              <w:rPr>
                <w:rFonts w:ascii="Verdana" w:cs="Verdana" w:eastAsia="Verdana" w:hAnsi="Verdana"/>
                <w:sz w:val="14"/>
                <w:szCs w:val="14"/>
                <w:color w:val="0000FF"/>
              </w:rPr>
            </w:pPr>
            <w:hyperlink r:id="rId218">
              <w:r>
                <w:rPr>
                  <w:rFonts w:ascii="Verdana" w:cs="Verdana" w:eastAsia="Verdana" w:hAnsi="Verdana"/>
                  <w:sz w:val="14"/>
                  <w:szCs w:val="14"/>
                  <w:color w:val="0000FF"/>
                </w:rPr>
                <w:t>dated September 8, 2015</w:t>
              </w:r>
            </w:hyperlink>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8"/>
          </w:tcPr>
          <w:p>
            <w:pPr>
              <w:spacing w:after="0"/>
              <w:rPr>
                <w:rFonts w:ascii="Verdana" w:cs="Verdana" w:eastAsia="Verdana" w:hAnsi="Verdana"/>
                <w:sz w:val="14"/>
                <w:szCs w:val="14"/>
                <w:color w:val="0000FF"/>
              </w:rPr>
            </w:pPr>
            <w:hyperlink r:id="rId219">
              <w:r>
                <w:rPr>
                  <w:rFonts w:ascii="Verdana" w:cs="Verdana" w:eastAsia="Verdana" w:hAnsi="Verdana"/>
                  <w:sz w:val="14"/>
                  <w:szCs w:val="14"/>
                  <w:color w:val="0000FF"/>
                </w:rPr>
                <w:t>Certificate of Amendment to Articles of Incorporation, dated</w:t>
              </w:r>
            </w:hyperlink>
          </w:p>
        </w:tc>
        <w:tc>
          <w:tcPr>
            <w:tcW w:w="6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S-8</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4.2</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05/29/2020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bottom w:val="single" w:sz="8" w:color="0000FF"/>
            </w:tcBorders>
            <w:gridSpan w:val="2"/>
          </w:tcPr>
          <w:p>
            <w:pPr>
              <w:spacing w:after="0" w:line="150" w:lineRule="exact"/>
              <w:rPr>
                <w:rFonts w:ascii="Verdana" w:cs="Verdana" w:eastAsia="Verdana" w:hAnsi="Verdana"/>
                <w:sz w:val="14"/>
                <w:szCs w:val="14"/>
                <w:color w:val="0000FF"/>
                <w:w w:val="98"/>
              </w:rPr>
            </w:pPr>
            <w:hyperlink r:id="rId219">
              <w:r>
                <w:rPr>
                  <w:rFonts w:ascii="Verdana" w:cs="Verdana" w:eastAsia="Verdana" w:hAnsi="Verdana"/>
                  <w:sz w:val="14"/>
                  <w:szCs w:val="14"/>
                  <w:color w:val="0000FF"/>
                  <w:w w:val="98"/>
                </w:rPr>
                <w:t>May 22, 2020</w:t>
              </w:r>
            </w:hyperlink>
          </w:p>
        </w:tc>
        <w:tc>
          <w:tcPr>
            <w:tcW w:w="3700" w:type="dxa"/>
            <w:vAlign w:val="bottom"/>
            <w:gridSpan w:val="8"/>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rPr>
              <w:t>(333-238782)</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8"/>
          </w:tcPr>
          <w:p>
            <w:pPr>
              <w:spacing w:after="0"/>
              <w:rPr>
                <w:rFonts w:ascii="Verdana" w:cs="Verdana" w:eastAsia="Verdana" w:hAnsi="Verdana"/>
                <w:sz w:val="14"/>
                <w:szCs w:val="14"/>
                <w:color w:val="0000FF"/>
              </w:rPr>
            </w:pPr>
            <w:hyperlink r:id="rId220">
              <w:r>
                <w:rPr>
                  <w:rFonts w:ascii="Verdana" w:cs="Verdana" w:eastAsia="Verdana" w:hAnsi="Verdana"/>
                  <w:sz w:val="14"/>
                  <w:szCs w:val="14"/>
                  <w:color w:val="0000FF"/>
                </w:rPr>
                <w:t>Second  Amended  and  Restated  By-Laws  of  First  Busey</w:t>
              </w:r>
            </w:hyperlink>
          </w:p>
        </w:tc>
        <w:tc>
          <w:tcPr>
            <w:tcW w:w="6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3.1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12/07/2023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gridSpan w:val="10"/>
          </w:tcPr>
          <w:p>
            <w:pPr>
              <w:spacing w:after="0" w:line="150" w:lineRule="exact"/>
              <w:rPr>
                <w:rFonts w:ascii="Verdana" w:cs="Verdana" w:eastAsia="Verdana" w:hAnsi="Verdana"/>
                <w:sz w:val="14"/>
                <w:szCs w:val="14"/>
                <w:color w:val="0000FF"/>
              </w:rPr>
            </w:pPr>
            <w:hyperlink r:id="rId220">
              <w:r>
                <w:rPr>
                  <w:rFonts w:ascii="Verdana" w:cs="Verdana" w:eastAsia="Verdana" w:hAnsi="Verdana"/>
                  <w:sz w:val="14"/>
                  <w:szCs w:val="14"/>
                  <w:color w:val="0000FF"/>
                </w:rPr>
                <w:t>Corporation</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00" w:type="dxa"/>
            <w:vAlign w:val="bottom"/>
          </w:tcPr>
          <w:p>
            <w:pPr>
              <w:ind w:left="20"/>
              <w:spacing w:after="0"/>
              <w:rPr>
                <w:sz w:val="20"/>
                <w:szCs w:val="20"/>
                <w:color w:val="auto"/>
              </w:rPr>
            </w:pPr>
            <w:r>
              <w:rPr>
                <w:rFonts w:ascii="Verdana" w:cs="Verdana" w:eastAsia="Verdana" w:hAnsi="Verdana"/>
                <w:sz w:val="14"/>
                <w:szCs w:val="14"/>
                <w:color w:val="auto"/>
              </w:rPr>
              <w:t>4.1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Certain instruments defining the rights of holders of long-term</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debt of Busey, none of which authorize a total amount of</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indebtedness in excess of 10% of the total assets of First Busey</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Corporation and its subsidiaries on a consolidated basis, have</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not been filed as exhibits. Busey hereby agrees to furnish a</w:t>
            </w: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auto"/>
              </w:rPr>
              <w:t>copy of any of these agreements to the SEC upon request.</w:t>
            </w: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900" w:type="dxa"/>
            <w:vAlign w:val="bottom"/>
          </w:tcPr>
          <w:p>
            <w:pPr>
              <w:ind w:left="20"/>
              <w:spacing w:after="0"/>
              <w:rPr>
                <w:sz w:val="20"/>
                <w:szCs w:val="20"/>
                <w:color w:val="auto"/>
              </w:rPr>
            </w:pPr>
            <w:r>
              <w:rPr>
                <w:rFonts w:ascii="Verdana" w:cs="Verdana" w:eastAsia="Verdana" w:hAnsi="Verdana"/>
                <w:sz w:val="14"/>
                <w:szCs w:val="14"/>
                <w:color w:val="auto"/>
              </w:rPr>
              <w:t>4.2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0"/>
          </w:tcPr>
          <w:p>
            <w:pPr>
              <w:spacing w:after="0"/>
              <w:rPr>
                <w:sz w:val="20"/>
                <w:szCs w:val="20"/>
                <w:color w:val="auto"/>
              </w:rPr>
            </w:pPr>
            <w:r>
              <w:rPr>
                <w:rFonts w:ascii="Verdana" w:cs="Verdana" w:eastAsia="Verdana" w:hAnsi="Verdana"/>
                <w:sz w:val="14"/>
                <w:szCs w:val="14"/>
                <w:color w:val="0000FF"/>
              </w:rPr>
              <w:t>Description of the Company’s securities</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60" w:type="dxa"/>
            <w:vAlign w:val="bottom"/>
            <w:gridSpan w:val="2"/>
          </w:tcPr>
          <w:p>
            <w:pPr>
              <w:ind w:left="20"/>
              <w:spacing w:after="0"/>
              <w:rPr>
                <w:sz w:val="20"/>
                <w:szCs w:val="20"/>
                <w:color w:val="auto"/>
              </w:rPr>
            </w:pPr>
            <w:r>
              <w:rPr>
                <w:rFonts w:ascii="Verdana" w:cs="Verdana" w:eastAsia="Verdana" w:hAnsi="Verdana"/>
                <w:sz w:val="14"/>
                <w:szCs w:val="14"/>
                <w:color w:val="auto"/>
              </w:rPr>
              <w:t>10.1†</w:t>
            </w:r>
          </w:p>
        </w:tc>
        <w:tc>
          <w:tcPr>
            <w:tcW w:w="20" w:type="dxa"/>
            <w:vAlign w:val="bottom"/>
          </w:tcPr>
          <w:p>
            <w:pPr>
              <w:spacing w:after="0"/>
              <w:rPr>
                <w:sz w:val="24"/>
                <w:szCs w:val="24"/>
                <w:color w:val="auto"/>
              </w:rPr>
            </w:pPr>
          </w:p>
        </w:tc>
        <w:tc>
          <w:tcPr>
            <w:tcW w:w="4600" w:type="dxa"/>
            <w:vAlign w:val="bottom"/>
            <w:tcBorders>
              <w:bottom w:val="single" w:sz="8" w:color="0000FF"/>
            </w:tcBorders>
            <w:gridSpan w:val="7"/>
          </w:tcPr>
          <w:p>
            <w:pPr>
              <w:spacing w:after="0"/>
              <w:rPr>
                <w:rFonts w:ascii="Verdana" w:cs="Verdana" w:eastAsia="Verdana" w:hAnsi="Verdana"/>
                <w:sz w:val="14"/>
                <w:szCs w:val="14"/>
                <w:color w:val="0000FF"/>
              </w:rPr>
            </w:pPr>
            <w:hyperlink r:id="rId221">
              <w:r>
                <w:rPr>
                  <w:rFonts w:ascii="Verdana" w:cs="Verdana" w:eastAsia="Verdana" w:hAnsi="Verdana"/>
                  <w:sz w:val="14"/>
                  <w:szCs w:val="14"/>
                  <w:color w:val="0000FF"/>
                </w:rPr>
                <w:t>Employment Agreement by and between Main Street Trust, Inc.,</w:t>
              </w:r>
            </w:hyperlink>
          </w:p>
        </w:tc>
        <w:tc>
          <w:tcPr>
            <w:tcW w:w="80" w:type="dxa"/>
            <w:vAlign w:val="bottom"/>
            <w:gridSpan w:val="3"/>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Verdana" w:cs="Verdana" w:eastAsia="Verdana" w:hAnsi="Verdana"/>
                <w:sz w:val="14"/>
                <w:szCs w:val="14"/>
                <w:color w:val="auto"/>
                <w:w w:val="99"/>
              </w:rPr>
              <w:t>MSTI</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10-K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10.2</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03/29/2002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bottom w:val="single" w:sz="8" w:color="0000FF"/>
            </w:tcBorders>
            <w:gridSpan w:val="5"/>
          </w:tcPr>
          <w:p>
            <w:pPr>
              <w:spacing w:after="0" w:line="150" w:lineRule="exact"/>
              <w:rPr>
                <w:rFonts w:ascii="Verdana" w:cs="Verdana" w:eastAsia="Verdana" w:hAnsi="Verdana"/>
                <w:sz w:val="14"/>
                <w:szCs w:val="14"/>
                <w:color w:val="0000FF"/>
                <w:w w:val="99"/>
              </w:rPr>
            </w:pPr>
            <w:hyperlink r:id="rId221">
              <w:r>
                <w:rPr>
                  <w:rFonts w:ascii="Verdana" w:cs="Verdana" w:eastAsia="Verdana" w:hAnsi="Verdana"/>
                  <w:sz w:val="14"/>
                  <w:szCs w:val="14"/>
                  <w:color w:val="0000FF"/>
                  <w:w w:val="99"/>
                </w:rPr>
                <w:t>and Van A. Dukeman, dated December 26, 2001</w:t>
              </w:r>
            </w:hyperlink>
          </w:p>
        </w:tc>
        <w:tc>
          <w:tcPr>
            <w:tcW w:w="1220" w:type="dxa"/>
            <w:vAlign w:val="bottom"/>
            <w:gridSpan w:val="5"/>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(000-30031)</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137795</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4" w:name="page185"/>
    <w:bookmarkEnd w:id="184"/>
    <w:p>
      <w:pPr>
        <w:spacing w:after="0"/>
        <w:rPr>
          <w:sz w:val="20"/>
          <w:szCs w:val="20"/>
          <w:color w:val="auto"/>
        </w:rPr>
      </w:pPr>
      <w:r>
        <w:rPr>
          <w:rFonts w:ascii="Verdana" w:cs="Verdana" w:eastAsia="Verdana" w:hAnsi="Verdana"/>
          <w:sz w:val="14"/>
          <w:szCs w:val="14"/>
          <w:u w:val="single" w:color="auto"/>
          <w:color w:val="0000FF"/>
        </w:rPr>
        <w:t>Table of Contents</w:t>
      </w:r>
    </w:p>
    <w:p>
      <w:pPr>
        <w:sectPr>
          <w:pgSz w:w="11900" w:h="16838" w:orient="portrait"/>
          <w:cols w:equalWidth="0" w:num="1">
            <w:col w:w="11280"/>
          </w:cols>
          <w:pgMar w:left="300" w:top="2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80" w:type="dxa"/>
            <w:vAlign w:val="bottom"/>
            <w:gridSpan w:val="2"/>
          </w:tcPr>
          <w:p>
            <w:pPr>
              <w:ind w:left="260"/>
              <w:spacing w:after="0"/>
              <w:rPr>
                <w:sz w:val="20"/>
                <w:szCs w:val="20"/>
                <w:color w:val="auto"/>
              </w:rPr>
            </w:pPr>
            <w:r>
              <w:rPr>
                <w:rFonts w:ascii="Verdana" w:cs="Verdana" w:eastAsia="Verdana" w:hAnsi="Verdana"/>
                <w:sz w:val="10"/>
                <w:szCs w:val="10"/>
                <w:b w:val="1"/>
                <w:bCs w:val="1"/>
                <w:color w:val="auto"/>
              </w:rPr>
              <w:t>Exhibit</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960" w:type="dxa"/>
            <w:vAlign w:val="bottom"/>
            <w:gridSpan w:val="7"/>
            <w:vMerge w:val="restart"/>
          </w:tcPr>
          <w:p>
            <w:pPr>
              <w:ind w:left="1040"/>
              <w:spacing w:after="0"/>
              <w:rPr>
                <w:sz w:val="20"/>
                <w:szCs w:val="20"/>
                <w:color w:val="auto"/>
              </w:rPr>
            </w:pPr>
            <w:r>
              <w:rPr>
                <w:rFonts w:ascii="Verdana" w:cs="Verdana" w:eastAsia="Verdana" w:hAnsi="Verdana"/>
                <w:sz w:val="10"/>
                <w:szCs w:val="10"/>
                <w:b w:val="1"/>
                <w:bCs w:val="1"/>
                <w:color w:val="auto"/>
              </w:rPr>
              <w:t>Description of Exhibit</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tcPr>
          <w:p>
            <w:pPr>
              <w:ind w:left="240"/>
              <w:spacing w:after="0"/>
              <w:rPr>
                <w:sz w:val="20"/>
                <w:szCs w:val="20"/>
                <w:color w:val="auto"/>
              </w:rPr>
            </w:pPr>
            <w:r>
              <w:rPr>
                <w:rFonts w:ascii="Verdana" w:cs="Verdana" w:eastAsia="Verdana" w:hAnsi="Verdana"/>
                <w:sz w:val="10"/>
                <w:szCs w:val="10"/>
                <w:b w:val="1"/>
                <w:bCs w:val="1"/>
                <w:color w:val="auto"/>
              </w:rPr>
              <w:t>Number</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960" w:type="dxa"/>
            <w:vAlign w:val="bottom"/>
            <w:tcBorders>
              <w:bottom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80" w:type="dxa"/>
            <w:vAlign w:val="bottom"/>
            <w:gridSpan w:val="2"/>
          </w:tcPr>
          <w:p>
            <w:pPr>
              <w:ind w:left="20"/>
              <w:spacing w:after="0" w:line="166" w:lineRule="exact"/>
              <w:rPr>
                <w:sz w:val="20"/>
                <w:szCs w:val="20"/>
                <w:color w:val="auto"/>
              </w:rPr>
            </w:pPr>
            <w:r>
              <w:rPr>
                <w:rFonts w:ascii="Verdana" w:cs="Verdana" w:eastAsia="Verdana" w:hAnsi="Verdana"/>
                <w:sz w:val="14"/>
                <w:szCs w:val="14"/>
                <w:color w:val="auto"/>
              </w:rPr>
              <w:t>10.2†</w:t>
            </w:r>
          </w:p>
        </w:tc>
        <w:tc>
          <w:tcPr>
            <w:tcW w:w="4600" w:type="dxa"/>
            <w:vAlign w:val="bottom"/>
            <w:tcBorders>
              <w:bottom w:val="single" w:sz="8" w:color="0000FF"/>
            </w:tcBorders>
            <w:gridSpan w:val="9"/>
          </w:tcPr>
          <w:p>
            <w:pPr>
              <w:spacing w:after="0" w:line="166" w:lineRule="exact"/>
              <w:rPr>
                <w:rFonts w:ascii="Verdana" w:cs="Verdana" w:eastAsia="Verdana" w:hAnsi="Verdana"/>
                <w:sz w:val="14"/>
                <w:szCs w:val="14"/>
                <w:color w:val="0000FF"/>
              </w:rPr>
            </w:pPr>
            <w:hyperlink r:id="rId223">
              <w:r>
                <w:rPr>
                  <w:rFonts w:ascii="Verdana" w:cs="Verdana" w:eastAsia="Verdana" w:hAnsi="Verdana"/>
                  <w:sz w:val="14"/>
                  <w:szCs w:val="14"/>
                  <w:color w:val="0000FF"/>
                </w:rPr>
                <w:t>Letter Agreement between Main Street Trust, Inc., and Van 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20" w:type="dxa"/>
            <w:vAlign w:val="bottom"/>
            <w:gridSpan w:val="10"/>
          </w:tcPr>
          <w:p>
            <w:pPr>
              <w:spacing w:after="0" w:line="150" w:lineRule="exact"/>
              <w:rPr>
                <w:rFonts w:ascii="Verdana" w:cs="Verdana" w:eastAsia="Verdana" w:hAnsi="Verdana"/>
                <w:sz w:val="14"/>
                <w:szCs w:val="14"/>
                <w:color w:val="0000FF"/>
              </w:rPr>
            </w:pPr>
            <w:hyperlink r:id="rId223">
              <w:r>
                <w:rPr>
                  <w:rFonts w:ascii="Verdana" w:cs="Verdana" w:eastAsia="Verdana" w:hAnsi="Verdana"/>
                  <w:sz w:val="14"/>
                  <w:szCs w:val="14"/>
                  <w:color w:val="0000FF"/>
                </w:rPr>
                <w:t>Dukeman, dated September 20, 2006</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10.3†</w:t>
            </w:r>
          </w:p>
        </w:tc>
        <w:tc>
          <w:tcPr>
            <w:tcW w:w="4620" w:type="dxa"/>
            <w:vAlign w:val="bottom"/>
            <w:gridSpan w:val="10"/>
          </w:tcPr>
          <w:p>
            <w:pPr>
              <w:spacing w:after="0"/>
              <w:rPr>
                <w:rFonts w:ascii="Verdana" w:cs="Verdana" w:eastAsia="Verdana" w:hAnsi="Verdana"/>
                <w:sz w:val="14"/>
                <w:szCs w:val="14"/>
                <w:color w:val="0000FF"/>
              </w:rPr>
            </w:pPr>
            <w:hyperlink r:id="rId224">
              <w:r>
                <w:rPr>
                  <w:rFonts w:ascii="Verdana" w:cs="Verdana" w:eastAsia="Verdana" w:hAnsi="Verdana"/>
                  <w:sz w:val="14"/>
                  <w:szCs w:val="14"/>
                  <w:color w:val="0000FF"/>
                </w:rPr>
                <w:t>Van A. Dukeman Addendum to Employment Agreement</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10.4†</w:t>
            </w:r>
          </w:p>
        </w:tc>
        <w:tc>
          <w:tcPr>
            <w:tcW w:w="4600" w:type="dxa"/>
            <w:vAlign w:val="bottom"/>
            <w:tcBorders>
              <w:bottom w:val="single" w:sz="8" w:color="0000FF"/>
            </w:tcBorders>
            <w:gridSpan w:val="9"/>
          </w:tcPr>
          <w:p>
            <w:pPr>
              <w:spacing w:after="0"/>
              <w:rPr>
                <w:rFonts w:ascii="Verdana" w:cs="Verdana" w:eastAsia="Verdana" w:hAnsi="Verdana"/>
                <w:sz w:val="14"/>
                <w:szCs w:val="14"/>
                <w:color w:val="0000FF"/>
              </w:rPr>
            </w:pPr>
            <w:hyperlink r:id="rId225">
              <w:r>
                <w:rPr>
                  <w:rFonts w:ascii="Verdana" w:cs="Verdana" w:eastAsia="Verdana" w:hAnsi="Verdana"/>
                  <w:sz w:val="14"/>
                  <w:szCs w:val="14"/>
                  <w:color w:val="0000FF"/>
                </w:rPr>
                <w:t>Van A. Dukeman First Amendment to Employment Agreement,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20" w:type="dxa"/>
            <w:vAlign w:val="bottom"/>
            <w:gridSpan w:val="10"/>
          </w:tcPr>
          <w:p>
            <w:pPr>
              <w:spacing w:after="0" w:line="150" w:lineRule="exact"/>
              <w:rPr>
                <w:rFonts w:ascii="Verdana" w:cs="Verdana" w:eastAsia="Verdana" w:hAnsi="Verdana"/>
                <w:sz w:val="14"/>
                <w:szCs w:val="14"/>
                <w:color w:val="0000FF"/>
              </w:rPr>
            </w:pPr>
            <w:hyperlink r:id="rId225">
              <w:r>
                <w:rPr>
                  <w:rFonts w:ascii="Verdana" w:cs="Verdana" w:eastAsia="Verdana" w:hAnsi="Verdana"/>
                  <w:sz w:val="14"/>
                  <w:szCs w:val="14"/>
                  <w:color w:val="0000FF"/>
                </w:rPr>
                <w:t>dated December 31, 2008</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10.5†</w:t>
            </w:r>
          </w:p>
        </w:tc>
        <w:tc>
          <w:tcPr>
            <w:tcW w:w="4600" w:type="dxa"/>
            <w:vAlign w:val="bottom"/>
            <w:tcBorders>
              <w:bottom w:val="single" w:sz="8" w:color="0000FF"/>
            </w:tcBorders>
            <w:gridSpan w:val="9"/>
          </w:tcPr>
          <w:p>
            <w:pPr>
              <w:spacing w:after="0"/>
              <w:rPr>
                <w:rFonts w:ascii="Verdana" w:cs="Verdana" w:eastAsia="Verdana" w:hAnsi="Verdana"/>
                <w:sz w:val="14"/>
                <w:szCs w:val="14"/>
                <w:color w:val="0000FF"/>
              </w:rPr>
            </w:pPr>
            <w:hyperlink r:id="rId226">
              <w:r>
                <w:rPr>
                  <w:rFonts w:ascii="Verdana" w:cs="Verdana" w:eastAsia="Verdana" w:hAnsi="Verdana"/>
                  <w:sz w:val="14"/>
                  <w:szCs w:val="14"/>
                  <w:color w:val="0000FF"/>
                </w:rPr>
                <w:t>First Busey Corporation 2010 Equity Incentive Plan,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10.6†</w:t>
            </w:r>
          </w:p>
        </w:tc>
        <w:tc>
          <w:tcPr>
            <w:tcW w:w="4600" w:type="dxa"/>
            <w:vAlign w:val="bottom"/>
            <w:tcBorders>
              <w:bottom w:val="single" w:sz="8" w:color="0000FF"/>
            </w:tcBorders>
            <w:gridSpan w:val="9"/>
          </w:tcPr>
          <w:p>
            <w:pPr>
              <w:spacing w:after="0"/>
              <w:rPr>
                <w:rFonts w:ascii="Verdana" w:cs="Verdana" w:eastAsia="Verdana" w:hAnsi="Verdana"/>
                <w:sz w:val="14"/>
                <w:szCs w:val="14"/>
                <w:color w:val="0000FF"/>
              </w:rPr>
            </w:pPr>
            <w:hyperlink r:id="rId227">
              <w:r>
                <w:rPr>
                  <w:rFonts w:ascii="Verdana" w:cs="Verdana" w:eastAsia="Verdana" w:hAnsi="Verdana"/>
                  <w:sz w:val="14"/>
                  <w:szCs w:val="14"/>
                  <w:color w:val="0000FF"/>
                </w:rPr>
                <w:t>First Community Financial Partners, Inc. 2016 Equity Incentive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20" w:type="dxa"/>
            <w:vAlign w:val="bottom"/>
            <w:gridSpan w:val="10"/>
          </w:tcPr>
          <w:p>
            <w:pPr>
              <w:spacing w:after="0" w:line="150" w:lineRule="exact"/>
              <w:rPr>
                <w:rFonts w:ascii="Verdana" w:cs="Verdana" w:eastAsia="Verdana" w:hAnsi="Verdana"/>
                <w:sz w:val="14"/>
                <w:szCs w:val="14"/>
                <w:color w:val="0000FF"/>
              </w:rPr>
            </w:pPr>
            <w:hyperlink r:id="rId227">
              <w:r>
                <w:rPr>
                  <w:rFonts w:ascii="Verdana" w:cs="Verdana" w:eastAsia="Verdana" w:hAnsi="Verdana"/>
                  <w:sz w:val="14"/>
                  <w:szCs w:val="14"/>
                  <w:color w:val="0000FF"/>
                </w:rPr>
                <w:t>Plan</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10.7†</w:t>
            </w:r>
          </w:p>
        </w:tc>
        <w:tc>
          <w:tcPr>
            <w:tcW w:w="4620" w:type="dxa"/>
            <w:vAlign w:val="bottom"/>
            <w:tcBorders>
              <w:bottom w:val="single" w:sz="8" w:color="0000FF"/>
            </w:tcBorders>
            <w:gridSpan w:val="10"/>
          </w:tcPr>
          <w:p>
            <w:pPr>
              <w:spacing w:after="0"/>
              <w:rPr>
                <w:rFonts w:ascii="Verdana" w:cs="Verdana" w:eastAsia="Verdana" w:hAnsi="Verdana"/>
                <w:sz w:val="14"/>
                <w:szCs w:val="14"/>
                <w:color w:val="0000FF"/>
              </w:rPr>
            </w:pPr>
            <w:hyperlink r:id="rId228">
              <w:r>
                <w:rPr>
                  <w:rFonts w:ascii="Verdana" w:cs="Verdana" w:eastAsia="Verdana" w:hAnsi="Verdana"/>
                  <w:sz w:val="14"/>
                  <w:szCs w:val="14"/>
                  <w:color w:val="0000FF"/>
                </w:rPr>
                <w:t>First Amendment of the First Community Financial Partners, Inc.</w:t>
              </w:r>
            </w:hyperlink>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Borders>
              <w:bottom w:val="single" w:sz="8" w:color="0000FF"/>
            </w:tcBorders>
            <w:gridSpan w:val="5"/>
          </w:tcPr>
          <w:p>
            <w:pPr>
              <w:spacing w:after="0" w:line="150" w:lineRule="exact"/>
              <w:rPr>
                <w:rFonts w:ascii="Verdana" w:cs="Verdana" w:eastAsia="Verdana" w:hAnsi="Verdana"/>
                <w:sz w:val="14"/>
                <w:szCs w:val="14"/>
                <w:color w:val="0000FF"/>
              </w:rPr>
            </w:pPr>
            <w:hyperlink r:id="rId228">
              <w:r>
                <w:rPr>
                  <w:rFonts w:ascii="Verdana" w:cs="Verdana" w:eastAsia="Verdana" w:hAnsi="Verdana"/>
                  <w:sz w:val="14"/>
                  <w:szCs w:val="14"/>
                  <w:color w:val="0000FF"/>
                </w:rPr>
                <w:t>2016 Equity Incentive Plan</w:t>
              </w:r>
            </w:hyperlink>
          </w:p>
        </w:tc>
        <w:tc>
          <w:tcPr>
            <w:tcW w:w="27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10.8†</w:t>
            </w:r>
          </w:p>
        </w:tc>
        <w:tc>
          <w:tcPr>
            <w:tcW w:w="4600" w:type="dxa"/>
            <w:vAlign w:val="bottom"/>
            <w:tcBorders>
              <w:bottom w:val="single" w:sz="8" w:color="0000FF"/>
            </w:tcBorders>
            <w:gridSpan w:val="9"/>
          </w:tcPr>
          <w:p>
            <w:pPr>
              <w:spacing w:after="0"/>
              <w:rPr>
                <w:rFonts w:ascii="Verdana" w:cs="Verdana" w:eastAsia="Verdana" w:hAnsi="Verdana"/>
                <w:sz w:val="14"/>
                <w:szCs w:val="14"/>
                <w:color w:val="0000FF"/>
              </w:rPr>
            </w:pPr>
            <w:hyperlink r:id="rId229">
              <w:r>
                <w:rPr>
                  <w:rFonts w:ascii="Verdana" w:cs="Verdana" w:eastAsia="Verdana" w:hAnsi="Verdana"/>
                  <w:sz w:val="14"/>
                  <w:szCs w:val="14"/>
                  <w:color w:val="0000FF"/>
                </w:rPr>
                <w:t>Form of Incentive Stock Option Award Agreement under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9"/>
          </w:tcPr>
          <w:p>
            <w:pPr>
              <w:spacing w:after="0" w:line="150" w:lineRule="exact"/>
              <w:rPr>
                <w:rFonts w:ascii="Verdana" w:cs="Verdana" w:eastAsia="Verdana" w:hAnsi="Verdana"/>
                <w:sz w:val="14"/>
                <w:szCs w:val="14"/>
                <w:color w:val="0000FF"/>
              </w:rPr>
            </w:pPr>
            <w:hyperlink r:id="rId229">
              <w:r>
                <w:rPr>
                  <w:rFonts w:ascii="Verdana" w:cs="Verdana" w:eastAsia="Verdana" w:hAnsi="Verdana"/>
                  <w:sz w:val="14"/>
                  <w:szCs w:val="14"/>
                  <w:color w:val="0000FF"/>
                </w:rPr>
                <w:t>First Community Financial Partners, Inc. 2016 Equity Incentive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20" w:type="dxa"/>
            <w:vAlign w:val="bottom"/>
            <w:gridSpan w:val="10"/>
          </w:tcPr>
          <w:p>
            <w:pPr>
              <w:spacing w:after="0" w:line="150" w:lineRule="exact"/>
              <w:rPr>
                <w:rFonts w:ascii="Verdana" w:cs="Verdana" w:eastAsia="Verdana" w:hAnsi="Verdana"/>
                <w:sz w:val="14"/>
                <w:szCs w:val="14"/>
                <w:color w:val="0000FF"/>
              </w:rPr>
            </w:pPr>
            <w:hyperlink r:id="rId229">
              <w:r>
                <w:rPr>
                  <w:rFonts w:ascii="Verdana" w:cs="Verdana" w:eastAsia="Verdana" w:hAnsi="Verdana"/>
                  <w:sz w:val="14"/>
                  <w:szCs w:val="14"/>
                  <w:color w:val="0000FF"/>
                </w:rPr>
                <w:t>Plan</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10.9†</w:t>
            </w:r>
          </w:p>
        </w:tc>
        <w:tc>
          <w:tcPr>
            <w:tcW w:w="4600" w:type="dxa"/>
            <w:vAlign w:val="bottom"/>
            <w:tcBorders>
              <w:bottom w:val="single" w:sz="8" w:color="0000FF"/>
            </w:tcBorders>
            <w:gridSpan w:val="9"/>
          </w:tcPr>
          <w:p>
            <w:pPr>
              <w:spacing w:after="0"/>
              <w:rPr>
                <w:rFonts w:ascii="Verdana" w:cs="Verdana" w:eastAsia="Verdana" w:hAnsi="Verdana"/>
                <w:sz w:val="14"/>
                <w:szCs w:val="14"/>
                <w:color w:val="0000FF"/>
              </w:rPr>
            </w:pPr>
            <w:hyperlink r:id="rId230">
              <w:r>
                <w:rPr>
                  <w:rFonts w:ascii="Verdana" w:cs="Verdana" w:eastAsia="Verdana" w:hAnsi="Verdana"/>
                  <w:sz w:val="14"/>
                  <w:szCs w:val="14"/>
                  <w:color w:val="0000FF"/>
                </w:rPr>
                <w:t>Form of Director Deferred Stock Unit Award Agreement under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9"/>
          </w:tcPr>
          <w:p>
            <w:pPr>
              <w:spacing w:after="0" w:line="150" w:lineRule="exact"/>
              <w:rPr>
                <w:rFonts w:ascii="Verdana" w:cs="Verdana" w:eastAsia="Verdana" w:hAnsi="Verdana"/>
                <w:sz w:val="14"/>
                <w:szCs w:val="14"/>
                <w:color w:val="0000FF"/>
              </w:rPr>
            </w:pPr>
            <w:hyperlink r:id="rId230">
              <w:r>
                <w:rPr>
                  <w:rFonts w:ascii="Verdana" w:cs="Verdana" w:eastAsia="Verdana" w:hAnsi="Verdana"/>
                  <w:sz w:val="14"/>
                  <w:szCs w:val="14"/>
                  <w:color w:val="0000FF"/>
                </w:rPr>
                <w:t>the First Busey Corporation 2010 Equity Incentive Plan,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20" w:type="dxa"/>
            <w:vAlign w:val="bottom"/>
            <w:gridSpan w:val="10"/>
          </w:tcPr>
          <w:p>
            <w:pPr>
              <w:spacing w:after="0" w:line="150" w:lineRule="exact"/>
              <w:rPr>
                <w:rFonts w:ascii="Verdana" w:cs="Verdana" w:eastAsia="Verdana" w:hAnsi="Verdana"/>
                <w:sz w:val="14"/>
                <w:szCs w:val="14"/>
                <w:color w:val="0000FF"/>
              </w:rPr>
            </w:pPr>
            <w:hyperlink r:id="rId230">
              <w:r>
                <w:rPr>
                  <w:rFonts w:ascii="Verdana" w:cs="Verdana" w:eastAsia="Verdana" w:hAnsi="Verdana"/>
                  <w:sz w:val="14"/>
                  <w:szCs w:val="14"/>
                  <w:color w:val="0000FF"/>
                </w:rPr>
                <w:t>amended</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10.10†</w:t>
            </w:r>
          </w:p>
        </w:tc>
        <w:tc>
          <w:tcPr>
            <w:tcW w:w="4620" w:type="dxa"/>
            <w:vAlign w:val="bottom"/>
            <w:gridSpan w:val="10"/>
          </w:tcPr>
          <w:p>
            <w:pPr>
              <w:spacing w:after="0"/>
              <w:rPr>
                <w:rFonts w:ascii="Verdana" w:cs="Verdana" w:eastAsia="Verdana" w:hAnsi="Verdana"/>
                <w:sz w:val="14"/>
                <w:szCs w:val="14"/>
                <w:color w:val="0000FF"/>
              </w:rPr>
            </w:pPr>
            <w:hyperlink r:id="rId231">
              <w:r>
                <w:rPr>
                  <w:rFonts w:ascii="Verdana" w:cs="Verdana" w:eastAsia="Verdana" w:hAnsi="Verdana"/>
                  <w:sz w:val="14"/>
                  <w:szCs w:val="14"/>
                  <w:color w:val="0000FF"/>
                </w:rPr>
                <w:t>Jeffrey D. Jones Employment Agreement, dated July 26, 2019</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10.11†</w:t>
            </w:r>
          </w:p>
        </w:tc>
        <w:tc>
          <w:tcPr>
            <w:tcW w:w="4620" w:type="dxa"/>
            <w:vAlign w:val="bottom"/>
            <w:gridSpan w:val="10"/>
          </w:tcPr>
          <w:p>
            <w:pPr>
              <w:spacing w:after="0"/>
              <w:rPr>
                <w:rFonts w:ascii="Verdana" w:cs="Verdana" w:eastAsia="Verdana" w:hAnsi="Verdana"/>
                <w:sz w:val="14"/>
                <w:szCs w:val="14"/>
                <w:color w:val="0000FF"/>
              </w:rPr>
            </w:pPr>
            <w:hyperlink r:id="rId232">
              <w:r>
                <w:rPr>
                  <w:rFonts w:ascii="Verdana" w:cs="Verdana" w:eastAsia="Verdana" w:hAnsi="Verdana"/>
                  <w:sz w:val="14"/>
                  <w:szCs w:val="14"/>
                  <w:color w:val="0000FF"/>
                </w:rPr>
                <w:t>Amy L. Randolph Employment Agreement, dated December 5,</w:t>
              </w:r>
            </w:hyperlink>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0" w:lineRule="exact"/>
              <w:rPr>
                <w:rFonts w:ascii="Verdana" w:cs="Verdana" w:eastAsia="Verdana" w:hAnsi="Verdana"/>
                <w:sz w:val="14"/>
                <w:szCs w:val="14"/>
                <w:color w:val="0000FF"/>
                <w:w w:val="95"/>
              </w:rPr>
            </w:pPr>
            <w:hyperlink r:id="rId232">
              <w:r>
                <w:rPr>
                  <w:rFonts w:ascii="Verdana" w:cs="Verdana" w:eastAsia="Verdana" w:hAnsi="Verdana"/>
                  <w:sz w:val="14"/>
                  <w:szCs w:val="14"/>
                  <w:color w:val="0000FF"/>
                  <w:w w:val="95"/>
                </w:rPr>
                <w:t>2019</w:t>
              </w:r>
            </w:hyperlink>
          </w:p>
        </w:tc>
        <w:tc>
          <w:tcPr>
            <w:tcW w:w="3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10.12†</w:t>
            </w:r>
          </w:p>
        </w:tc>
        <w:tc>
          <w:tcPr>
            <w:tcW w:w="4620" w:type="dxa"/>
            <w:vAlign w:val="bottom"/>
            <w:gridSpan w:val="10"/>
          </w:tcPr>
          <w:p>
            <w:pPr>
              <w:spacing w:after="0"/>
              <w:rPr>
                <w:rFonts w:ascii="Verdana" w:cs="Verdana" w:eastAsia="Verdana" w:hAnsi="Verdana"/>
                <w:sz w:val="14"/>
                <w:szCs w:val="14"/>
                <w:color w:val="0000FF"/>
              </w:rPr>
            </w:pPr>
            <w:hyperlink r:id="rId233">
              <w:r>
                <w:rPr>
                  <w:rFonts w:ascii="Verdana" w:cs="Verdana" w:eastAsia="Verdana" w:hAnsi="Verdana"/>
                  <w:sz w:val="14"/>
                  <w:szCs w:val="14"/>
                  <w:color w:val="0000FF"/>
                </w:rPr>
                <w:t>John J. Powers Employment Agreement, dated December 5,</w:t>
              </w:r>
            </w:hyperlink>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0" w:lineRule="exact"/>
              <w:rPr>
                <w:rFonts w:ascii="Verdana" w:cs="Verdana" w:eastAsia="Verdana" w:hAnsi="Verdana"/>
                <w:sz w:val="14"/>
                <w:szCs w:val="14"/>
                <w:color w:val="0000FF"/>
                <w:w w:val="95"/>
              </w:rPr>
            </w:pPr>
            <w:hyperlink r:id="rId233">
              <w:r>
                <w:rPr>
                  <w:rFonts w:ascii="Verdana" w:cs="Verdana" w:eastAsia="Verdana" w:hAnsi="Verdana"/>
                  <w:sz w:val="14"/>
                  <w:szCs w:val="14"/>
                  <w:color w:val="0000FF"/>
                  <w:w w:val="95"/>
                </w:rPr>
                <w:t>2019</w:t>
              </w:r>
            </w:hyperlink>
          </w:p>
        </w:tc>
        <w:tc>
          <w:tcPr>
            <w:tcW w:w="3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1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Incorporated herein by reference</w:t>
            </w: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gridSpan w:val="2"/>
          </w:tcPr>
          <w:p>
            <w:pPr>
              <w:jc w:val="center"/>
              <w:ind w:right="60"/>
              <w:spacing w:after="0" w:line="96" w:lineRule="exact"/>
              <w:rPr>
                <w:sz w:val="20"/>
                <w:szCs w:val="20"/>
                <w:color w:val="auto"/>
              </w:rPr>
            </w:pPr>
            <w:r>
              <w:rPr>
                <w:rFonts w:ascii="Verdana" w:cs="Verdana" w:eastAsia="Verdana" w:hAnsi="Verdana"/>
                <w:sz w:val="8"/>
                <w:szCs w:val="8"/>
                <w:b w:val="1"/>
                <w:bCs w:val="1"/>
                <w:color w:val="auto"/>
              </w:rPr>
              <w:t>Filing Entity</w:t>
            </w:r>
            <w:r>
              <w:rPr>
                <w:rFonts w:ascii="Verdana" w:cs="Verdana" w:eastAsia="Verdana" w:hAnsi="Verdana"/>
                <w:sz w:val="10"/>
                <w:szCs w:val="10"/>
                <w:b w:val="1"/>
                <w:bCs w:val="1"/>
                <w:color w:val="auto"/>
                <w:vertAlign w:val="superscript"/>
              </w:rPr>
              <w:t>1</w:t>
            </w:r>
          </w:p>
        </w:tc>
        <w:tc>
          <w:tcPr>
            <w:tcW w:w="110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rPr>
              <w:t>Form</w:t>
            </w:r>
          </w:p>
        </w:tc>
        <w:tc>
          <w:tcPr>
            <w:tcW w:w="6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7"/>
              </w:rPr>
              <w:t>Exhibit</w:t>
            </w:r>
          </w:p>
        </w:tc>
        <w:tc>
          <w:tcPr>
            <w:tcW w:w="8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9"/>
              </w:rPr>
              <w:t>Filing Date</w:t>
            </w:r>
          </w:p>
        </w:tc>
        <w:tc>
          <w:tcPr>
            <w:tcW w:w="60" w:type="dxa"/>
            <w:vAlign w:val="bottom"/>
            <w:vMerge w:val="restart"/>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5"/>
              </w:rPr>
              <w:t>Filed</w:t>
            </w:r>
          </w:p>
        </w:tc>
        <w:tc>
          <w:tcPr>
            <w:tcW w:w="0" w:type="dxa"/>
            <w:vAlign w:val="bottom"/>
          </w:tcPr>
          <w:p>
            <w:pPr>
              <w:spacing w:after="0"/>
              <w:rPr>
                <w:sz w:val="1"/>
                <w:szCs w:val="1"/>
                <w:color w:val="auto"/>
              </w:rPr>
            </w:pPr>
          </w:p>
        </w:tc>
      </w:tr>
      <w:tr>
        <w:trPr>
          <w:trHeight w:val="133"/>
        </w:trPr>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(File No.)</w:t>
            </w: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6"/>
              </w:rPr>
              <w:t>Herewith</w:t>
            </w:r>
          </w:p>
        </w:tc>
        <w:tc>
          <w:tcPr>
            <w:tcW w:w="0" w:type="dxa"/>
            <w:vAlign w:val="bottom"/>
          </w:tcPr>
          <w:p>
            <w:pPr>
              <w:spacing w:after="0"/>
              <w:rPr>
                <w:sz w:val="1"/>
                <w:szCs w:val="1"/>
                <w:color w:val="auto"/>
              </w:rPr>
            </w:pPr>
          </w:p>
        </w:tc>
      </w:tr>
      <w:tr>
        <w:trPr>
          <w:trHeight w:val="183"/>
        </w:trPr>
        <w:tc>
          <w:tcPr>
            <w:tcW w:w="1400" w:type="dxa"/>
            <w:vAlign w:val="bottom"/>
            <w:gridSpan w:val="2"/>
          </w:tcPr>
          <w:p>
            <w:pPr>
              <w:jc w:val="center"/>
              <w:ind w:right="80"/>
              <w:spacing w:after="0"/>
              <w:rPr>
                <w:sz w:val="20"/>
                <w:szCs w:val="20"/>
                <w:color w:val="auto"/>
              </w:rPr>
            </w:pPr>
            <w:r>
              <w:rPr>
                <w:rFonts w:ascii="Verdana" w:cs="Verdana" w:eastAsia="Verdana" w:hAnsi="Verdana"/>
                <w:sz w:val="14"/>
                <w:szCs w:val="14"/>
                <w:color w:val="auto"/>
                <w:w w:val="99"/>
              </w:rPr>
              <w:t>MSTI</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99.2</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09/21/2006</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(000-30031)</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10-Q</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05/13/2010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10-Q</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05/08/2012</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w w:val="99"/>
              </w:rPr>
              <w:t>DEF 14A</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Appendix C</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04/17/2015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FCFP</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S-8</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4.4</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06/03/2016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rPr>
              <w:t>(333-211811)</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10-K</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7"/>
              </w:rPr>
              <w:t>10.38</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02/28/2018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FCFP</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S-8</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4.8</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06/03/2016</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rPr>
              <w:t>(333-211811)</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10-Q</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08/07/2018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07/26/2019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10.2</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12/10/2019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10.3</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12/10/2019</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131445</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600" w:space="60"/>
            <w:col w:w="5620"/>
          </w:cols>
          <w:pgMar w:left="300" w:top="273" w:right="319" w:bottom="1440" w:gutter="0" w:footer="0" w:header="0"/>
          <w:type w:val="continuous"/>
        </w:sectPr>
      </w:pPr>
    </w:p>
    <w:bookmarkStart w:id="185" w:name="page186"/>
    <w:bookmarkEnd w:id="185"/>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Incorporated herein by reference</w:t>
            </w: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gridSpan w:val="2"/>
          </w:tcPr>
          <w:p>
            <w:pPr>
              <w:ind w:left="260"/>
              <w:spacing w:after="0" w:line="96" w:lineRule="exact"/>
              <w:rPr>
                <w:sz w:val="20"/>
                <w:szCs w:val="20"/>
                <w:color w:val="auto"/>
              </w:rPr>
            </w:pPr>
            <w:r>
              <w:rPr>
                <w:rFonts w:ascii="Verdana" w:cs="Verdana" w:eastAsia="Verdana" w:hAnsi="Verdana"/>
                <w:sz w:val="10"/>
                <w:szCs w:val="10"/>
                <w:b w:val="1"/>
                <w:bCs w:val="1"/>
                <w:color w:val="auto"/>
              </w:rPr>
              <w:t>Exhibit</w:t>
            </w: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300" w:type="dxa"/>
            <w:vAlign w:val="bottom"/>
            <w:gridSpan w:val="10"/>
            <w:vMerge w:val="restart"/>
          </w:tcPr>
          <w:p>
            <w:pPr>
              <w:ind w:left="380"/>
              <w:spacing w:after="0"/>
              <w:rPr>
                <w:sz w:val="20"/>
                <w:szCs w:val="20"/>
                <w:color w:val="auto"/>
              </w:rPr>
            </w:pPr>
            <w:r>
              <w:rPr>
                <w:rFonts w:ascii="Verdana" w:cs="Verdana" w:eastAsia="Verdana" w:hAnsi="Verdana"/>
                <w:sz w:val="10"/>
                <w:szCs w:val="10"/>
                <w:b w:val="1"/>
                <w:bCs w:val="1"/>
                <w:color w:val="auto"/>
              </w:rPr>
              <w:t>Description of Exhibit</w:t>
            </w:r>
          </w:p>
        </w:tc>
        <w:tc>
          <w:tcPr>
            <w:tcW w:w="60" w:type="dxa"/>
            <w:vAlign w:val="bottom"/>
            <w:vMerge w:val="restart"/>
          </w:tcPr>
          <w:p>
            <w:pPr>
              <w:spacing w:after="0"/>
              <w:rPr>
                <w:sz w:val="8"/>
                <w:szCs w:val="8"/>
                <w:color w:val="auto"/>
              </w:rPr>
            </w:pPr>
          </w:p>
        </w:tc>
        <w:tc>
          <w:tcPr>
            <w:tcW w:w="1400" w:type="dxa"/>
            <w:vAlign w:val="bottom"/>
            <w:gridSpan w:val="2"/>
          </w:tcPr>
          <w:p>
            <w:pPr>
              <w:jc w:val="center"/>
              <w:ind w:right="60"/>
              <w:spacing w:after="0" w:line="96" w:lineRule="exact"/>
              <w:rPr>
                <w:sz w:val="20"/>
                <w:szCs w:val="20"/>
                <w:color w:val="auto"/>
              </w:rPr>
            </w:pPr>
            <w:r>
              <w:rPr>
                <w:rFonts w:ascii="Verdana" w:cs="Verdana" w:eastAsia="Verdana" w:hAnsi="Verdana"/>
                <w:sz w:val="8"/>
                <w:szCs w:val="8"/>
                <w:b w:val="1"/>
                <w:bCs w:val="1"/>
                <w:color w:val="auto"/>
              </w:rPr>
              <w:t>Filing Entity</w:t>
            </w:r>
            <w:r>
              <w:rPr>
                <w:rFonts w:ascii="Verdana" w:cs="Verdana" w:eastAsia="Verdana" w:hAnsi="Verdana"/>
                <w:sz w:val="10"/>
                <w:szCs w:val="10"/>
                <w:b w:val="1"/>
                <w:bCs w:val="1"/>
                <w:color w:val="auto"/>
                <w:vertAlign w:val="superscript"/>
              </w:rPr>
              <w:t>1</w:t>
            </w:r>
          </w:p>
        </w:tc>
        <w:tc>
          <w:tcPr>
            <w:tcW w:w="110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rPr>
              <w:t>Form</w:t>
            </w:r>
          </w:p>
        </w:tc>
        <w:tc>
          <w:tcPr>
            <w:tcW w:w="6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7"/>
              </w:rPr>
              <w:t>Exhibit</w:t>
            </w:r>
          </w:p>
        </w:tc>
        <w:tc>
          <w:tcPr>
            <w:tcW w:w="8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9"/>
              </w:rPr>
              <w:t>Filing Date</w:t>
            </w:r>
          </w:p>
        </w:tc>
        <w:tc>
          <w:tcPr>
            <w:tcW w:w="60" w:type="dxa"/>
            <w:vAlign w:val="bottom"/>
            <w:vMerge w:val="restart"/>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5"/>
              </w:rPr>
              <w:t>Filed</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tcPr>
          <w:p>
            <w:pPr>
              <w:ind w:left="240"/>
              <w:spacing w:after="0"/>
              <w:rPr>
                <w:sz w:val="20"/>
                <w:szCs w:val="20"/>
                <w:color w:val="auto"/>
              </w:rPr>
            </w:pPr>
            <w:r>
              <w:rPr>
                <w:rFonts w:ascii="Verdana" w:cs="Verdana" w:eastAsia="Verdana" w:hAnsi="Verdana"/>
                <w:sz w:val="10"/>
                <w:szCs w:val="10"/>
                <w:b w:val="1"/>
                <w:bCs w:val="1"/>
                <w:color w:val="auto"/>
              </w:rPr>
              <w:t>Number</w:t>
            </w:r>
          </w:p>
        </w:tc>
        <w:tc>
          <w:tcPr>
            <w:tcW w:w="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10"/>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(File No.)</w:t>
            </w: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6"/>
              </w:rPr>
              <w:t>Herewith</w:t>
            </w:r>
          </w:p>
        </w:tc>
        <w:tc>
          <w:tcPr>
            <w:tcW w:w="0" w:type="dxa"/>
            <w:vAlign w:val="bottom"/>
          </w:tcPr>
          <w:p>
            <w:pPr>
              <w:spacing w:after="0"/>
              <w:rPr>
                <w:sz w:val="1"/>
                <w:szCs w:val="1"/>
                <w:color w:val="auto"/>
              </w:rPr>
            </w:pPr>
          </w:p>
        </w:tc>
      </w:tr>
      <w:tr>
        <w:trPr>
          <w:trHeight w:val="166"/>
        </w:trPr>
        <w:tc>
          <w:tcPr>
            <w:tcW w:w="980" w:type="dxa"/>
            <w:vAlign w:val="bottom"/>
            <w:gridSpan w:val="2"/>
          </w:tcPr>
          <w:p>
            <w:pPr>
              <w:ind w:left="20"/>
              <w:spacing w:after="0" w:line="166" w:lineRule="exact"/>
              <w:rPr>
                <w:sz w:val="20"/>
                <w:szCs w:val="20"/>
                <w:color w:val="auto"/>
              </w:rPr>
            </w:pPr>
            <w:r>
              <w:rPr>
                <w:rFonts w:ascii="Verdana" w:cs="Verdana" w:eastAsia="Verdana" w:hAnsi="Verdana"/>
                <w:sz w:val="14"/>
                <w:szCs w:val="14"/>
                <w:color w:val="auto"/>
              </w:rPr>
              <w:t>10.13†</w:t>
            </w:r>
          </w:p>
        </w:tc>
        <w:tc>
          <w:tcPr>
            <w:tcW w:w="4600" w:type="dxa"/>
            <w:vAlign w:val="bottom"/>
            <w:tcBorders>
              <w:bottom w:val="single" w:sz="8" w:color="0000FF"/>
            </w:tcBorders>
            <w:gridSpan w:val="11"/>
          </w:tcPr>
          <w:p>
            <w:pPr>
              <w:spacing w:after="0" w:line="166" w:lineRule="exact"/>
              <w:rPr>
                <w:rFonts w:ascii="Verdana" w:cs="Verdana" w:eastAsia="Verdana" w:hAnsi="Verdana"/>
                <w:sz w:val="14"/>
                <w:szCs w:val="14"/>
                <w:color w:val="0000FF"/>
              </w:rPr>
            </w:pPr>
            <w:hyperlink r:id="rId235">
              <w:r>
                <w:rPr>
                  <w:rFonts w:ascii="Verdana" w:cs="Verdana" w:eastAsia="Verdana" w:hAnsi="Verdana"/>
                  <w:sz w:val="14"/>
                  <w:szCs w:val="14"/>
                  <w:color w:val="0000FF"/>
                </w:rPr>
                <w:t>Jeffrey D. Jones Amendment to Employment Agreement, dated</w:t>
              </w:r>
            </w:hyperlink>
          </w:p>
        </w:tc>
        <w:tc>
          <w:tcPr>
            <w:tcW w:w="80" w:type="dxa"/>
            <w:vAlign w:val="bottom"/>
            <w:gridSpan w:val="2"/>
          </w:tcPr>
          <w:p>
            <w:pPr>
              <w:spacing w:after="0"/>
              <w:rPr>
                <w:sz w:val="14"/>
                <w:szCs w:val="14"/>
                <w:color w:val="auto"/>
              </w:rPr>
            </w:pPr>
          </w:p>
        </w:tc>
        <w:tc>
          <w:tcPr>
            <w:tcW w:w="1400" w:type="dxa"/>
            <w:vAlign w:val="bottom"/>
            <w:gridSpan w:val="2"/>
          </w:tcPr>
          <w:p>
            <w:pPr>
              <w:jc w:val="center"/>
              <w:ind w:right="60"/>
              <w:spacing w:after="0" w:line="166" w:lineRule="exact"/>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line="166" w:lineRule="exact"/>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line="166" w:lineRule="exact"/>
              <w:rPr>
                <w:sz w:val="20"/>
                <w:szCs w:val="20"/>
                <w:color w:val="auto"/>
              </w:rPr>
            </w:pPr>
            <w:r>
              <w:rPr>
                <w:rFonts w:ascii="Verdana" w:cs="Verdana" w:eastAsia="Verdana" w:hAnsi="Verdana"/>
                <w:sz w:val="14"/>
                <w:szCs w:val="14"/>
                <w:color w:val="auto"/>
              </w:rPr>
              <w:t>10.4</w:t>
            </w:r>
          </w:p>
        </w:tc>
        <w:tc>
          <w:tcPr>
            <w:tcW w:w="80" w:type="dxa"/>
            <w:vAlign w:val="bottom"/>
          </w:tcPr>
          <w:p>
            <w:pPr>
              <w:spacing w:after="0"/>
              <w:rPr>
                <w:sz w:val="14"/>
                <w:szCs w:val="14"/>
                <w:color w:val="auto"/>
              </w:rPr>
            </w:pPr>
          </w:p>
        </w:tc>
        <w:tc>
          <w:tcPr>
            <w:tcW w:w="1080" w:type="dxa"/>
            <w:vAlign w:val="bottom"/>
          </w:tcPr>
          <w:p>
            <w:pPr>
              <w:jc w:val="center"/>
              <w:spacing w:after="0" w:line="166" w:lineRule="exact"/>
              <w:rPr>
                <w:sz w:val="20"/>
                <w:szCs w:val="20"/>
                <w:color w:val="auto"/>
              </w:rPr>
            </w:pPr>
            <w:r>
              <w:rPr>
                <w:rFonts w:ascii="Verdana" w:cs="Verdana" w:eastAsia="Verdana" w:hAnsi="Verdana"/>
                <w:sz w:val="14"/>
                <w:szCs w:val="14"/>
                <w:color w:val="auto"/>
                <w:w w:val="99"/>
              </w:rPr>
              <w:t>12/10/2019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3"/>
          </w:tcPr>
          <w:p>
            <w:pPr>
              <w:spacing w:after="0" w:line="150" w:lineRule="exact"/>
              <w:rPr>
                <w:rFonts w:ascii="Verdana" w:cs="Verdana" w:eastAsia="Verdana" w:hAnsi="Verdana"/>
                <w:sz w:val="14"/>
                <w:szCs w:val="14"/>
                <w:color w:val="0000FF"/>
              </w:rPr>
            </w:pPr>
            <w:hyperlink r:id="rId235">
              <w:r>
                <w:rPr>
                  <w:rFonts w:ascii="Verdana" w:cs="Verdana" w:eastAsia="Verdana" w:hAnsi="Verdana"/>
                  <w:sz w:val="14"/>
                  <w:szCs w:val="14"/>
                  <w:color w:val="0000FF"/>
                </w:rPr>
                <w:t>December 5, 2019</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10.14†</w:t>
            </w:r>
          </w:p>
        </w:tc>
        <w:tc>
          <w:tcPr>
            <w:tcW w:w="4680" w:type="dxa"/>
            <w:vAlign w:val="bottom"/>
            <w:gridSpan w:val="13"/>
          </w:tcPr>
          <w:p>
            <w:pPr>
              <w:spacing w:after="0"/>
              <w:rPr>
                <w:rFonts w:ascii="Verdana" w:cs="Verdana" w:eastAsia="Verdana" w:hAnsi="Verdana"/>
                <w:sz w:val="14"/>
                <w:szCs w:val="14"/>
                <w:color w:val="0000FF"/>
              </w:rPr>
            </w:pPr>
            <w:hyperlink r:id="rId236">
              <w:r>
                <w:rPr>
                  <w:rFonts w:ascii="Verdana" w:cs="Verdana" w:eastAsia="Verdana" w:hAnsi="Verdana"/>
                  <w:sz w:val="14"/>
                  <w:szCs w:val="14"/>
                  <w:color w:val="0000FF"/>
                </w:rPr>
                <w:t>First Busey Corporation Amended 2020 Equity Incentive Plan</w:t>
              </w:r>
            </w:hyperlink>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w w:val="99"/>
              </w:rPr>
              <w:t>DEF 14A</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Appendix A</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04/14/2023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10.15†</w:t>
            </w:r>
          </w:p>
        </w:tc>
        <w:tc>
          <w:tcPr>
            <w:tcW w:w="4680" w:type="dxa"/>
            <w:vAlign w:val="bottom"/>
            <w:gridSpan w:val="13"/>
          </w:tcPr>
          <w:p>
            <w:pPr>
              <w:spacing w:after="0"/>
              <w:rPr>
                <w:rFonts w:ascii="Verdana" w:cs="Verdana" w:eastAsia="Verdana" w:hAnsi="Verdana"/>
                <w:sz w:val="14"/>
                <w:szCs w:val="14"/>
                <w:color w:val="0000FF"/>
              </w:rPr>
            </w:pPr>
            <w:hyperlink r:id="rId237">
              <w:r>
                <w:rPr>
                  <w:rFonts w:ascii="Verdana" w:cs="Verdana" w:eastAsia="Verdana" w:hAnsi="Verdana"/>
                  <w:sz w:val="14"/>
                  <w:szCs w:val="14"/>
                  <w:color w:val="0000FF"/>
                </w:rPr>
                <w:t>Form of Restricted Stock Unit Award Agreement under the First</w:t>
              </w:r>
            </w:hyperlink>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S-8</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4.5</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05/29/2020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7"/>
          </w:tcPr>
          <w:p>
            <w:pPr>
              <w:spacing w:after="0" w:line="150" w:lineRule="exact"/>
              <w:rPr>
                <w:rFonts w:ascii="Verdana" w:cs="Verdana" w:eastAsia="Verdana" w:hAnsi="Verdana"/>
                <w:sz w:val="14"/>
                <w:szCs w:val="14"/>
                <w:color w:val="0000FF"/>
              </w:rPr>
            </w:pPr>
            <w:hyperlink r:id="rId237">
              <w:r>
                <w:rPr>
                  <w:rFonts w:ascii="Verdana" w:cs="Verdana" w:eastAsia="Verdana" w:hAnsi="Verdana"/>
                  <w:sz w:val="14"/>
                  <w:szCs w:val="14"/>
                  <w:color w:val="0000FF"/>
                </w:rPr>
                <w:t>Busey Corporation 2020 Equity Incentive Plan</w:t>
              </w:r>
            </w:hyperlink>
          </w:p>
        </w:tc>
        <w:tc>
          <w:tcPr>
            <w:tcW w:w="1320" w:type="dxa"/>
            <w:vAlign w:val="bottom"/>
            <w:tcBorders>
              <w:top w:val="single" w:sz="8" w:color="0000FF"/>
            </w:tcBorders>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10.16†</w:t>
            </w:r>
          </w:p>
        </w:tc>
        <w:tc>
          <w:tcPr>
            <w:tcW w:w="4600" w:type="dxa"/>
            <w:vAlign w:val="bottom"/>
            <w:tcBorders>
              <w:bottom w:val="single" w:sz="8" w:color="0000FF"/>
            </w:tcBorders>
            <w:gridSpan w:val="11"/>
          </w:tcPr>
          <w:p>
            <w:pPr>
              <w:spacing w:after="0"/>
              <w:rPr>
                <w:rFonts w:ascii="Verdana" w:cs="Verdana" w:eastAsia="Verdana" w:hAnsi="Verdana"/>
                <w:sz w:val="14"/>
                <w:szCs w:val="14"/>
                <w:color w:val="0000FF"/>
              </w:rPr>
            </w:pPr>
            <w:hyperlink r:id="rId238">
              <w:r>
                <w:rPr>
                  <w:rFonts w:ascii="Verdana" w:cs="Verdana" w:eastAsia="Verdana" w:hAnsi="Verdana"/>
                  <w:sz w:val="14"/>
                  <w:szCs w:val="14"/>
                  <w:color w:val="0000FF"/>
                </w:rPr>
                <w:t>Form  of  Performance-Based  Restricted  Stock  Unit  Award</w:t>
              </w:r>
            </w:hyperlink>
          </w:p>
        </w:tc>
        <w:tc>
          <w:tcPr>
            <w:tcW w:w="8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07/09/2020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11"/>
          </w:tcPr>
          <w:p>
            <w:pPr>
              <w:spacing w:after="0" w:line="150" w:lineRule="exact"/>
              <w:rPr>
                <w:rFonts w:ascii="Verdana" w:cs="Verdana" w:eastAsia="Verdana" w:hAnsi="Verdana"/>
                <w:sz w:val="14"/>
                <w:szCs w:val="14"/>
                <w:color w:val="0000FF"/>
              </w:rPr>
            </w:pPr>
            <w:hyperlink r:id="rId238">
              <w:r>
                <w:rPr>
                  <w:rFonts w:ascii="Verdana" w:cs="Verdana" w:eastAsia="Verdana" w:hAnsi="Verdana"/>
                  <w:sz w:val="14"/>
                  <w:szCs w:val="14"/>
                  <w:color w:val="0000FF"/>
                </w:rPr>
                <w:t>Agreement  under  the  First  Busey  Corporation  2020  Equity</w:t>
              </w:r>
            </w:hyperlink>
          </w:p>
        </w:tc>
        <w:tc>
          <w:tcPr>
            <w:tcW w:w="80" w:type="dxa"/>
            <w:vAlign w:val="bottom"/>
            <w:gridSpan w:val="2"/>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0000FF"/>
            </w:tcBorders>
          </w:tcPr>
          <w:p>
            <w:pPr>
              <w:spacing w:after="0" w:line="150" w:lineRule="exact"/>
              <w:rPr>
                <w:rFonts w:ascii="Verdana" w:cs="Verdana" w:eastAsia="Verdana" w:hAnsi="Verdana"/>
                <w:sz w:val="14"/>
                <w:szCs w:val="14"/>
                <w:color w:val="0000FF"/>
              </w:rPr>
            </w:pPr>
            <w:hyperlink r:id="rId238">
              <w:r>
                <w:rPr>
                  <w:rFonts w:ascii="Verdana" w:cs="Verdana" w:eastAsia="Verdana" w:hAnsi="Verdana"/>
                  <w:sz w:val="14"/>
                  <w:szCs w:val="14"/>
                  <w:color w:val="0000FF"/>
                </w:rPr>
                <w:t>Incentive Plan</w:t>
              </w:r>
            </w:hyperlink>
          </w:p>
        </w:tc>
        <w:tc>
          <w:tcPr>
            <w:tcW w:w="3660" w:type="dxa"/>
            <w:vAlign w:val="bottom"/>
            <w:gridSpan w:val="12"/>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10.17†</w:t>
            </w:r>
          </w:p>
        </w:tc>
        <w:tc>
          <w:tcPr>
            <w:tcW w:w="4600" w:type="dxa"/>
            <w:vAlign w:val="bottom"/>
            <w:tcBorders>
              <w:bottom w:val="single" w:sz="8" w:color="0000FF"/>
            </w:tcBorders>
            <w:gridSpan w:val="11"/>
          </w:tcPr>
          <w:p>
            <w:pPr>
              <w:spacing w:after="0"/>
              <w:rPr>
                <w:rFonts w:ascii="Verdana" w:cs="Verdana" w:eastAsia="Verdana" w:hAnsi="Verdana"/>
                <w:sz w:val="14"/>
                <w:szCs w:val="14"/>
                <w:color w:val="0000FF"/>
              </w:rPr>
            </w:pPr>
            <w:hyperlink r:id="rId239">
              <w:r>
                <w:rPr>
                  <w:rFonts w:ascii="Verdana" w:cs="Verdana" w:eastAsia="Verdana" w:hAnsi="Verdana"/>
                  <w:sz w:val="14"/>
                  <w:szCs w:val="14"/>
                  <w:color w:val="0000FF"/>
                </w:rPr>
                <w:t>Form of Director Deferred Stock Unit Award Agreement under</w:t>
              </w:r>
            </w:hyperlink>
          </w:p>
        </w:tc>
        <w:tc>
          <w:tcPr>
            <w:tcW w:w="8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10-Q</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08/06/2020</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20" w:type="dxa"/>
            <w:vAlign w:val="bottom"/>
            <w:tcBorders>
              <w:bottom w:val="single" w:sz="8" w:color="0000FF"/>
            </w:tcBorders>
            <w:gridSpan w:val="8"/>
          </w:tcPr>
          <w:p>
            <w:pPr>
              <w:spacing w:after="0" w:line="150" w:lineRule="exact"/>
              <w:rPr>
                <w:rFonts w:ascii="Verdana" w:cs="Verdana" w:eastAsia="Verdana" w:hAnsi="Verdana"/>
                <w:sz w:val="14"/>
                <w:szCs w:val="14"/>
                <w:color w:val="0000FF"/>
              </w:rPr>
            </w:pPr>
            <w:hyperlink r:id="rId239">
              <w:r>
                <w:rPr>
                  <w:rFonts w:ascii="Verdana" w:cs="Verdana" w:eastAsia="Verdana" w:hAnsi="Verdana"/>
                  <w:sz w:val="14"/>
                  <w:szCs w:val="14"/>
                  <w:color w:val="0000FF"/>
                </w:rPr>
                <w:t>the First Busey Corporation 2020 Equity Incentive Plan</w:t>
              </w:r>
            </w:hyperlink>
          </w:p>
        </w:tc>
        <w:tc>
          <w:tcPr>
            <w:tcW w:w="760" w:type="dxa"/>
            <w:vAlign w:val="bottom"/>
            <w:gridSpan w:val="5"/>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10.18†</w:t>
            </w:r>
          </w:p>
        </w:tc>
        <w:tc>
          <w:tcPr>
            <w:tcW w:w="4680" w:type="dxa"/>
            <w:vAlign w:val="bottom"/>
            <w:gridSpan w:val="13"/>
          </w:tcPr>
          <w:p>
            <w:pPr>
              <w:spacing w:after="0"/>
              <w:rPr>
                <w:rFonts w:ascii="Verdana" w:cs="Verdana" w:eastAsia="Verdana" w:hAnsi="Verdana"/>
                <w:sz w:val="14"/>
                <w:szCs w:val="14"/>
                <w:color w:val="0000FF"/>
              </w:rPr>
            </w:pPr>
            <w:hyperlink r:id="rId240">
              <w:r>
                <w:rPr>
                  <w:rFonts w:ascii="Verdana" w:cs="Verdana" w:eastAsia="Verdana" w:hAnsi="Verdana"/>
                  <w:sz w:val="14"/>
                  <w:szCs w:val="14"/>
                  <w:color w:val="0000FF"/>
                </w:rPr>
                <w:t>First Busey Corporation 2021 Employee Stock Purchase Plan</w:t>
              </w:r>
            </w:hyperlink>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w w:val="99"/>
              </w:rPr>
              <w:t>DEF 14A</w:t>
            </w:r>
          </w:p>
        </w:tc>
        <w:tc>
          <w:tcPr>
            <w:tcW w:w="1160" w:type="dxa"/>
            <w:vAlign w:val="bottom"/>
            <w:gridSpan w:val="2"/>
          </w:tcPr>
          <w:p>
            <w:pPr>
              <w:jc w:val="center"/>
              <w:ind w:right="80"/>
              <w:spacing w:after="0"/>
              <w:rPr>
                <w:sz w:val="20"/>
                <w:szCs w:val="20"/>
                <w:color w:val="auto"/>
              </w:rPr>
            </w:pPr>
            <w:r>
              <w:rPr>
                <w:rFonts w:ascii="Verdana" w:cs="Verdana" w:eastAsia="Verdana" w:hAnsi="Verdana"/>
                <w:sz w:val="14"/>
                <w:szCs w:val="14"/>
                <w:color w:val="auto"/>
              </w:rPr>
              <w:t>Appendix A</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04/08/2021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(0-15950)</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900" w:type="dxa"/>
            <w:vAlign w:val="bottom"/>
          </w:tcPr>
          <w:p>
            <w:pPr>
              <w:ind w:left="20"/>
              <w:spacing w:after="0"/>
              <w:rPr>
                <w:sz w:val="20"/>
                <w:szCs w:val="20"/>
                <w:color w:val="auto"/>
              </w:rPr>
            </w:pPr>
            <w:r>
              <w:rPr>
                <w:rFonts w:ascii="Verdana" w:cs="Verdana" w:eastAsia="Verdana" w:hAnsi="Verdana"/>
                <w:sz w:val="14"/>
                <w:szCs w:val="14"/>
                <w:color w:val="auto"/>
              </w:rPr>
              <w:t>10.19</w:t>
            </w:r>
          </w:p>
        </w:tc>
        <w:tc>
          <w:tcPr>
            <w:tcW w:w="80" w:type="dxa"/>
            <w:vAlign w:val="bottom"/>
          </w:tcPr>
          <w:p>
            <w:pPr>
              <w:spacing w:after="0"/>
              <w:rPr>
                <w:sz w:val="24"/>
                <w:szCs w:val="24"/>
                <w:color w:val="auto"/>
              </w:rPr>
            </w:pPr>
          </w:p>
        </w:tc>
        <w:tc>
          <w:tcPr>
            <w:tcW w:w="4600" w:type="dxa"/>
            <w:vAlign w:val="bottom"/>
            <w:tcBorders>
              <w:bottom w:val="single" w:sz="8" w:color="0000FF"/>
            </w:tcBorders>
            <w:gridSpan w:val="11"/>
          </w:tcPr>
          <w:p>
            <w:pPr>
              <w:spacing w:after="0"/>
              <w:rPr>
                <w:rFonts w:ascii="Verdana" w:cs="Verdana" w:eastAsia="Verdana" w:hAnsi="Verdana"/>
                <w:sz w:val="14"/>
                <w:szCs w:val="14"/>
                <w:color w:val="0000FF"/>
              </w:rPr>
            </w:pPr>
            <w:hyperlink r:id="rId241">
              <w:r>
                <w:rPr>
                  <w:rFonts w:ascii="Verdana" w:cs="Verdana" w:eastAsia="Verdana" w:hAnsi="Verdana"/>
                  <w:sz w:val="14"/>
                  <w:szCs w:val="14"/>
                  <w:color w:val="0000FF"/>
                </w:rPr>
                <w:t>Second Amended and Restated Credit Agreement, dated as of</w:t>
              </w:r>
            </w:hyperlink>
          </w:p>
        </w:tc>
        <w:tc>
          <w:tcPr>
            <w:tcW w:w="8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7"/>
              </w:rPr>
              <w:t>10.34</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06/02/2021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11"/>
          </w:tcPr>
          <w:p>
            <w:pPr>
              <w:spacing w:after="0" w:line="150" w:lineRule="exact"/>
              <w:rPr>
                <w:rFonts w:ascii="Verdana" w:cs="Verdana" w:eastAsia="Verdana" w:hAnsi="Verdana"/>
                <w:sz w:val="14"/>
                <w:szCs w:val="14"/>
                <w:color w:val="0000FF"/>
              </w:rPr>
            </w:pPr>
            <w:hyperlink r:id="rId241">
              <w:r>
                <w:rPr>
                  <w:rFonts w:ascii="Verdana" w:cs="Verdana" w:eastAsia="Verdana" w:hAnsi="Verdana"/>
                  <w:sz w:val="14"/>
                  <w:szCs w:val="14"/>
                  <w:color w:val="0000FF"/>
                </w:rPr>
                <w:t>May 28, 2021, by and between First Busey Corporation and U.S.</w:t>
              </w:r>
            </w:hyperlink>
          </w:p>
        </w:tc>
        <w:tc>
          <w:tcPr>
            <w:tcW w:w="80" w:type="dxa"/>
            <w:vAlign w:val="bottom"/>
            <w:gridSpan w:val="2"/>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3"/>
          </w:tcPr>
          <w:p>
            <w:pPr>
              <w:spacing w:after="0" w:line="150" w:lineRule="exact"/>
              <w:rPr>
                <w:rFonts w:ascii="Verdana" w:cs="Verdana" w:eastAsia="Verdana" w:hAnsi="Verdana"/>
                <w:sz w:val="14"/>
                <w:szCs w:val="14"/>
                <w:color w:val="0000FF"/>
              </w:rPr>
            </w:pPr>
            <w:hyperlink r:id="rId241">
              <w:r>
                <w:rPr>
                  <w:rFonts w:ascii="Verdana" w:cs="Verdana" w:eastAsia="Verdana" w:hAnsi="Verdana"/>
                  <w:sz w:val="14"/>
                  <w:szCs w:val="14"/>
                  <w:color w:val="0000FF"/>
                </w:rPr>
                <w:t>Bank National Association</w:t>
              </w:r>
            </w:hyperlink>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10.20†</w:t>
            </w:r>
          </w:p>
        </w:tc>
        <w:tc>
          <w:tcPr>
            <w:tcW w:w="4600" w:type="dxa"/>
            <w:vAlign w:val="bottom"/>
            <w:tcBorders>
              <w:bottom w:val="single" w:sz="8" w:color="0000FF"/>
            </w:tcBorders>
            <w:gridSpan w:val="11"/>
          </w:tcPr>
          <w:p>
            <w:pPr>
              <w:spacing w:after="0"/>
              <w:rPr>
                <w:rFonts w:ascii="Verdana" w:cs="Verdana" w:eastAsia="Verdana" w:hAnsi="Verdana"/>
                <w:sz w:val="14"/>
                <w:szCs w:val="14"/>
                <w:color w:val="0000FF"/>
              </w:rPr>
            </w:pPr>
            <w:hyperlink r:id="rId242">
              <w:r>
                <w:rPr>
                  <w:rFonts w:ascii="Verdana" w:cs="Verdana" w:eastAsia="Verdana" w:hAnsi="Verdana"/>
                  <w:sz w:val="14"/>
                  <w:szCs w:val="14"/>
                  <w:color w:val="0000FF"/>
                </w:rPr>
                <w:t>First Busey Profit Sharing Plan and Trust (as amended and</w:t>
              </w:r>
            </w:hyperlink>
          </w:p>
        </w:tc>
        <w:tc>
          <w:tcPr>
            <w:tcW w:w="8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10-K</w:t>
            </w: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7"/>
              </w:rPr>
              <w:t>10.30</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02/23/2023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3"/>
          </w:tcPr>
          <w:p>
            <w:pPr>
              <w:spacing w:after="0" w:line="150" w:lineRule="exact"/>
              <w:rPr>
                <w:rFonts w:ascii="Verdana" w:cs="Verdana" w:eastAsia="Verdana" w:hAnsi="Verdana"/>
                <w:sz w:val="14"/>
                <w:szCs w:val="14"/>
                <w:color w:val="0000FF"/>
              </w:rPr>
            </w:pPr>
            <w:hyperlink r:id="rId242">
              <w:r>
                <w:rPr>
                  <w:rFonts w:ascii="Verdana" w:cs="Verdana" w:eastAsia="Verdana" w:hAnsi="Verdana"/>
                  <w:sz w:val="14"/>
                  <w:szCs w:val="14"/>
                  <w:color w:val="0000FF"/>
                </w:rPr>
                <w:t>restated January 1, 2022)</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10.21†</w:t>
            </w:r>
          </w:p>
        </w:tc>
        <w:tc>
          <w:tcPr>
            <w:tcW w:w="4600" w:type="dxa"/>
            <w:vAlign w:val="bottom"/>
            <w:tcBorders>
              <w:bottom w:val="single" w:sz="8" w:color="0000FF"/>
            </w:tcBorders>
            <w:gridSpan w:val="11"/>
          </w:tcPr>
          <w:p>
            <w:pPr>
              <w:spacing w:after="0"/>
              <w:rPr>
                <w:rFonts w:ascii="Verdana" w:cs="Verdana" w:eastAsia="Verdana" w:hAnsi="Verdana"/>
                <w:sz w:val="14"/>
                <w:szCs w:val="14"/>
                <w:color w:val="0000FF"/>
              </w:rPr>
            </w:pPr>
            <w:hyperlink r:id="rId243">
              <w:r>
                <w:rPr>
                  <w:rFonts w:ascii="Verdana" w:cs="Verdana" w:eastAsia="Verdana" w:hAnsi="Verdana"/>
                  <w:sz w:val="14"/>
                  <w:szCs w:val="14"/>
                  <w:color w:val="0000FF"/>
                </w:rPr>
                <w:t>Letter Agreement, dated August 26, 2024, by and between First</w:t>
              </w:r>
            </w:hyperlink>
          </w:p>
        </w:tc>
        <w:tc>
          <w:tcPr>
            <w:tcW w:w="80" w:type="dxa"/>
            <w:vAlign w:val="bottom"/>
            <w:gridSpan w:val="2"/>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2.1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08/27/2024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3"/>
          </w:tcPr>
          <w:p>
            <w:pPr>
              <w:spacing w:after="0" w:line="150" w:lineRule="exact"/>
              <w:rPr>
                <w:rFonts w:ascii="Verdana" w:cs="Verdana" w:eastAsia="Verdana" w:hAnsi="Verdana"/>
                <w:sz w:val="14"/>
                <w:szCs w:val="14"/>
                <w:color w:val="0000FF"/>
              </w:rPr>
            </w:pPr>
            <w:hyperlink r:id="rId243">
              <w:r>
                <w:rPr>
                  <w:rFonts w:ascii="Verdana" w:cs="Verdana" w:eastAsia="Verdana" w:hAnsi="Verdana"/>
                  <w:sz w:val="14"/>
                  <w:szCs w:val="14"/>
                  <w:color w:val="0000FF"/>
                </w:rPr>
                <w:t>Busey Corporation and Van A. Dukeman</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10.22†</w:t>
            </w:r>
          </w:p>
        </w:tc>
        <w:tc>
          <w:tcPr>
            <w:tcW w:w="4680" w:type="dxa"/>
            <w:vAlign w:val="bottom"/>
            <w:gridSpan w:val="13"/>
          </w:tcPr>
          <w:p>
            <w:pPr>
              <w:spacing w:after="0"/>
              <w:rPr>
                <w:rFonts w:ascii="Verdana" w:cs="Verdana" w:eastAsia="Verdana" w:hAnsi="Verdana"/>
                <w:sz w:val="14"/>
                <w:szCs w:val="14"/>
                <w:color w:val="0000FF"/>
              </w:rPr>
            </w:pPr>
            <w:hyperlink r:id="rId139">
              <w:r>
                <w:rPr>
                  <w:rFonts w:ascii="Verdana" w:cs="Verdana" w:eastAsia="Verdana" w:hAnsi="Verdana"/>
                  <w:sz w:val="14"/>
                  <w:szCs w:val="14"/>
                  <w:color w:val="0000FF"/>
                </w:rPr>
                <w:t>Separation Agreement between First Busey Corporation and</w:t>
              </w:r>
            </w:hyperlink>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center"/>
              <w:spacing w:after="0"/>
              <w:rPr>
                <w:sz w:val="20"/>
                <w:szCs w:val="20"/>
                <w:color w:val="auto"/>
              </w:rPr>
            </w:pPr>
            <w:r>
              <w:rPr>
                <w:rFonts w:ascii="Verdana" w:cs="Verdana" w:eastAsia="Verdana" w:hAnsi="Verdana"/>
                <w:sz w:val="14"/>
                <w:szCs w:val="14"/>
                <w:color w:val="auto"/>
              </w:rPr>
              <w:t>10.1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02/21/2025</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top w:val="single" w:sz="8" w:color="0000FF"/>
            </w:tcBorders>
            <w:gridSpan w:val="11"/>
          </w:tcPr>
          <w:p>
            <w:pPr>
              <w:spacing w:after="0" w:line="150" w:lineRule="exact"/>
              <w:rPr>
                <w:rFonts w:ascii="Verdana" w:cs="Verdana" w:eastAsia="Verdana" w:hAnsi="Verdana"/>
                <w:sz w:val="14"/>
                <w:szCs w:val="14"/>
                <w:color w:val="0000FF"/>
              </w:rPr>
            </w:pPr>
            <w:hyperlink r:id="rId139">
              <w:r>
                <w:rPr>
                  <w:rFonts w:ascii="Verdana" w:cs="Verdana" w:eastAsia="Verdana" w:hAnsi="Verdana"/>
                  <w:sz w:val="14"/>
                  <w:szCs w:val="14"/>
                  <w:color w:val="0000FF"/>
                </w:rPr>
                <w:t>Jeffrey D. Jones, dated February 18, 2025</w:t>
              </w:r>
            </w:hyperlink>
          </w:p>
        </w:tc>
        <w:tc>
          <w:tcPr>
            <w:tcW w:w="80" w:type="dxa"/>
            <w:vAlign w:val="bottom"/>
            <w:gridSpan w:val="2"/>
          </w:tcPr>
          <w:p>
            <w:pPr>
              <w:spacing w:after="0"/>
              <w:rPr>
                <w:sz w:val="13"/>
                <w:szCs w:val="13"/>
                <w:color w:val="auto"/>
              </w:rPr>
            </w:pPr>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6" w:name="page187"/>
    <w:bookmarkEnd w:id="186"/>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Incorporated herein by reference</w:t>
            </w: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gridSpan w:val="2"/>
          </w:tcPr>
          <w:p>
            <w:pPr>
              <w:ind w:left="260"/>
              <w:spacing w:after="0" w:line="96" w:lineRule="exact"/>
              <w:rPr>
                <w:sz w:val="20"/>
                <w:szCs w:val="20"/>
                <w:color w:val="auto"/>
              </w:rPr>
            </w:pPr>
            <w:r>
              <w:rPr>
                <w:rFonts w:ascii="Verdana" w:cs="Verdana" w:eastAsia="Verdana" w:hAnsi="Verdana"/>
                <w:sz w:val="10"/>
                <w:szCs w:val="10"/>
                <w:b w:val="1"/>
                <w:bCs w:val="1"/>
                <w:color w:val="auto"/>
              </w:rPr>
              <w:t>Exhibit</w:t>
            </w: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0" w:type="dxa"/>
            <w:vAlign w:val="bottom"/>
            <w:gridSpan w:val="11"/>
            <w:vMerge w:val="restart"/>
          </w:tcPr>
          <w:p>
            <w:pPr>
              <w:ind w:left="480"/>
              <w:spacing w:after="0"/>
              <w:rPr>
                <w:sz w:val="20"/>
                <w:szCs w:val="20"/>
                <w:color w:val="auto"/>
              </w:rPr>
            </w:pPr>
            <w:r>
              <w:rPr>
                <w:rFonts w:ascii="Verdana" w:cs="Verdana" w:eastAsia="Verdana" w:hAnsi="Verdana"/>
                <w:sz w:val="10"/>
                <w:szCs w:val="10"/>
                <w:b w:val="1"/>
                <w:bCs w:val="1"/>
                <w:color w:val="auto"/>
              </w:rPr>
              <w:t>Description of Exhibit</w:t>
            </w:r>
          </w:p>
        </w:tc>
        <w:tc>
          <w:tcPr>
            <w:tcW w:w="60" w:type="dxa"/>
            <w:vAlign w:val="bottom"/>
            <w:vMerge w:val="restart"/>
          </w:tcPr>
          <w:p>
            <w:pPr>
              <w:spacing w:after="0"/>
              <w:rPr>
                <w:sz w:val="8"/>
                <w:szCs w:val="8"/>
                <w:color w:val="auto"/>
              </w:rPr>
            </w:pPr>
          </w:p>
        </w:tc>
        <w:tc>
          <w:tcPr>
            <w:tcW w:w="1400" w:type="dxa"/>
            <w:vAlign w:val="bottom"/>
            <w:gridSpan w:val="2"/>
          </w:tcPr>
          <w:p>
            <w:pPr>
              <w:jc w:val="center"/>
              <w:ind w:right="60"/>
              <w:spacing w:after="0" w:line="96" w:lineRule="exact"/>
              <w:rPr>
                <w:sz w:val="20"/>
                <w:szCs w:val="20"/>
                <w:color w:val="auto"/>
              </w:rPr>
            </w:pPr>
            <w:r>
              <w:rPr>
                <w:rFonts w:ascii="Verdana" w:cs="Verdana" w:eastAsia="Verdana" w:hAnsi="Verdana"/>
                <w:sz w:val="8"/>
                <w:szCs w:val="8"/>
                <w:b w:val="1"/>
                <w:bCs w:val="1"/>
                <w:color w:val="auto"/>
              </w:rPr>
              <w:t>Filing Entity</w:t>
            </w:r>
            <w:r>
              <w:rPr>
                <w:rFonts w:ascii="Verdana" w:cs="Verdana" w:eastAsia="Verdana" w:hAnsi="Verdana"/>
                <w:sz w:val="10"/>
                <w:szCs w:val="10"/>
                <w:b w:val="1"/>
                <w:bCs w:val="1"/>
                <w:color w:val="auto"/>
                <w:vertAlign w:val="superscript"/>
              </w:rPr>
              <w:t>1</w:t>
            </w:r>
          </w:p>
        </w:tc>
        <w:tc>
          <w:tcPr>
            <w:tcW w:w="110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rPr>
              <w:t>Form</w:t>
            </w:r>
          </w:p>
        </w:tc>
        <w:tc>
          <w:tcPr>
            <w:tcW w:w="60" w:type="dxa"/>
            <w:vAlign w:val="bottom"/>
            <w:vMerge w:val="restart"/>
          </w:tcPr>
          <w:p>
            <w:pPr>
              <w:spacing w:after="0"/>
              <w:rPr>
                <w:sz w:val="8"/>
                <w:szCs w:val="8"/>
                <w:color w:val="auto"/>
              </w:rPr>
            </w:pPr>
          </w:p>
        </w:tc>
        <w:tc>
          <w:tcPr>
            <w:tcW w:w="1080" w:type="dxa"/>
            <w:vAlign w:val="bottom"/>
            <w:vMerge w:val="restart"/>
          </w:tcPr>
          <w:p>
            <w:pPr>
              <w:ind w:left="360"/>
              <w:spacing w:after="0"/>
              <w:rPr>
                <w:sz w:val="20"/>
                <w:szCs w:val="20"/>
                <w:color w:val="auto"/>
              </w:rPr>
            </w:pPr>
            <w:r>
              <w:rPr>
                <w:rFonts w:ascii="Verdana" w:cs="Verdana" w:eastAsia="Verdana" w:hAnsi="Verdana"/>
                <w:sz w:val="10"/>
                <w:szCs w:val="10"/>
                <w:b w:val="1"/>
                <w:bCs w:val="1"/>
                <w:color w:val="auto"/>
              </w:rPr>
              <w:t>Exhibit</w:t>
            </w:r>
          </w:p>
        </w:tc>
        <w:tc>
          <w:tcPr>
            <w:tcW w:w="80" w:type="dxa"/>
            <w:vAlign w:val="bottom"/>
            <w:vMerge w:val="restart"/>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Verdana" w:cs="Verdana" w:eastAsia="Verdana" w:hAnsi="Verdana"/>
                <w:sz w:val="10"/>
                <w:szCs w:val="10"/>
                <w:b w:val="1"/>
                <w:bCs w:val="1"/>
                <w:color w:val="auto"/>
                <w:w w:val="99"/>
              </w:rPr>
              <w:t>Filing Date</w:t>
            </w:r>
          </w:p>
        </w:tc>
        <w:tc>
          <w:tcPr>
            <w:tcW w:w="60" w:type="dxa"/>
            <w:vAlign w:val="bottom"/>
            <w:vMerge w:val="restart"/>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5"/>
              </w:rPr>
              <w:t>Filed</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tcPr>
          <w:p>
            <w:pPr>
              <w:ind w:left="240"/>
              <w:spacing w:after="0"/>
              <w:rPr>
                <w:sz w:val="20"/>
                <w:szCs w:val="20"/>
                <w:color w:val="auto"/>
              </w:rPr>
            </w:pPr>
            <w:r>
              <w:rPr>
                <w:rFonts w:ascii="Verdana" w:cs="Verdana" w:eastAsia="Verdana" w:hAnsi="Verdana"/>
                <w:sz w:val="10"/>
                <w:szCs w:val="10"/>
                <w:b w:val="1"/>
                <w:bCs w:val="1"/>
                <w:color w:val="auto"/>
              </w:rPr>
              <w:t>Number</w:t>
            </w: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gridSpan w:val="11"/>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rPr>
              <w:t>(File No.)</w:t>
            </w: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6"/>
              </w:rPr>
              <w:t>Herewith</w:t>
            </w:r>
          </w:p>
        </w:tc>
        <w:tc>
          <w:tcPr>
            <w:tcW w:w="0" w:type="dxa"/>
            <w:vAlign w:val="bottom"/>
          </w:tcPr>
          <w:p>
            <w:pPr>
              <w:spacing w:after="0"/>
              <w:rPr>
                <w:sz w:val="1"/>
                <w:szCs w:val="1"/>
                <w:color w:val="auto"/>
              </w:rPr>
            </w:pPr>
          </w:p>
        </w:tc>
      </w:tr>
      <w:tr>
        <w:trPr>
          <w:trHeight w:val="166"/>
        </w:trPr>
        <w:tc>
          <w:tcPr>
            <w:tcW w:w="980" w:type="dxa"/>
            <w:vAlign w:val="bottom"/>
            <w:gridSpan w:val="2"/>
          </w:tcPr>
          <w:p>
            <w:pPr>
              <w:ind w:left="20"/>
              <w:spacing w:after="0" w:line="166" w:lineRule="exact"/>
              <w:rPr>
                <w:sz w:val="20"/>
                <w:szCs w:val="20"/>
                <w:color w:val="auto"/>
              </w:rPr>
            </w:pPr>
            <w:r>
              <w:rPr>
                <w:rFonts w:ascii="Verdana" w:cs="Verdana" w:eastAsia="Verdana" w:hAnsi="Verdana"/>
                <w:sz w:val="14"/>
                <w:szCs w:val="14"/>
                <w:color w:val="auto"/>
              </w:rPr>
              <w:t>10.23†</w:t>
            </w:r>
          </w:p>
        </w:tc>
        <w:tc>
          <w:tcPr>
            <w:tcW w:w="4620" w:type="dxa"/>
            <w:vAlign w:val="bottom"/>
            <w:tcBorders>
              <w:bottom w:val="single" w:sz="8" w:color="0000FF"/>
            </w:tcBorders>
            <w:gridSpan w:val="13"/>
          </w:tcPr>
          <w:p>
            <w:pPr>
              <w:spacing w:after="0" w:line="166" w:lineRule="exact"/>
              <w:rPr>
                <w:sz w:val="20"/>
                <w:szCs w:val="20"/>
                <w:color w:val="auto"/>
              </w:rPr>
            </w:pPr>
            <w:r>
              <w:rPr>
                <w:rFonts w:ascii="Verdana" w:cs="Verdana" w:eastAsia="Verdana" w:hAnsi="Verdana"/>
                <w:sz w:val="14"/>
                <w:szCs w:val="14"/>
                <w:color w:val="0000FF"/>
              </w:rPr>
              <w:t>Amendment to the First Busey Corporation Profit Sharing Plan</w:t>
            </w: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line="166" w:lineRule="exact"/>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Borders>
              <w:bottom w:val="single" w:sz="8" w:color="0000FF"/>
            </w:tcBorders>
            <w:gridSpan w:val="7"/>
          </w:tcPr>
          <w:p>
            <w:pPr>
              <w:spacing w:after="0" w:line="150" w:lineRule="exact"/>
              <w:rPr>
                <w:sz w:val="20"/>
                <w:szCs w:val="20"/>
                <w:color w:val="auto"/>
              </w:rPr>
            </w:pPr>
            <w:r>
              <w:rPr>
                <w:rFonts w:ascii="Verdana" w:cs="Verdana" w:eastAsia="Verdana" w:hAnsi="Verdana"/>
                <w:sz w:val="14"/>
                <w:szCs w:val="14"/>
                <w:color w:val="0000FF"/>
              </w:rPr>
              <w:t>and Trust, effective September 27, 2024</w:t>
            </w:r>
          </w:p>
        </w:tc>
        <w:tc>
          <w:tcPr>
            <w:tcW w:w="1780" w:type="dxa"/>
            <w:vAlign w:val="bottom"/>
            <w:gridSpan w:val="7"/>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10.24†</w:t>
            </w:r>
          </w:p>
        </w:tc>
        <w:tc>
          <w:tcPr>
            <w:tcW w:w="4600" w:type="dxa"/>
            <w:vAlign w:val="bottom"/>
            <w:tcBorders>
              <w:bottom w:val="single" w:sz="8" w:color="0000FF"/>
            </w:tcBorders>
            <w:gridSpan w:val="10"/>
          </w:tcPr>
          <w:p>
            <w:pPr>
              <w:spacing w:after="0"/>
              <w:rPr>
                <w:sz w:val="20"/>
                <w:szCs w:val="20"/>
                <w:color w:val="auto"/>
              </w:rPr>
            </w:pPr>
            <w:r>
              <w:rPr>
                <w:rFonts w:ascii="Verdana" w:cs="Verdana" w:eastAsia="Verdana" w:hAnsi="Verdana"/>
                <w:sz w:val="14"/>
                <w:szCs w:val="14"/>
                <w:color w:val="0000FF"/>
              </w:rPr>
              <w:t>First Busey Corporation 2021 Employee Stock Purchase Plan</w:t>
            </w:r>
          </w:p>
        </w:tc>
        <w:tc>
          <w:tcPr>
            <w:tcW w:w="80" w:type="dxa"/>
            <w:vAlign w:val="bottom"/>
            <w:gridSpan w:val="4"/>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4"/>
          </w:tcPr>
          <w:p>
            <w:pPr>
              <w:spacing w:after="0" w:line="150" w:lineRule="exact"/>
              <w:rPr>
                <w:sz w:val="20"/>
                <w:szCs w:val="20"/>
                <w:color w:val="auto"/>
              </w:rPr>
            </w:pPr>
            <w:r>
              <w:rPr>
                <w:rFonts w:ascii="Verdana" w:cs="Verdana" w:eastAsia="Verdana" w:hAnsi="Verdana"/>
                <w:sz w:val="14"/>
                <w:szCs w:val="14"/>
                <w:color w:val="0000FF"/>
              </w:rPr>
              <w:t>First Amendment</w:t>
            </w: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900" w:type="dxa"/>
            <w:vAlign w:val="bottom"/>
          </w:tcPr>
          <w:p>
            <w:pPr>
              <w:ind w:left="20"/>
              <w:spacing w:after="0"/>
              <w:rPr>
                <w:sz w:val="20"/>
                <w:szCs w:val="20"/>
                <w:color w:val="auto"/>
              </w:rPr>
            </w:pPr>
            <w:r>
              <w:rPr>
                <w:rFonts w:ascii="Verdana" w:cs="Verdana" w:eastAsia="Verdana" w:hAnsi="Verdana"/>
                <w:sz w:val="14"/>
                <w:szCs w:val="14"/>
                <w:color w:val="auto"/>
              </w:rPr>
              <w:t>19.1</w:t>
            </w:r>
          </w:p>
        </w:tc>
        <w:tc>
          <w:tcPr>
            <w:tcW w:w="80" w:type="dxa"/>
            <w:vAlign w:val="bottom"/>
          </w:tcPr>
          <w:p>
            <w:pPr>
              <w:spacing w:after="0"/>
              <w:rPr>
                <w:sz w:val="24"/>
                <w:szCs w:val="24"/>
                <w:color w:val="auto"/>
              </w:rPr>
            </w:pPr>
          </w:p>
        </w:tc>
        <w:tc>
          <w:tcPr>
            <w:tcW w:w="3240" w:type="dxa"/>
            <w:vAlign w:val="bottom"/>
            <w:tcBorders>
              <w:bottom w:val="single" w:sz="8" w:color="0000FF"/>
            </w:tcBorders>
            <w:gridSpan w:val="9"/>
          </w:tcPr>
          <w:p>
            <w:pPr>
              <w:spacing w:after="0"/>
              <w:rPr>
                <w:sz w:val="20"/>
                <w:szCs w:val="20"/>
                <w:color w:val="auto"/>
              </w:rPr>
            </w:pPr>
            <w:r>
              <w:rPr>
                <w:rFonts w:ascii="Verdana" w:cs="Verdana" w:eastAsia="Verdana" w:hAnsi="Verdana"/>
                <w:sz w:val="14"/>
                <w:szCs w:val="14"/>
                <w:color w:val="0000FF"/>
                <w:w w:val="99"/>
              </w:rPr>
              <w:t>First Busey Corporation Insider Trading Policy</w:t>
            </w:r>
          </w:p>
        </w:tc>
        <w:tc>
          <w:tcPr>
            <w:tcW w:w="1440" w:type="dxa"/>
            <w:vAlign w:val="bottom"/>
            <w:gridSpan w:val="5"/>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21.1</w:t>
            </w:r>
          </w:p>
        </w:tc>
        <w:tc>
          <w:tcPr>
            <w:tcW w:w="80" w:type="dxa"/>
            <w:vAlign w:val="bottom"/>
          </w:tcPr>
          <w:p>
            <w:pPr>
              <w:spacing w:after="0"/>
              <w:rPr>
                <w:sz w:val="24"/>
                <w:szCs w:val="24"/>
                <w:color w:val="auto"/>
              </w:rPr>
            </w:pPr>
          </w:p>
        </w:tc>
        <w:tc>
          <w:tcPr>
            <w:tcW w:w="4680" w:type="dxa"/>
            <w:vAlign w:val="bottom"/>
            <w:gridSpan w:val="14"/>
          </w:tcPr>
          <w:p>
            <w:pPr>
              <w:spacing w:after="0"/>
              <w:rPr>
                <w:sz w:val="20"/>
                <w:szCs w:val="20"/>
                <w:color w:val="auto"/>
              </w:rPr>
            </w:pPr>
            <w:r>
              <w:rPr>
                <w:rFonts w:ascii="Verdana" w:cs="Verdana" w:eastAsia="Verdana" w:hAnsi="Verdana"/>
                <w:sz w:val="14"/>
                <w:szCs w:val="14"/>
                <w:color w:val="0000FF"/>
              </w:rPr>
              <w:t>List of Subsidiaries of First Busey Corporation</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23.1</w:t>
            </w:r>
          </w:p>
        </w:tc>
        <w:tc>
          <w:tcPr>
            <w:tcW w:w="80" w:type="dxa"/>
            <w:vAlign w:val="bottom"/>
          </w:tcPr>
          <w:p>
            <w:pPr>
              <w:spacing w:after="0"/>
              <w:rPr>
                <w:sz w:val="24"/>
                <w:szCs w:val="24"/>
                <w:color w:val="auto"/>
              </w:rPr>
            </w:pPr>
          </w:p>
        </w:tc>
        <w:tc>
          <w:tcPr>
            <w:tcW w:w="4640" w:type="dxa"/>
            <w:vAlign w:val="bottom"/>
            <w:tcBorders>
              <w:bottom w:val="single" w:sz="8" w:color="0000FF"/>
            </w:tcBorders>
            <w:gridSpan w:val="12"/>
          </w:tcPr>
          <w:p>
            <w:pPr>
              <w:spacing w:after="0"/>
              <w:rPr>
                <w:sz w:val="20"/>
                <w:szCs w:val="20"/>
                <w:color w:val="auto"/>
              </w:rPr>
            </w:pPr>
            <w:r>
              <w:rPr>
                <w:rFonts w:ascii="Verdana" w:cs="Verdana" w:eastAsia="Verdana" w:hAnsi="Verdana"/>
                <w:sz w:val="14"/>
                <w:szCs w:val="14"/>
                <w:color w:val="0000FF"/>
              </w:rPr>
              <w:t>Consent of Independent Registered Public Accounting Firm, RSM</w:t>
            </w:r>
          </w:p>
        </w:tc>
        <w:tc>
          <w:tcPr>
            <w:tcW w:w="4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0000FF"/>
            </w:tcBorders>
          </w:tcPr>
          <w:p>
            <w:pPr>
              <w:spacing w:after="0" w:line="150" w:lineRule="exact"/>
              <w:rPr>
                <w:sz w:val="20"/>
                <w:szCs w:val="20"/>
                <w:color w:val="auto"/>
              </w:rPr>
            </w:pPr>
            <w:r>
              <w:rPr>
                <w:rFonts w:ascii="Verdana" w:cs="Verdana" w:eastAsia="Verdana" w:hAnsi="Verdana"/>
                <w:sz w:val="14"/>
                <w:szCs w:val="14"/>
                <w:color w:val="0000FF"/>
                <w:w w:val="98"/>
              </w:rPr>
              <w:t>US LLP</w:t>
            </w:r>
          </w:p>
        </w:tc>
        <w:tc>
          <w:tcPr>
            <w:tcW w:w="4180" w:type="dxa"/>
            <w:vAlign w:val="bottom"/>
            <w:gridSpan w:val="13"/>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31.1</w:t>
            </w:r>
          </w:p>
        </w:tc>
        <w:tc>
          <w:tcPr>
            <w:tcW w:w="80" w:type="dxa"/>
            <w:vAlign w:val="bottom"/>
          </w:tcPr>
          <w:p>
            <w:pPr>
              <w:spacing w:after="0"/>
              <w:rPr>
                <w:sz w:val="24"/>
                <w:szCs w:val="24"/>
                <w:color w:val="auto"/>
              </w:rPr>
            </w:pPr>
          </w:p>
        </w:tc>
        <w:tc>
          <w:tcPr>
            <w:tcW w:w="4600" w:type="dxa"/>
            <w:vAlign w:val="bottom"/>
            <w:tcBorders>
              <w:bottom w:val="single" w:sz="8" w:color="0000FF"/>
            </w:tcBorders>
            <w:gridSpan w:val="10"/>
          </w:tcPr>
          <w:p>
            <w:pPr>
              <w:spacing w:after="0"/>
              <w:rPr>
                <w:sz w:val="20"/>
                <w:szCs w:val="20"/>
                <w:color w:val="auto"/>
              </w:rPr>
            </w:pPr>
            <w:r>
              <w:rPr>
                <w:rFonts w:ascii="Verdana" w:cs="Verdana" w:eastAsia="Verdana" w:hAnsi="Verdana"/>
                <w:sz w:val="14"/>
                <w:szCs w:val="14"/>
                <w:color w:val="0000FF"/>
              </w:rPr>
              <w:t>Certification of Principal Executive Officer, pursuant to Rule 13a-</w:t>
            </w:r>
          </w:p>
        </w:tc>
        <w:tc>
          <w:tcPr>
            <w:tcW w:w="80" w:type="dxa"/>
            <w:vAlign w:val="bottom"/>
            <w:gridSpan w:val="4"/>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bottom w:val="single" w:sz="8" w:color="0000FF"/>
            </w:tcBorders>
            <w:gridSpan w:val="4"/>
          </w:tcPr>
          <w:p>
            <w:pPr>
              <w:spacing w:after="0" w:line="150" w:lineRule="exact"/>
              <w:rPr>
                <w:sz w:val="20"/>
                <w:szCs w:val="20"/>
                <w:color w:val="auto"/>
              </w:rPr>
            </w:pPr>
            <w:r>
              <w:rPr>
                <w:rFonts w:ascii="Verdana" w:cs="Verdana" w:eastAsia="Verdana" w:hAnsi="Verdana"/>
                <w:sz w:val="14"/>
                <w:szCs w:val="14"/>
                <w:color w:val="0000FF"/>
              </w:rPr>
              <w:t>14(a) and Rule 15d-14(a)</w:t>
            </w:r>
          </w:p>
        </w:tc>
        <w:tc>
          <w:tcPr>
            <w:tcW w:w="2820" w:type="dxa"/>
            <w:vAlign w:val="bottom"/>
            <w:gridSpan w:val="10"/>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31.2</w:t>
            </w:r>
          </w:p>
        </w:tc>
        <w:tc>
          <w:tcPr>
            <w:tcW w:w="80" w:type="dxa"/>
            <w:vAlign w:val="bottom"/>
          </w:tcPr>
          <w:p>
            <w:pPr>
              <w:spacing w:after="0"/>
              <w:rPr>
                <w:sz w:val="24"/>
                <w:szCs w:val="24"/>
                <w:color w:val="auto"/>
              </w:rPr>
            </w:pPr>
          </w:p>
        </w:tc>
        <w:tc>
          <w:tcPr>
            <w:tcW w:w="4620" w:type="dxa"/>
            <w:vAlign w:val="bottom"/>
            <w:tcBorders>
              <w:bottom w:val="single" w:sz="8" w:color="0000FF"/>
            </w:tcBorders>
            <w:gridSpan w:val="11"/>
          </w:tcPr>
          <w:p>
            <w:pPr>
              <w:spacing w:after="0"/>
              <w:rPr>
                <w:sz w:val="20"/>
                <w:szCs w:val="20"/>
                <w:color w:val="auto"/>
              </w:rPr>
            </w:pPr>
            <w:r>
              <w:rPr>
                <w:rFonts w:ascii="Verdana" w:cs="Verdana" w:eastAsia="Verdana" w:hAnsi="Verdana"/>
                <w:sz w:val="14"/>
                <w:szCs w:val="14"/>
                <w:color w:val="0000FF"/>
              </w:rPr>
              <w:t>Certification of Principal Financial Officer, pursuant to Rule 13a-</w:t>
            </w:r>
          </w:p>
        </w:tc>
        <w:tc>
          <w:tcPr>
            <w:tcW w:w="6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4"/>
          </w:tcPr>
          <w:p>
            <w:pPr>
              <w:spacing w:after="0" w:line="150" w:lineRule="exact"/>
              <w:rPr>
                <w:sz w:val="20"/>
                <w:szCs w:val="20"/>
                <w:color w:val="auto"/>
              </w:rPr>
            </w:pPr>
            <w:r>
              <w:rPr>
                <w:rFonts w:ascii="Verdana" w:cs="Verdana" w:eastAsia="Verdana" w:hAnsi="Verdana"/>
                <w:sz w:val="14"/>
                <w:szCs w:val="14"/>
                <w:color w:val="0000FF"/>
              </w:rPr>
              <w:t>14(a) and Rule 15d-14(a)</w:t>
            </w: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32.1</w:t>
            </w:r>
          </w:p>
        </w:tc>
        <w:tc>
          <w:tcPr>
            <w:tcW w:w="80" w:type="dxa"/>
            <w:vAlign w:val="bottom"/>
          </w:tcPr>
          <w:p>
            <w:pPr>
              <w:spacing w:after="0"/>
              <w:rPr>
                <w:sz w:val="24"/>
                <w:szCs w:val="24"/>
                <w:color w:val="auto"/>
              </w:rPr>
            </w:pPr>
          </w:p>
        </w:tc>
        <w:tc>
          <w:tcPr>
            <w:tcW w:w="4600" w:type="dxa"/>
            <w:vAlign w:val="bottom"/>
            <w:tcBorders>
              <w:bottom w:val="single" w:sz="8" w:color="0000FF"/>
            </w:tcBorders>
            <w:gridSpan w:val="10"/>
          </w:tcPr>
          <w:p>
            <w:pPr>
              <w:spacing w:after="0"/>
              <w:rPr>
                <w:sz w:val="20"/>
                <w:szCs w:val="20"/>
                <w:color w:val="auto"/>
              </w:rPr>
            </w:pPr>
            <w:r>
              <w:rPr>
                <w:rFonts w:ascii="Verdana" w:cs="Verdana" w:eastAsia="Verdana" w:hAnsi="Verdana"/>
                <w:sz w:val="14"/>
                <w:szCs w:val="14"/>
                <w:color w:val="0000FF"/>
              </w:rPr>
              <w:t>Certification pursuant to 18 U.S.C. Section 1350, as adopted</w:t>
            </w:r>
          </w:p>
        </w:tc>
        <w:tc>
          <w:tcPr>
            <w:tcW w:w="80" w:type="dxa"/>
            <w:vAlign w:val="bottom"/>
            <w:gridSpan w:val="4"/>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10"/>
          </w:tcPr>
          <w:p>
            <w:pPr>
              <w:spacing w:after="0" w:line="150" w:lineRule="exact"/>
              <w:rPr>
                <w:sz w:val="20"/>
                <w:szCs w:val="20"/>
                <w:color w:val="auto"/>
              </w:rPr>
            </w:pPr>
            <w:r>
              <w:rPr>
                <w:rFonts w:ascii="Verdana" w:cs="Verdana" w:eastAsia="Verdana" w:hAnsi="Verdana"/>
                <w:sz w:val="14"/>
                <w:szCs w:val="14"/>
                <w:color w:val="0000FF"/>
              </w:rPr>
              <w:t>pursuant to Section 906 of the Sarbanes-Oxley Act of 2002,</w:t>
            </w:r>
          </w:p>
        </w:tc>
        <w:tc>
          <w:tcPr>
            <w:tcW w:w="80" w:type="dxa"/>
            <w:vAlign w:val="bottom"/>
            <w:gridSpan w:val="4"/>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tcBorders>
              <w:bottom w:val="single" w:sz="8" w:color="0000FF"/>
            </w:tcBorders>
            <w:gridSpan w:val="8"/>
          </w:tcPr>
          <w:p>
            <w:pPr>
              <w:spacing w:after="0" w:line="150" w:lineRule="exact"/>
              <w:rPr>
                <w:sz w:val="20"/>
                <w:szCs w:val="20"/>
                <w:color w:val="auto"/>
              </w:rPr>
            </w:pPr>
            <w:r>
              <w:rPr>
                <w:rFonts w:ascii="Verdana" w:cs="Verdana" w:eastAsia="Verdana" w:hAnsi="Verdana"/>
                <w:sz w:val="14"/>
                <w:szCs w:val="14"/>
                <w:color w:val="0000FF"/>
              </w:rPr>
              <w:t>from First Busey’s Chief Executive Officer</w:t>
            </w:r>
          </w:p>
        </w:tc>
        <w:tc>
          <w:tcPr>
            <w:tcW w:w="1720" w:type="dxa"/>
            <w:vAlign w:val="bottom"/>
            <w:gridSpan w:val="6"/>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32.2</w:t>
            </w:r>
          </w:p>
        </w:tc>
        <w:tc>
          <w:tcPr>
            <w:tcW w:w="80" w:type="dxa"/>
            <w:vAlign w:val="bottom"/>
          </w:tcPr>
          <w:p>
            <w:pPr>
              <w:spacing w:after="0"/>
              <w:rPr>
                <w:sz w:val="24"/>
                <w:szCs w:val="24"/>
                <w:color w:val="auto"/>
              </w:rPr>
            </w:pPr>
          </w:p>
        </w:tc>
        <w:tc>
          <w:tcPr>
            <w:tcW w:w="4600" w:type="dxa"/>
            <w:vAlign w:val="bottom"/>
            <w:tcBorders>
              <w:bottom w:val="single" w:sz="8" w:color="0000FF"/>
            </w:tcBorders>
            <w:gridSpan w:val="10"/>
          </w:tcPr>
          <w:p>
            <w:pPr>
              <w:spacing w:after="0"/>
              <w:rPr>
                <w:sz w:val="20"/>
                <w:szCs w:val="20"/>
                <w:color w:val="auto"/>
              </w:rPr>
            </w:pPr>
            <w:r>
              <w:rPr>
                <w:rFonts w:ascii="Verdana" w:cs="Verdana" w:eastAsia="Verdana" w:hAnsi="Verdana"/>
                <w:sz w:val="14"/>
                <w:szCs w:val="14"/>
                <w:color w:val="0000FF"/>
              </w:rPr>
              <w:t>Certification pursuant to 18 U.S.C. Section 1350, as adopted</w:t>
            </w:r>
          </w:p>
        </w:tc>
        <w:tc>
          <w:tcPr>
            <w:tcW w:w="80" w:type="dxa"/>
            <w:vAlign w:val="bottom"/>
            <w:gridSpan w:val="4"/>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Verdana" w:cs="Verdana" w:eastAsia="Verdana" w:hAnsi="Verdana"/>
                <w:sz w:val="14"/>
                <w:szCs w:val="14"/>
                <w:color w:val="auto"/>
              </w:rPr>
              <w:t>X</w:t>
            </w: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0" w:type="dxa"/>
            <w:vAlign w:val="bottom"/>
            <w:tcBorders>
              <w:bottom w:val="single" w:sz="8" w:color="0000FF"/>
            </w:tcBorders>
            <w:gridSpan w:val="10"/>
          </w:tcPr>
          <w:p>
            <w:pPr>
              <w:spacing w:after="0" w:line="150" w:lineRule="exact"/>
              <w:rPr>
                <w:sz w:val="20"/>
                <w:szCs w:val="20"/>
                <w:color w:val="auto"/>
              </w:rPr>
            </w:pPr>
            <w:r>
              <w:rPr>
                <w:rFonts w:ascii="Verdana" w:cs="Verdana" w:eastAsia="Verdana" w:hAnsi="Verdana"/>
                <w:sz w:val="14"/>
                <w:szCs w:val="14"/>
                <w:color w:val="0000FF"/>
              </w:rPr>
              <w:t>pursuant to Section 906 of the Sarbanes-Oxley Act of 2002,</w:t>
            </w:r>
          </w:p>
        </w:tc>
        <w:tc>
          <w:tcPr>
            <w:tcW w:w="80" w:type="dxa"/>
            <w:vAlign w:val="bottom"/>
            <w:gridSpan w:val="4"/>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4"/>
          </w:tcPr>
          <w:p>
            <w:pPr>
              <w:spacing w:after="0" w:line="150" w:lineRule="exact"/>
              <w:rPr>
                <w:sz w:val="20"/>
                <w:szCs w:val="20"/>
                <w:color w:val="auto"/>
              </w:rPr>
            </w:pPr>
            <w:r>
              <w:rPr>
                <w:rFonts w:ascii="Verdana" w:cs="Verdana" w:eastAsia="Verdana" w:hAnsi="Verdana"/>
                <w:sz w:val="14"/>
                <w:szCs w:val="14"/>
                <w:color w:val="0000FF"/>
              </w:rPr>
              <w:t>from First Busey’s Chief Financial Officer</w:t>
            </w: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4"/>
        </w:trPr>
        <w:tc>
          <w:tcPr>
            <w:tcW w:w="900" w:type="dxa"/>
            <w:vAlign w:val="bottom"/>
          </w:tcPr>
          <w:p>
            <w:pPr>
              <w:ind w:left="20"/>
              <w:spacing w:after="0"/>
              <w:rPr>
                <w:sz w:val="20"/>
                <w:szCs w:val="20"/>
                <w:color w:val="auto"/>
              </w:rPr>
            </w:pPr>
            <w:r>
              <w:rPr>
                <w:rFonts w:ascii="Verdana" w:cs="Verdana" w:eastAsia="Verdana" w:hAnsi="Verdana"/>
                <w:sz w:val="14"/>
                <w:szCs w:val="14"/>
                <w:color w:val="auto"/>
              </w:rPr>
              <w:t>97.1</w:t>
            </w:r>
          </w:p>
        </w:tc>
        <w:tc>
          <w:tcPr>
            <w:tcW w:w="80" w:type="dxa"/>
            <w:vAlign w:val="bottom"/>
          </w:tcPr>
          <w:p>
            <w:pPr>
              <w:spacing w:after="0"/>
              <w:rPr>
                <w:sz w:val="24"/>
                <w:szCs w:val="24"/>
                <w:color w:val="auto"/>
              </w:rPr>
            </w:pPr>
          </w:p>
        </w:tc>
        <w:tc>
          <w:tcPr>
            <w:tcW w:w="2880" w:type="dxa"/>
            <w:vAlign w:val="bottom"/>
            <w:tcBorders>
              <w:top w:val="single" w:sz="8" w:color="0000FF"/>
            </w:tcBorders>
            <w:gridSpan w:val="6"/>
          </w:tcPr>
          <w:p>
            <w:pPr>
              <w:spacing w:after="0"/>
              <w:rPr>
                <w:rFonts w:ascii="Verdana" w:cs="Verdana" w:eastAsia="Verdana" w:hAnsi="Verdana"/>
                <w:sz w:val="14"/>
                <w:szCs w:val="14"/>
                <w:color w:val="0000FF"/>
              </w:rPr>
            </w:pPr>
            <w:hyperlink r:id="rId245">
              <w:r>
                <w:rPr>
                  <w:rFonts w:ascii="Verdana" w:cs="Verdana" w:eastAsia="Verdana" w:hAnsi="Verdana"/>
                  <w:sz w:val="14"/>
                  <w:szCs w:val="14"/>
                  <w:color w:val="0000FF"/>
                </w:rPr>
                <w:t>First Busey Corporation Clawback Policy</w:t>
              </w:r>
            </w:hyperlink>
          </w:p>
        </w:tc>
        <w:tc>
          <w:tcPr>
            <w:tcW w:w="1800" w:type="dxa"/>
            <w:vAlign w:val="bottom"/>
            <w:gridSpan w:val="8"/>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10-K</w:t>
            </w:r>
          </w:p>
        </w:tc>
        <w:tc>
          <w:tcPr>
            <w:tcW w:w="1080" w:type="dxa"/>
            <w:vAlign w:val="bottom"/>
          </w:tcPr>
          <w:p>
            <w:pPr>
              <w:jc w:val="right"/>
              <w:ind w:right="316"/>
              <w:spacing w:after="0"/>
              <w:rPr>
                <w:sz w:val="20"/>
                <w:szCs w:val="20"/>
                <w:color w:val="auto"/>
              </w:rPr>
            </w:pPr>
            <w:r>
              <w:rPr>
                <w:rFonts w:ascii="Verdana" w:cs="Verdana" w:eastAsia="Verdana" w:hAnsi="Verdana"/>
                <w:sz w:val="14"/>
                <w:szCs w:val="14"/>
                <w:color w:val="auto"/>
              </w:rPr>
              <w:t>97.1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02/23/2024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900" w:type="dxa"/>
            <w:vAlign w:val="bottom"/>
          </w:tcPr>
          <w:p>
            <w:pPr>
              <w:ind w:left="20"/>
              <w:spacing w:after="0"/>
              <w:rPr>
                <w:sz w:val="20"/>
                <w:szCs w:val="20"/>
                <w:color w:val="auto"/>
              </w:rPr>
            </w:pPr>
            <w:r>
              <w:rPr>
                <w:rFonts w:ascii="Verdana" w:cs="Verdana" w:eastAsia="Verdana" w:hAnsi="Verdana"/>
                <w:sz w:val="14"/>
                <w:szCs w:val="14"/>
                <w:color w:val="auto"/>
              </w:rPr>
              <w:t>99.1</w:t>
            </w:r>
          </w:p>
        </w:tc>
        <w:tc>
          <w:tcPr>
            <w:tcW w:w="80" w:type="dxa"/>
            <w:vAlign w:val="bottom"/>
          </w:tcPr>
          <w:p>
            <w:pPr>
              <w:spacing w:after="0"/>
              <w:rPr>
                <w:sz w:val="24"/>
                <w:szCs w:val="24"/>
                <w:color w:val="auto"/>
              </w:rPr>
            </w:pPr>
          </w:p>
        </w:tc>
        <w:tc>
          <w:tcPr>
            <w:tcW w:w="4600" w:type="dxa"/>
            <w:vAlign w:val="bottom"/>
            <w:tcBorders>
              <w:bottom w:val="single" w:sz="8" w:color="0000FF"/>
            </w:tcBorders>
            <w:gridSpan w:val="10"/>
          </w:tcPr>
          <w:p>
            <w:pPr>
              <w:spacing w:after="0"/>
              <w:rPr>
                <w:rFonts w:ascii="Verdana" w:cs="Verdana" w:eastAsia="Verdana" w:hAnsi="Verdana"/>
                <w:sz w:val="14"/>
                <w:szCs w:val="14"/>
                <w:color w:val="0000FF"/>
              </w:rPr>
            </w:pPr>
            <w:hyperlink r:id="rId246">
              <w:r>
                <w:rPr>
                  <w:rFonts w:ascii="Verdana" w:cs="Verdana" w:eastAsia="Verdana" w:hAnsi="Verdana"/>
                  <w:sz w:val="14"/>
                  <w:szCs w:val="14"/>
                  <w:color w:val="0000FF"/>
                </w:rPr>
                <w:t>Letter Agreement, dated August 26, 2024, by and between First</w:t>
              </w:r>
            </w:hyperlink>
          </w:p>
        </w:tc>
        <w:tc>
          <w:tcPr>
            <w:tcW w:w="80" w:type="dxa"/>
            <w:vAlign w:val="bottom"/>
            <w:gridSpan w:val="4"/>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Verdana" w:cs="Verdana" w:eastAsia="Verdana" w:hAnsi="Verdana"/>
                <w:sz w:val="14"/>
                <w:szCs w:val="14"/>
                <w:color w:val="auto"/>
                <w:w w:val="98"/>
              </w:rPr>
              <w:t>BUSE</w:t>
            </w:r>
          </w:p>
        </w:tc>
        <w:tc>
          <w:tcPr>
            <w:tcW w:w="1160" w:type="dxa"/>
            <w:vAlign w:val="bottom"/>
            <w:gridSpan w:val="2"/>
          </w:tcPr>
          <w:p>
            <w:pPr>
              <w:jc w:val="center"/>
              <w:ind w:right="60"/>
              <w:spacing w:after="0"/>
              <w:rPr>
                <w:sz w:val="20"/>
                <w:szCs w:val="20"/>
                <w:color w:val="auto"/>
              </w:rPr>
            </w:pPr>
            <w:r>
              <w:rPr>
                <w:rFonts w:ascii="Verdana" w:cs="Verdana" w:eastAsia="Verdana" w:hAnsi="Verdana"/>
                <w:sz w:val="14"/>
                <w:szCs w:val="14"/>
                <w:color w:val="auto"/>
              </w:rPr>
              <w:t>8-K</w:t>
            </w:r>
          </w:p>
        </w:tc>
        <w:tc>
          <w:tcPr>
            <w:tcW w:w="1080" w:type="dxa"/>
            <w:vAlign w:val="bottom"/>
          </w:tcPr>
          <w:p>
            <w:pPr>
              <w:jc w:val="right"/>
              <w:ind w:right="356"/>
              <w:spacing w:after="0"/>
              <w:rPr>
                <w:sz w:val="20"/>
                <w:szCs w:val="20"/>
                <w:color w:val="auto"/>
              </w:rPr>
            </w:pPr>
            <w:r>
              <w:rPr>
                <w:rFonts w:ascii="Verdana" w:cs="Verdana" w:eastAsia="Verdana" w:hAnsi="Verdana"/>
                <w:sz w:val="14"/>
                <w:szCs w:val="14"/>
                <w:color w:val="auto"/>
              </w:rPr>
              <w:t>2.1</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Verdana" w:cs="Verdana" w:eastAsia="Verdana" w:hAnsi="Verdana"/>
                <w:sz w:val="14"/>
                <w:szCs w:val="14"/>
                <w:color w:val="auto"/>
                <w:w w:val="99"/>
              </w:rPr>
              <w:t>08/27/2024</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4"/>
          </w:tcPr>
          <w:p>
            <w:pPr>
              <w:spacing w:after="0" w:line="150" w:lineRule="exact"/>
              <w:rPr>
                <w:rFonts w:ascii="Verdana" w:cs="Verdana" w:eastAsia="Verdana" w:hAnsi="Verdana"/>
                <w:sz w:val="14"/>
                <w:szCs w:val="14"/>
                <w:color w:val="0000FF"/>
              </w:rPr>
            </w:pPr>
            <w:hyperlink r:id="rId246">
              <w:r>
                <w:rPr>
                  <w:rFonts w:ascii="Verdana" w:cs="Verdana" w:eastAsia="Verdana" w:hAnsi="Verdana"/>
                  <w:sz w:val="14"/>
                  <w:szCs w:val="14"/>
                  <w:color w:val="0000FF"/>
                </w:rPr>
                <w:t>Busey Corporation and Michael J. Maddox</w:t>
              </w:r>
            </w:hyperlink>
          </w:p>
        </w:tc>
        <w:tc>
          <w:tcPr>
            <w:tcW w:w="1340" w:type="dxa"/>
            <w:vAlign w:val="bottom"/>
          </w:tcPr>
          <w:p>
            <w:pPr>
              <w:jc w:val="center"/>
              <w:spacing w:after="0" w:line="150" w:lineRule="exact"/>
              <w:rPr>
                <w:sz w:val="20"/>
                <w:szCs w:val="20"/>
                <w:color w:val="auto"/>
              </w:rPr>
            </w:pPr>
            <w:r>
              <w:rPr>
                <w:rFonts w:ascii="Verdana" w:cs="Verdana" w:eastAsia="Verdana" w:hAnsi="Verdana"/>
                <w:sz w:val="14"/>
                <w:szCs w:val="14"/>
                <w:color w:val="auto"/>
                <w:w w:val="99"/>
              </w:rPr>
              <w:t>(000-15950)</w:t>
            </w: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7" w:name="page188"/>
    <w:bookmarkEnd w:id="187"/>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4"/>
          </w:tcPr>
          <w:p>
            <w:pPr>
              <w:ind w:left="80"/>
              <w:spacing w:after="0"/>
              <w:rPr>
                <w:sz w:val="20"/>
                <w:szCs w:val="20"/>
                <w:color w:val="auto"/>
              </w:rPr>
            </w:pPr>
            <w:r>
              <w:rPr>
                <w:rFonts w:ascii="Verdana" w:cs="Verdana" w:eastAsia="Verdana" w:hAnsi="Verdana"/>
                <w:sz w:val="10"/>
                <w:szCs w:val="10"/>
                <w:b w:val="1"/>
                <w:bCs w:val="1"/>
                <w:color w:val="auto"/>
              </w:rPr>
              <w:t>Incorporated herein by reference</w:t>
            </w: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gridSpan w:val="2"/>
          </w:tcPr>
          <w:p>
            <w:pPr>
              <w:ind w:left="260"/>
              <w:spacing w:after="0" w:line="96" w:lineRule="exact"/>
              <w:rPr>
                <w:sz w:val="20"/>
                <w:szCs w:val="20"/>
                <w:color w:val="auto"/>
              </w:rPr>
            </w:pPr>
            <w:r>
              <w:rPr>
                <w:rFonts w:ascii="Verdana" w:cs="Verdana" w:eastAsia="Verdana" w:hAnsi="Verdana"/>
                <w:sz w:val="10"/>
                <w:szCs w:val="10"/>
                <w:b w:val="1"/>
                <w:bCs w:val="1"/>
                <w:color w:val="auto"/>
              </w:rPr>
              <w:t>Exhibit</w:t>
            </w:r>
          </w:p>
        </w:tc>
        <w:tc>
          <w:tcPr>
            <w:tcW w:w="4620" w:type="dxa"/>
            <w:vAlign w:val="bottom"/>
            <w:vMerge w:val="restart"/>
          </w:tcPr>
          <w:p>
            <w:pPr>
              <w:ind w:left="1700"/>
              <w:spacing w:after="0"/>
              <w:rPr>
                <w:sz w:val="20"/>
                <w:szCs w:val="20"/>
                <w:color w:val="auto"/>
              </w:rPr>
            </w:pPr>
            <w:r>
              <w:rPr>
                <w:rFonts w:ascii="Verdana" w:cs="Verdana" w:eastAsia="Verdana" w:hAnsi="Verdana"/>
                <w:sz w:val="10"/>
                <w:szCs w:val="10"/>
                <w:b w:val="1"/>
                <w:bCs w:val="1"/>
                <w:color w:val="auto"/>
              </w:rPr>
              <w:t>Description of Exhibit</w:t>
            </w:r>
          </w:p>
        </w:tc>
        <w:tc>
          <w:tcPr>
            <w:tcW w:w="80" w:type="dxa"/>
            <w:vAlign w:val="bottom"/>
            <w:vMerge w:val="restart"/>
          </w:tcPr>
          <w:p>
            <w:pPr>
              <w:spacing w:after="0"/>
              <w:rPr>
                <w:sz w:val="8"/>
                <w:szCs w:val="8"/>
                <w:color w:val="auto"/>
              </w:rPr>
            </w:pPr>
          </w:p>
        </w:tc>
        <w:tc>
          <w:tcPr>
            <w:tcW w:w="1380" w:type="dxa"/>
            <w:vAlign w:val="bottom"/>
            <w:gridSpan w:val="2"/>
          </w:tcPr>
          <w:p>
            <w:pPr>
              <w:jc w:val="center"/>
              <w:ind w:right="80"/>
              <w:spacing w:after="0" w:line="96" w:lineRule="exact"/>
              <w:rPr>
                <w:sz w:val="20"/>
                <w:szCs w:val="20"/>
                <w:color w:val="auto"/>
              </w:rPr>
            </w:pPr>
            <w:r>
              <w:rPr>
                <w:rFonts w:ascii="Verdana" w:cs="Verdana" w:eastAsia="Verdana" w:hAnsi="Verdana"/>
                <w:sz w:val="8"/>
                <w:szCs w:val="8"/>
                <w:b w:val="1"/>
                <w:bCs w:val="1"/>
                <w:color w:val="auto"/>
              </w:rPr>
              <w:t>Filing Entity</w:t>
            </w:r>
            <w:r>
              <w:rPr>
                <w:rFonts w:ascii="Verdana" w:cs="Verdana" w:eastAsia="Verdana" w:hAnsi="Verdana"/>
                <w:sz w:val="10"/>
                <w:szCs w:val="10"/>
                <w:b w:val="1"/>
                <w:bCs w:val="1"/>
                <w:color w:val="auto"/>
                <w:vertAlign w:val="superscript"/>
              </w:rPr>
              <w:t>1</w:t>
            </w:r>
          </w:p>
        </w:tc>
        <w:tc>
          <w:tcPr>
            <w:tcW w:w="1100" w:type="dxa"/>
            <w:vAlign w:val="bottom"/>
            <w:vMerge w:val="restart"/>
          </w:tcPr>
          <w:p>
            <w:pPr>
              <w:ind w:left="400"/>
              <w:spacing w:after="0"/>
              <w:rPr>
                <w:sz w:val="20"/>
                <w:szCs w:val="20"/>
                <w:color w:val="auto"/>
              </w:rPr>
            </w:pPr>
            <w:r>
              <w:rPr>
                <w:rFonts w:ascii="Verdana" w:cs="Verdana" w:eastAsia="Verdana" w:hAnsi="Verdana"/>
                <w:sz w:val="10"/>
                <w:szCs w:val="10"/>
                <w:b w:val="1"/>
                <w:bCs w:val="1"/>
                <w:color w:val="auto"/>
              </w:rPr>
              <w:t>Form</w:t>
            </w:r>
          </w:p>
        </w:tc>
        <w:tc>
          <w:tcPr>
            <w:tcW w:w="60" w:type="dxa"/>
            <w:vAlign w:val="bottom"/>
            <w:vMerge w:val="restart"/>
          </w:tcPr>
          <w:p>
            <w:pPr>
              <w:spacing w:after="0"/>
              <w:rPr>
                <w:sz w:val="8"/>
                <w:szCs w:val="8"/>
                <w:color w:val="auto"/>
              </w:rPr>
            </w:pPr>
          </w:p>
        </w:tc>
        <w:tc>
          <w:tcPr>
            <w:tcW w:w="1080" w:type="dxa"/>
            <w:vAlign w:val="bottom"/>
            <w:vMerge w:val="restart"/>
          </w:tcPr>
          <w:p>
            <w:pPr>
              <w:ind w:left="360"/>
              <w:spacing w:after="0"/>
              <w:rPr>
                <w:sz w:val="20"/>
                <w:szCs w:val="20"/>
                <w:color w:val="auto"/>
              </w:rPr>
            </w:pPr>
            <w:r>
              <w:rPr>
                <w:rFonts w:ascii="Verdana" w:cs="Verdana" w:eastAsia="Verdana" w:hAnsi="Verdana"/>
                <w:sz w:val="10"/>
                <w:szCs w:val="10"/>
                <w:b w:val="1"/>
                <w:bCs w:val="1"/>
                <w:color w:val="auto"/>
              </w:rPr>
              <w:t>Exhibit</w:t>
            </w:r>
          </w:p>
        </w:tc>
        <w:tc>
          <w:tcPr>
            <w:tcW w:w="80" w:type="dxa"/>
            <w:vAlign w:val="bottom"/>
            <w:vMerge w:val="restart"/>
          </w:tcPr>
          <w:p>
            <w:pPr>
              <w:spacing w:after="0"/>
              <w:rPr>
                <w:sz w:val="8"/>
                <w:szCs w:val="8"/>
                <w:color w:val="auto"/>
              </w:rPr>
            </w:pPr>
          </w:p>
        </w:tc>
        <w:tc>
          <w:tcPr>
            <w:tcW w:w="1080" w:type="dxa"/>
            <w:vAlign w:val="bottom"/>
            <w:vMerge w:val="restart"/>
          </w:tcPr>
          <w:p>
            <w:pPr>
              <w:ind w:left="240"/>
              <w:spacing w:after="0"/>
              <w:rPr>
                <w:sz w:val="20"/>
                <w:szCs w:val="20"/>
                <w:color w:val="auto"/>
              </w:rPr>
            </w:pPr>
            <w:r>
              <w:rPr>
                <w:rFonts w:ascii="Verdana" w:cs="Verdana" w:eastAsia="Verdana" w:hAnsi="Verdana"/>
                <w:sz w:val="10"/>
                <w:szCs w:val="10"/>
                <w:b w:val="1"/>
                <w:bCs w:val="1"/>
                <w:color w:val="auto"/>
              </w:rPr>
              <w:t>Filing Date</w:t>
            </w:r>
          </w:p>
        </w:tc>
        <w:tc>
          <w:tcPr>
            <w:tcW w:w="60" w:type="dxa"/>
            <w:vAlign w:val="bottom"/>
            <w:vMerge w:val="restart"/>
          </w:tcPr>
          <w:p>
            <w:pPr>
              <w:spacing w:after="0"/>
              <w:rPr>
                <w:sz w:val="8"/>
                <w:szCs w:val="8"/>
                <w:color w:val="auto"/>
              </w:rPr>
            </w:pPr>
          </w:p>
        </w:tc>
        <w:tc>
          <w:tcPr>
            <w:tcW w:w="760" w:type="dxa"/>
            <w:vAlign w:val="bottom"/>
          </w:tcPr>
          <w:p>
            <w:pPr>
              <w:jc w:val="center"/>
              <w:spacing w:after="0" w:line="96" w:lineRule="exact"/>
              <w:rPr>
                <w:sz w:val="20"/>
                <w:szCs w:val="20"/>
                <w:color w:val="auto"/>
              </w:rPr>
            </w:pPr>
            <w:r>
              <w:rPr>
                <w:rFonts w:ascii="Verdana" w:cs="Verdana" w:eastAsia="Verdana" w:hAnsi="Verdana"/>
                <w:sz w:val="10"/>
                <w:szCs w:val="10"/>
                <w:b w:val="1"/>
                <w:bCs w:val="1"/>
                <w:color w:val="auto"/>
                <w:w w:val="95"/>
              </w:rPr>
              <w:t>Filed</w:t>
            </w:r>
          </w:p>
        </w:tc>
        <w:tc>
          <w:tcPr>
            <w:tcW w:w="0" w:type="dxa"/>
            <w:vAlign w:val="bottom"/>
          </w:tcPr>
          <w:p>
            <w:pPr>
              <w:spacing w:after="0"/>
              <w:rPr>
                <w:sz w:val="1"/>
                <w:szCs w:val="1"/>
                <w:color w:val="auto"/>
              </w:rPr>
            </w:pPr>
          </w:p>
        </w:tc>
      </w:tr>
      <w:tr>
        <w:trPr>
          <w:trHeight w:val="133"/>
        </w:trPr>
        <w:tc>
          <w:tcPr>
            <w:tcW w:w="900" w:type="dxa"/>
            <w:vAlign w:val="bottom"/>
            <w:tcBorders>
              <w:bottom w:val="single" w:sz="8" w:color="auto"/>
            </w:tcBorders>
          </w:tcPr>
          <w:p>
            <w:pPr>
              <w:ind w:left="240"/>
              <w:spacing w:after="0"/>
              <w:rPr>
                <w:sz w:val="20"/>
                <w:szCs w:val="20"/>
                <w:color w:val="auto"/>
              </w:rPr>
            </w:pPr>
            <w:r>
              <w:rPr>
                <w:rFonts w:ascii="Verdana" w:cs="Verdana" w:eastAsia="Verdana" w:hAnsi="Verdana"/>
                <w:sz w:val="10"/>
                <w:szCs w:val="10"/>
                <w:b w:val="1"/>
                <w:bCs w:val="1"/>
                <w:color w:val="auto"/>
              </w:rPr>
              <w:t>Number</w:t>
            </w:r>
          </w:p>
        </w:tc>
        <w:tc>
          <w:tcPr>
            <w:tcW w:w="80" w:type="dxa"/>
            <w:vAlign w:val="bottom"/>
          </w:tcPr>
          <w:p>
            <w:pPr>
              <w:spacing w:after="0"/>
              <w:rPr>
                <w:sz w:val="11"/>
                <w:szCs w:val="11"/>
                <w:color w:val="auto"/>
              </w:rPr>
            </w:pPr>
          </w:p>
        </w:tc>
        <w:tc>
          <w:tcPr>
            <w:tcW w:w="46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7"/>
              </w:rPr>
              <w:t>(File No.)</w:t>
            </w: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Verdana" w:cs="Verdana" w:eastAsia="Verdana" w:hAnsi="Verdana"/>
                <w:sz w:val="10"/>
                <w:szCs w:val="10"/>
                <w:b w:val="1"/>
                <w:bCs w:val="1"/>
                <w:color w:val="auto"/>
                <w:w w:val="96"/>
              </w:rPr>
              <w:t>Herewith</w:t>
            </w:r>
          </w:p>
        </w:tc>
        <w:tc>
          <w:tcPr>
            <w:tcW w:w="0" w:type="dxa"/>
            <w:vAlign w:val="bottom"/>
          </w:tcPr>
          <w:p>
            <w:pPr>
              <w:spacing w:after="0"/>
              <w:rPr>
                <w:sz w:val="1"/>
                <w:szCs w:val="1"/>
                <w:color w:val="auto"/>
              </w:rPr>
            </w:pPr>
          </w:p>
        </w:tc>
      </w:tr>
      <w:tr>
        <w:trPr>
          <w:trHeight w:val="388"/>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101.INS</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Instance Document</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101.SCH</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Taxonomy Extension Schema</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101.CAL</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Taxonomy Extension Calculation Linkbase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101.LAB</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Taxonomy Extension Label Linkbase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101.PRE</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Taxonomy Extension Presentation Linkbase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gridSpan w:val="2"/>
          </w:tcPr>
          <w:p>
            <w:pPr>
              <w:ind w:left="20"/>
              <w:spacing w:after="0"/>
              <w:rPr>
                <w:sz w:val="20"/>
                <w:szCs w:val="20"/>
                <w:color w:val="auto"/>
              </w:rPr>
            </w:pPr>
            <w:r>
              <w:rPr>
                <w:rFonts w:ascii="Verdana" w:cs="Verdana" w:eastAsia="Verdana" w:hAnsi="Verdana"/>
                <w:sz w:val="14"/>
                <w:szCs w:val="14"/>
                <w:color w:val="auto"/>
              </w:rPr>
              <w:t>101.DEF</w:t>
            </w:r>
          </w:p>
        </w:tc>
        <w:tc>
          <w:tcPr>
            <w:tcW w:w="4700" w:type="dxa"/>
            <w:vAlign w:val="bottom"/>
            <w:gridSpan w:val="2"/>
          </w:tcPr>
          <w:p>
            <w:pPr>
              <w:spacing w:after="0"/>
              <w:rPr>
                <w:sz w:val="20"/>
                <w:szCs w:val="20"/>
                <w:color w:val="auto"/>
              </w:rPr>
            </w:pPr>
            <w:r>
              <w:rPr>
                <w:rFonts w:ascii="Verdana" w:cs="Verdana" w:eastAsia="Verdana" w:hAnsi="Verdana"/>
                <w:sz w:val="14"/>
                <w:szCs w:val="14"/>
                <w:color w:val="auto"/>
              </w:rPr>
              <w:t>iXBRL Taxonomy Extension Definition Linkbase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left="980" w:right="5700" w:hanging="961"/>
        <w:spacing w:after="0" w:line="249" w:lineRule="auto"/>
        <w:tabs>
          <w:tab w:leader="none" w:pos="980" w:val="left"/>
        </w:tabs>
        <w:numPr>
          <w:ilvl w:val="0"/>
          <w:numId w:val="49"/>
        </w:numPr>
        <w:rPr>
          <w:rFonts w:ascii="Verdana" w:cs="Verdana" w:eastAsia="Verdana" w:hAnsi="Verdana"/>
          <w:sz w:val="14"/>
          <w:szCs w:val="14"/>
          <w:color w:val="auto"/>
        </w:rPr>
      </w:pPr>
      <w:r>
        <w:rPr>
          <w:rFonts w:ascii="Verdana" w:cs="Verdana" w:eastAsia="Verdana" w:hAnsi="Verdana"/>
          <w:sz w:val="14"/>
          <w:szCs w:val="14"/>
          <w:color w:val="auto"/>
        </w:rPr>
        <w:t>Cover Page Interactive Data File (formatted as inline XBRL with applicable taxonomy extension information contained in Exhibits 101)</w:t>
      </w:r>
    </w:p>
    <w:p>
      <w:pPr>
        <w:spacing w:after="0" w:line="65" w:lineRule="exact"/>
        <w:rPr>
          <w:sz w:val="20"/>
          <w:szCs w:val="20"/>
          <w:color w:val="auto"/>
        </w:rPr>
      </w:pPr>
    </w:p>
    <w:p>
      <w:pPr>
        <w:spacing w:after="0"/>
        <w:rPr>
          <w:sz w:val="20"/>
          <w:szCs w:val="20"/>
          <w:color w:val="auto"/>
        </w:rPr>
      </w:pPr>
      <w:r>
        <w:rPr>
          <w:rFonts w:ascii="Verdana" w:cs="Verdana" w:eastAsia="Verdana" w:hAnsi="Verdana"/>
          <w:sz w:val="10"/>
          <w:szCs w:val="10"/>
          <w:color w:val="auto"/>
        </w:rPr>
        <w:t>___________________________________________</w:t>
      </w:r>
    </w:p>
    <w:p>
      <w:pPr>
        <w:spacing w:after="0" w:line="1" w:lineRule="exact"/>
        <w:rPr>
          <w:sz w:val="20"/>
          <w:szCs w:val="20"/>
          <w:color w:val="auto"/>
        </w:rPr>
      </w:pPr>
    </w:p>
    <w:p>
      <w:pPr>
        <w:ind w:left="260" w:hanging="255"/>
        <w:spacing w:after="0"/>
        <w:tabs>
          <w:tab w:leader="none" w:pos="260" w:val="left"/>
        </w:tabs>
        <w:numPr>
          <w:ilvl w:val="0"/>
          <w:numId w:val="50"/>
        </w:numPr>
        <w:rPr>
          <w:rFonts w:ascii="Verdana" w:cs="Verdana" w:eastAsia="Verdana" w:hAnsi="Verdana"/>
          <w:sz w:val="10"/>
          <w:szCs w:val="10"/>
          <w:color w:val="auto"/>
        </w:rPr>
      </w:pPr>
      <w:r>
        <w:rPr>
          <w:rFonts w:ascii="Verdana" w:cs="Verdana" w:eastAsia="Verdana" w:hAnsi="Verdana"/>
          <w:sz w:val="10"/>
          <w:szCs w:val="10"/>
          <w:color w:val="auto"/>
        </w:rPr>
        <w:t>BUSE is First Busey Corporation. MSTI is Main Street Trust, Inc. FCFP is First Community Financial Partners, Inc.</w:t>
      </w:r>
    </w:p>
    <w:p>
      <w:pPr>
        <w:ind w:left="260" w:hanging="255"/>
        <w:spacing w:after="0" w:line="230" w:lineRule="auto"/>
        <w:tabs>
          <w:tab w:leader="none" w:pos="259" w:val="left"/>
        </w:tabs>
        <w:numPr>
          <w:ilvl w:val="0"/>
          <w:numId w:val="51"/>
        </w:numPr>
        <w:rPr>
          <w:rFonts w:ascii="Verdana" w:cs="Verdana" w:eastAsia="Verdana" w:hAnsi="Verdana"/>
          <w:sz w:val="10"/>
          <w:szCs w:val="10"/>
          <w:color w:val="auto"/>
        </w:rPr>
      </w:pPr>
      <w:r>
        <w:rPr>
          <w:rFonts w:ascii="Verdana" w:cs="Verdana" w:eastAsia="Verdana" w:hAnsi="Verdana"/>
          <w:sz w:val="10"/>
          <w:szCs w:val="10"/>
          <w:color w:val="auto"/>
        </w:rPr>
        <w:t>Schedules have been omitted pursuant to Item 601(a)(5) of Regulation S-K. A copy of any omitted schedule will be furnished to the SEC upon request; provided, however, that the parties may request confidential treatment pursuant to Rule 24b-2 of the Securities Exchange Act of 1934, as amended, for any document so furnished.</w:t>
      </w:r>
    </w:p>
    <w:p>
      <w:pPr>
        <w:ind w:left="260" w:hanging="255"/>
        <w:spacing w:after="0"/>
        <w:tabs>
          <w:tab w:leader="none" w:pos="260" w:val="left"/>
        </w:tabs>
        <w:numPr>
          <w:ilvl w:val="0"/>
          <w:numId w:val="52"/>
        </w:numPr>
        <w:rPr>
          <w:rFonts w:ascii="Verdana" w:cs="Verdana" w:eastAsia="Verdana" w:hAnsi="Verdana"/>
          <w:sz w:val="10"/>
          <w:szCs w:val="10"/>
          <w:color w:val="auto"/>
        </w:rPr>
      </w:pPr>
      <w:r>
        <w:rPr>
          <w:rFonts w:ascii="Verdana" w:cs="Verdana" w:eastAsia="Verdana" w:hAnsi="Verdana"/>
          <w:sz w:val="10"/>
          <w:szCs w:val="10"/>
          <w:color w:val="auto"/>
        </w:rPr>
        <w:t>Management contract or compensatory plan.</w:t>
      </w:r>
    </w:p>
    <w:p>
      <w:pPr>
        <w:spacing w:after="0" w:line="324"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8" w:name="page189"/>
    <w:bookmarkEnd w:id="188"/>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SIGNATURES</w:t>
      </w:r>
    </w:p>
    <w:p>
      <w:pPr>
        <w:spacing w:after="0" w:line="138"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Pursuant to the requirements of Section 13 or 15(d) of the Securities Exchange Act of 1934, the registrant has duly caused this report to be signed on its behalf by the undersigned, thereunto duly authorized, as of February 27, 2025.</w:t>
      </w:r>
    </w:p>
    <w:p>
      <w:pPr>
        <w:spacing w:after="0" w:line="153" w:lineRule="exact"/>
        <w:rPr>
          <w:sz w:val="20"/>
          <w:szCs w:val="20"/>
          <w:color w:val="auto"/>
        </w:rPr>
      </w:pPr>
    </w:p>
    <w:p>
      <w:pPr>
        <w:ind w:left="3840"/>
        <w:spacing w:after="0"/>
        <w:rPr>
          <w:sz w:val="20"/>
          <w:szCs w:val="20"/>
          <w:color w:val="auto"/>
        </w:rPr>
      </w:pPr>
      <w:r>
        <w:rPr>
          <w:rFonts w:ascii="Verdana" w:cs="Verdana" w:eastAsia="Verdana" w:hAnsi="Verdana"/>
          <w:sz w:val="14"/>
          <w:szCs w:val="14"/>
          <w:b w:val="1"/>
          <w:bCs w:val="1"/>
          <w:color w:val="auto"/>
        </w:rPr>
        <w:t>FIRST BUSEY CORPORATION</w:t>
      </w:r>
    </w:p>
    <w:p>
      <w:pPr>
        <w:spacing w:after="0" w:line="42" w:lineRule="exact"/>
        <w:rPr>
          <w:sz w:val="20"/>
          <w:szCs w:val="20"/>
          <w:color w:val="auto"/>
        </w:rPr>
      </w:pPr>
    </w:p>
    <w:p>
      <w:pPr>
        <w:ind w:left="3840"/>
        <w:spacing w:after="0"/>
        <w:rPr>
          <w:sz w:val="20"/>
          <w:szCs w:val="20"/>
          <w:color w:val="auto"/>
        </w:rPr>
      </w:pPr>
      <w:r>
        <w:rPr>
          <w:rFonts w:ascii="Verdana" w:cs="Verdana" w:eastAsia="Verdana" w:hAnsi="Verdana"/>
          <w:sz w:val="14"/>
          <w:szCs w:val="14"/>
          <w:color w:val="auto"/>
        </w:rPr>
        <w:t>(Registrant)</w:t>
      </w:r>
    </w:p>
    <w:p>
      <w:pPr>
        <w:spacing w:after="0" w:line="254" w:lineRule="exact"/>
        <w:rPr>
          <w:sz w:val="20"/>
          <w:szCs w:val="20"/>
          <w:color w:val="auto"/>
        </w:rPr>
      </w:pPr>
    </w:p>
    <w:p>
      <w:pPr>
        <w:ind w:left="3840"/>
        <w:spacing w:after="0"/>
        <w:tabs>
          <w:tab w:leader="none" w:pos="4500" w:val="left"/>
        </w:tabs>
        <w:rPr>
          <w:sz w:val="20"/>
          <w:szCs w:val="20"/>
          <w:color w:val="auto"/>
        </w:rPr>
      </w:pPr>
      <w:r>
        <w:rPr>
          <w:rFonts w:ascii="Verdana" w:cs="Verdana" w:eastAsia="Verdana" w:hAnsi="Verdana"/>
          <w:sz w:val="14"/>
          <w:szCs w:val="14"/>
          <w:color w:val="auto"/>
        </w:rPr>
        <w:t>BY</w:t>
      </w:r>
      <w:r>
        <w:rPr>
          <w:sz w:val="20"/>
          <w:szCs w:val="20"/>
          <w:color w:val="auto"/>
        </w:rPr>
        <w:tab/>
      </w:r>
      <w:r>
        <w:rPr>
          <w:rFonts w:ascii="Verdana" w:cs="Verdana" w:eastAsia="Verdana" w:hAnsi="Verdana"/>
          <w:sz w:val="14"/>
          <w:szCs w:val="14"/>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15875</wp:posOffset>
            </wp:positionV>
            <wp:extent cx="429831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4298315" cy="6985"/>
                    </a:xfrm>
                    <a:prstGeom prst="rect">
                      <a:avLst/>
                    </a:prstGeom>
                    <a:noFill/>
                  </pic:spPr>
                </pic:pic>
              </a:graphicData>
            </a:graphic>
          </wp:anchor>
        </w:drawing>
      </w:r>
    </w:p>
    <w:p>
      <w:pPr>
        <w:spacing w:after="0" w:line="33"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Van A. Dukeman</w:t>
      </w:r>
    </w:p>
    <w:p>
      <w:pPr>
        <w:spacing w:after="0" w:line="191"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Chairman and Chief Executive Officer</w:t>
      </w:r>
    </w:p>
    <w:p>
      <w:pPr>
        <w:spacing w:after="0" w:line="180"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(Principal Executive Officer)</w:t>
      </w:r>
    </w:p>
    <w:p>
      <w:pPr>
        <w:spacing w:after="0" w:line="254" w:lineRule="exact"/>
        <w:rPr>
          <w:sz w:val="20"/>
          <w:szCs w:val="20"/>
          <w:color w:val="auto"/>
        </w:rPr>
      </w:pPr>
    </w:p>
    <w:p>
      <w:pPr>
        <w:ind w:left="3840"/>
        <w:spacing w:after="0"/>
        <w:tabs>
          <w:tab w:leader="none" w:pos="4500" w:val="left"/>
        </w:tabs>
        <w:rPr>
          <w:sz w:val="20"/>
          <w:szCs w:val="20"/>
          <w:color w:val="auto"/>
        </w:rPr>
      </w:pPr>
      <w:r>
        <w:rPr>
          <w:rFonts w:ascii="Verdana" w:cs="Verdana" w:eastAsia="Verdana" w:hAnsi="Verdana"/>
          <w:sz w:val="14"/>
          <w:szCs w:val="14"/>
          <w:color w:val="auto"/>
        </w:rPr>
        <w:t>BY</w:t>
      </w:r>
      <w:r>
        <w:rPr>
          <w:sz w:val="20"/>
          <w:szCs w:val="20"/>
          <w:color w:val="auto"/>
        </w:rPr>
        <w:tab/>
      </w:r>
      <w:r>
        <w:rPr>
          <w:rFonts w:ascii="Verdana" w:cs="Verdana" w:eastAsia="Verdana" w:hAnsi="Verdana"/>
          <w:sz w:val="14"/>
          <w:szCs w:val="14"/>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15875</wp:posOffset>
            </wp:positionV>
            <wp:extent cx="429831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4298315" cy="6985"/>
                    </a:xfrm>
                    <a:prstGeom prst="rect">
                      <a:avLst/>
                    </a:prstGeom>
                    <a:noFill/>
                  </pic:spPr>
                </pic:pic>
              </a:graphicData>
            </a:graphic>
          </wp:anchor>
        </w:drawing>
      </w:r>
    </w:p>
    <w:p>
      <w:pPr>
        <w:spacing w:after="0" w:line="33"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Scott A. Phillips</w:t>
      </w:r>
    </w:p>
    <w:p>
      <w:pPr>
        <w:spacing w:after="0" w:line="191"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Interim Chief Financial Officer, Executive Vice President and Chief Accounting Officer</w:t>
      </w:r>
    </w:p>
    <w:p>
      <w:pPr>
        <w:spacing w:after="0" w:line="329" w:lineRule="exact"/>
        <w:rPr>
          <w:sz w:val="20"/>
          <w:szCs w:val="20"/>
          <w:color w:val="auto"/>
        </w:rPr>
      </w:pPr>
    </w:p>
    <w:p>
      <w:pPr>
        <w:ind w:left="4520"/>
        <w:spacing w:after="0"/>
        <w:rPr>
          <w:sz w:val="20"/>
          <w:szCs w:val="20"/>
          <w:color w:val="auto"/>
        </w:rPr>
      </w:pPr>
      <w:r>
        <w:rPr>
          <w:rFonts w:ascii="Verdana" w:cs="Verdana" w:eastAsia="Verdana" w:hAnsi="Verdana"/>
          <w:sz w:val="14"/>
          <w:szCs w:val="14"/>
          <w:color w:val="auto"/>
        </w:rPr>
        <w:t>(Principal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131445</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89" w:name="page190"/>
    <w:bookmarkEnd w:id="189"/>
    <w:p>
      <w:pPr>
        <w:spacing w:after="0"/>
        <w:rPr>
          <w:sz w:val="20"/>
          <w:szCs w:val="20"/>
          <w:color w:val="auto"/>
        </w:rPr>
      </w:pPr>
      <w:r>
        <w:rPr>
          <w:rFonts w:ascii="Verdana" w:cs="Verdana" w:eastAsia="Verdana" w:hAnsi="Verdana"/>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Pursuant to the requirements of the Securities Exchange Act of 1934, this report has been signed below by the following persons on behalf of the registrant and in the capacities indicated, as of February 27,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520" w:type="dxa"/>
            <w:vAlign w:val="bottom"/>
          </w:tcPr>
          <w:p>
            <w:pPr>
              <w:ind w:left="1500"/>
              <w:spacing w:after="0"/>
              <w:rPr>
                <w:sz w:val="20"/>
                <w:szCs w:val="20"/>
                <w:color w:val="auto"/>
              </w:rPr>
            </w:pPr>
            <w:r>
              <w:rPr>
                <w:rFonts w:ascii="Verdana" w:cs="Verdana" w:eastAsia="Verdana" w:hAnsi="Verdana"/>
                <w:sz w:val="10"/>
                <w:szCs w:val="10"/>
                <w:b w:val="1"/>
                <w:bCs w:val="1"/>
                <w:color w:val="auto"/>
              </w:rPr>
              <w:t>Signature</w:t>
            </w:r>
          </w:p>
        </w:tc>
        <w:tc>
          <w:tcPr>
            <w:tcW w:w="7760" w:type="dxa"/>
            <w:vAlign w:val="bottom"/>
          </w:tcPr>
          <w:p>
            <w:pPr>
              <w:ind w:left="3800"/>
              <w:spacing w:after="0"/>
              <w:rPr>
                <w:sz w:val="20"/>
                <w:szCs w:val="20"/>
                <w:color w:val="auto"/>
              </w:rPr>
            </w:pPr>
            <w:r>
              <w:rPr>
                <w:rFonts w:ascii="Verdana" w:cs="Verdana" w:eastAsia="Verdana" w:hAnsi="Verdana"/>
                <w:sz w:val="10"/>
                <w:szCs w:val="10"/>
                <w:b w:val="1"/>
                <w:bCs w:val="1"/>
                <w:color w:val="auto"/>
              </w:rPr>
              <w:t>Title</w:t>
            </w:r>
          </w:p>
        </w:tc>
      </w:tr>
      <w:tr>
        <w:trPr>
          <w:trHeight w:val="429"/>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VAN A. DUKEMAN</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Chairman and Chief Executive Officer</w:t>
            </w:r>
          </w:p>
        </w:tc>
      </w:tr>
      <w:tr>
        <w:trPr>
          <w:trHeight w:val="201"/>
        </w:trPr>
        <w:tc>
          <w:tcPr>
            <w:tcW w:w="3520" w:type="dxa"/>
            <w:vAlign w:val="bottom"/>
          </w:tcPr>
          <w:p>
            <w:pPr>
              <w:ind w:left="20"/>
              <w:spacing w:after="0"/>
              <w:rPr>
                <w:sz w:val="20"/>
                <w:szCs w:val="20"/>
                <w:color w:val="auto"/>
              </w:rPr>
            </w:pPr>
            <w:r>
              <w:rPr>
                <w:rFonts w:ascii="Verdana" w:cs="Verdana" w:eastAsia="Verdana" w:hAnsi="Verdana"/>
                <w:sz w:val="14"/>
                <w:szCs w:val="14"/>
                <w:color w:val="auto"/>
              </w:rPr>
              <w:t>Van A. Dukeman</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(Principal Executive Officer)</w:t>
            </w: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SCOTT A. PHILLIPS</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Interim Chief Financial Officer, Executive Vice President and Chief Accounting Officer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Scott A. Phillips</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(Principal Financial Officer, Principal Accounting Officer)</w:t>
            </w: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GREGORY B. LYKINS</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Vice-Chairman</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Gregory B. Lykins</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SAMUEL P. BANKS</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Samuel P. Banks</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GEORGE BARR</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George Barr</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STANLEY J. BRADSHAW</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Stanley J. Bradshaw</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MICHAEL D. CASSENS</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Michael D. Cassens</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KAREN M. JENSEN</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Karen M. Jensen</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FREDERIC L. KENNEY</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Frederic L. Kenney</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STEPHEN V. KING</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Stephen V. King</w:t>
            </w:r>
          </w:p>
        </w:tc>
        <w:tc>
          <w:tcPr>
            <w:tcW w:w="7760" w:type="dxa"/>
            <w:vAlign w:val="bottom"/>
          </w:tcPr>
          <w:p>
            <w:pPr>
              <w:spacing w:after="0"/>
              <w:rPr>
                <w:sz w:val="17"/>
                <w:szCs w:val="17"/>
                <w:color w:val="auto"/>
              </w:rPr>
            </w:pPr>
          </w:p>
        </w:tc>
      </w:tr>
      <w:tr>
        <w:trPr>
          <w:trHeight w:val="430"/>
        </w:trPr>
        <w:tc>
          <w:tcPr>
            <w:tcW w:w="3520" w:type="dxa"/>
            <w:vAlign w:val="bottom"/>
            <w:tcBorders>
              <w:bottom w:val="single" w:sz="8" w:color="auto"/>
            </w:tcBorders>
          </w:tcPr>
          <w:p>
            <w:pPr>
              <w:ind w:left="20"/>
              <w:spacing w:after="0"/>
              <w:rPr>
                <w:sz w:val="20"/>
                <w:szCs w:val="20"/>
                <w:color w:val="auto"/>
              </w:rPr>
            </w:pPr>
            <w:r>
              <w:rPr>
                <w:rFonts w:ascii="Verdana" w:cs="Verdana" w:eastAsia="Verdana" w:hAnsi="Verdana"/>
                <w:sz w:val="14"/>
                <w:szCs w:val="14"/>
                <w:color w:val="auto"/>
              </w:rPr>
              <w:t>/s/ CASSANDRA R. SANFORD</w:t>
            </w:r>
          </w:p>
        </w:tc>
        <w:tc>
          <w:tcPr>
            <w:tcW w:w="7760" w:type="dxa"/>
            <w:vAlign w:val="bottom"/>
          </w:tcPr>
          <w:p>
            <w:pPr>
              <w:ind w:left="100"/>
              <w:spacing w:after="0"/>
              <w:rPr>
                <w:sz w:val="20"/>
                <w:szCs w:val="20"/>
                <w:color w:val="auto"/>
              </w:rPr>
            </w:pPr>
            <w:r>
              <w:rPr>
                <w:rFonts w:ascii="Verdana" w:cs="Verdana" w:eastAsia="Verdana" w:hAnsi="Verdana"/>
                <w:sz w:val="14"/>
                <w:szCs w:val="14"/>
                <w:color w:val="auto"/>
              </w:rPr>
              <w:t>Director</w:t>
            </w:r>
          </w:p>
        </w:tc>
      </w:tr>
      <w:tr>
        <w:trPr>
          <w:trHeight w:val="197"/>
        </w:trPr>
        <w:tc>
          <w:tcPr>
            <w:tcW w:w="3520" w:type="dxa"/>
            <w:vAlign w:val="bottom"/>
          </w:tcPr>
          <w:p>
            <w:pPr>
              <w:ind w:left="20"/>
              <w:spacing w:after="0"/>
              <w:rPr>
                <w:sz w:val="20"/>
                <w:szCs w:val="20"/>
                <w:color w:val="auto"/>
              </w:rPr>
            </w:pPr>
            <w:r>
              <w:rPr>
                <w:rFonts w:ascii="Verdana" w:cs="Verdana" w:eastAsia="Verdana" w:hAnsi="Verdana"/>
                <w:sz w:val="14"/>
                <w:szCs w:val="14"/>
                <w:color w:val="auto"/>
              </w:rPr>
              <w:t>Cassandra R. Sanford</w:t>
            </w:r>
          </w:p>
        </w:tc>
        <w:tc>
          <w:tcPr>
            <w:tcW w:w="7760" w:type="dxa"/>
            <w:vAlign w:val="bottom"/>
          </w:tcPr>
          <w:p>
            <w:pPr>
              <w:spacing w:after="0"/>
              <w:rPr>
                <w:sz w:val="17"/>
                <w:szCs w:val="17"/>
                <w:color w:val="auto"/>
              </w:rPr>
            </w:pPr>
          </w:p>
        </w:tc>
      </w:tr>
      <w:tr>
        <w:trPr>
          <w:trHeight w:val="732"/>
        </w:trPr>
        <w:tc>
          <w:tcPr>
            <w:tcW w:w="3520" w:type="dxa"/>
            <w:vAlign w:val="bottom"/>
          </w:tcPr>
          <w:p>
            <w:pPr>
              <w:spacing w:after="0"/>
              <w:rPr>
                <w:sz w:val="24"/>
                <w:szCs w:val="24"/>
                <w:color w:val="auto"/>
              </w:rPr>
            </w:pPr>
          </w:p>
        </w:tc>
        <w:tc>
          <w:tcPr>
            <w:tcW w:w="7760" w:type="dxa"/>
            <w:vAlign w:val="bottom"/>
          </w:tcPr>
          <w:p>
            <w:pPr>
              <w:ind w:left="4400"/>
              <w:spacing w:after="0"/>
              <w:rPr>
                <w:sz w:val="20"/>
                <w:szCs w:val="20"/>
                <w:color w:val="auto"/>
              </w:rPr>
            </w:pPr>
            <w:r>
              <w:rPr>
                <w:rFonts w:ascii="Verdana" w:cs="Verdana" w:eastAsia="Verdana" w:hAnsi="Verdana"/>
                <w:sz w:val="14"/>
                <w:szCs w:val="14"/>
                <w:color w:val="808285"/>
              </w:rPr>
              <w:t xml:space="preserve">First Busey Corporation </w:t>
            </w:r>
            <w:r>
              <w:rPr>
                <w:rFonts w:ascii="Verdana" w:cs="Verdana" w:eastAsia="Verdana" w:hAnsi="Verdana"/>
                <w:sz w:val="14"/>
                <w:szCs w:val="14"/>
                <w:b w:val="1"/>
                <w:bCs w:val="1"/>
                <w:color w:val="808285"/>
              </w:rPr>
              <w:t>(BUSE)</w:t>
            </w:r>
            <w:r>
              <w:rPr>
                <w:rFonts w:ascii="Verdana" w:cs="Verdana" w:eastAsia="Verdana" w:hAnsi="Verdana"/>
                <w:sz w:val="14"/>
                <w:szCs w:val="14"/>
                <w:color w:val="808285"/>
              </w:rPr>
              <w:t xml:space="preserve"> | 2024 — </w:t>
            </w:r>
            <w:r>
              <w:rPr>
                <w:rFonts w:ascii="Verdana" w:cs="Verdana" w:eastAsia="Verdana" w:hAnsi="Verdana"/>
                <w:sz w:val="14"/>
                <w:szCs w:val="14"/>
                <w:b w:val="1"/>
                <w:bCs w:val="1"/>
                <w:color w:val="376484"/>
              </w:rPr>
              <w:t>190</w:t>
            </w:r>
          </w:p>
        </w:tc>
      </w:tr>
    </w:tbl>
    <w:p>
      <w:pPr>
        <w:sectPr>
          <w:pgSz w:w="11900" w:h="16838" w:orient="portrait"/>
          <w:cols w:equalWidth="0" w:num="1">
            <w:col w:w="11280"/>
          </w:cols>
          <w:pgMar w:left="300" w:top="273" w:right="319" w:bottom="1440" w:gutter="0" w:footer="0" w:header="0"/>
        </w:sectPr>
      </w:pPr>
    </w:p>
    <w:bookmarkStart w:id="190" w:name="page191"/>
    <w:bookmarkEnd w:id="190"/>
    <w:p>
      <w:pPr>
        <w:jc w:val="right"/>
        <w:spacing w:after="0"/>
        <w:rPr>
          <w:sz w:val="20"/>
          <w:szCs w:val="20"/>
          <w:color w:val="auto"/>
        </w:rPr>
      </w:pPr>
      <w:r>
        <w:rPr>
          <w:rFonts w:ascii="Verdana" w:cs="Verdana" w:eastAsia="Verdana" w:hAnsi="Verdana"/>
          <w:sz w:val="14"/>
          <w:szCs w:val="14"/>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DESCRIPTION OF</w:t>
      </w:r>
    </w:p>
    <w:p>
      <w:pPr>
        <w:jc w:val="center"/>
        <w:spacing w:after="0" w:line="234" w:lineRule="auto"/>
        <w:rPr>
          <w:sz w:val="20"/>
          <w:szCs w:val="20"/>
          <w:color w:val="auto"/>
        </w:rPr>
      </w:pPr>
      <w:r>
        <w:rPr>
          <w:rFonts w:ascii="Verdana" w:cs="Verdana" w:eastAsia="Verdana" w:hAnsi="Verdana"/>
          <w:sz w:val="17"/>
          <w:szCs w:val="17"/>
          <w:b w:val="1"/>
          <w:bCs w:val="1"/>
          <w:color w:val="auto"/>
        </w:rPr>
        <w:t>FIRST BUSEY CORPORATION’S SECURITIES</w:t>
      </w:r>
    </w:p>
    <w:p>
      <w:pPr>
        <w:jc w:val="center"/>
        <w:spacing w:after="0"/>
        <w:rPr>
          <w:sz w:val="20"/>
          <w:szCs w:val="20"/>
          <w:color w:val="auto"/>
        </w:rPr>
      </w:pPr>
      <w:r>
        <w:rPr>
          <w:rFonts w:ascii="Verdana" w:cs="Verdana" w:eastAsia="Verdana" w:hAnsi="Verdana"/>
          <w:sz w:val="17"/>
          <w:szCs w:val="17"/>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SECURITIES EXCHANGE ACT OF 1934</w:t>
      </w:r>
    </w:p>
    <w:p>
      <w:pPr>
        <w:spacing w:after="0" w:line="200" w:lineRule="exact"/>
        <w:rPr>
          <w:sz w:val="20"/>
          <w:szCs w:val="20"/>
          <w:color w:val="auto"/>
        </w:rPr>
      </w:pPr>
    </w:p>
    <w:p>
      <w:pPr>
        <w:spacing w:after="0" w:line="258" w:lineRule="exact"/>
        <w:rPr>
          <w:sz w:val="20"/>
          <w:szCs w:val="20"/>
          <w:color w:val="auto"/>
        </w:rPr>
      </w:pPr>
    </w:p>
    <w:p>
      <w:pPr>
        <w:jc w:val="both"/>
        <w:spacing w:after="0" w:line="243" w:lineRule="auto"/>
        <w:rPr>
          <w:rFonts w:ascii="Verdana" w:cs="Verdana" w:eastAsia="Verdana" w:hAnsi="Verdana"/>
          <w:sz w:val="14"/>
          <w:szCs w:val="14"/>
          <w:i w:val="1"/>
          <w:iCs w:val="1"/>
          <w:color w:val="auto"/>
        </w:rPr>
      </w:pPr>
      <w:r>
        <w:rPr>
          <w:rFonts w:ascii="Verdana" w:cs="Verdana" w:eastAsia="Verdana" w:hAnsi="Verdana"/>
          <w:sz w:val="14"/>
          <w:szCs w:val="14"/>
          <w:i w:val="1"/>
          <w:iCs w:val="1"/>
          <w:color w:val="auto"/>
        </w:rPr>
        <w:t xml:space="preserve">The common stock of First Busey Corporation (the “Company,” which is also referred to herein as “we,” “our” or “us”) is registered pursuant to Section 12 of the Securities Exchange Act of 1934, as amended. The following description of the material terms of the Company’s common stock is only a summary. This summary does not purport to be a complete description of the terms and conditions of the Company’s common stock and is subject to and qualified in its entirety by reference to the Company’s </w:t>
      </w:r>
      <w:hyperlink r:id="rId218">
        <w:r>
          <w:rPr>
            <w:rFonts w:ascii="Verdana" w:cs="Verdana" w:eastAsia="Verdana" w:hAnsi="Verdana"/>
            <w:sz w:val="14"/>
            <w:szCs w:val="14"/>
            <w:i w:val="1"/>
            <w:iCs w:val="1"/>
            <w:u w:val="single" w:color="auto"/>
            <w:color w:val="0000FF"/>
          </w:rPr>
          <w:t>Amended and Restated Articles of Incorporation</w:t>
        </w:r>
      </w:hyperlink>
      <w:r>
        <w:rPr>
          <w:rFonts w:ascii="Verdana" w:cs="Verdana" w:eastAsia="Verdana" w:hAnsi="Verdana"/>
          <w:sz w:val="14"/>
          <w:szCs w:val="14"/>
          <w:i w:val="1"/>
          <w:iCs w:val="1"/>
          <w:color w:val="auto"/>
        </w:rPr>
        <w:t xml:space="preserve">, which we refer to as the “Articles of Incorporation” and the Company’s </w:t>
      </w:r>
      <w:hyperlink r:id="rId220">
        <w:r>
          <w:rPr>
            <w:rFonts w:ascii="Verdana" w:cs="Verdana" w:eastAsia="Verdana" w:hAnsi="Verdana"/>
            <w:sz w:val="14"/>
            <w:szCs w:val="14"/>
            <w:i w:val="1"/>
            <w:iCs w:val="1"/>
            <w:u w:val="single" w:color="auto"/>
            <w:color w:val="0000FF"/>
          </w:rPr>
          <w:t>Second Amended and Restated By-laws</w:t>
        </w:r>
      </w:hyperlink>
      <w:r>
        <w:rPr>
          <w:rFonts w:ascii="Verdana" w:cs="Verdana" w:eastAsia="Verdana" w:hAnsi="Verdana"/>
          <w:sz w:val="14"/>
          <w:szCs w:val="14"/>
          <w:i w:val="1"/>
          <w:iCs w:val="1"/>
          <w:color w:val="auto"/>
        </w:rPr>
        <w:t>, which we refer to as the “Bylaws,” as well as the Nevada General Corporation Law, which we refer to as the “NGCL,” each as may be amended from time to time, and any other documents referenced in the summary and from which the summary is derived.</w:t>
      </w:r>
    </w:p>
    <w:p>
      <w:pPr>
        <w:spacing w:after="0" w:line="133"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DESCRIPTION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General</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Under our Articles of Incorporation, we have the authority to issue 100,000,000 shares of our common stock, par value $0.001 per share, and 1,000,000 shares of preferred stock, par value $0.001 per share. Our common stock is listed for trading on the NASDAQ Global Select Market under the symbol “BUSE.” 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13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Voting Rights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Each outstanding share of our common stock is entitled to one vote on all matters submitted to a vote of stockholders. There is no cumulative voting in the election of directors.</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Liquidation Rights</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Upon our liquidation, dissolution, or winding up, the holders of our common stock are entitled to receive, pro rata, our assets which are legally available for distribution, after payment of all debts and other liabilities and subject to the prior rights of any holders of preferred stock then outstanding.</w:t>
      </w:r>
    </w:p>
    <w:p>
      <w:pPr>
        <w:sectPr>
          <w:pgSz w:w="11900" w:h="16838" w:orient="portrait"/>
          <w:cols w:equalWidth="0" w:num="1">
            <w:col w:w="11280"/>
          </w:cols>
          <w:pgMar w:left="300" w:top="135" w:right="319" w:bottom="1440" w:gutter="0" w:footer="0" w:header="0"/>
        </w:sectPr>
      </w:pPr>
    </w:p>
    <w:bookmarkStart w:id="191" w:name="page192"/>
    <w:bookmarkEnd w:id="191"/>
    <w:p>
      <w:pPr>
        <w:spacing w:after="0" w:line="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Dividends Payable on Shares of Common Stock</w:t>
      </w:r>
    </w:p>
    <w:p>
      <w:pPr>
        <w:spacing w:after="0" w:line="138" w:lineRule="exact"/>
        <w:rPr>
          <w:sz w:val="20"/>
          <w:szCs w:val="20"/>
          <w:color w:val="auto"/>
        </w:rPr>
      </w:pPr>
    </w:p>
    <w:p>
      <w:pPr>
        <w:jc w:val="both"/>
        <w:spacing w:after="0"/>
        <w:rPr>
          <w:sz w:val="20"/>
          <w:szCs w:val="20"/>
          <w:color w:val="auto"/>
        </w:rPr>
      </w:pPr>
      <w:r>
        <w:rPr>
          <w:rFonts w:ascii="Verdana" w:cs="Verdana" w:eastAsia="Verdana" w:hAnsi="Verdana"/>
          <w:sz w:val="14"/>
          <w:szCs w:val="14"/>
          <w:color w:val="auto"/>
        </w:rPr>
        <w:t>In general, the holders of outstanding shares of our common 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which we refer to herein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(i.e.,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(1) the company’s net income available to stockholders for the past four quarters, net of dividends previously paid during that period, is not sufficient to fully fund the dividends; (2) the prospective rate of earnings retention is inconsistent with the company’s capital needs and overall current and prospective financial condition; or (3)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3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color w:val="auto"/>
        </w:rPr>
        <w:t>Most of our revenues available for the payment of dividends derive from amounts paid to us by Busey Bank. There are various statutory limitations that limit the ability of Busey Bank to pay dividends to us. Busey Bank is a state-charted bank and is subject to the laws and regulations of the Illinois Department of Financial and Professional Regulation and to the regulations of the Federal Deposit Insurance Corporation.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 banking agencies have indicated that paying dividends that deplete a bank’s capital base to an inadequate level would be an unsafe and unsound banking practice.</w:t>
      </w:r>
    </w:p>
    <w:p>
      <w:pPr>
        <w:spacing w:after="0" w:line="136"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Under the Illinois Banking Act,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notwithstanding the availability of funds for dividends, the Federal Deposit Insurance Corporation may prohibit the payment of any dividends by an insured bank, such as Busey Bank, if the Federal Deposit Insurance Corporation determines such payment would constitute an unsafe or unsound practice. Furthermore, under applicable regulatory requirements, an Illinois state-chartered bank such as Busey Bank may not pay dividends in excess of its net profits.</w:t>
      </w:r>
    </w:p>
    <w:p>
      <w:pPr>
        <w:sectPr>
          <w:pgSz w:w="11900" w:h="16838" w:orient="portrait"/>
          <w:cols w:equalWidth="0" w:num="1">
            <w:col w:w="11280"/>
          </w:cols>
          <w:pgMar w:left="300" w:top="1440" w:right="319" w:bottom="1440" w:gutter="0" w:footer="0" w:header="0"/>
        </w:sectPr>
      </w:pPr>
    </w:p>
    <w:bookmarkStart w:id="192" w:name="page193"/>
    <w:bookmarkEnd w:id="192"/>
    <w:p>
      <w:pPr>
        <w:spacing w:after="0" w:line="1"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Preferred Stock</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We may issue up to 1,000,000 shares of preferred stock, $0.001 par value per share, from time to time in one or more series. Our board of directors, without further approval of the stockholders, has the authority to fix the dividend rights and terms, conversion rights, voting rights, redemption rights and terms, liquidation preferences,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spacing w:after="0" w:line="122"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General</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Our Articles of Incorporation and our Bylaws may have the effect of discouraging, delaying, or 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Authorized Shares of Capital Stock</w:t>
      </w:r>
    </w:p>
    <w:p>
      <w:pPr>
        <w:spacing w:after="0" w:line="14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Authorized but unissued shares of our common stock and preferred stock under our Articles of Incorporation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spacing w:after="0" w:line="295"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Limitations on Right to Call Special Meetings; Stockholder Proposal Notice Requirements</w:t>
      </w:r>
    </w:p>
    <w:p>
      <w:pPr>
        <w:spacing w:after="0" w:line="138"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Under our Bylaws, a special meeting of our stockholders may be called only by (1) the Chair of our board of directors, (2) our Chief Executive Officer, (3) our President, (4) a majority of our board of directors, or (5) stockholders owning at least fifty percent (50%) of the entire capital stock of the Company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spacing w:after="0" w:line="132" w:lineRule="exact"/>
        <w:rPr>
          <w:sz w:val="20"/>
          <w:szCs w:val="20"/>
          <w:color w:val="auto"/>
        </w:rPr>
      </w:pPr>
    </w:p>
    <w:p>
      <w:pPr>
        <w:spacing w:after="0"/>
        <w:rPr>
          <w:sz w:val="20"/>
          <w:szCs w:val="20"/>
          <w:color w:val="auto"/>
        </w:rPr>
      </w:pPr>
      <w:r>
        <w:rPr>
          <w:rFonts w:ascii="Verdana" w:cs="Verdana" w:eastAsia="Verdana" w:hAnsi="Verdana"/>
          <w:sz w:val="14"/>
          <w:szCs w:val="14"/>
          <w:b w:val="1"/>
          <w:bCs w:val="1"/>
          <w:i w:val="1"/>
          <w:iCs w:val="1"/>
          <w:color w:val="auto"/>
        </w:rPr>
        <w:t>State Anti-Takeover Laws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Although under our Articles of Incorporation we have opted not to be governed by Nevada’s anti-takeover law known as the “Combination with Interested Stockholders Statute,” we may become subject to this provision in the future. In addition, the NGCL contains a “Control Share Acquisition Statute,” which does not currently apply to us.</w:t>
      </w:r>
    </w:p>
    <w:p>
      <w:pPr>
        <w:sectPr>
          <w:pgSz w:w="11900" w:h="16838" w:orient="portrait"/>
          <w:cols w:equalWidth="0" w:num="1">
            <w:col w:w="11280"/>
          </w:cols>
          <w:pgMar w:left="300" w:top="1440" w:right="319" w:bottom="1440" w:gutter="0" w:footer="0" w:header="0"/>
        </w:sectPr>
      </w:pPr>
    </w:p>
    <w:bookmarkStart w:id="193" w:name="page194"/>
    <w:bookmarkEnd w:id="193"/>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(1) an aggregate market value equal to more than 5% of the aggregate market value of the assets of the corporation; (2) an aggregate market value equal to more than 5% of the aggregate market value of all outstanding voting shares of the corporation; or (3)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 not engage in a “combination” within two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spacing w:after="0" w:line="296" w:lineRule="exact"/>
        <w:rPr>
          <w:sz w:val="20"/>
          <w:szCs w:val="20"/>
          <w:color w:val="auto"/>
        </w:rPr>
      </w:pPr>
    </w:p>
    <w:p>
      <w:pPr>
        <w:jc w:val="both"/>
        <w:spacing w:after="0" w:line="239" w:lineRule="auto"/>
        <w:rPr>
          <w:sz w:val="20"/>
          <w:szCs w:val="20"/>
          <w:color w:val="auto"/>
        </w:rPr>
      </w:pPr>
      <w:r>
        <w:rPr>
          <w:rFonts w:ascii="Verdana" w:cs="Verdana" w:eastAsia="Verdana" w:hAnsi="Verdana"/>
          <w:sz w:val="14"/>
          <w:szCs w:val="14"/>
          <w:color w:val="auto"/>
        </w:rPr>
        <w:t>If such approval is not obtained, then after the expiration of the two-year period, the business combination may be consummated: (1) if the combination or the transaction in which the person became an interested stockholder was approved by the board of directors before the person became an interested stockholder; (2) if the combination is approved at an annual or special meeting of the stockholders of the corporation by a majority of the voting power held by disinterested stockholders; or (3) if the consideration to be paid by the interested stockholder for disinterested shares of common or preferred stock, as applicable, is at least equal to the highest of: (a)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w:t>
      </w:r>
    </w:p>
    <w:p>
      <w:pPr>
        <w:spacing w:after="0" w:line="2" w:lineRule="exact"/>
        <w:rPr>
          <w:sz w:val="20"/>
          <w:szCs w:val="20"/>
          <w:color w:val="auto"/>
        </w:rPr>
      </w:pPr>
    </w:p>
    <w:p>
      <w:pPr>
        <w:jc w:val="both"/>
        <w:ind w:firstLine="5"/>
        <w:spacing w:after="0" w:line="246" w:lineRule="auto"/>
        <w:tabs>
          <w:tab w:leader="none" w:pos="267" w:val="left"/>
        </w:tabs>
        <w:numPr>
          <w:ilvl w:val="0"/>
          <w:numId w:val="53"/>
        </w:numPr>
        <w:rPr>
          <w:rFonts w:ascii="Verdana" w:cs="Verdana" w:eastAsia="Verdana" w:hAnsi="Verdana"/>
          <w:sz w:val="14"/>
          <w:szCs w:val="14"/>
          <w:color w:val="auto"/>
        </w:rPr>
      </w:pPr>
      <w:r>
        <w:rPr>
          <w:rFonts w:ascii="Verdana" w:cs="Verdana" w:eastAsia="Verdana" w:hAnsi="Verdana"/>
          <w:sz w:val="14"/>
          <w:szCs w:val="14"/>
          <w:color w:val="auto"/>
        </w:rPr>
        <w:t>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 (c) the amount specified in the corporation’s articles of incorporation, including in any certificate of designation for the class or series of shares are entitled upon the consummation of a transaction of a type encompassing the combination.</w:t>
      </w:r>
    </w:p>
    <w:p>
      <w:pPr>
        <w:sectPr>
          <w:pgSz w:w="11900" w:h="16838" w:orient="portrait"/>
          <w:cols w:equalWidth="0" w:num="1">
            <w:col w:w="11280"/>
          </w:cols>
          <w:pgMar w:left="300" w:top="1440" w:right="319" w:bottom="1440" w:gutter="0" w:footer="0" w:header="0"/>
        </w:sectPr>
      </w:pPr>
    </w:p>
    <w:bookmarkStart w:id="194" w:name="page195"/>
    <w:bookmarkEnd w:id="194"/>
    <w:p>
      <w:pPr>
        <w:spacing w:after="0" w:line="1"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(1) one-fifth or more but less than one-third; (2) one-third or more but less than a majority; and (3)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sectPr>
          <w:pgSz w:w="11900" w:h="16838" w:orient="portrait"/>
          <w:cols w:equalWidth="0" w:num="1">
            <w:col w:w="11280"/>
          </w:cols>
          <w:pgMar w:left="300" w:top="1440" w:right="319" w:bottom="1440" w:gutter="0" w:footer="0" w:header="0"/>
        </w:sectPr>
      </w:pPr>
    </w:p>
    <w:bookmarkStart w:id="195" w:name="page196"/>
    <w:bookmarkEnd w:id="195"/>
    <w:p>
      <w:pPr>
        <w:jc w:val="both"/>
        <w:spacing w:after="0" w:line="24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both"/>
        <w:spacing w:after="0" w:line="24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both"/>
        <w:spacing w:after="0" w:line="24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both"/>
        <w:spacing w:after="0" w:line="24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both"/>
        <w:spacing w:after="0" w:line="241" w:lineRule="auto"/>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Verdana" w:cs="Verdana" w:eastAsia="Verdana" w:hAnsi="Verdana"/>
          <w:sz w:val="14"/>
          <w:szCs w:val="14"/>
          <w:b w:val="1"/>
          <w:bCs w:val="1"/>
          <w:color w:val="auto"/>
        </w:rPr>
        <w:t>EXHIBIT 10.24</w:t>
      </w:r>
    </w:p>
    <w:p>
      <w:pPr>
        <w:spacing w:after="0" w:line="200" w:lineRule="exact"/>
        <w:rPr>
          <w:sz w:val="20"/>
          <w:szCs w:val="20"/>
          <w:color w:val="auto"/>
        </w:rPr>
      </w:pPr>
    </w:p>
    <w:p>
      <w:pPr>
        <w:spacing w:after="0" w:line="265" w:lineRule="exact"/>
        <w:rPr>
          <w:sz w:val="20"/>
          <w:szCs w:val="20"/>
          <w:color w:val="auto"/>
        </w:rPr>
      </w:pPr>
    </w:p>
    <w:p>
      <w:pPr>
        <w:ind w:left="4280"/>
        <w:spacing w:after="0"/>
        <w:rPr>
          <w:sz w:val="20"/>
          <w:szCs w:val="20"/>
          <w:color w:val="auto"/>
        </w:rPr>
      </w:pPr>
      <w:r>
        <w:rPr>
          <w:rFonts w:ascii="Verdana" w:cs="Verdana" w:eastAsia="Verdana" w:hAnsi="Verdana"/>
          <w:sz w:val="17"/>
          <w:szCs w:val="17"/>
          <w:b w:val="1"/>
          <w:bCs w:val="1"/>
          <w:color w:val="auto"/>
        </w:rPr>
        <w:t>FIRST BUSEY CORPORATION</w:t>
      </w:r>
    </w:p>
    <w:p>
      <w:pPr>
        <w:ind w:left="3700"/>
        <w:spacing w:after="0"/>
        <w:rPr>
          <w:sz w:val="20"/>
          <w:szCs w:val="20"/>
          <w:color w:val="auto"/>
        </w:rPr>
      </w:pPr>
      <w:r>
        <w:rPr>
          <w:rFonts w:ascii="Verdana" w:cs="Verdana" w:eastAsia="Verdana" w:hAnsi="Verdana"/>
          <w:sz w:val="17"/>
          <w:szCs w:val="17"/>
          <w:b w:val="1"/>
          <w:bCs w:val="1"/>
          <w:color w:val="auto"/>
        </w:rPr>
        <w:t>2021 EMPLOYEE STOCK PURCHASE PLAN</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u w:val="single" w:color="auto"/>
          <w:color w:val="auto"/>
        </w:rPr>
        <w:t>FIRST AMENDMENT</w:t>
      </w:r>
    </w:p>
    <w:p>
      <w:pPr>
        <w:spacing w:after="0" w:line="119" w:lineRule="exact"/>
        <w:rPr>
          <w:sz w:val="20"/>
          <w:szCs w:val="20"/>
          <w:color w:val="auto"/>
        </w:rPr>
      </w:pPr>
    </w:p>
    <w:p>
      <w:pPr>
        <w:spacing w:after="0" w:line="259" w:lineRule="auto"/>
        <w:rPr>
          <w:sz w:val="20"/>
          <w:szCs w:val="20"/>
          <w:color w:val="auto"/>
        </w:rPr>
      </w:pPr>
      <w:r>
        <w:rPr>
          <w:rFonts w:ascii="Verdana" w:cs="Verdana" w:eastAsia="Verdana" w:hAnsi="Verdana"/>
          <w:sz w:val="14"/>
          <w:szCs w:val="14"/>
          <w:color w:val="auto"/>
        </w:rPr>
        <w:t>This First Amendment (the “</w:t>
      </w:r>
      <w:r>
        <w:rPr>
          <w:rFonts w:ascii="Verdana" w:cs="Verdana" w:eastAsia="Verdana" w:hAnsi="Verdana"/>
          <w:sz w:val="14"/>
          <w:szCs w:val="14"/>
          <w:b w:val="1"/>
          <w:bCs w:val="1"/>
          <w:color w:val="auto"/>
        </w:rPr>
        <w:t>Amendment</w:t>
      </w:r>
      <w:r>
        <w:rPr>
          <w:rFonts w:ascii="Verdana" w:cs="Verdana" w:eastAsia="Verdana" w:hAnsi="Verdana"/>
          <w:sz w:val="14"/>
          <w:szCs w:val="14"/>
          <w:color w:val="auto"/>
        </w:rPr>
        <w:t>”) to the First Busey Corporation 2021 Employee Stock Purchase Plan (the “</w:t>
      </w:r>
      <w:r>
        <w:rPr>
          <w:rFonts w:ascii="Verdana" w:cs="Verdana" w:eastAsia="Verdana" w:hAnsi="Verdana"/>
          <w:sz w:val="14"/>
          <w:szCs w:val="14"/>
          <w:b w:val="1"/>
          <w:bCs w:val="1"/>
          <w:color w:val="auto"/>
        </w:rPr>
        <w:t>Plan</w:t>
      </w:r>
      <w:r>
        <w:rPr>
          <w:rFonts w:ascii="Verdana" w:cs="Verdana" w:eastAsia="Verdana" w:hAnsi="Verdana"/>
          <w:sz w:val="14"/>
          <w:szCs w:val="14"/>
          <w:color w:val="auto"/>
        </w:rPr>
        <w:t>”) is made by First Busey Corporation (the “</w:t>
      </w:r>
      <w:r>
        <w:rPr>
          <w:rFonts w:ascii="Verdana" w:cs="Verdana" w:eastAsia="Verdana" w:hAnsi="Verdana"/>
          <w:sz w:val="14"/>
          <w:szCs w:val="14"/>
          <w:b w:val="1"/>
          <w:bCs w:val="1"/>
          <w:color w:val="auto"/>
        </w:rPr>
        <w:t>Company</w:t>
      </w:r>
      <w:r>
        <w:rPr>
          <w:rFonts w:ascii="Verdana" w:cs="Verdana" w:eastAsia="Verdana" w:hAnsi="Verdana"/>
          <w:sz w:val="14"/>
          <w:szCs w:val="14"/>
          <w:color w:val="auto"/>
        </w:rPr>
        <w:t>”). Capitalized terms not defined herein shall have the same meaning as set forth in the Plan.</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 xml:space="preserve">Whereas, </w:t>
      </w:r>
      <w:r>
        <w:rPr>
          <w:rFonts w:ascii="Verdana" w:cs="Verdana" w:eastAsia="Verdana" w:hAnsi="Verdana"/>
          <w:sz w:val="14"/>
          <w:szCs w:val="14"/>
          <w:color w:val="auto"/>
        </w:rPr>
        <w:t>the Company sponsors and maintains the Plan for the benefit of eligible employees of the Company and certain of its affiliates;</w:t>
      </w:r>
    </w:p>
    <w:p>
      <w:pPr>
        <w:spacing w:after="0" w:line="148" w:lineRule="exact"/>
        <w:rPr>
          <w:sz w:val="20"/>
          <w:szCs w:val="20"/>
          <w:color w:val="auto"/>
        </w:rPr>
      </w:pPr>
    </w:p>
    <w:p>
      <w:pPr>
        <w:spacing w:after="0" w:line="259" w:lineRule="auto"/>
        <w:rPr>
          <w:sz w:val="20"/>
          <w:szCs w:val="20"/>
          <w:color w:val="auto"/>
        </w:rPr>
      </w:pPr>
      <w:r>
        <w:rPr>
          <w:rFonts w:ascii="Verdana" w:cs="Verdana" w:eastAsia="Verdana" w:hAnsi="Verdana"/>
          <w:sz w:val="14"/>
          <w:szCs w:val="14"/>
          <w:b w:val="1"/>
          <w:bCs w:val="1"/>
          <w:color w:val="auto"/>
        </w:rPr>
        <w:t xml:space="preserve">Whereas, </w:t>
      </w:r>
      <w:r>
        <w:rPr>
          <w:rFonts w:ascii="Verdana" w:cs="Verdana" w:eastAsia="Verdana" w:hAnsi="Verdana"/>
          <w:sz w:val="14"/>
          <w:szCs w:val="14"/>
          <w:color w:val="auto"/>
        </w:rPr>
        <w:t>pursuant to Section 11(a) of the Plan, the Compensation Committee (the “Committee”) of the Company’s Board of Directors retains the discretion</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and authority to amend the Plan; and</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 xml:space="preserve">Whereas, </w:t>
      </w:r>
      <w:r>
        <w:rPr>
          <w:rFonts w:ascii="Verdana" w:cs="Verdana" w:eastAsia="Verdana" w:hAnsi="Verdana"/>
          <w:sz w:val="14"/>
          <w:szCs w:val="14"/>
          <w:color w:val="auto"/>
        </w:rPr>
        <w:t>pursuant to Section 11(a) of the Plan, the Committee has authorized the amendment of the Plan as set forth herein.</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 xml:space="preserve">Now, therefore, </w:t>
      </w:r>
      <w:r>
        <w:rPr>
          <w:rFonts w:ascii="Verdana" w:cs="Verdana" w:eastAsia="Verdana" w:hAnsi="Verdana"/>
          <w:sz w:val="14"/>
          <w:szCs w:val="14"/>
          <w:color w:val="auto"/>
        </w:rPr>
        <w:t>effective as of January 1, 2025, the Plan be and hereby is amended in the following particulars:</w:t>
      </w:r>
    </w:p>
    <w:p>
      <w:pPr>
        <w:spacing w:after="0" w:line="148" w:lineRule="exact"/>
        <w:rPr>
          <w:sz w:val="20"/>
          <w:szCs w:val="20"/>
          <w:color w:val="auto"/>
        </w:rPr>
      </w:pPr>
    </w:p>
    <w:p>
      <w:pPr>
        <w:ind w:left="260" w:hanging="255"/>
        <w:spacing w:after="0"/>
        <w:tabs>
          <w:tab w:leader="none" w:pos="260" w:val="left"/>
        </w:tabs>
        <w:numPr>
          <w:ilvl w:val="0"/>
          <w:numId w:val="54"/>
        </w:numPr>
        <w:rPr>
          <w:rFonts w:ascii="Verdana" w:cs="Verdana" w:eastAsia="Verdana" w:hAnsi="Verdana"/>
          <w:sz w:val="14"/>
          <w:szCs w:val="14"/>
          <w:color w:val="auto"/>
        </w:rPr>
      </w:pPr>
      <w:r>
        <w:rPr>
          <w:rFonts w:ascii="Verdana" w:cs="Verdana" w:eastAsia="Verdana" w:hAnsi="Verdana"/>
          <w:sz w:val="14"/>
          <w:szCs w:val="14"/>
          <w:color w:val="auto"/>
        </w:rPr>
        <w:t>Section 3(b) of the Plan is hereby deleted in its entirety and replaced with the following new Section 3(b):</w:t>
      </w:r>
    </w:p>
    <w:p>
      <w:pPr>
        <w:spacing w:after="0" w:line="137" w:lineRule="exact"/>
        <w:rPr>
          <w:rFonts w:ascii="Verdana" w:cs="Verdana" w:eastAsia="Verdana" w:hAnsi="Verdana"/>
          <w:sz w:val="14"/>
          <w:szCs w:val="14"/>
          <w:color w:val="auto"/>
        </w:rPr>
      </w:pPr>
    </w:p>
    <w:p>
      <w:pPr>
        <w:jc w:val="both"/>
        <w:ind w:left="260"/>
        <w:spacing w:after="0" w:line="242" w:lineRule="auto"/>
        <w:rPr>
          <w:rFonts w:ascii="Verdana" w:cs="Verdana" w:eastAsia="Verdana" w:hAnsi="Verdana"/>
          <w:sz w:val="14"/>
          <w:szCs w:val="14"/>
          <w:color w:val="auto"/>
        </w:rPr>
      </w:pPr>
      <w:r>
        <w:rPr>
          <w:rFonts w:ascii="Verdana" w:cs="Verdana" w:eastAsia="Verdana" w:hAnsi="Verdana"/>
          <w:sz w:val="14"/>
          <w:szCs w:val="14"/>
          <w:color w:val="auto"/>
        </w:rPr>
        <w:t>“</w:t>
      </w:r>
      <w:r>
        <w:rPr>
          <w:rFonts w:ascii="Verdana" w:cs="Verdana" w:eastAsia="Verdana" w:hAnsi="Verdana"/>
          <w:sz w:val="14"/>
          <w:szCs w:val="14"/>
          <w:u w:val="single" w:color="auto"/>
          <w:color w:val="auto"/>
        </w:rPr>
        <w:t>Amount of Deduction</w:t>
      </w:r>
      <w:r>
        <w:rPr>
          <w:rFonts w:ascii="Verdana" w:cs="Verdana" w:eastAsia="Verdana" w:hAnsi="Verdana"/>
          <w:sz w:val="14"/>
          <w:szCs w:val="14"/>
          <w:color w:val="auto"/>
        </w:rPr>
        <w:t>. By submitting an Enrollment Form, the Employee authorizes payroll deductions from his or her pay in an amount equal to at least one percent (1%), but not more than twenty percent (20%), of his or her Compensation on each pay day occurring during an Offering Period (or such other maximum percentage as the Committee may establish from time to time before an Offering Period begins). Such payroll deductions may be specified in a percentage or dollar amount, as may be permitted from time-to-time in accordance with administrative procedures established and maintained by the Company. Payroll deductions shall commence on the first payroll date following the Grant Date and end on the last payroll date on or before the Investment Date. The Committee in its sole discretion may authorize payment in respect of any Option exercised hereunder by personal check, wire transfer, or cash payment, provided the Participant is already enrolled in the Plan. Unless otherwise specified by the Committee in advance of an Offering Period, the maximum number of Shares which may be purchased by any Participant during any Offering Period shall be 2,000.”</w:t>
      </w:r>
    </w:p>
    <w:p>
      <w:pPr>
        <w:spacing w:after="0" w:line="123" w:lineRule="exact"/>
        <w:rPr>
          <w:rFonts w:ascii="Verdana" w:cs="Verdana" w:eastAsia="Verdana" w:hAnsi="Verdana"/>
          <w:sz w:val="14"/>
          <w:szCs w:val="14"/>
          <w:color w:val="auto"/>
        </w:rPr>
      </w:pPr>
    </w:p>
    <w:p>
      <w:pPr>
        <w:ind w:left="260" w:hanging="255"/>
        <w:spacing w:after="0"/>
        <w:tabs>
          <w:tab w:leader="none" w:pos="260" w:val="left"/>
        </w:tabs>
        <w:numPr>
          <w:ilvl w:val="0"/>
          <w:numId w:val="54"/>
        </w:numPr>
        <w:rPr>
          <w:rFonts w:ascii="Verdana" w:cs="Verdana" w:eastAsia="Verdana" w:hAnsi="Verdana"/>
          <w:sz w:val="14"/>
          <w:szCs w:val="14"/>
          <w:color w:val="auto"/>
        </w:rPr>
      </w:pPr>
      <w:r>
        <w:rPr>
          <w:rFonts w:ascii="Verdana" w:cs="Verdana" w:eastAsia="Verdana" w:hAnsi="Verdana"/>
          <w:sz w:val="14"/>
          <w:szCs w:val="14"/>
          <w:color w:val="auto"/>
        </w:rPr>
        <w:t>Section 3(e)(ii) of the Plan is hereby deleted in its entirety and replaced with the following new Section 3(e)(ii):</w:t>
      </w:r>
    </w:p>
    <w:p>
      <w:pPr>
        <w:spacing w:after="0" w:line="148" w:lineRule="exact"/>
        <w:rPr>
          <w:rFonts w:ascii="Verdana" w:cs="Verdana" w:eastAsia="Verdana" w:hAnsi="Verdana"/>
          <w:sz w:val="14"/>
          <w:szCs w:val="14"/>
          <w:color w:val="auto"/>
        </w:rPr>
      </w:pPr>
    </w:p>
    <w:p>
      <w:pPr>
        <w:jc w:val="both"/>
        <w:ind w:left="260"/>
        <w:spacing w:after="0" w:line="246" w:lineRule="auto"/>
        <w:rPr>
          <w:rFonts w:ascii="Verdana" w:cs="Verdana" w:eastAsia="Verdana" w:hAnsi="Verdana"/>
          <w:sz w:val="14"/>
          <w:szCs w:val="14"/>
          <w:color w:val="auto"/>
        </w:rPr>
      </w:pPr>
      <w:r>
        <w:rPr>
          <w:rFonts w:ascii="Verdana" w:cs="Verdana" w:eastAsia="Verdana" w:hAnsi="Verdana"/>
          <w:sz w:val="14"/>
          <w:szCs w:val="14"/>
          <w:color w:val="auto"/>
        </w:rPr>
        <w:t xml:space="preserve">“Unless otherwise provided by the Committee, at any time during an Offering Period a Participant may increase or decrease the percentage or amount of Compensation subject to payroll deduction within the limits provided in </w:t>
      </w:r>
      <w:r>
        <w:rPr>
          <w:rFonts w:ascii="Verdana" w:cs="Verdana" w:eastAsia="Verdana" w:hAnsi="Verdana"/>
          <w:sz w:val="14"/>
          <w:szCs w:val="14"/>
          <w:b w:val="1"/>
          <w:bCs w:val="1"/>
          <w:color w:val="auto"/>
        </w:rPr>
        <w:t>Section 3(b)</w:t>
      </w:r>
      <w:r>
        <w:rPr>
          <w:rFonts w:ascii="Verdana" w:cs="Verdana" w:eastAsia="Verdana" w:hAnsi="Verdana"/>
          <w:sz w:val="14"/>
          <w:szCs w:val="14"/>
          <w:color w:val="auto"/>
        </w:rPr>
        <w:t xml:space="preserve"> and </w:t>
      </w:r>
      <w:r>
        <w:rPr>
          <w:rFonts w:ascii="Verdana" w:cs="Verdana" w:eastAsia="Verdana" w:hAnsi="Verdana"/>
          <w:sz w:val="14"/>
          <w:szCs w:val="14"/>
          <w:b w:val="1"/>
          <w:bCs w:val="1"/>
          <w:color w:val="auto"/>
        </w:rPr>
        <w:t>Section 4(e)</w:t>
      </w:r>
      <w:r>
        <w:rPr>
          <w:rFonts w:ascii="Verdana" w:cs="Verdana" w:eastAsia="Verdana" w:hAnsi="Verdana"/>
          <w:sz w:val="14"/>
          <w:szCs w:val="14"/>
          <w:color w:val="auto"/>
        </w:rPr>
        <w:t>, by filing a new Enrollment Form with the Company. Such increase or decrease shall become effective with the first pay period following receipt of such new Enrollment Form to which it may be practicably applied.”</w:t>
      </w:r>
    </w:p>
    <w:p>
      <w:pPr>
        <w:spacing w:after="0" w:line="119" w:lineRule="exact"/>
        <w:rPr>
          <w:rFonts w:ascii="Verdana" w:cs="Verdana" w:eastAsia="Verdana" w:hAnsi="Verdana"/>
          <w:sz w:val="14"/>
          <w:szCs w:val="14"/>
          <w:color w:val="auto"/>
        </w:rPr>
      </w:pPr>
    </w:p>
    <w:p>
      <w:pPr>
        <w:ind w:left="260" w:hanging="255"/>
        <w:spacing w:after="0"/>
        <w:tabs>
          <w:tab w:leader="none" w:pos="260" w:val="left"/>
        </w:tabs>
        <w:numPr>
          <w:ilvl w:val="0"/>
          <w:numId w:val="54"/>
        </w:numPr>
        <w:rPr>
          <w:rFonts w:ascii="Verdana" w:cs="Verdana" w:eastAsia="Verdana" w:hAnsi="Verdana"/>
          <w:sz w:val="14"/>
          <w:szCs w:val="14"/>
          <w:color w:val="auto"/>
        </w:rPr>
      </w:pPr>
      <w:r>
        <w:rPr>
          <w:rFonts w:ascii="Verdana" w:cs="Verdana" w:eastAsia="Verdana" w:hAnsi="Verdana"/>
          <w:sz w:val="14"/>
          <w:szCs w:val="14"/>
          <w:color w:val="auto"/>
        </w:rPr>
        <w:t>All other provisions of the Plan remain in full force and effect.</w:t>
      </w:r>
    </w:p>
    <w:p>
      <w:pPr>
        <w:sectPr>
          <w:pgSz w:w="11900" w:h="16838" w:orient="portrait"/>
          <w:cols w:equalWidth="0" w:num="1">
            <w:col w:w="11280"/>
          </w:cols>
          <w:pgMar w:left="300" w:top="517" w:right="319" w:bottom="1440" w:gutter="0" w:footer="0" w:header="0"/>
        </w:sectPr>
      </w:pPr>
    </w:p>
    <w:bookmarkStart w:id="201" w:name="page202"/>
    <w:bookmarkEnd w:id="201"/>
    <w:p>
      <w:pPr>
        <w:spacing w:after="0"/>
        <w:rPr>
          <w:sz w:val="20"/>
          <w:szCs w:val="20"/>
          <w:color w:val="auto"/>
        </w:rPr>
      </w:pPr>
      <w:r>
        <w:rPr>
          <w:rFonts w:ascii="Verdana" w:cs="Verdana" w:eastAsia="Verdana" w:hAnsi="Verdana"/>
          <w:sz w:val="14"/>
          <w:szCs w:val="14"/>
          <w:color w:val="auto"/>
        </w:rPr>
        <w:t>2021 Employee Stock Purchase Plan</w:t>
      </w:r>
    </w:p>
    <w:p>
      <w:pPr>
        <w:spacing w:after="0"/>
        <w:rPr>
          <w:sz w:val="20"/>
          <w:szCs w:val="20"/>
          <w:color w:val="auto"/>
        </w:rPr>
      </w:pPr>
      <w:r>
        <w:rPr>
          <w:rFonts w:ascii="Verdana" w:cs="Verdana" w:eastAsia="Verdana" w:hAnsi="Verdana"/>
          <w:sz w:val="14"/>
          <w:szCs w:val="14"/>
          <w:color w:val="auto"/>
        </w:rPr>
        <w:t>First Amendment</w:t>
      </w:r>
    </w:p>
    <w:p>
      <w:pPr>
        <w:spacing w:after="0"/>
        <w:rPr>
          <w:sz w:val="20"/>
          <w:szCs w:val="20"/>
          <w:color w:val="auto"/>
        </w:rPr>
      </w:pPr>
      <w:r>
        <w:rPr>
          <w:rFonts w:ascii="Verdana" w:cs="Verdana" w:eastAsia="Verdana" w:hAnsi="Verdana"/>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 xml:space="preserve">IN WITNESS WHEREOF, </w:t>
      </w:r>
      <w:r>
        <w:rPr>
          <w:rFonts w:ascii="Verdana" w:cs="Verdana" w:eastAsia="Verdana" w:hAnsi="Verdana"/>
          <w:sz w:val="14"/>
          <w:szCs w:val="14"/>
          <w:color w:val="auto"/>
        </w:rPr>
        <w:t>this Amendment has been executed by the duly authorized officer of First Busey Corporation.</w:t>
      </w:r>
    </w:p>
    <w:p>
      <w:pPr>
        <w:spacing w:after="0" w:line="162" w:lineRule="exact"/>
        <w:rPr>
          <w:sz w:val="20"/>
          <w:szCs w:val="20"/>
          <w:color w:val="auto"/>
        </w:rPr>
      </w:pPr>
    </w:p>
    <w:p>
      <w:pPr>
        <w:ind w:left="5500"/>
        <w:spacing w:after="0"/>
        <w:rPr>
          <w:sz w:val="20"/>
          <w:szCs w:val="20"/>
          <w:color w:val="auto"/>
        </w:rPr>
      </w:pPr>
      <w:r>
        <w:rPr>
          <w:rFonts w:ascii="Verdana" w:cs="Verdana" w:eastAsia="Verdana" w:hAnsi="Verdana"/>
          <w:sz w:val="13"/>
          <w:szCs w:val="13"/>
          <w:b w:val="1"/>
          <w:bCs w:val="1"/>
          <w:color w:val="auto"/>
        </w:rPr>
        <w:t>First Busey Corporation</w:t>
      </w:r>
    </w:p>
    <w:p>
      <w:pPr>
        <w:spacing w:after="0" w:line="224" w:lineRule="exact"/>
        <w:rPr>
          <w:sz w:val="20"/>
          <w:szCs w:val="20"/>
          <w:color w:val="auto"/>
        </w:rPr>
      </w:pPr>
    </w:p>
    <w:p>
      <w:pPr>
        <w:ind w:left="5500"/>
        <w:spacing w:after="0"/>
        <w:rPr>
          <w:sz w:val="20"/>
          <w:szCs w:val="20"/>
          <w:color w:val="auto"/>
        </w:rPr>
      </w:pPr>
      <w:r>
        <w:rPr>
          <w:rFonts w:ascii="Verdana" w:cs="Verdana" w:eastAsia="Verdana" w:hAnsi="Verdana"/>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6153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Date</w:t>
      </w:r>
    </w:p>
    <w:p>
      <w:pPr>
        <w:sectPr>
          <w:pgSz w:w="11900" w:h="16838" w:orient="portrait"/>
          <w:cols w:equalWidth="0" w:num="1">
            <w:col w:w="10159"/>
          </w:cols>
          <w:pgMar w:left="300" w:top="273" w:right="1440" w:bottom="1440" w:gutter="0" w:footer="0" w:header="0"/>
        </w:sectPr>
      </w:pPr>
    </w:p>
    <w:bookmarkStart w:id="202" w:name="page203"/>
    <w:bookmarkEnd w:id="202"/>
    <w:p>
      <w:pPr>
        <w:jc w:val="right"/>
        <w:spacing w:after="0"/>
        <w:rPr>
          <w:sz w:val="20"/>
          <w:szCs w:val="20"/>
          <w:color w:val="auto"/>
        </w:rPr>
      </w:pPr>
      <w:r>
        <w:rPr>
          <w:rFonts w:ascii="Verdana" w:cs="Verdana" w:eastAsia="Verdana" w:hAnsi="Verdana"/>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FIRST BUSEY CORPORATION</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INSIDER TRADING POLICY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POLICY STATEMENT</w:t>
      </w:r>
    </w:p>
    <w:p>
      <w:pPr>
        <w:spacing w:after="0" w:line="14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It is the policy of the First Busey Corporation (together with its subsidiaries, the “Company”) to prohibit the unauthorized disclosure of any nonpublic information acquired in the workplace and the misuse of Material Nonpublic Information in securities trading.</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PURPOSE</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This Insider Trading Policy (this “</w:t>
      </w:r>
      <w:r>
        <w:rPr>
          <w:rFonts w:ascii="Verdana" w:cs="Verdana" w:eastAsia="Verdana" w:hAnsi="Verdana"/>
          <w:sz w:val="14"/>
          <w:szCs w:val="14"/>
          <w:u w:val="single" w:color="auto"/>
          <w:color w:val="auto"/>
        </w:rPr>
        <w:t>Policy</w:t>
      </w:r>
      <w:r>
        <w:rPr>
          <w:rFonts w:ascii="Verdana" w:cs="Verdana" w:eastAsia="Verdana" w:hAnsi="Verdana"/>
          <w:sz w:val="14"/>
          <w:szCs w:val="14"/>
          <w:color w:val="auto"/>
        </w:rPr>
        <w:t>”) provides guidelines to employees, officers, and directors of, and contractors and consultants to, the Company with respect to transactions in the Company’s securities.</w:t>
      </w:r>
    </w:p>
    <w:p>
      <w:pPr>
        <w:spacing w:after="0" w:line="121"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SCOPE</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This Policy applies to all transactions in the Company’s securities, including common stock, options for common stock and any other securities the Company may issue from time to time, such as preferred stock, warrants and convertible debentures. The transactions covered by this Policy specifically include any transactions designed to hedge or offset any decrease in the market value of any of the Company’s securities described in the preceding sentence. It applies to all Insiders and to any person who receives Material Nonpublic Information from any Insider.</w:t>
      </w:r>
    </w:p>
    <w:p>
      <w:pPr>
        <w:spacing w:after="0" w:line="119"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This Policy and the guidelines described herein also apply to Material Nonpublic Information relating to other companies, including the Company’s customers, vendors or suppliers (“business partners”), when that information is obtained in the course of employment with, or other services performed on behalf of, the Company.</w:t>
      </w:r>
    </w:p>
    <w:p>
      <w:pPr>
        <w:spacing w:after="0" w:line="12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Civil and criminal penalties, and termination of employment, may result from trading on Material Nonpublic Information regarding the Company’s business partners. All employees should treat Material Nonpublic Information about the Company’s business partners with the same care required with respect to information related directly to the Company.</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DUTIES AND RESPONSIBILITIES</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Nominating and Corporate Governance Committee of the Company’s Board of Directors shall be responsible for the oversight of all matters relating to this Policy.</w:t>
      </w:r>
    </w:p>
    <w:p>
      <w:pPr>
        <w:spacing w:after="0" w:line="12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Every Insider has the individual responsibility to comply with this Policy against insider trading.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Objectives and Requirements</w:t>
      </w:r>
    </w:p>
    <w:p>
      <w:pPr>
        <w:spacing w:after="0" w:line="13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u w:val="single" w:color="auto"/>
          <w:color w:val="auto"/>
        </w:rPr>
        <w:t>Mandatory Black-out Period for Officers, Directors and Certain Employees.</w:t>
      </w:r>
      <w:r>
        <w:rPr>
          <w:rFonts w:ascii="Verdana" w:cs="Verdana" w:eastAsia="Verdana" w:hAnsi="Verdana"/>
          <w:sz w:val="14"/>
          <w:szCs w:val="14"/>
          <w:color w:val="auto"/>
        </w:rPr>
        <w:t xml:space="preserve"> The period beginning two weeks before the end of each fiscal quarter and ending two full Trading Days following the date of public disclosure of the financial results for each fiscal quarter is a particularly sensitive period of time for transactions in the Company’s securities from the perspective of compliance with applicable securities laws. This sensitivity is due to the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160"/>
        <w:spacing w:after="0"/>
        <w:rPr>
          <w:sz w:val="20"/>
          <w:szCs w:val="20"/>
          <w:color w:val="auto"/>
        </w:rPr>
      </w:pPr>
      <w:r>
        <w:rPr>
          <w:rFonts w:ascii="Verdana" w:cs="Verdana" w:eastAsia="Verdana" w:hAnsi="Verdana"/>
          <w:sz w:val="13"/>
          <w:szCs w:val="13"/>
          <w:color w:val="auto"/>
        </w:rPr>
        <w:t>December 2023</w:t>
      </w:r>
    </w:p>
    <w:p>
      <w:pPr>
        <w:sectPr>
          <w:pgSz w:w="11900" w:h="16838" w:orient="portrait"/>
          <w:cols w:equalWidth="0" w:num="1">
            <w:col w:w="11280"/>
          </w:cols>
          <w:pgMar w:left="300" w:top="136" w:right="319" w:bottom="1440" w:gutter="0" w:footer="0" w:header="0"/>
        </w:sectPr>
      </w:pPr>
    </w:p>
    <w:bookmarkStart w:id="203" w:name="page204"/>
    <w:bookmarkEnd w:id="203"/>
    <w:p>
      <w:pPr>
        <w:spacing w:after="0" w:line="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that officers, directors and certain other employees will, during that period, often possess Material Nonpublic Information about the expected financial results for the quarter.</w:t>
      </w:r>
    </w:p>
    <w:p>
      <w:pPr>
        <w:spacing w:after="0" w:line="11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Accordingly, to ensure compliance with this Policy and applicable federal and state securities laws, all directors, officers and employees having access to the Company’s internal financial statements or other Material Nonpublic Information shall refrain from conducting transactions involving the purchase or sale of the Company’s securities during the period beginning two weeks before the last day of the quarter and ending two full Trading Days following the date of public disclosure of the financial results for each fiscal quarter (the “</w:t>
      </w:r>
      <w:r>
        <w:rPr>
          <w:rFonts w:ascii="Verdana" w:cs="Verdana" w:eastAsia="Verdana" w:hAnsi="Verdana"/>
          <w:sz w:val="14"/>
          <w:szCs w:val="14"/>
          <w:u w:val="single" w:color="auto"/>
          <w:color w:val="auto"/>
        </w:rPr>
        <w:t>Black-out Period</w:t>
      </w:r>
      <w:r>
        <w:rPr>
          <w:rFonts w:ascii="Verdana" w:cs="Verdana" w:eastAsia="Verdana" w:hAnsi="Verdana"/>
          <w:sz w:val="14"/>
          <w:szCs w:val="14"/>
          <w:color w:val="auto"/>
        </w:rPr>
        <w:t>”). The purpose behind the Black-out Period is to establish a diligent effort to avoid any improper transaction or any transaction that has the appearance of impropriety.</w:t>
      </w:r>
    </w:p>
    <w:p>
      <w:pPr>
        <w:spacing w:after="0" w:line="122"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From time to time, the Company also may recommend or require that directors, officers, selected employees and others suspend trading because of developments known to the Company and not yet disclosed to the public. In such event, such persons will be advised or required not to engage in any transaction involving the purchase or sale of the Company’s securities during such period and should not disclose to others the fact of such suspension of trading.</w:t>
      </w:r>
    </w:p>
    <w:p>
      <w:pPr>
        <w:spacing w:after="0" w:line="130" w:lineRule="exact"/>
        <w:rPr>
          <w:sz w:val="20"/>
          <w:szCs w:val="20"/>
          <w:color w:val="auto"/>
        </w:rPr>
      </w:pPr>
    </w:p>
    <w:p>
      <w:pPr>
        <w:jc w:val="both"/>
        <w:spacing w:after="0" w:line="244" w:lineRule="auto"/>
        <w:rPr>
          <w:sz w:val="20"/>
          <w:szCs w:val="20"/>
          <w:color w:val="auto"/>
        </w:rPr>
      </w:pPr>
      <w:r>
        <w:rPr>
          <w:rFonts w:ascii="Verdana" w:cs="Verdana" w:eastAsia="Verdana" w:hAnsi="Verdana"/>
          <w:sz w:val="14"/>
          <w:szCs w:val="14"/>
          <w:color w:val="auto"/>
        </w:rPr>
        <w:t>It should be noted, however, that even outside the Black-out Period, any person possessing Material Nonpublic Information concerning the Company should not engage in any transactions in the Company’s securities until such information has been known publicly for at least two Trading Days, whether or not the Company has recommended a suspension of trading to that person. Assuming the absence of Material Nonpublic Information, trading in the Company’s securities outside of the Black-out Period should not be considered a “safe harbor,” and all directors, officers and other persons should use good judgment at all times.</w:t>
      </w:r>
    </w:p>
    <w:p>
      <w:pPr>
        <w:spacing w:after="0" w:line="122"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u w:val="single" w:color="auto"/>
          <w:color w:val="auto"/>
        </w:rPr>
        <w:t>Pre-Clearance of Trades.</w:t>
      </w:r>
      <w:r>
        <w:rPr>
          <w:rFonts w:ascii="Verdana" w:cs="Verdana" w:eastAsia="Verdana" w:hAnsi="Verdana"/>
          <w:sz w:val="14"/>
          <w:szCs w:val="14"/>
          <w:color w:val="auto"/>
        </w:rPr>
        <w:t xml:space="preserve"> The Company has determined that all of the Company’s Section 16 Reporting Insiders should refrain from trading or transacting in the Company’s securities or otherwise making any transfer, gift, pledge, or loan of the Company’s securities without first complying with the Company’s “pre-clearance” process. Each such person is required to obtain pre-clearance from the Company’s General Counsel (and the Company’s General Counsel should obtain pre-clearance from the Company’s Chief Risk Officer) prior to commencing any trade or other transaction in the Company’s securities, including for transactions or transfers that are not subject to the trading restrictions of this Policy; provided that pre-clearance is not required for transactions made pursuant to an Approved 10b5-1 Plan (as defined below). The Company may find it necessary, from time to time, to require compliance with the pre-clearance process from certain Insiders other than and in addition to Section 16 Reporting Insiders. Any employee with any questions regarding trading in the Company’s securities is encouraged to contact the Company’s General Counsel.</w:t>
      </w:r>
    </w:p>
    <w:p>
      <w:pPr>
        <w:spacing w:after="0" w:line="123"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u w:val="single" w:color="auto"/>
          <w:color w:val="auto"/>
        </w:rPr>
        <w:t>Shortswing Transactions.</w:t>
      </w:r>
      <w:r>
        <w:rPr>
          <w:rFonts w:ascii="Verdana" w:cs="Verdana" w:eastAsia="Verdana" w:hAnsi="Verdana"/>
          <w:sz w:val="14"/>
          <w:szCs w:val="14"/>
          <w:color w:val="auto"/>
        </w:rPr>
        <w:t xml:space="preserve"> Section 16 Reporting Insiders must comply with the reporting obligations and limitations on shortswing transactions set forth in Section 16 of the Securities Exchange Act of 1934, as amended. The practical effect of these provisions is that Section 16</w:t>
      </w:r>
    </w:p>
    <w:p>
      <w:pPr>
        <w:spacing w:after="0" w:line="12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Reporting Insiders who purchase and sell the Company’s securities within a six-month period must disgorge all profits to the Company whether or not they had knowledge of any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- 2 -</w:t>
      </w:r>
    </w:p>
    <w:p>
      <w:pPr>
        <w:sectPr>
          <w:pgSz w:w="11900" w:h="16838" w:orient="portrait"/>
          <w:cols w:equalWidth="0" w:num="1">
            <w:col w:w="11280"/>
          </w:cols>
          <w:pgMar w:left="300" w:top="1440" w:right="319" w:bottom="1440" w:gutter="0" w:footer="0" w:header="0"/>
        </w:sectPr>
      </w:pPr>
    </w:p>
    <w:bookmarkStart w:id="204" w:name="page205"/>
    <w:bookmarkEnd w:id="204"/>
    <w:p>
      <w:pPr>
        <w:spacing w:after="0"/>
        <w:rPr>
          <w:sz w:val="20"/>
          <w:szCs w:val="20"/>
          <w:color w:val="auto"/>
        </w:rPr>
      </w:pPr>
      <w:r>
        <w:rPr>
          <w:rFonts w:ascii="Verdana" w:cs="Verdana" w:eastAsia="Verdana" w:hAnsi="Verdana"/>
          <w:sz w:val="14"/>
          <w:szCs w:val="14"/>
          <w:b w:val="1"/>
          <w:bCs w:val="1"/>
          <w:color w:val="auto"/>
        </w:rPr>
        <w:t>Prohibited Acts</w:t>
      </w:r>
    </w:p>
    <w:p>
      <w:pPr>
        <w:spacing w:after="0" w:line="138"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u w:val="single" w:color="auto"/>
          <w:color w:val="auto"/>
        </w:rPr>
        <w:t>Trading on Material Nonpublic Information.</w:t>
      </w:r>
      <w:r>
        <w:rPr>
          <w:rFonts w:ascii="Verdana" w:cs="Verdana" w:eastAsia="Verdana" w:hAnsi="Verdana"/>
          <w:sz w:val="14"/>
          <w:szCs w:val="14"/>
          <w:color w:val="auto"/>
        </w:rPr>
        <w:t xml:space="preserve"> No Insider shall engage in any transaction involving a purchase or sale of the Company’s securities, including any offer to purchase or offer to sell, during any period commencing with the date that he or she possesses Material Nonpublic Information concerning the Company, and ending at the close of business on the second Trading Day following the date of public disclosure of that information, or at such time as such nonpublic information is no longer material unless such transfer is made pursuant to an Approved 10b5-1 Trading Plan. In addition, the Company itself, must not, directly or indirectly, purchase, sell or otherwise dispose of the Company’s securities in violation of insider trading laws, rules and regulations, and any listing standards applicable to the Company.</w:t>
      </w:r>
    </w:p>
    <w:p>
      <w:pPr>
        <w:spacing w:after="0" w:line="123"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u w:val="single" w:color="auto"/>
          <w:color w:val="auto"/>
        </w:rPr>
        <w:t>Tipping.</w:t>
      </w:r>
      <w:r>
        <w:rPr>
          <w:rFonts w:ascii="Verdana" w:cs="Verdana" w:eastAsia="Verdana" w:hAnsi="Verdana"/>
          <w:sz w:val="14"/>
          <w:szCs w:val="14"/>
          <w:color w:val="auto"/>
        </w:rPr>
        <w:t xml:space="preserve"> No Insider shall disclose any Material Nonpublic Information with respect to the Company’s securities to any other person (including family members) who is not a director, officer or employee of the Company, or a consultant or contractor to the Company who is subject to a confidentiality agreement with the Company, nor shall such Insider or related person make recommendations or express opinions on the basis of Material Nonpublic Information as to trading in the Company’s securities.</w:t>
      </w:r>
    </w:p>
    <w:p>
      <w:pPr>
        <w:spacing w:after="0" w:line="13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u w:val="single" w:color="auto"/>
          <w:color w:val="auto"/>
        </w:rPr>
        <w:t>Unauthorized Disclosure of Nonpublic Information.</w:t>
      </w:r>
      <w:r>
        <w:rPr>
          <w:rFonts w:ascii="Verdana" w:cs="Verdana" w:eastAsia="Verdana" w:hAnsi="Verdana"/>
          <w:sz w:val="14"/>
          <w:szCs w:val="14"/>
          <w:color w:val="auto"/>
        </w:rPr>
        <w:t xml:space="preserve"> Nonpublic information relating to the Company is the property of the Company and the unauthorized disclosure of such information is forbidden.</w:t>
      </w:r>
    </w:p>
    <w:p>
      <w:pPr>
        <w:spacing w:after="0" w:line="110"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u w:val="single" w:color="auto"/>
          <w:color w:val="auto"/>
        </w:rPr>
        <w:t>Short Sales.</w:t>
      </w:r>
      <w:r>
        <w:rPr>
          <w:rFonts w:ascii="Verdana" w:cs="Verdana" w:eastAsia="Verdana" w:hAnsi="Verdana"/>
          <w:sz w:val="14"/>
          <w:szCs w:val="14"/>
          <w:color w:val="auto"/>
        </w:rPr>
        <w:t xml:space="preserve"> No director, officer or employee of the Company shall enter into any “short” position with respect to any equity security of the Company or otherwise violate Section 16(c) of the Securities Exchange Act of 1934, as amended.</w:t>
      </w:r>
    </w:p>
    <w:p>
      <w:pPr>
        <w:spacing w:after="0" w:line="11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u w:val="single" w:color="auto"/>
          <w:color w:val="auto"/>
        </w:rPr>
        <w:t>Hedging.</w:t>
      </w:r>
      <w:r>
        <w:rPr>
          <w:rFonts w:ascii="Verdana" w:cs="Verdana" w:eastAsia="Verdana" w:hAnsi="Verdana"/>
          <w:sz w:val="14"/>
          <w:szCs w:val="14"/>
          <w:color w:val="auto"/>
        </w:rPr>
        <w:t xml:space="preserve"> No director, officer or employee is permitted to enter into any hedging transaction with respect to the Company’s securities, including, but not limited to, the purchase or use of, directly or indirectly through any other persons or entities, any prepaid variable forward contracts, equity swaps, collars, exchange funds or any other instruments designed to offset any decrease in the market value of the Company’s securities.</w:t>
      </w:r>
    </w:p>
    <w:p>
      <w:pPr>
        <w:spacing w:after="0" w:line="12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u w:val="single" w:color="auto"/>
          <w:color w:val="auto"/>
        </w:rPr>
        <w:t>Pledging of Company Securities.</w:t>
      </w:r>
      <w:r>
        <w:rPr>
          <w:rFonts w:ascii="Verdana" w:cs="Verdana" w:eastAsia="Verdana" w:hAnsi="Verdana"/>
          <w:sz w:val="14"/>
          <w:szCs w:val="14"/>
          <w:color w:val="auto"/>
        </w:rPr>
        <w:t xml:space="preserve"> Except for any Company securities held by Section 16 Reporting Insiders pledged as collateral as of the date on which the Company’s policy against pledging Company securities was originally adopted, Section 16 Reporting Insiders are prohibited from pledging the Company’s securities as collateral, including, but not limited to, by holding any such securities in a margin account, without the prior approval of the Nominating and Corporate Governance Committee.</w:t>
      </w:r>
    </w:p>
    <w:p>
      <w:pPr>
        <w:spacing w:after="0" w:line="119"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Potential Criminal and Civil Liability and/or Disciplinary Action</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u w:val="single" w:color="auto"/>
          <w:color w:val="auto"/>
        </w:rPr>
        <w:t>Liability for Insider Trading.</w:t>
      </w:r>
      <w:r>
        <w:rPr>
          <w:rFonts w:ascii="Verdana" w:cs="Verdana" w:eastAsia="Verdana" w:hAnsi="Verdana"/>
          <w:sz w:val="14"/>
          <w:szCs w:val="14"/>
          <w:color w:val="auto"/>
        </w:rPr>
        <w:t xml:space="preserve"> Insiders may be subject to significant criminal and civil liability for engaging in transactions in the Company’s securities at a time when they are in possession of Material Nonpublic Information regarding the Company.</w:t>
      </w:r>
    </w:p>
    <w:p>
      <w:pPr>
        <w:spacing w:after="0" w:line="12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u w:val="single" w:color="auto"/>
          <w:color w:val="auto"/>
        </w:rPr>
        <w:t>Liability for Tipping.</w:t>
      </w:r>
      <w:r>
        <w:rPr>
          <w:rFonts w:ascii="Verdana" w:cs="Verdana" w:eastAsia="Verdana" w:hAnsi="Verdana"/>
          <w:sz w:val="14"/>
          <w:szCs w:val="14"/>
          <w:color w:val="auto"/>
        </w:rPr>
        <w:t xml:space="preserve"> Insiders also may be liable for improper transactions by any person (commonly referred to as a “tippee”) to whom they have disclosed Material Nonpublic Information regarding the Company or to whom they have made recommendations or expressed opinions on the basis of such information as to trading in the Company’s securities. Large penalties have been imposed even when the disclosing person did not profit from the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- 3 -</w:t>
      </w:r>
    </w:p>
    <w:p>
      <w:pPr>
        <w:sectPr>
          <w:pgSz w:w="11900" w:h="16838" w:orient="portrait"/>
          <w:cols w:equalWidth="0" w:num="1">
            <w:col w:w="11280"/>
          </w:cols>
          <w:pgMar w:left="300" w:top="1440" w:right="319" w:bottom="1440" w:gutter="0" w:footer="0" w:header="0"/>
        </w:sectPr>
      </w:pPr>
    </w:p>
    <w:bookmarkStart w:id="205" w:name="page206"/>
    <w:bookmarkEnd w:id="205"/>
    <w:p>
      <w:pPr>
        <w:spacing w:after="0" w:line="1"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u w:val="single" w:color="auto"/>
          <w:color w:val="auto"/>
        </w:rPr>
        <w:t>Possible Disciplinary Actions.</w:t>
      </w:r>
      <w:r>
        <w:rPr>
          <w:rFonts w:ascii="Verdana" w:cs="Verdana" w:eastAsia="Verdana" w:hAnsi="Verdana"/>
          <w:sz w:val="14"/>
          <w:szCs w:val="14"/>
          <w:color w:val="auto"/>
        </w:rPr>
        <w:t xml:space="preserve"> Insiders who violate this Policy also shall be subject to disciplinary action by the Company, which may include one or more of the following actions: ineligibility for future participation in the Company’s equity incentive plans, reduction or elimination of annual or other bonuses or termination of employment.</w:t>
      </w:r>
    </w:p>
    <w:p>
      <w:pPr>
        <w:spacing w:after="0" w:line="11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u w:val="single" w:color="auto"/>
          <w:color w:val="auto"/>
        </w:rPr>
        <w:t>Company Liability.</w:t>
      </w:r>
      <w:r>
        <w:rPr>
          <w:rFonts w:ascii="Verdana" w:cs="Verdana" w:eastAsia="Verdana" w:hAnsi="Verdana"/>
          <w:sz w:val="14"/>
          <w:szCs w:val="14"/>
          <w:color w:val="auto"/>
        </w:rPr>
        <w:t xml:space="preserve"> Although responsibility for compliance with this Policy and liability for non-compliance are primarily personal to the individuals involved, violations may result in civil and criminal liability for the Company.</w:t>
      </w:r>
    </w:p>
    <w:p>
      <w:pPr>
        <w:spacing w:after="0" w:line="110"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Exceptions</w:t>
      </w:r>
    </w:p>
    <w:p>
      <w:pPr>
        <w:spacing w:after="0" w:line="14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u w:val="single" w:color="auto"/>
          <w:color w:val="auto"/>
        </w:rPr>
        <w:t>Exercise of Stock Options.</w:t>
      </w:r>
      <w:r>
        <w:rPr>
          <w:rFonts w:ascii="Verdana" w:cs="Verdana" w:eastAsia="Verdana" w:hAnsi="Verdana"/>
          <w:sz w:val="14"/>
          <w:szCs w:val="14"/>
          <w:color w:val="auto"/>
        </w:rPr>
        <w:t xml:space="preserve"> The trading restrictions of this Policy do not apply to the exercise of a stock option acquired pursuant to the Company’s stock option or equity incentive plans or to the election to have the Company withhold shares subject to an option as payment of the option exercise price through a net exercise or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19" w:lineRule="exact"/>
        <w:rPr>
          <w:sz w:val="20"/>
          <w:szCs w:val="20"/>
          <w:color w:val="auto"/>
        </w:rPr>
      </w:pPr>
    </w:p>
    <w:p>
      <w:pPr>
        <w:jc w:val="both"/>
        <w:spacing w:after="0" w:line="241" w:lineRule="auto"/>
        <w:rPr>
          <w:sz w:val="20"/>
          <w:szCs w:val="20"/>
          <w:color w:val="auto"/>
        </w:rPr>
      </w:pPr>
      <w:r>
        <w:rPr>
          <w:rFonts w:ascii="Verdana" w:cs="Verdana" w:eastAsia="Verdana" w:hAnsi="Verdana"/>
          <w:sz w:val="14"/>
          <w:szCs w:val="14"/>
          <w:u w:val="single" w:color="auto"/>
          <w:color w:val="auto"/>
        </w:rPr>
        <w:t>10b5-1 Trading Plans.</w:t>
      </w:r>
      <w:r>
        <w:rPr>
          <w:rFonts w:ascii="Verdana" w:cs="Verdana" w:eastAsia="Verdana" w:hAnsi="Verdana"/>
          <w:sz w:val="14"/>
          <w:szCs w:val="14"/>
          <w:color w:val="auto"/>
        </w:rPr>
        <w:t xml:space="preserve"> The trading restrictions of this Policy do not apply to transactions made pursuant to a pre-existing written plan, contract, instruction, or arrangement under Rule 10b5-1 under the Securities Exchange Act of 1934 (“Rule 10b-5”) that complies with this Policy and that has been reviewed and approved by the Company’s General Counsel (“Approved 10b5-1 Plan”). If the Insider enters into an Approved 10b5-1 Plan at a time that is not during a Black-out Period and while the Insider is not in possession of Material Nonpublic Information, trades may be made pursuant to the Approved 10b5-1 Plan even if the Insider may be in possession of Material Nonpublic Information or the Company is in a Black-out Period at the actual time of the trade. 10b5-1 Plans may not be adopted by participants during a Black-out Period or when the participant is aware of Material Nonpublic Information. Generally, a trading plan must specify the amount of securities to buy or sell, the price at which to buy or sell, as well as specific time periods for the trades. Please note that some brokers require use of their own form trading plan. Additionally, all persons entering into a 10b5-1 plan must act in good faith with respect to the implementation and operation of the 10b5-1 plan, including with respect to any modification to the plan and actions related to the plan. Section 16 Reporting Insiders must include a representation in their 10b5-1 plans certifying, at the time of the adoption of a new or modified plan, that: (i) they are not aware of Material Nonpublic Information about the Company or its securities; and (ii) they are adopting the plan in good faith and not as part of a plan or scheme to evade the prohibitions of Rule 10b-5.</w:t>
      </w:r>
    </w:p>
    <w:p>
      <w:pPr>
        <w:spacing w:after="0" w:line="125"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Section 16 Reporting Insiders may not initiate trades under an Approved 10b5-1 Plan until the later of: (i) 90 days after adoption or modification of the plan; or (ii) two business days following the disclosure in Forms 10-K or 10-Q of the issuer’s financial results for the fiscal quarter in which the plan was adopted or modified (but not to exceed 120 days following plan adoption or modification). For employees of the Company who are not Section 16 Reporting Insiders, trades under an Approved 10b5-1 Plan may not be made until 30 days after the adoption of the plan.</w:t>
      </w:r>
    </w:p>
    <w:p>
      <w:pPr>
        <w:spacing w:after="0" w:line="130"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Any modification or termination of an Approved 10b5-1 Plan must comply with this Policy and such modification or termination may only be adopted (i) upon receipt of approval of the Company’s General Counsel, (ii) at a time that is not during a Black-out Period, and (iii) while the Insider is not in possession of Material Nonpublic Information. Modifications to existing Approved 10b5-1 Plans that do not change the sales or purchase prices or price ranges, the amount of securities to be sold or purchased, or the timing of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- 4 -</w:t>
      </w:r>
    </w:p>
    <w:p>
      <w:pPr>
        <w:sectPr>
          <w:pgSz w:w="11900" w:h="16838" w:orient="portrait"/>
          <w:cols w:equalWidth="0" w:num="1">
            <w:col w:w="11280"/>
          </w:cols>
          <w:pgMar w:left="300" w:top="1440" w:right="319" w:bottom="1440" w:gutter="0" w:footer="0" w:header="0"/>
        </w:sectPr>
      </w:pPr>
    </w:p>
    <w:bookmarkStart w:id="206" w:name="page207"/>
    <w:bookmarkEnd w:id="206"/>
    <w:p>
      <w:pPr>
        <w:spacing w:after="0" w:line="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under the plan (such as an adjustment for stock splits or a change in account information) will not trigger a new cooling-off period referred to in the preceding paragraph.</w:t>
      </w:r>
    </w:p>
    <w:p>
      <w:pPr>
        <w:spacing w:after="0" w:line="110" w:lineRule="exact"/>
        <w:rPr>
          <w:sz w:val="20"/>
          <w:szCs w:val="20"/>
          <w:color w:val="auto"/>
        </w:rPr>
      </w:pPr>
    </w:p>
    <w:p>
      <w:pPr>
        <w:jc w:val="both"/>
        <w:spacing w:after="0" w:line="243" w:lineRule="auto"/>
        <w:rPr>
          <w:sz w:val="20"/>
          <w:szCs w:val="20"/>
          <w:color w:val="auto"/>
        </w:rPr>
      </w:pPr>
      <w:r>
        <w:rPr>
          <w:rFonts w:ascii="Verdana" w:cs="Verdana" w:eastAsia="Verdana" w:hAnsi="Verdana"/>
          <w:sz w:val="14"/>
          <w:szCs w:val="14"/>
          <w:color w:val="auto"/>
        </w:rPr>
        <w:t>Generally, persons may not have more than one 10b5- 1 plan for open market purchases or sales of the Company’s securities; provided that two successive trading plans may be maintained so long as (i) one of them is a successor trading plan under which trades are not authorized to begin until completion or expiration of the predecessor plan and (ii) the predecessor plan is not terminated early. Additionally, persons are generally limited to one single- trade plan (one designed to effect the open market purchase or sale of the total amount of the securities subject to the plan as a single transaction) in any 12 month period. All 10b5-1 plans must be entered into and operated in accordance with all applicable Securities and Exchange Commission rules, as amended from time to time.</w:t>
      </w:r>
    </w:p>
    <w:p>
      <w:pPr>
        <w:spacing w:after="0" w:line="123"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color w:val="auto"/>
        </w:rPr>
        <w:t>You must notify the Company’s General Counsel no later than 2 business days prior to entering into, modifying or terminating a trading plan with respect to the Company’s securities. The Company considers the adherence to the securities laws to be of utmost importance, and an Insider’s reliance on a trading plan will not necessarily relieve the Insider of liability.</w:t>
      </w:r>
    </w:p>
    <w:p>
      <w:pPr>
        <w:spacing w:after="0" w:line="128"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u w:val="single" w:color="auto"/>
          <w:color w:val="auto"/>
        </w:rPr>
        <w:t>Bona Fide Gifts or Donations of Company Stock.</w:t>
      </w:r>
      <w:r>
        <w:rPr>
          <w:rFonts w:ascii="Verdana" w:cs="Verdana" w:eastAsia="Verdana" w:hAnsi="Verdana"/>
          <w:sz w:val="14"/>
          <w:szCs w:val="14"/>
          <w:color w:val="auto"/>
        </w:rPr>
        <w:t xml:space="preserve"> Bona fide gifts or donations of the Company’s securities made by Insiders to family members and charities are generally exempt from the trading restrictions of this Policy. Whether a gift or donation is bona fide, however, will depend on the circumstances surrounding the gift. For example, gifts to dependent children followed by a sale of the “gift” shares by the donee in close proximity to the time of the gift, however, may imply some economic benefit to the donor, and therefore, make the gift non-bona fide. Donations of the Company’s securities that are made when the donor is aware of Material Nonpublic Information and knows (or is reckless in not knowing), that the donee would sell the securities prior to the disclosure of such information would not be considered a bona fide gift or donation. Insiders should also be aware that there may be some exposure to tax liability based on the timing and value of the gift.</w:t>
      </w:r>
    </w:p>
    <w:p>
      <w:pPr>
        <w:spacing w:after="0" w:line="125" w:lineRule="exact"/>
        <w:rPr>
          <w:sz w:val="20"/>
          <w:szCs w:val="20"/>
          <w:color w:val="auto"/>
        </w:rPr>
      </w:pPr>
    </w:p>
    <w:p>
      <w:pPr>
        <w:jc w:val="both"/>
        <w:spacing w:after="0" w:line="242" w:lineRule="auto"/>
        <w:rPr>
          <w:sz w:val="20"/>
          <w:szCs w:val="20"/>
          <w:color w:val="auto"/>
        </w:rPr>
      </w:pPr>
      <w:r>
        <w:rPr>
          <w:rFonts w:ascii="Verdana" w:cs="Verdana" w:eastAsia="Verdana" w:hAnsi="Verdana"/>
          <w:sz w:val="14"/>
          <w:szCs w:val="14"/>
          <w:u w:val="single" w:color="auto"/>
          <w:color w:val="auto"/>
        </w:rPr>
        <w:t>401(k) Plan / Employee Stock Purchase Plan.</w:t>
      </w:r>
      <w:r>
        <w:rPr>
          <w:rFonts w:ascii="Verdana" w:cs="Verdana" w:eastAsia="Verdana" w:hAnsi="Verdana"/>
          <w:sz w:val="14"/>
          <w:szCs w:val="14"/>
          <w:color w:val="auto"/>
        </w:rPr>
        <w:t xml:space="preserve"> This Policy does not apply to periodic contributions to the Company’s 401(k) Plan or Employee Stock Purchase Plan which are used to purchase Company stock (including through allocations to the Company stock fund, in the case of the 401(k) Plan) pursuant to an individual’s advance instructions. This Policy does apply, however, to certain elections Insiders may make under such plans, including: (i) an election to increase or decrease the periodic contributions to such plans that will be used to purchase Company stock (including through allocations to the Company stock fund, in the case of the 401(k) Plan); (ii) an election to sell Company stock under the Employee Stock Purchase Plan or to make an intra-plan transfer of an existing account balance into or out of the Company stock fund in the 401(k) Plan; (iii) an election to borrow money against the 401(k) Plan account, if the loan will result in a liquidation of some or all of the Insider’s Company stock fund balance; and (iv) an election to prepay a 401(k) Plan loan if the prepayment will result in a change in the Insider’s Company stock fund balance.</w:t>
      </w:r>
    </w:p>
    <w:p>
      <w:pPr>
        <w:spacing w:after="0" w:line="123"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APPENDIX</w:t>
      </w:r>
    </w:p>
    <w:p>
      <w:pPr>
        <w:spacing w:after="0" w:line="14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A.1. Definitions</w:t>
      </w:r>
    </w:p>
    <w:p>
      <w:pPr>
        <w:spacing w:after="0" w:line="138" w:lineRule="exact"/>
        <w:rPr>
          <w:sz w:val="20"/>
          <w:szCs w:val="20"/>
          <w:color w:val="auto"/>
        </w:rPr>
      </w:pPr>
    </w:p>
    <w:p>
      <w:pPr>
        <w:spacing w:after="0"/>
        <w:rPr>
          <w:sz w:val="20"/>
          <w:szCs w:val="20"/>
          <w:color w:val="auto"/>
        </w:rPr>
      </w:pPr>
      <w:r>
        <w:rPr>
          <w:rFonts w:ascii="Verdana" w:cs="Verdana" w:eastAsia="Verdana" w:hAnsi="Verdana"/>
          <w:sz w:val="14"/>
          <w:szCs w:val="14"/>
          <w:color w:val="auto"/>
        </w:rPr>
        <w:t>For purposes of this Policy, the following terms have the meanings prescribed below:</w:t>
      </w:r>
    </w:p>
    <w:p>
      <w:pPr>
        <w:spacing w:after="0" w:line="13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b w:val="1"/>
          <w:bCs w:val="1"/>
          <w:color w:val="auto"/>
        </w:rPr>
        <w:t xml:space="preserve">Insider </w:t>
      </w:r>
      <w:r>
        <w:rPr>
          <w:rFonts w:ascii="Verdana" w:cs="Verdana" w:eastAsia="Verdana" w:hAnsi="Verdana"/>
          <w:sz w:val="14"/>
          <w:szCs w:val="14"/>
          <w:color w:val="auto"/>
        </w:rPr>
        <w:t>- means the following group of people, together with the members of their immediate families and members of their households: (i) the Company’s</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directors and officers; and (ii) the Company’s employees, consultants and contractors who receive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- 5 -</w:t>
      </w:r>
    </w:p>
    <w:p>
      <w:pPr>
        <w:sectPr>
          <w:pgSz w:w="11900" w:h="16838" w:orient="portrait"/>
          <w:cols w:equalWidth="0" w:num="1">
            <w:col w:w="11280"/>
          </w:cols>
          <w:pgMar w:left="300" w:top="1440" w:right="319" w:bottom="1440" w:gutter="0" w:footer="0" w:header="0"/>
        </w:sectPr>
      </w:pPr>
    </w:p>
    <w:bookmarkStart w:id="207" w:name="page208"/>
    <w:bookmarkEnd w:id="207"/>
    <w:p>
      <w:pPr>
        <w:spacing w:after="0" w:line="1"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have access to Material Nonpublic Information regarding the Company. Any person who possesses Material Nonpublic Information regarding the Company is an Insider for so long as the information is not publicly known.</w:t>
      </w:r>
    </w:p>
    <w:p>
      <w:pPr>
        <w:spacing w:after="0" w:line="11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color w:val="auto"/>
        </w:rPr>
        <w:t>An ”immediate” family member is any child, stepchild, grandchild, parent, stepparent, grandparent, spouse, sibling, mother-in-law, father-in-law, son-in-law, daughter-in-law, brother-in-law, and shall include adoptive relationships. A member of an Insider’s “household” is any other person who lives in such Insider’s home or shares such Insider’s address (except for employees or tenants of such Insider) or is financially dependent on such Insider.</w:t>
      </w:r>
    </w:p>
    <w:p>
      <w:pPr>
        <w:spacing w:after="0" w:line="118"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color w:val="auto"/>
        </w:rPr>
        <w:t xml:space="preserve">Material Nonpublic Information </w:t>
      </w:r>
      <w:r>
        <w:rPr>
          <w:rFonts w:ascii="Verdana" w:cs="Verdana" w:eastAsia="Verdana" w:hAnsi="Verdana"/>
          <w:sz w:val="14"/>
          <w:szCs w:val="14"/>
          <w:color w:val="auto"/>
        </w:rPr>
        <w:t>– although it is not possible to define all categories of “material” information, information should be regarded as material</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if there is a reasonable likelihood that it would be considered important to a reasonable investor in making an investment decision regarding the purchase or sale of the Company’s securities.</w:t>
      </w:r>
    </w:p>
    <w:p>
      <w:pPr>
        <w:spacing w:after="0" w:line="128"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 but is not limited to:</w:t>
      </w:r>
    </w:p>
    <w:p>
      <w:pPr>
        <w:spacing w:after="0" w:line="110" w:lineRule="exact"/>
        <w:rPr>
          <w:sz w:val="20"/>
          <w:szCs w:val="20"/>
          <w:color w:val="auto"/>
        </w:rPr>
      </w:pP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Financial results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Projections of future earnings or losses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Dividend declarations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Pending or proposed merger, acquisition, sale or joint venture</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Major changes in accounting methods or policies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Gain or loss of a substantial customer</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Stock splits or consolidations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New equity or debt offerings</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Significant litigation exposure due to actual or threatened litigation</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Major changes in senior management</w:t>
      </w:r>
    </w:p>
    <w:p>
      <w:pPr>
        <w:ind w:left="260" w:hanging="255"/>
        <w:spacing w:after="0"/>
        <w:tabs>
          <w:tab w:leader="none" w:pos="260" w:val="left"/>
        </w:tabs>
        <w:numPr>
          <w:ilvl w:val="0"/>
          <w:numId w:val="55"/>
        </w:numPr>
        <w:rPr>
          <w:rFonts w:ascii="Verdana" w:cs="Verdana" w:eastAsia="Verdana" w:hAnsi="Verdana"/>
          <w:sz w:val="14"/>
          <w:szCs w:val="14"/>
          <w:color w:val="auto"/>
        </w:rPr>
      </w:pPr>
      <w:r>
        <w:rPr>
          <w:rFonts w:ascii="Verdana" w:cs="Verdana" w:eastAsia="Verdana" w:hAnsi="Verdana"/>
          <w:sz w:val="14"/>
          <w:szCs w:val="14"/>
          <w:color w:val="auto"/>
        </w:rPr>
        <w:t>Cybersecurity risks and incidents, including vulnerabilities and breaches</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Either positive or negative information may be material. Nonpublic information is information regarding the Company or its securities that has not yet been disseminated in a manner making it available to investors generally, such as in a widely distributed Company press release or in one of the Company’s public filings with the Securities and Exchange Commission. For purposes of this Policy, information regarding the Company and its securities will generally continue to be considered “nonpublic information” until at least two full Trading Days have elapsed since the information was publicly disclosed by the Company.</w:t>
      </w:r>
    </w:p>
    <w:p>
      <w:pPr>
        <w:spacing w:after="0" w:line="130" w:lineRule="exact"/>
        <w:rPr>
          <w:sz w:val="20"/>
          <w:szCs w:val="20"/>
          <w:color w:val="auto"/>
        </w:rPr>
      </w:pPr>
    </w:p>
    <w:p>
      <w:pPr>
        <w:jc w:val="both"/>
        <w:spacing w:after="0" w:line="249" w:lineRule="auto"/>
        <w:rPr>
          <w:sz w:val="20"/>
          <w:szCs w:val="20"/>
          <w:color w:val="auto"/>
        </w:rPr>
      </w:pPr>
      <w:r>
        <w:rPr>
          <w:rFonts w:ascii="Verdana" w:cs="Verdana" w:eastAsia="Verdana" w:hAnsi="Verdana"/>
          <w:sz w:val="14"/>
          <w:szCs w:val="14"/>
          <w:b w:val="1"/>
          <w:bCs w:val="1"/>
          <w:color w:val="auto"/>
        </w:rPr>
        <w:t xml:space="preserve">Section 16 Reporting Insiders </w:t>
      </w:r>
      <w:r>
        <w:rPr>
          <w:rFonts w:ascii="Verdana" w:cs="Verdana" w:eastAsia="Verdana" w:hAnsi="Verdana"/>
          <w:sz w:val="14"/>
          <w:szCs w:val="14"/>
          <w:color w:val="auto"/>
        </w:rPr>
        <w:t>- Each year the Board of Directors of the Company will identify the Section 16 reporting insiders and notify them of their</w:t>
      </w:r>
      <w:r>
        <w:rPr>
          <w:rFonts w:ascii="Verdana" w:cs="Verdana" w:eastAsia="Verdana" w:hAnsi="Verdana"/>
          <w:sz w:val="14"/>
          <w:szCs w:val="14"/>
          <w:b w:val="1"/>
          <w:bCs w:val="1"/>
          <w:color w:val="auto"/>
        </w:rPr>
        <w:t xml:space="preserve"> </w:t>
      </w:r>
      <w:r>
        <w:rPr>
          <w:rFonts w:ascii="Verdana" w:cs="Verdana" w:eastAsia="Verdana" w:hAnsi="Verdana"/>
          <w:sz w:val="14"/>
          <w:szCs w:val="14"/>
          <w:color w:val="auto"/>
        </w:rPr>
        <w:t>status as such. These individuals will be required to comply with Section 16 of the Securities and Exchange Act of 1934, as amended, and the Company will inform them of these obligations.</w:t>
      </w:r>
    </w:p>
    <w:p>
      <w:pPr>
        <w:spacing w:after="0" w:line="118" w:lineRule="exact"/>
        <w:rPr>
          <w:sz w:val="20"/>
          <w:szCs w:val="20"/>
          <w:color w:val="auto"/>
        </w:rPr>
      </w:pPr>
    </w:p>
    <w:p>
      <w:pPr>
        <w:spacing w:after="0"/>
        <w:rPr>
          <w:sz w:val="20"/>
          <w:szCs w:val="20"/>
          <w:color w:val="auto"/>
        </w:rPr>
      </w:pPr>
      <w:r>
        <w:rPr>
          <w:rFonts w:ascii="Verdana" w:cs="Verdana" w:eastAsia="Verdana" w:hAnsi="Verdana"/>
          <w:sz w:val="14"/>
          <w:szCs w:val="14"/>
          <w:b w:val="1"/>
          <w:bCs w:val="1"/>
          <w:color w:val="auto"/>
        </w:rPr>
        <w:t xml:space="preserve">Trading Day </w:t>
      </w:r>
      <w:r>
        <w:rPr>
          <w:rFonts w:ascii="Verdana" w:cs="Verdana" w:eastAsia="Verdana" w:hAnsi="Verdana"/>
          <w:sz w:val="14"/>
          <w:szCs w:val="14"/>
          <w:color w:val="auto"/>
        </w:rPr>
        <w:t>- means a day on which national stock exchanges are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Verdana" w:cs="Verdana" w:eastAsia="Verdana" w:hAnsi="Verdana"/>
          <w:sz w:val="14"/>
          <w:szCs w:val="14"/>
          <w:color w:val="auto"/>
        </w:rPr>
        <w:t>- 6 -</w:t>
      </w:r>
    </w:p>
    <w:p>
      <w:pPr>
        <w:sectPr>
          <w:pgSz w:w="11900" w:h="16838" w:orient="portrait"/>
          <w:cols w:equalWidth="0" w:num="1">
            <w:col w:w="11280"/>
          </w:cols>
          <w:pgMar w:left="300" w:top="1440" w:right="3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ind w:left="1440"/>
              <w:spacing w:after="0"/>
              <w:rPr>
                <w:sz w:val="20"/>
                <w:szCs w:val="20"/>
                <w:color w:val="auto"/>
              </w:rPr>
            </w:pPr>
            <w:r>
              <w:rPr>
                <w:rFonts w:ascii="Verdana" w:cs="Verdana" w:eastAsia="Verdana" w:hAnsi="Verdana"/>
                <w:sz w:val="14"/>
                <w:szCs w:val="14"/>
                <w:b w:val="1"/>
                <w:bCs w:val="1"/>
                <w:color w:val="auto"/>
                <w:w w:val="98"/>
              </w:rPr>
              <w:t>EXHIBIT 21.1</w:t>
            </w:r>
          </w:p>
        </w:tc>
      </w:tr>
      <w:tr>
        <w:trPr>
          <w:trHeight w:val="318"/>
        </w:trPr>
        <w:tc>
          <w:tcPr>
            <w:tcW w:w="3920" w:type="dxa"/>
            <w:vAlign w:val="bottom"/>
          </w:tcPr>
          <w:p>
            <w:pPr>
              <w:spacing w:after="0"/>
              <w:rPr>
                <w:sz w:val="24"/>
                <w:szCs w:val="24"/>
                <w:color w:val="auto"/>
              </w:rPr>
            </w:pPr>
          </w:p>
        </w:tc>
        <w:tc>
          <w:tcPr>
            <w:tcW w:w="7360" w:type="dxa"/>
            <w:vAlign w:val="bottom"/>
            <w:gridSpan w:val="3"/>
          </w:tcPr>
          <w:p>
            <w:pPr>
              <w:ind w:left="180"/>
              <w:spacing w:after="0"/>
              <w:rPr>
                <w:sz w:val="20"/>
                <w:szCs w:val="20"/>
                <w:color w:val="auto"/>
              </w:rPr>
            </w:pPr>
            <w:r>
              <w:rPr>
                <w:rFonts w:ascii="Verdana" w:cs="Verdana" w:eastAsia="Verdana" w:hAnsi="Verdana"/>
                <w:sz w:val="14"/>
                <w:szCs w:val="14"/>
                <w:b w:val="1"/>
                <w:bCs w:val="1"/>
                <w:color w:val="auto"/>
              </w:rPr>
              <w:t>Subsidiaries of First Busey Corporation</w:t>
            </w:r>
          </w:p>
        </w:tc>
      </w:tr>
      <w:tr>
        <w:trPr>
          <w:trHeight w:val="269"/>
        </w:trPr>
        <w:tc>
          <w:tcPr>
            <w:tcW w:w="3920" w:type="dxa"/>
            <w:vAlign w:val="bottom"/>
          </w:tcPr>
          <w:p>
            <w:pPr>
              <w:ind w:left="20"/>
              <w:spacing w:after="0"/>
              <w:rPr>
                <w:sz w:val="20"/>
                <w:szCs w:val="20"/>
                <w:color w:val="auto"/>
              </w:rPr>
            </w:pPr>
            <w:r>
              <w:rPr>
                <w:rFonts w:ascii="Verdana" w:cs="Verdana" w:eastAsia="Verdana" w:hAnsi="Verdana"/>
                <w:sz w:val="11"/>
                <w:szCs w:val="11"/>
                <w:b w:val="1"/>
                <w:bCs w:val="1"/>
                <w:color w:val="auto"/>
              </w:rPr>
              <w:t>DIRECT</w:t>
            </w:r>
          </w:p>
        </w:tc>
        <w:tc>
          <w:tcPr>
            <w:tcW w:w="4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tcPr>
          <w:p>
            <w:pPr>
              <w:jc w:val="center"/>
              <w:spacing w:after="0"/>
              <w:rPr>
                <w:sz w:val="20"/>
                <w:szCs w:val="20"/>
                <w:color w:val="auto"/>
              </w:rPr>
            </w:pPr>
            <w:r>
              <w:rPr>
                <w:rFonts w:ascii="Verdana" w:cs="Verdana" w:eastAsia="Verdana" w:hAnsi="Verdana"/>
                <w:sz w:val="11"/>
                <w:szCs w:val="11"/>
                <w:b w:val="1"/>
                <w:bCs w:val="1"/>
                <w:color w:val="auto"/>
              </w:rPr>
              <w:t>State of</w:t>
            </w:r>
          </w:p>
        </w:tc>
      </w:tr>
      <w:tr>
        <w:trPr>
          <w:trHeight w:val="145"/>
        </w:trPr>
        <w:tc>
          <w:tcPr>
            <w:tcW w:w="3920" w:type="dxa"/>
            <w:vAlign w:val="bottom"/>
            <w:tcBorders>
              <w:bottom w:val="single" w:sz="8" w:color="auto"/>
            </w:tcBorders>
          </w:tcPr>
          <w:p>
            <w:pPr>
              <w:ind w:left="20"/>
              <w:spacing w:after="0"/>
              <w:rPr>
                <w:sz w:val="20"/>
                <w:szCs w:val="20"/>
                <w:color w:val="auto"/>
              </w:rPr>
            </w:pPr>
            <w:r>
              <w:rPr>
                <w:rFonts w:ascii="Verdana" w:cs="Verdana" w:eastAsia="Verdana" w:hAnsi="Verdana"/>
                <w:sz w:val="11"/>
                <w:szCs w:val="11"/>
                <w:b w:val="1"/>
                <w:bCs w:val="1"/>
                <w:color w:val="auto"/>
              </w:rPr>
              <w:t>Subsidiary</w:t>
            </w:r>
          </w:p>
        </w:tc>
        <w:tc>
          <w:tcPr>
            <w:tcW w:w="4760" w:type="dxa"/>
            <w:vAlign w:val="bottom"/>
            <w:tcBorders>
              <w:bottom w:val="single" w:sz="8" w:color="auto"/>
            </w:tcBorders>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auto"/>
              </w:rPr>
              <w:t>Incorporation or Organization</w:t>
            </w:r>
          </w:p>
        </w:tc>
      </w:tr>
      <w:tr>
        <w:trPr>
          <w:trHeight w:val="171"/>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Busey Bank</w:t>
            </w:r>
          </w:p>
        </w:tc>
        <w:tc>
          <w:tcPr>
            <w:tcW w:w="47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Deed of Trust Services Corporation</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Busey Statutory Trust II</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Delaware</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First Busey Statutory Trust III</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Delaware</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Busey Statutory Trust IV</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Delaware</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Pulaski Financial Statutory Trust I</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Connecticut</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Pulaski Financial Statutory Trust II</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Delaware</w:t>
            </w:r>
          </w:p>
        </w:tc>
      </w:tr>
      <w:tr>
        <w:trPr>
          <w:trHeight w:val="184"/>
        </w:trPr>
        <w:tc>
          <w:tcPr>
            <w:tcW w:w="3920" w:type="dxa"/>
            <w:vAlign w:val="bottom"/>
          </w:tcPr>
          <w:p>
            <w:pPr>
              <w:ind w:left="20"/>
              <w:spacing w:after="0"/>
              <w:rPr>
                <w:sz w:val="20"/>
                <w:szCs w:val="20"/>
                <w:color w:val="auto"/>
              </w:rPr>
            </w:pPr>
            <w:r>
              <w:rPr>
                <w:rFonts w:ascii="Verdana" w:cs="Verdana" w:eastAsia="Verdana" w:hAnsi="Verdana"/>
                <w:sz w:val="14"/>
                <w:szCs w:val="14"/>
                <w:color w:val="auto"/>
              </w:rPr>
              <w:t>Merchants and Manufacturers Bank Statutory Trust I</w:t>
            </w:r>
          </w:p>
        </w:tc>
        <w:tc>
          <w:tcPr>
            <w:tcW w:w="4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Connecticut</w:t>
            </w:r>
          </w:p>
        </w:tc>
      </w:tr>
      <w:tr>
        <w:trPr>
          <w:trHeight w:val="349"/>
        </w:trPr>
        <w:tc>
          <w:tcPr>
            <w:tcW w:w="3920" w:type="dxa"/>
            <w:vAlign w:val="bottom"/>
          </w:tcPr>
          <w:p>
            <w:pPr>
              <w:ind w:left="20"/>
              <w:spacing w:after="0"/>
              <w:rPr>
                <w:sz w:val="20"/>
                <w:szCs w:val="20"/>
                <w:color w:val="auto"/>
              </w:rPr>
            </w:pPr>
            <w:r>
              <w:rPr>
                <w:rFonts w:ascii="Verdana" w:cs="Verdana" w:eastAsia="Verdana" w:hAnsi="Verdana"/>
                <w:sz w:val="11"/>
                <w:szCs w:val="11"/>
                <w:b w:val="1"/>
                <w:bCs w:val="1"/>
                <w:color w:val="auto"/>
              </w:rPr>
              <w:t>INDIRECT</w:t>
            </w:r>
          </w:p>
        </w:tc>
        <w:tc>
          <w:tcPr>
            <w:tcW w:w="4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Verdana" w:cs="Verdana" w:eastAsia="Verdana" w:hAnsi="Verdana"/>
                <w:sz w:val="11"/>
                <w:szCs w:val="11"/>
                <w:b w:val="1"/>
                <w:bCs w:val="1"/>
                <w:color w:val="auto"/>
              </w:rPr>
              <w:t>State of</w:t>
            </w:r>
          </w:p>
        </w:tc>
      </w:tr>
      <w:tr>
        <w:trPr>
          <w:trHeight w:val="145"/>
        </w:trPr>
        <w:tc>
          <w:tcPr>
            <w:tcW w:w="3920" w:type="dxa"/>
            <w:vAlign w:val="bottom"/>
            <w:tcBorders>
              <w:bottom w:val="single" w:sz="8" w:color="auto"/>
            </w:tcBorders>
          </w:tcPr>
          <w:p>
            <w:pPr>
              <w:ind w:left="20"/>
              <w:spacing w:after="0"/>
              <w:rPr>
                <w:sz w:val="20"/>
                <w:szCs w:val="20"/>
                <w:color w:val="auto"/>
              </w:rPr>
            </w:pPr>
            <w:r>
              <w:rPr>
                <w:rFonts w:ascii="Verdana" w:cs="Verdana" w:eastAsia="Verdana" w:hAnsi="Verdana"/>
                <w:sz w:val="11"/>
                <w:szCs w:val="11"/>
                <w:b w:val="1"/>
                <w:bCs w:val="1"/>
                <w:color w:val="auto"/>
              </w:rPr>
              <w:t>Subsidiary</w:t>
            </w:r>
          </w:p>
        </w:tc>
        <w:tc>
          <w:tcPr>
            <w:tcW w:w="4760" w:type="dxa"/>
            <w:vAlign w:val="bottom"/>
            <w:tcBorders>
              <w:bottom w:val="single" w:sz="8" w:color="auto"/>
            </w:tcBorders>
          </w:tcPr>
          <w:p>
            <w:pPr>
              <w:spacing w:after="0"/>
              <w:rPr>
                <w:sz w:val="12"/>
                <w:szCs w:val="12"/>
                <w:color w:val="auto"/>
              </w:rPr>
            </w:pPr>
          </w:p>
        </w:tc>
        <w:tc>
          <w:tcPr>
            <w:tcW w:w="80" w:type="dxa"/>
            <w:vAlign w:val="bottom"/>
            <w:tcBorders>
              <w:bottom w:val="single" w:sz="8" w:color="E0E7ED"/>
            </w:tcBorders>
          </w:tcPr>
          <w:p>
            <w:pPr>
              <w:spacing w:after="0"/>
              <w:rPr>
                <w:sz w:val="12"/>
                <w:szCs w:val="12"/>
                <w:color w:val="auto"/>
              </w:rPr>
            </w:pPr>
          </w:p>
        </w:tc>
        <w:tc>
          <w:tcPr>
            <w:tcW w:w="2520" w:type="dxa"/>
            <w:vAlign w:val="bottom"/>
            <w:tcBorders>
              <w:bottom w:val="single" w:sz="8" w:color="auto"/>
            </w:tcBorders>
          </w:tcPr>
          <w:p>
            <w:pPr>
              <w:jc w:val="center"/>
              <w:spacing w:after="0"/>
              <w:rPr>
                <w:sz w:val="20"/>
                <w:szCs w:val="20"/>
                <w:color w:val="auto"/>
              </w:rPr>
            </w:pPr>
            <w:r>
              <w:rPr>
                <w:rFonts w:ascii="Verdana" w:cs="Verdana" w:eastAsia="Verdana" w:hAnsi="Verdana"/>
                <w:sz w:val="11"/>
                <w:szCs w:val="11"/>
                <w:b w:val="1"/>
                <w:bCs w:val="1"/>
                <w:color w:val="auto"/>
              </w:rPr>
              <w:t>Incorporation or Organization</w:t>
            </w:r>
          </w:p>
        </w:tc>
      </w:tr>
      <w:tr>
        <w:trPr>
          <w:trHeight w:val="171"/>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Busey Capital Management, Inc.</w:t>
            </w:r>
          </w:p>
        </w:tc>
        <w:tc>
          <w:tcPr>
            <w:tcW w:w="47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Holdings 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Holdings II,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Holdings III,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II,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III,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IV,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V,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VI,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VII,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VIII,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IX,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X,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XI,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Properties XII,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Echo Properties XIII,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Florida</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Echo Resources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First Community OREO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First Community OREO LLC III</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Goshen Millstone Condo I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Goshen Millstone Condo II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Goshen Millstone Land LLC</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Goshen Real Estate LLC</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Goshen Real Estate LLC, I</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Goshen Real Estate LLC, II</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Goshen Real Estate LLC, III</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tcPr>
          <w:p>
            <w:pPr>
              <w:ind w:left="20"/>
              <w:spacing w:after="0"/>
              <w:rPr>
                <w:sz w:val="20"/>
                <w:szCs w:val="20"/>
                <w:color w:val="auto"/>
              </w:rPr>
            </w:pPr>
            <w:r>
              <w:rPr>
                <w:rFonts w:ascii="Verdana" w:cs="Verdana" w:eastAsia="Verdana" w:hAnsi="Verdana"/>
                <w:sz w:val="14"/>
                <w:szCs w:val="14"/>
                <w:color w:val="auto"/>
              </w:rPr>
              <w:t>Goshen Real Estate LLC, IV</w:t>
            </w:r>
          </w:p>
        </w:tc>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3920" w:type="dxa"/>
            <w:vAlign w:val="bottom"/>
            <w:shd w:val="clear" w:color="auto" w:fill="E0E7ED"/>
          </w:tcPr>
          <w:p>
            <w:pPr>
              <w:ind w:left="20"/>
              <w:spacing w:after="0"/>
              <w:rPr>
                <w:sz w:val="20"/>
                <w:szCs w:val="20"/>
                <w:color w:val="auto"/>
              </w:rPr>
            </w:pPr>
            <w:r>
              <w:rPr>
                <w:rFonts w:ascii="Verdana" w:cs="Verdana" w:eastAsia="Verdana" w:hAnsi="Verdana"/>
                <w:sz w:val="14"/>
                <w:szCs w:val="14"/>
                <w:color w:val="auto"/>
              </w:rPr>
              <w:t>Goshen Real Estate LLC, V</w:t>
            </w:r>
          </w:p>
        </w:tc>
        <w:tc>
          <w:tcPr>
            <w:tcW w:w="47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bl>
    <w:p>
      <w:pPr>
        <w:sectPr>
          <w:pgSz w:w="11900" w:h="16838" w:orient="portrait"/>
          <w:cols w:equalWidth="0" w:num="1">
            <w:col w:w="11280"/>
          </w:cols>
          <w:pgMar w:left="300" w:top="910" w:right="31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760" w:type="dxa"/>
            <w:vAlign w:val="bottom"/>
            <w:gridSpan w:val="2"/>
          </w:tcPr>
          <w:p>
            <w:pPr>
              <w:ind w:left="20"/>
              <w:spacing w:after="0"/>
              <w:rPr>
                <w:sz w:val="20"/>
                <w:szCs w:val="20"/>
                <w:color w:val="auto"/>
              </w:rPr>
            </w:pPr>
            <w:r>
              <w:rPr>
                <w:rFonts w:ascii="Verdana" w:cs="Verdana" w:eastAsia="Verdana" w:hAnsi="Verdana"/>
                <w:sz w:val="11"/>
                <w:szCs w:val="11"/>
                <w:b w:val="1"/>
                <w:bCs w:val="1"/>
                <w:color w:val="auto"/>
              </w:rPr>
              <w:t>INDIRECT</w:t>
            </w:r>
          </w:p>
        </w:tc>
        <w:tc>
          <w:tcPr>
            <w:tcW w:w="2520" w:type="dxa"/>
            <w:vAlign w:val="bottom"/>
          </w:tcPr>
          <w:p>
            <w:pPr>
              <w:jc w:val="center"/>
              <w:spacing w:after="0"/>
              <w:rPr>
                <w:sz w:val="20"/>
                <w:szCs w:val="20"/>
                <w:color w:val="auto"/>
              </w:rPr>
            </w:pPr>
            <w:r>
              <w:rPr>
                <w:rFonts w:ascii="Verdana" w:cs="Verdana" w:eastAsia="Verdana" w:hAnsi="Verdana"/>
                <w:sz w:val="11"/>
                <w:szCs w:val="11"/>
                <w:b w:val="1"/>
                <w:bCs w:val="1"/>
                <w:color w:val="auto"/>
              </w:rPr>
              <w:t>State of</w:t>
            </w:r>
          </w:p>
        </w:tc>
      </w:tr>
      <w:tr>
        <w:trPr>
          <w:trHeight w:val="148"/>
        </w:trPr>
        <w:tc>
          <w:tcPr>
            <w:tcW w:w="8760" w:type="dxa"/>
            <w:vAlign w:val="bottom"/>
            <w:gridSpan w:val="2"/>
          </w:tcPr>
          <w:p>
            <w:pPr>
              <w:ind w:left="20"/>
              <w:spacing w:after="0"/>
              <w:rPr>
                <w:sz w:val="20"/>
                <w:szCs w:val="20"/>
                <w:color w:val="auto"/>
              </w:rPr>
            </w:pPr>
            <w:r>
              <w:rPr>
                <w:rFonts w:ascii="Verdana" w:cs="Verdana" w:eastAsia="Verdana" w:hAnsi="Verdana"/>
                <w:sz w:val="11"/>
                <w:szCs w:val="11"/>
                <w:b w:val="1"/>
                <w:bCs w:val="1"/>
                <w:color w:val="auto"/>
              </w:rPr>
              <w:t>Subsidiary</w:t>
            </w:r>
          </w:p>
        </w:tc>
        <w:tc>
          <w:tcPr>
            <w:tcW w:w="2520" w:type="dxa"/>
            <w:vAlign w:val="bottom"/>
          </w:tcPr>
          <w:p>
            <w:pPr>
              <w:jc w:val="center"/>
              <w:spacing w:after="0"/>
              <w:rPr>
                <w:sz w:val="20"/>
                <w:szCs w:val="20"/>
                <w:color w:val="auto"/>
              </w:rPr>
            </w:pPr>
            <w:r>
              <w:rPr>
                <w:rFonts w:ascii="Verdana" w:cs="Verdana" w:eastAsia="Verdana" w:hAnsi="Verdana"/>
                <w:sz w:val="11"/>
                <w:szCs w:val="11"/>
                <w:b w:val="1"/>
                <w:bCs w:val="1"/>
                <w:color w:val="auto"/>
              </w:rPr>
              <w:t>Incorporation or Organization</w:t>
            </w:r>
          </w:p>
        </w:tc>
      </w:tr>
      <w:tr>
        <w:trPr>
          <w:trHeight w:val="171"/>
        </w:trPr>
        <w:tc>
          <w:tcPr>
            <w:tcW w:w="8680" w:type="dxa"/>
            <w:vAlign w:val="bottom"/>
            <w:tcBorders>
              <w:top w:val="single" w:sz="8" w:color="auto"/>
            </w:tcBorders>
          </w:tcPr>
          <w:p>
            <w:pPr>
              <w:ind w:left="20"/>
              <w:spacing w:after="0"/>
              <w:rPr>
                <w:sz w:val="20"/>
                <w:szCs w:val="20"/>
                <w:color w:val="auto"/>
              </w:rPr>
            </w:pPr>
            <w:r>
              <w:rPr>
                <w:rFonts w:ascii="Verdana" w:cs="Verdana" w:eastAsia="Verdana" w:hAnsi="Verdana"/>
                <w:sz w:val="14"/>
                <w:szCs w:val="14"/>
                <w:color w:val="auto"/>
              </w:rPr>
              <w:t>Goshen Real Estate of Illinois, LLC</w:t>
            </w:r>
          </w:p>
        </w:tc>
        <w:tc>
          <w:tcPr>
            <w:tcW w:w="80" w:type="dxa"/>
            <w:vAlign w:val="bottom"/>
          </w:tcPr>
          <w:p>
            <w:pPr>
              <w:spacing w:after="0"/>
              <w:rPr>
                <w:sz w:val="14"/>
                <w:szCs w:val="14"/>
                <w:color w:val="auto"/>
              </w:rPr>
            </w:pPr>
          </w:p>
        </w:tc>
        <w:tc>
          <w:tcPr>
            <w:tcW w:w="2520" w:type="dxa"/>
            <w:vAlign w:val="bottom"/>
            <w:tcBorders>
              <w:top w:val="single" w:sz="8" w:color="auto"/>
            </w:tcBorders>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FirsTech, Inc.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II,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III,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IV,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V,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VI,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VII,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VIII,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IX,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XI,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XII,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XIII,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XIV,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XV,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XVI,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XVII,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XVIII,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Pillar Properties XIX,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Pillar Properties XX, LLC</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w w:val="99"/>
              </w:rPr>
              <w:t>Illinois</w:t>
            </w:r>
          </w:p>
        </w:tc>
      </w:tr>
      <w:tr>
        <w:trPr>
          <w:trHeight w:val="180"/>
        </w:trPr>
        <w:tc>
          <w:tcPr>
            <w:tcW w:w="8760" w:type="dxa"/>
            <w:vAlign w:val="bottom"/>
            <w:gridSpan w:val="2"/>
          </w:tcPr>
          <w:p>
            <w:pPr>
              <w:ind w:left="20"/>
              <w:spacing w:after="0"/>
              <w:rPr>
                <w:sz w:val="20"/>
                <w:szCs w:val="20"/>
                <w:color w:val="auto"/>
              </w:rPr>
            </w:pPr>
            <w:r>
              <w:rPr>
                <w:rFonts w:ascii="Verdana" w:cs="Verdana" w:eastAsia="Verdana" w:hAnsi="Verdana"/>
                <w:sz w:val="14"/>
                <w:szCs w:val="14"/>
                <w:color w:val="auto"/>
              </w:rPr>
              <w:t>Priority Property Holdings, LLC</w:t>
            </w:r>
          </w:p>
        </w:tc>
        <w:tc>
          <w:tcPr>
            <w:tcW w:w="2520" w:type="dxa"/>
            <w:vAlign w:val="bottom"/>
          </w:tcPr>
          <w:p>
            <w:pPr>
              <w:jc w:val="center"/>
              <w:spacing w:after="0"/>
              <w:rPr>
                <w:sz w:val="20"/>
                <w:szCs w:val="20"/>
                <w:color w:val="auto"/>
              </w:rPr>
            </w:pPr>
            <w:r>
              <w:rPr>
                <w:rFonts w:ascii="Verdana" w:cs="Verdana" w:eastAsia="Verdana" w:hAnsi="Verdana"/>
                <w:sz w:val="14"/>
                <w:szCs w:val="14"/>
                <w:color w:val="auto"/>
              </w:rPr>
              <w:t>Missouri</w:t>
            </w:r>
          </w:p>
        </w:tc>
      </w:tr>
      <w:tr>
        <w:trPr>
          <w:trHeight w:val="180"/>
        </w:trPr>
        <w:tc>
          <w:tcPr>
            <w:tcW w:w="8760" w:type="dxa"/>
            <w:vAlign w:val="bottom"/>
            <w:gridSpan w:val="2"/>
            <w:shd w:val="clear" w:color="auto" w:fill="E0E7ED"/>
          </w:tcPr>
          <w:p>
            <w:pPr>
              <w:ind w:left="20"/>
              <w:spacing w:after="0"/>
              <w:rPr>
                <w:sz w:val="20"/>
                <w:szCs w:val="20"/>
                <w:color w:val="auto"/>
              </w:rPr>
            </w:pPr>
            <w:r>
              <w:rPr>
                <w:rFonts w:ascii="Verdana" w:cs="Verdana" w:eastAsia="Verdana" w:hAnsi="Verdana"/>
                <w:sz w:val="14"/>
                <w:szCs w:val="14"/>
                <w:color w:val="auto"/>
              </w:rPr>
              <w:t>Pulaski Service Corporation</w:t>
            </w:r>
          </w:p>
        </w:tc>
        <w:tc>
          <w:tcPr>
            <w:tcW w:w="2520" w:type="dxa"/>
            <w:vAlign w:val="bottom"/>
            <w:shd w:val="clear" w:color="auto" w:fill="E0E7ED"/>
          </w:tcPr>
          <w:p>
            <w:pPr>
              <w:jc w:val="center"/>
              <w:spacing w:after="0"/>
              <w:rPr>
                <w:sz w:val="20"/>
                <w:szCs w:val="20"/>
                <w:color w:val="auto"/>
              </w:rPr>
            </w:pPr>
            <w:r>
              <w:rPr>
                <w:rFonts w:ascii="Verdana" w:cs="Verdana" w:eastAsia="Verdana" w:hAnsi="Verdana"/>
                <w:sz w:val="14"/>
                <w:szCs w:val="14"/>
                <w:color w:val="auto"/>
              </w:rPr>
              <w:t>Missouri</w:t>
            </w:r>
          </w:p>
        </w:tc>
      </w:tr>
    </w:tbl>
    <w:p>
      <w:pPr>
        <w:sectPr>
          <w:pgSz w:w="11900" w:h="16838" w:orient="portrait"/>
          <w:cols w:equalWidth="0" w:num="1">
            <w:col w:w="11280"/>
          </w:cols>
          <w:pgMar w:left="300" w:top="1067" w:right="319" w:bottom="1440" w:gutter="0" w:footer="0" w:header="0"/>
        </w:sectPr>
      </w:pPr>
    </w:p>
    <w:bookmarkStart w:id="210" w:name="page211"/>
    <w:bookmarkEnd w:id="210"/>
    <w:p>
      <w:pPr>
        <w:jc w:val="right"/>
        <w:spacing w:after="0"/>
        <w:rPr>
          <w:sz w:val="20"/>
          <w:szCs w:val="20"/>
          <w:color w:val="auto"/>
        </w:rPr>
      </w:pPr>
      <w:r>
        <w:rPr>
          <w:rFonts w:ascii="Verdana" w:cs="Verdana" w:eastAsia="Verdana" w:hAnsi="Verdana"/>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59" w:lineRule="exact"/>
        <w:rPr>
          <w:sz w:val="20"/>
          <w:szCs w:val="20"/>
          <w:color w:val="auto"/>
        </w:rPr>
      </w:pPr>
    </w:p>
    <w:p>
      <w:pPr>
        <w:ind w:right="40"/>
        <w:spacing w:after="0" w:line="182" w:lineRule="exact"/>
        <w:rPr>
          <w:sz w:val="20"/>
          <w:szCs w:val="20"/>
          <w:color w:val="auto"/>
        </w:rPr>
      </w:pPr>
      <w:r>
        <w:rPr>
          <w:rFonts w:ascii="Arial" w:cs="Arial" w:eastAsia="Arial" w:hAnsi="Arial"/>
          <w:sz w:val="14"/>
          <w:szCs w:val="14"/>
          <w:color w:val="auto"/>
        </w:rPr>
        <w:t>We consent to the incorporation by reference in the Registration Statement (No. 333</w:t>
      </w:r>
      <w:r>
        <w:rPr>
          <w:rFonts w:ascii="MS PGothic" w:cs="MS PGothic" w:eastAsia="MS PGothic" w:hAnsi="MS PGothic"/>
          <w:sz w:val="14"/>
          <w:szCs w:val="14"/>
          <w:color w:val="auto"/>
        </w:rPr>
        <w:t>‑</w:t>
      </w:r>
      <w:r>
        <w:rPr>
          <w:rFonts w:ascii="Arial" w:cs="Arial" w:eastAsia="Arial" w:hAnsi="Arial"/>
          <w:sz w:val="14"/>
          <w:szCs w:val="14"/>
          <w:color w:val="auto"/>
        </w:rPr>
        <w:t>274620) on Form S</w:t>
      </w:r>
      <w:r>
        <w:rPr>
          <w:rFonts w:ascii="MS PGothic" w:cs="MS PGothic" w:eastAsia="MS PGothic" w:hAnsi="MS PGothic"/>
          <w:sz w:val="14"/>
          <w:szCs w:val="14"/>
          <w:color w:val="auto"/>
        </w:rPr>
        <w:t>‑</w:t>
      </w:r>
      <w:r>
        <w:rPr>
          <w:rFonts w:ascii="Arial" w:cs="Arial" w:eastAsia="Arial" w:hAnsi="Arial"/>
          <w:sz w:val="14"/>
          <w:szCs w:val="14"/>
          <w:color w:val="auto"/>
        </w:rPr>
        <w:t>3, (Nos. 333</w:t>
      </w:r>
      <w:r>
        <w:rPr>
          <w:rFonts w:ascii="MS PGothic" w:cs="MS PGothic" w:eastAsia="MS PGothic" w:hAnsi="MS PGothic"/>
          <w:sz w:val="14"/>
          <w:szCs w:val="14"/>
          <w:color w:val="auto"/>
        </w:rPr>
        <w:t>‑</w:t>
      </w:r>
      <w:r>
        <w:rPr>
          <w:rFonts w:ascii="Arial" w:cs="Arial" w:eastAsia="Arial" w:hAnsi="Arial"/>
          <w:sz w:val="14"/>
          <w:szCs w:val="14"/>
          <w:color w:val="auto"/>
        </w:rPr>
        <w:t xml:space="preserve"> 272268, 333</w:t>
      </w:r>
      <w:r>
        <w:rPr>
          <w:rFonts w:ascii="MS PGothic" w:cs="MS PGothic" w:eastAsia="MS PGothic" w:hAnsi="MS PGothic"/>
          <w:sz w:val="14"/>
          <w:szCs w:val="14"/>
          <w:color w:val="auto"/>
        </w:rPr>
        <w:t>‑</w:t>
      </w:r>
      <w:r>
        <w:rPr>
          <w:rFonts w:ascii="Arial" w:cs="Arial" w:eastAsia="Arial" w:hAnsi="Arial"/>
          <w:sz w:val="14"/>
          <w:szCs w:val="14"/>
          <w:color w:val="auto"/>
        </w:rPr>
        <w:t>256365, 333-238782) on Form S</w:t>
      </w:r>
      <w:r>
        <w:rPr>
          <w:rFonts w:ascii="MS PGothic" w:cs="MS PGothic" w:eastAsia="MS PGothic" w:hAnsi="MS PGothic"/>
          <w:sz w:val="14"/>
          <w:szCs w:val="14"/>
          <w:color w:val="auto"/>
        </w:rPr>
        <w:t>‑</w:t>
      </w:r>
      <w:r>
        <w:rPr>
          <w:rFonts w:ascii="Arial" w:cs="Arial" w:eastAsia="Arial" w:hAnsi="Arial"/>
          <w:sz w:val="14"/>
          <w:szCs w:val="14"/>
          <w:color w:val="auto"/>
        </w:rPr>
        <w:t>8, and (No. 333-282727) on Form S-4, as amended, and the related proxy statement/prospectus, of First Busey Corporation of our reports dated February 27, 2025, relating to the consolidated financial statements and the effectiveness of internal control over financial reporting of First Busey Corporation, appearing in this Annual Report on Form 10-K of First Busey Corporation for the year ended December 31, 2024.</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2025</w:t>
      </w:r>
    </w:p>
    <w:p>
      <w:pPr>
        <w:sectPr>
          <w:pgSz w:w="11900" w:h="16838" w:orient="portrait"/>
          <w:cols w:equalWidth="0" w:num="1">
            <w:col w:w="11280"/>
          </w:cols>
          <w:pgMar w:left="300" w:top="136" w:right="319" w:bottom="1440" w:gutter="0" w:footer="0" w:header="0"/>
        </w:sectPr>
      </w:pPr>
    </w:p>
    <w:bookmarkStart w:id="211" w:name="page212"/>
    <w:bookmarkEnd w:id="211"/>
    <w:p>
      <w:pPr>
        <w:jc w:val="right"/>
        <w:spacing w:after="0"/>
        <w:rPr>
          <w:sz w:val="20"/>
          <w:szCs w:val="20"/>
          <w:color w:val="auto"/>
        </w:rPr>
      </w:pPr>
      <w:r>
        <w:rPr>
          <w:rFonts w:ascii="Verdana" w:cs="Verdana" w:eastAsia="Verdana" w:hAnsi="Verdana"/>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560" w:firstLine="3557"/>
        <w:spacing w:after="0" w:line="404" w:lineRule="auto"/>
        <w:rPr>
          <w:sz w:val="20"/>
          <w:szCs w:val="20"/>
          <w:color w:val="auto"/>
        </w:rPr>
      </w:pPr>
      <w:r>
        <w:rPr>
          <w:rFonts w:ascii="Verdana" w:cs="Verdana" w:eastAsia="Verdana" w:hAnsi="Verdana"/>
          <w:sz w:val="14"/>
          <w:szCs w:val="14"/>
          <w:b w:val="1"/>
          <w:bCs w:val="1"/>
          <w:color w:val="auto"/>
        </w:rPr>
        <w:t xml:space="preserve">CERTIFICATION OF PRINCIPAL EXECUTIVE OFFICER </w:t>
      </w:r>
      <w:r>
        <w:rPr>
          <w:rFonts w:ascii="Verdana" w:cs="Verdana" w:eastAsia="Verdana" w:hAnsi="Verdana"/>
          <w:sz w:val="14"/>
          <w:szCs w:val="14"/>
          <w:color w:val="auto"/>
        </w:rPr>
        <w:t>I, Van A. Dukeman, Chairman and Chief Executive Officer of First Busey Corporation, certify that:</w:t>
      </w:r>
    </w:p>
    <w:p>
      <w:pPr>
        <w:ind w:left="260" w:hanging="255"/>
        <w:spacing w:after="0"/>
        <w:tabs>
          <w:tab w:leader="none" w:pos="260"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I have reviewed this Annual Report on Form 10-K of First Busey Corporation;</w:t>
      </w:r>
    </w:p>
    <w:p>
      <w:pPr>
        <w:spacing w:after="0" w:line="116" w:lineRule="exact"/>
        <w:rPr>
          <w:rFonts w:ascii="Verdana" w:cs="Verdana" w:eastAsia="Verdana" w:hAnsi="Verdana"/>
          <w:sz w:val="14"/>
          <w:szCs w:val="14"/>
          <w:color w:val="auto"/>
        </w:rPr>
      </w:pPr>
    </w:p>
    <w:p>
      <w:pPr>
        <w:jc w:val="both"/>
        <w:ind w:left="260" w:hanging="255"/>
        <w:spacing w:after="0" w:line="216" w:lineRule="auto"/>
        <w:tabs>
          <w:tab w:leader="none" w:pos="255"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02" w:lineRule="exact"/>
        <w:rPr>
          <w:rFonts w:ascii="Verdana" w:cs="Verdana" w:eastAsia="Verdana" w:hAnsi="Verdana"/>
          <w:sz w:val="14"/>
          <w:szCs w:val="14"/>
          <w:color w:val="auto"/>
        </w:rPr>
      </w:pPr>
    </w:p>
    <w:p>
      <w:pPr>
        <w:ind w:left="260" w:hanging="255"/>
        <w:spacing w:after="0" w:line="227" w:lineRule="auto"/>
        <w:tabs>
          <w:tab w:leader="none" w:pos="255"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2" w:lineRule="exact"/>
        <w:rPr>
          <w:rFonts w:ascii="Verdana" w:cs="Verdana" w:eastAsia="Verdana" w:hAnsi="Verdana"/>
          <w:sz w:val="14"/>
          <w:szCs w:val="14"/>
          <w:color w:val="auto"/>
        </w:rPr>
      </w:pPr>
    </w:p>
    <w:p>
      <w:pPr>
        <w:jc w:val="both"/>
        <w:ind w:left="260" w:hanging="255"/>
        <w:spacing w:after="0" w:line="221" w:lineRule="auto"/>
        <w:tabs>
          <w:tab w:leader="none" w:pos="255"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Verdana" w:cs="Verdana" w:eastAsia="Verdana" w:hAnsi="Verdana"/>
          <w:sz w:val="14"/>
          <w:szCs w:val="14"/>
          <w:color w:val="auto"/>
        </w:rPr>
      </w:pPr>
    </w:p>
    <w:p>
      <w:pPr>
        <w:jc w:val="both"/>
        <w:ind w:left="520" w:hanging="260"/>
        <w:spacing w:after="0" w:line="221" w:lineRule="auto"/>
        <w:tabs>
          <w:tab w:leader="none" w:pos="510"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02" w:lineRule="exact"/>
        <w:rPr>
          <w:rFonts w:ascii="Verdana" w:cs="Verdana" w:eastAsia="Verdana" w:hAnsi="Verdana"/>
          <w:sz w:val="14"/>
          <w:szCs w:val="14"/>
          <w:color w:val="auto"/>
        </w:rPr>
      </w:pPr>
    </w:p>
    <w:p>
      <w:pPr>
        <w:jc w:val="both"/>
        <w:ind w:left="520" w:hanging="260"/>
        <w:spacing w:after="0" w:line="216" w:lineRule="auto"/>
        <w:tabs>
          <w:tab w:leader="none" w:pos="513"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20"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02" w:lineRule="exact"/>
        <w:rPr>
          <w:rFonts w:ascii="Verdana" w:cs="Verdana" w:eastAsia="Verdana" w:hAnsi="Verdana"/>
          <w:sz w:val="14"/>
          <w:szCs w:val="14"/>
          <w:color w:val="auto"/>
        </w:rPr>
      </w:pPr>
    </w:p>
    <w:p>
      <w:pPr>
        <w:jc w:val="both"/>
        <w:ind w:left="520" w:hanging="260"/>
        <w:spacing w:after="0" w:line="221" w:lineRule="auto"/>
        <w:tabs>
          <w:tab w:leader="none" w:pos="513"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Verdana" w:cs="Verdana" w:eastAsia="Verdana" w:hAnsi="Verdana"/>
          <w:sz w:val="14"/>
          <w:szCs w:val="14"/>
          <w:color w:val="auto"/>
        </w:rPr>
      </w:pPr>
    </w:p>
    <w:p>
      <w:pPr>
        <w:ind w:left="260" w:hanging="255"/>
        <w:spacing w:after="0" w:line="234" w:lineRule="auto"/>
        <w:tabs>
          <w:tab w:leader="none" w:pos="255" w:val="left"/>
        </w:tabs>
        <w:numPr>
          <w:ilvl w:val="0"/>
          <w:numId w:val="56"/>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Verdana" w:cs="Verdana" w:eastAsia="Verdana" w:hAnsi="Verdana"/>
          <w:sz w:val="14"/>
          <w:szCs w:val="14"/>
          <w:color w:val="auto"/>
        </w:rPr>
      </w:pPr>
    </w:p>
    <w:p>
      <w:pPr>
        <w:ind w:left="520" w:hanging="260"/>
        <w:spacing w:after="0" w:line="227" w:lineRule="auto"/>
        <w:tabs>
          <w:tab w:leader="none" w:pos="510"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13" w:val="left"/>
        </w:tabs>
        <w:numPr>
          <w:ilvl w:val="1"/>
          <w:numId w:val="56"/>
        </w:numPr>
        <w:rPr>
          <w:rFonts w:ascii="Verdana" w:cs="Verdana" w:eastAsia="Verdana" w:hAnsi="Verdana"/>
          <w:sz w:val="14"/>
          <w:szCs w:val="14"/>
          <w:color w:val="auto"/>
        </w:rPr>
      </w:pPr>
      <w:r>
        <w:rPr>
          <w:rFonts w:ascii="Verdana" w:cs="Verdana" w:eastAsia="Verdana" w:hAnsi="Verdana"/>
          <w:sz w:val="14"/>
          <w:szCs w:val="14"/>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Van A. Dukeman</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Chairman and Chief Executive Officer</w:t>
      </w:r>
    </w:p>
    <w:p>
      <w:pPr>
        <w:spacing w:after="0" w:line="224"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Date: February 27,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6" w:right="319" w:bottom="1440" w:gutter="0" w:footer="0" w:header="0"/>
        </w:sectPr>
      </w:pPr>
    </w:p>
    <w:bookmarkStart w:id="212" w:name="page213"/>
    <w:bookmarkEnd w:id="212"/>
    <w:p>
      <w:pPr>
        <w:jc w:val="right"/>
        <w:spacing w:after="0"/>
        <w:rPr>
          <w:sz w:val="20"/>
          <w:szCs w:val="20"/>
          <w:color w:val="auto"/>
        </w:rPr>
      </w:pPr>
      <w:r>
        <w:rPr>
          <w:rFonts w:ascii="Verdana" w:cs="Verdana" w:eastAsia="Verdana" w:hAnsi="Verdana"/>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560" w:firstLine="3556"/>
        <w:spacing w:after="0" w:line="404" w:lineRule="auto"/>
        <w:rPr>
          <w:sz w:val="20"/>
          <w:szCs w:val="20"/>
          <w:color w:val="auto"/>
        </w:rPr>
      </w:pPr>
      <w:r>
        <w:rPr>
          <w:rFonts w:ascii="Verdana" w:cs="Verdana" w:eastAsia="Verdana" w:hAnsi="Verdana"/>
          <w:sz w:val="14"/>
          <w:szCs w:val="14"/>
          <w:b w:val="1"/>
          <w:bCs w:val="1"/>
          <w:color w:val="auto"/>
        </w:rPr>
        <w:t xml:space="preserve">CERTIFICATION OF PRINCIPAL FINANCIAL OFFICER </w:t>
      </w:r>
      <w:r>
        <w:rPr>
          <w:rFonts w:ascii="Verdana" w:cs="Verdana" w:eastAsia="Verdana" w:hAnsi="Verdana"/>
          <w:sz w:val="14"/>
          <w:szCs w:val="14"/>
          <w:color w:val="auto"/>
        </w:rPr>
        <w:t>I, Scott A. Phillips, Interim Chief Financial Officer of First Busey Corporation, certify that:</w:t>
      </w:r>
    </w:p>
    <w:p>
      <w:pPr>
        <w:ind w:left="260" w:hanging="255"/>
        <w:spacing w:after="0"/>
        <w:tabs>
          <w:tab w:leader="none" w:pos="260"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I have reviewed this Annual Report on Form 10-K of First Busey Corporation;</w:t>
      </w:r>
    </w:p>
    <w:p>
      <w:pPr>
        <w:spacing w:after="0" w:line="116" w:lineRule="exact"/>
        <w:rPr>
          <w:rFonts w:ascii="Verdana" w:cs="Verdana" w:eastAsia="Verdana" w:hAnsi="Verdana"/>
          <w:sz w:val="14"/>
          <w:szCs w:val="14"/>
          <w:color w:val="auto"/>
        </w:rPr>
      </w:pPr>
    </w:p>
    <w:p>
      <w:pPr>
        <w:jc w:val="both"/>
        <w:ind w:left="260" w:hanging="255"/>
        <w:spacing w:after="0" w:line="216" w:lineRule="auto"/>
        <w:tabs>
          <w:tab w:leader="none" w:pos="255"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02" w:lineRule="exact"/>
        <w:rPr>
          <w:rFonts w:ascii="Verdana" w:cs="Verdana" w:eastAsia="Verdana" w:hAnsi="Verdana"/>
          <w:sz w:val="14"/>
          <w:szCs w:val="14"/>
          <w:color w:val="auto"/>
        </w:rPr>
      </w:pPr>
    </w:p>
    <w:p>
      <w:pPr>
        <w:ind w:left="260" w:hanging="255"/>
        <w:spacing w:after="0" w:line="227" w:lineRule="auto"/>
        <w:tabs>
          <w:tab w:leader="none" w:pos="255"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2" w:lineRule="exact"/>
        <w:rPr>
          <w:rFonts w:ascii="Verdana" w:cs="Verdana" w:eastAsia="Verdana" w:hAnsi="Verdana"/>
          <w:sz w:val="14"/>
          <w:szCs w:val="14"/>
          <w:color w:val="auto"/>
        </w:rPr>
      </w:pPr>
    </w:p>
    <w:p>
      <w:pPr>
        <w:jc w:val="both"/>
        <w:ind w:left="260" w:hanging="255"/>
        <w:spacing w:after="0" w:line="221" w:lineRule="auto"/>
        <w:tabs>
          <w:tab w:leader="none" w:pos="255"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Verdana" w:cs="Verdana" w:eastAsia="Verdana" w:hAnsi="Verdana"/>
          <w:sz w:val="14"/>
          <w:szCs w:val="14"/>
          <w:color w:val="auto"/>
        </w:rPr>
      </w:pPr>
    </w:p>
    <w:p>
      <w:pPr>
        <w:jc w:val="both"/>
        <w:ind w:left="520" w:hanging="260"/>
        <w:spacing w:after="0" w:line="221" w:lineRule="auto"/>
        <w:tabs>
          <w:tab w:leader="none" w:pos="510"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02" w:lineRule="exact"/>
        <w:rPr>
          <w:rFonts w:ascii="Verdana" w:cs="Verdana" w:eastAsia="Verdana" w:hAnsi="Verdana"/>
          <w:sz w:val="14"/>
          <w:szCs w:val="14"/>
          <w:color w:val="auto"/>
        </w:rPr>
      </w:pPr>
    </w:p>
    <w:p>
      <w:pPr>
        <w:jc w:val="both"/>
        <w:ind w:left="520" w:hanging="260"/>
        <w:spacing w:after="0" w:line="216" w:lineRule="auto"/>
        <w:tabs>
          <w:tab w:leader="none" w:pos="513"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20"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02" w:lineRule="exact"/>
        <w:rPr>
          <w:rFonts w:ascii="Verdana" w:cs="Verdana" w:eastAsia="Verdana" w:hAnsi="Verdana"/>
          <w:sz w:val="14"/>
          <w:szCs w:val="14"/>
          <w:color w:val="auto"/>
        </w:rPr>
      </w:pPr>
    </w:p>
    <w:p>
      <w:pPr>
        <w:jc w:val="both"/>
        <w:ind w:left="520" w:hanging="260"/>
        <w:spacing w:after="0" w:line="221" w:lineRule="auto"/>
        <w:tabs>
          <w:tab w:leader="none" w:pos="513"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Verdana" w:cs="Verdana" w:eastAsia="Verdana" w:hAnsi="Verdana"/>
          <w:sz w:val="14"/>
          <w:szCs w:val="14"/>
          <w:color w:val="auto"/>
        </w:rPr>
      </w:pPr>
    </w:p>
    <w:p>
      <w:pPr>
        <w:ind w:left="260" w:hanging="255"/>
        <w:spacing w:after="0" w:line="234" w:lineRule="auto"/>
        <w:tabs>
          <w:tab w:leader="none" w:pos="255" w:val="left"/>
        </w:tabs>
        <w:numPr>
          <w:ilvl w:val="0"/>
          <w:numId w:val="57"/>
        </w:numPr>
        <w:rPr>
          <w:rFonts w:ascii="Verdana" w:cs="Verdana" w:eastAsia="Verdana" w:hAnsi="Verdana"/>
          <w:sz w:val="14"/>
          <w:szCs w:val="14"/>
          <w:color w:val="auto"/>
        </w:rPr>
      </w:pPr>
      <w:r>
        <w:rPr>
          <w:rFonts w:ascii="Verdana" w:cs="Verdana" w:eastAsia="Verdana" w:hAnsi="Verdana"/>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Verdana" w:cs="Verdana" w:eastAsia="Verdana" w:hAnsi="Verdana"/>
          <w:sz w:val="14"/>
          <w:szCs w:val="14"/>
          <w:color w:val="auto"/>
        </w:rPr>
      </w:pPr>
    </w:p>
    <w:p>
      <w:pPr>
        <w:ind w:left="520" w:hanging="260"/>
        <w:spacing w:after="0" w:line="227" w:lineRule="auto"/>
        <w:tabs>
          <w:tab w:leader="none" w:pos="510"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Verdana" w:cs="Verdana" w:eastAsia="Verdana" w:hAnsi="Verdana"/>
          <w:sz w:val="14"/>
          <w:szCs w:val="14"/>
          <w:color w:val="auto"/>
        </w:rPr>
      </w:pPr>
    </w:p>
    <w:p>
      <w:pPr>
        <w:ind w:left="520" w:hanging="260"/>
        <w:spacing w:after="0" w:line="227" w:lineRule="auto"/>
        <w:tabs>
          <w:tab w:leader="none" w:pos="513" w:val="left"/>
        </w:tabs>
        <w:numPr>
          <w:ilvl w:val="1"/>
          <w:numId w:val="57"/>
        </w:numPr>
        <w:rPr>
          <w:rFonts w:ascii="Verdana" w:cs="Verdana" w:eastAsia="Verdana" w:hAnsi="Verdana"/>
          <w:sz w:val="14"/>
          <w:szCs w:val="14"/>
          <w:color w:val="auto"/>
        </w:rPr>
      </w:pPr>
      <w:r>
        <w:rPr>
          <w:rFonts w:ascii="Verdana" w:cs="Verdana" w:eastAsia="Verdana" w:hAnsi="Verdana"/>
          <w:sz w:val="14"/>
          <w:szCs w:val="14"/>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Scott A. Phillips</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Interim Chief Financial Officer</w:t>
      </w:r>
    </w:p>
    <w:p>
      <w:pPr>
        <w:spacing w:after="0" w:line="224"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Date: February 27,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5" w:right="319" w:bottom="1440" w:gutter="0" w:footer="0" w:header="0"/>
        </w:sectPr>
      </w:pPr>
    </w:p>
    <w:bookmarkStart w:id="213" w:name="page214"/>
    <w:bookmarkEnd w:id="213"/>
    <w:p>
      <w:pPr>
        <w:jc w:val="right"/>
        <w:spacing w:after="0"/>
        <w:rPr>
          <w:sz w:val="20"/>
          <w:szCs w:val="20"/>
          <w:color w:val="auto"/>
        </w:rPr>
      </w:pPr>
      <w:r>
        <w:rPr>
          <w:rFonts w:ascii="Verdana" w:cs="Verdana" w:eastAsia="Verdana" w:hAnsi="Verdana"/>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21"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CERTIFICATION</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 hereby certify, pursuant to 18 U.S.C. Section 1350, as adopted pursuant to Section 906 of the Sarbanes-Oxley Act of 2002, that the accompanying Annual Report of First Busey Corporation on Form 10-K for the year ended December 31, 2024,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144"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Van A. Dukeman</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Chairman and Chief Executive Officer</w:t>
      </w:r>
    </w:p>
    <w:p>
      <w:pPr>
        <w:spacing w:after="0" w:line="224"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Date: February 27,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36" w:right="319" w:bottom="1440" w:gutter="0" w:footer="0" w:header="0"/>
        </w:sectPr>
      </w:pPr>
    </w:p>
    <w:bookmarkStart w:id="214" w:name="page215"/>
    <w:bookmarkEnd w:id="214"/>
    <w:p>
      <w:pPr>
        <w:jc w:val="right"/>
        <w:spacing w:after="0"/>
        <w:rPr>
          <w:sz w:val="20"/>
          <w:szCs w:val="20"/>
          <w:color w:val="auto"/>
        </w:rPr>
      </w:pPr>
      <w:r>
        <w:rPr>
          <w:rFonts w:ascii="Verdana" w:cs="Verdana" w:eastAsia="Verdana" w:hAnsi="Verdana"/>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Verdana" w:cs="Verdana" w:eastAsia="Verdana" w:hAnsi="Verdana"/>
          <w:sz w:val="14"/>
          <w:szCs w:val="14"/>
          <w:color w:val="auto"/>
        </w:rPr>
        <w:t>The following certification is provided by the undersigned Interim Chief Financial Officer of First Busey Corporation on the basis of such officer’s knowledge and belief for the sole purpose of complying with 18 U.S.C. Section 1350, as adopted pursuant to Section 906 of the Sarbanes-Oxley Act of 2002.</w:t>
      </w:r>
    </w:p>
    <w:p>
      <w:pPr>
        <w:spacing w:after="0" w:line="121" w:lineRule="exact"/>
        <w:rPr>
          <w:sz w:val="20"/>
          <w:szCs w:val="20"/>
          <w:color w:val="auto"/>
        </w:rPr>
      </w:pPr>
    </w:p>
    <w:p>
      <w:pPr>
        <w:jc w:val="center"/>
        <w:spacing w:after="0"/>
        <w:rPr>
          <w:sz w:val="20"/>
          <w:szCs w:val="20"/>
          <w:color w:val="auto"/>
        </w:rPr>
      </w:pPr>
      <w:r>
        <w:rPr>
          <w:rFonts w:ascii="Verdana" w:cs="Verdana" w:eastAsia="Verdana" w:hAnsi="Verdana"/>
          <w:sz w:val="14"/>
          <w:szCs w:val="14"/>
          <w:b w:val="1"/>
          <w:bCs w:val="1"/>
          <w:color w:val="auto"/>
        </w:rPr>
        <w:t>CERTIFICATION</w:t>
      </w:r>
    </w:p>
    <w:p>
      <w:pPr>
        <w:spacing w:after="0" w:line="138" w:lineRule="exact"/>
        <w:rPr>
          <w:sz w:val="20"/>
          <w:szCs w:val="20"/>
          <w:color w:val="auto"/>
        </w:rPr>
      </w:pPr>
    </w:p>
    <w:p>
      <w:pPr>
        <w:jc w:val="both"/>
        <w:spacing w:after="0" w:line="246" w:lineRule="auto"/>
        <w:rPr>
          <w:sz w:val="20"/>
          <w:szCs w:val="20"/>
          <w:color w:val="auto"/>
        </w:rPr>
      </w:pPr>
      <w:r>
        <w:rPr>
          <w:rFonts w:ascii="Verdana" w:cs="Verdana" w:eastAsia="Verdana" w:hAnsi="Verdana"/>
          <w:sz w:val="14"/>
          <w:szCs w:val="14"/>
          <w:color w:val="auto"/>
        </w:rPr>
        <w:t>I hereby certify, pursuant to 18 U.S.C. Section 1350, as adopted pursuant to Section 906 of the Sarbanes-Oxley Act of 2002, that the accompanying Annual Report of First Busey Corporation on Form 10-K for the year ended December 31, 2024,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144"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7620</wp:posOffset>
            </wp:positionV>
            <wp:extent cx="357759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Scott A. Phillips</w:t>
      </w:r>
    </w:p>
    <w:p>
      <w:pPr>
        <w:spacing w:after="0" w:line="12" w:lineRule="exact"/>
        <w:rPr>
          <w:sz w:val="20"/>
          <w:szCs w:val="20"/>
          <w:color w:val="auto"/>
        </w:rPr>
      </w:pPr>
    </w:p>
    <w:p>
      <w:pPr>
        <w:ind w:left="5660"/>
        <w:spacing w:after="0"/>
        <w:rPr>
          <w:sz w:val="20"/>
          <w:szCs w:val="20"/>
          <w:color w:val="auto"/>
        </w:rPr>
      </w:pPr>
      <w:r>
        <w:rPr>
          <w:rFonts w:ascii="Verdana" w:cs="Verdana" w:eastAsia="Verdana" w:hAnsi="Verdana"/>
          <w:sz w:val="13"/>
          <w:szCs w:val="13"/>
          <w:color w:val="auto"/>
        </w:rPr>
        <w:t>Interim Chief Financial Officer</w:t>
      </w:r>
    </w:p>
    <w:p>
      <w:pPr>
        <w:spacing w:after="0" w:line="224"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Date: February 27,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sectPr>
      <w:pgSz w:w="11900" w:h="16838" w:orient="portrait"/>
      <w:cols w:equalWidth="0" w:num="1">
        <w:col w:w="11280"/>
      </w:cols>
      <w:pgMar w:left="300" w:top="1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4"/>
    </w:lvl>
  </w:abstractNum>
  <w:abstractNum w:abstractNumId="6">
    <w:nsid w:val="6CEAF087"/>
    <w:multiLevelType w:val="hybridMultilevel"/>
    <w:lvl w:ilvl="0">
      <w:lvlJc w:val="left"/>
      <w:lvlText w:val="(%1)"/>
      <w:numFmt w:val="decimal"/>
      <w:start w:val="3"/>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8"/>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2"/>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3"/>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4"/>
      <w:numFmt w:val="bullet"/>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2"/>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04"/>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30"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22" Type="http://schemas.openxmlformats.org/officeDocument/2006/relationships/image" Target="media/image202.png"/><Relationship Id="rId234" Type="http://schemas.openxmlformats.org/officeDocument/2006/relationships/image" Target="media/image203.png"/><Relationship Id="rId244"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1" Type="http://schemas.openxmlformats.org/officeDocument/2006/relationships/hyperlink" Target="https://www.sec.gov/ix?doc=/Archives/edgar/data/0000314489/000110465924093098/tm2422366d1_8k.htm" TargetMode="External"/><Relationship Id="rId70" Type="http://schemas.openxmlformats.org/officeDocument/2006/relationships/hyperlink" Target="https://www.sec.gov/ix?doc=/Archives/edgar/data/314489/000031448924000054/buse-20231231.htm" TargetMode="External"/><Relationship Id="rId128" Type="http://schemas.openxmlformats.org/officeDocument/2006/relationships/hyperlink" Target="https://www.sec.gov/Archives/edgar/data/314489/000104746920002220/a2241264zdef14a.htm#le18501_appendix_a" TargetMode="External"/><Relationship Id="rId129" Type="http://schemas.openxmlformats.org/officeDocument/2006/relationships/hyperlink" Target="https://www.sec.gov/Archives/edgar/data/314489/000104746920002220/a2241264zdef14a.htm" TargetMode="External"/><Relationship Id="rId131" Type="http://schemas.openxmlformats.org/officeDocument/2006/relationships/hyperlink" Target="https://www.sec.gov/ix?doc=/Archives/edgar/data/0000314489/000110465923045566/tm231845d3_def14a.htm" TargetMode="External"/><Relationship Id="rId132" Type="http://schemas.openxmlformats.org/officeDocument/2006/relationships/hyperlink" Target="https://www.sec.gov/Archives/edgar/data/314489/000110465921048078/tm212379-1_def14a.htm" TargetMode="External"/><Relationship Id="rId139" Type="http://schemas.openxmlformats.org/officeDocument/2006/relationships/hyperlink" Target="https://www.sec.gov/ix?doc=/Archives/edgar/data/0000314489/000110465925016172/tm257271d1_8k.htm" TargetMode="External"/><Relationship Id="rId140" Type="http://schemas.openxmlformats.org/officeDocument/2006/relationships/hyperlink" Target="https://www.sec.gov/Archives/edgar/data/314489/000110465925016172/tm257271d1_ex10-1.htm" TargetMode="External"/><Relationship Id="rId217" Type="http://schemas.openxmlformats.org/officeDocument/2006/relationships/hyperlink" Target="https://www.sec.gov/Archives/edgar/data/314489/000110465924093098/tm2422366d1_ex2-1.htm" TargetMode="External"/><Relationship Id="rId218" Type="http://schemas.openxmlformats.org/officeDocument/2006/relationships/hyperlink" Target="https://www.sec.gov/Archives/edgar/data/314489/000110465915076702/a15-17958_1ex3d1.htm" TargetMode="External"/><Relationship Id="rId219" Type="http://schemas.openxmlformats.org/officeDocument/2006/relationships/hyperlink" Target="https://www.sec.gov/Archives/edgar/data/314489/000110465920067637/tm2021060d1_ex4-2.htm" TargetMode="External"/><Relationship Id="rId220" Type="http://schemas.openxmlformats.org/officeDocument/2006/relationships/hyperlink" Target="https://www.sec.gov/Archives/edgar/data/314489/000110465923124338/tm2331239d7_ex3-1.htm" TargetMode="External"/><Relationship Id="rId221" Type="http://schemas.openxmlformats.org/officeDocument/2006/relationships/hyperlink" Target="https://www.sec.gov/Archives/edgar/data/1099777/000074353002000031/mainstreetexhb102.txt" TargetMode="External"/><Relationship Id="rId223" Type="http://schemas.openxmlformats.org/officeDocument/2006/relationships/hyperlink" Target="https://www.sec.gov/Archives/edgar/data/1099777/000110465906062236/a06-19967_1ex99d2.htm" TargetMode="External"/><Relationship Id="rId224" Type="http://schemas.openxmlformats.org/officeDocument/2006/relationships/hyperlink" Target="https://www.sec.gov/Archives/edgar/data/314489/000110465910028016/a10-6059_1ex10d1.htm" TargetMode="External"/><Relationship Id="rId225" Type="http://schemas.openxmlformats.org/officeDocument/2006/relationships/hyperlink" Target="https://www.sec.gov/Archives/edgar/data/314489/000110465912034508/a12-7600_1ex10d1.htm" TargetMode="External"/><Relationship Id="rId226" Type="http://schemas.openxmlformats.org/officeDocument/2006/relationships/hyperlink" Target="https://www.sec.gov/Archives/edgar/data/314489/000104746915003648/a2224197zdef14a.htm#21" TargetMode="External"/><Relationship Id="rId227" Type="http://schemas.openxmlformats.org/officeDocument/2006/relationships/hyperlink" Target="https://www.sec.gov/Archives/edgar/data/1469134/000146913416000185/exhibit44fcfp2016equityinc.htm" TargetMode="External"/><Relationship Id="rId228" Type="http://schemas.openxmlformats.org/officeDocument/2006/relationships/hyperlink" Target="https://www.sec.gov/Archives/edgar/data/314489/000110465918013443/a18-1071_1ex10d38.htm" TargetMode="External"/><Relationship Id="rId229" Type="http://schemas.openxmlformats.org/officeDocument/2006/relationships/hyperlink" Target="https://www.sec.gov/Archives/edgar/data/1469134/000146913416000185/exhibit48-formofincentivei.htm" TargetMode="External"/><Relationship Id="rId230" Type="http://schemas.openxmlformats.org/officeDocument/2006/relationships/hyperlink" Target="https://www.sec.gov/Archives/edgar/data/314489/000110465918050151/a18-14092_1ex10d1.htm" TargetMode="External"/><Relationship Id="rId231" Type="http://schemas.openxmlformats.org/officeDocument/2006/relationships/hyperlink" Target="https://www.sec.gov/Archives/edgar/data/314489/000110465919041964/a19-13333_1ex10d1.htm" TargetMode="External"/><Relationship Id="rId232" Type="http://schemas.openxmlformats.org/officeDocument/2006/relationships/hyperlink" Target="https://www.sec.gov/Archives/edgar/data/314489/000031448919000038/exhibit10_2.htm" TargetMode="External"/><Relationship Id="rId233" Type="http://schemas.openxmlformats.org/officeDocument/2006/relationships/hyperlink" Target="https://www.sec.gov/Archives/edgar/data/314489/000031448919000038/exhibit10_3.htm" TargetMode="External"/><Relationship Id="rId235" Type="http://schemas.openxmlformats.org/officeDocument/2006/relationships/hyperlink" Target="https://www.sec.gov/Archives/edgar/data/314489/000031448919000038/exhibit10_4.htm" TargetMode="External"/><Relationship Id="rId236" Type="http://schemas.openxmlformats.org/officeDocument/2006/relationships/hyperlink" Target="https://www.sec.gov/Archives/edgar/data/314489/000110465923045566/tm231845d3_def14a.htm#tAPA" TargetMode="External"/><Relationship Id="rId237" Type="http://schemas.openxmlformats.org/officeDocument/2006/relationships/hyperlink" Target="https://www.sec.gov/Archives/edgar/data/314489/000110465920067637/tm2021060d1_ex4-5.htm" TargetMode="External"/><Relationship Id="rId238" Type="http://schemas.openxmlformats.org/officeDocument/2006/relationships/hyperlink" Target="https://www.sec.gov/Archives/edgar/data/314489/000031448920000025/exhibit10_1.htm" TargetMode="External"/><Relationship Id="rId239" Type="http://schemas.openxmlformats.org/officeDocument/2006/relationships/hyperlink" Target="https://www.sec.gov/Archives/edgar/data/314489/000155837020009629/buse-20200630xex10d1.htm" TargetMode="External"/><Relationship Id="rId240" Type="http://schemas.openxmlformats.org/officeDocument/2006/relationships/hyperlink" Target="https://www.sec.gov/Archives/edgar/data/0000314489/000110465921048078/tm212379-1_def14a.htm#tAPA" TargetMode="External"/><Relationship Id="rId241" Type="http://schemas.openxmlformats.org/officeDocument/2006/relationships/hyperlink" Target="https://www.sec.gov/Archives/edgar/data/314489/000155837021007947/buse-20210528xex10d34.htm" TargetMode="External"/><Relationship Id="rId242" Type="http://schemas.openxmlformats.org/officeDocument/2006/relationships/hyperlink" Target="https://www.sec.gov/Archives/edgar/data/314489/000031448923000010/buse-20221231_ex1030.htm" TargetMode="External"/><Relationship Id="rId243" Type="http://schemas.openxmlformats.org/officeDocument/2006/relationships/hyperlink" Target="https://www.sec.gov/Archives/edgar/data/314489/000110465924093098/tm2422366d1_ex10-1.htm" TargetMode="External"/><Relationship Id="rId245" Type="http://schemas.openxmlformats.org/officeDocument/2006/relationships/hyperlink" Target="https://www.sec.gov/Archives/edgar/data/314489/000031448924000054/buse-20231231xex971.htm" TargetMode="External"/><Relationship Id="rId246" Type="http://schemas.openxmlformats.org/officeDocument/2006/relationships/hyperlink" Target="https://www.sec.gov/ix?doc=/Archives/edgar/data/314489/000110465924093098/tm2422366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2025-02-27T15:37:03Z</dcterms:created>
  <dcterms:modified xsi:type="dcterms:W3CDTF">2025-02-27T15:37:03Z</dcterms:modified>
</cp:coreProperties>
</file>