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149" w:lineRule="exact"/>
        <w:rPr>
          <w:sz w:val="24"/>
          <w:szCs w:val="24"/>
          <w:color w:val="auto"/>
        </w:rPr>
      </w:pPr>
    </w:p>
    <w:p>
      <w:pPr>
        <w:ind w:left="660" w:right="34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0-15950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644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0"/>
              </w:rPr>
              <w:t>Nevada</w:t>
            </w:r>
          </w:p>
        </w:tc>
        <w:tc>
          <w:tcPr>
            <w:tcW w:w="4420" w:type="dxa"/>
            <w:vAlign w:val="bottom"/>
          </w:tcPr>
          <w:p>
            <w:pPr>
              <w:jc w:val="center"/>
              <w:ind w:right="1096"/>
              <w:spacing w:after="0"/>
              <w:rPr>
                <w:sz w:val="20"/>
                <w:szCs w:val="20"/>
                <w:color w:val="auto"/>
              </w:rPr>
            </w:pPr>
            <w:r>
              <w:rPr>
                <w:rFonts w:ascii="Arial" w:cs="Arial" w:eastAsia="Arial" w:hAnsi="Arial"/>
                <w:sz w:val="18"/>
                <w:szCs w:val="18"/>
                <w:b w:val="1"/>
                <w:bCs w:val="1"/>
                <w:color w:val="auto"/>
                <w:w w:val="91"/>
              </w:rPr>
              <w:t>37-1078406</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644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420" w:type="dxa"/>
            <w:vAlign w:val="bottom"/>
          </w:tcPr>
          <w:p>
            <w:pPr>
              <w:jc w:val="center"/>
              <w:ind w:right="1076"/>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46"/>
        </w:trPr>
        <w:tc>
          <w:tcPr>
            <w:tcW w:w="560" w:type="dxa"/>
            <w:vAlign w:val="bottom"/>
          </w:tcPr>
          <w:p>
            <w:pPr>
              <w:spacing w:after="0"/>
              <w:rPr>
                <w:sz w:val="24"/>
                <w:szCs w:val="24"/>
                <w:color w:val="auto"/>
              </w:rPr>
            </w:pPr>
          </w:p>
        </w:tc>
        <w:tc>
          <w:tcPr>
            <w:tcW w:w="6440" w:type="dxa"/>
            <w:vAlign w:val="bottom"/>
            <w:gridSpan w:val="3"/>
          </w:tcPr>
          <w:p>
            <w:pPr>
              <w:jc w:val="center"/>
              <w:ind w:left="3772"/>
              <w:spacing w:after="0"/>
              <w:rPr>
                <w:sz w:val="20"/>
                <w:szCs w:val="20"/>
                <w:color w:val="auto"/>
              </w:rPr>
            </w:pPr>
            <w:r>
              <w:rPr>
                <w:rFonts w:ascii="Arial" w:cs="Arial" w:eastAsia="Arial" w:hAnsi="Arial"/>
                <w:sz w:val="18"/>
                <w:szCs w:val="18"/>
                <w:b w:val="1"/>
                <w:bCs w:val="1"/>
                <w:color w:val="auto"/>
                <w:w w:val="90"/>
              </w:rPr>
              <w:t>100 W. University Avenue</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6440" w:type="dxa"/>
            <w:vAlign w:val="bottom"/>
            <w:gridSpan w:val="3"/>
          </w:tcPr>
          <w:p>
            <w:pPr>
              <w:jc w:val="center"/>
              <w:ind w:left="3772"/>
              <w:spacing w:after="0"/>
              <w:rPr>
                <w:sz w:val="20"/>
                <w:szCs w:val="20"/>
                <w:color w:val="auto"/>
              </w:rPr>
            </w:pPr>
            <w:r>
              <w:rPr>
                <w:rFonts w:ascii="Arial" w:cs="Arial" w:eastAsia="Arial" w:hAnsi="Arial"/>
                <w:sz w:val="18"/>
                <w:szCs w:val="18"/>
                <w:b w:val="1"/>
                <w:bCs w:val="1"/>
                <w:color w:val="auto"/>
                <w:w w:val="91"/>
              </w:rPr>
              <w:t>Champaign, Illinois 61820</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0860" w:type="dxa"/>
            <w:vAlign w:val="bottom"/>
            <w:gridSpan w:val="4"/>
          </w:tcPr>
          <w:p>
            <w:pPr>
              <w:jc w:val="center"/>
              <w:ind w:right="476"/>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6440" w:type="dxa"/>
            <w:vAlign w:val="bottom"/>
            <w:gridSpan w:val="3"/>
          </w:tcPr>
          <w:p>
            <w:pPr>
              <w:ind w:left="2680"/>
              <w:spacing w:after="0"/>
              <w:rPr>
                <w:sz w:val="20"/>
                <w:szCs w:val="20"/>
                <w:color w:val="auto"/>
              </w:rPr>
            </w:pPr>
            <w:r>
              <w:rPr>
                <w:rFonts w:ascii="Arial" w:cs="Arial" w:eastAsia="Arial" w:hAnsi="Arial"/>
                <w:sz w:val="18"/>
                <w:szCs w:val="18"/>
                <w:color w:val="auto"/>
                <w:w w:val="90"/>
              </w:rPr>
              <w:t>Registrant’s telephone number, including area code</w:t>
            </w:r>
          </w:p>
        </w:tc>
        <w:tc>
          <w:tcPr>
            <w:tcW w:w="4420" w:type="dxa"/>
            <w:vAlign w:val="bottom"/>
          </w:tcPr>
          <w:p>
            <w:pPr>
              <w:jc w:val="right"/>
              <w:ind w:right="3156"/>
              <w:spacing w:after="0"/>
              <w:rPr>
                <w:sz w:val="20"/>
                <w:szCs w:val="20"/>
                <w:color w:val="auto"/>
              </w:rPr>
            </w:pPr>
            <w:r>
              <w:rPr>
                <w:rFonts w:ascii="Arial" w:cs="Arial" w:eastAsia="Arial" w:hAnsi="Arial"/>
                <w:sz w:val="18"/>
                <w:szCs w:val="18"/>
                <w:b w:val="1"/>
                <w:bCs w:val="1"/>
                <w:color w:val="auto"/>
                <w:w w:val="94"/>
              </w:rPr>
              <w:t>(217) 365-4544</w:t>
            </w:r>
          </w:p>
        </w:tc>
        <w:tc>
          <w:tcPr>
            <w:tcW w:w="0" w:type="dxa"/>
            <w:vAlign w:val="bottom"/>
          </w:tcPr>
          <w:p>
            <w:pPr>
              <w:spacing w:after="0"/>
              <w:rPr>
                <w:sz w:val="1"/>
                <w:szCs w:val="1"/>
                <w:color w:val="auto"/>
              </w:rPr>
            </w:pPr>
          </w:p>
        </w:tc>
      </w:tr>
      <w:tr>
        <w:trPr>
          <w:trHeight w:val="365"/>
        </w:trPr>
        <w:tc>
          <w:tcPr>
            <w:tcW w:w="7000" w:type="dxa"/>
            <w:vAlign w:val="bottom"/>
            <w:gridSpan w:val="4"/>
          </w:tcPr>
          <w:p>
            <w:pPr>
              <w:ind w:left="340"/>
              <w:spacing w:after="0"/>
              <w:rPr>
                <w:sz w:val="20"/>
                <w:szCs w:val="20"/>
                <w:color w:val="auto"/>
              </w:rPr>
            </w:pPr>
            <w:r>
              <w:rPr>
                <w:rFonts w:ascii="Arial" w:cs="Arial" w:eastAsia="Arial" w:hAnsi="Arial"/>
                <w:sz w:val="18"/>
                <w:szCs w:val="18"/>
                <w:color w:val="auto"/>
              </w:rPr>
              <w:t>Securities registered pursuant to Section 12(b) of the Act:</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6440" w:type="dxa"/>
            <w:vAlign w:val="bottom"/>
            <w:gridSpan w:val="3"/>
            <w:vMerge w:val="restart"/>
          </w:tcPr>
          <w:p>
            <w:pPr>
              <w:jc w:val="center"/>
              <w:ind w:right="1920"/>
              <w:spacing w:after="0"/>
              <w:rPr>
                <w:sz w:val="20"/>
                <w:szCs w:val="20"/>
                <w:color w:val="auto"/>
              </w:rPr>
            </w:pPr>
            <w:r>
              <w:rPr>
                <w:rFonts w:ascii="Arial" w:cs="Arial" w:eastAsia="Arial" w:hAnsi="Arial"/>
                <w:sz w:val="14"/>
                <w:szCs w:val="14"/>
                <w:b w:val="1"/>
                <w:bCs w:val="1"/>
                <w:color w:val="auto"/>
                <w:w w:val="89"/>
              </w:rPr>
              <w:t>Title of each class</w:t>
            </w:r>
          </w:p>
        </w:tc>
        <w:tc>
          <w:tcPr>
            <w:tcW w:w="4420" w:type="dxa"/>
            <w:vAlign w:val="bottom"/>
          </w:tcPr>
          <w:p>
            <w:pPr>
              <w:jc w:val="center"/>
              <w:ind w:right="1096"/>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6440" w:type="dxa"/>
            <w:vAlign w:val="bottom"/>
            <w:gridSpan w:val="3"/>
            <w:vMerge w:val="continue"/>
          </w:tcPr>
          <w:p>
            <w:pPr>
              <w:spacing w:after="0"/>
              <w:rPr>
                <w:sz w:val="14"/>
                <w:szCs w:val="14"/>
                <w:color w:val="auto"/>
              </w:rPr>
            </w:pPr>
          </w:p>
        </w:tc>
        <w:tc>
          <w:tcPr>
            <w:tcW w:w="4420" w:type="dxa"/>
            <w:vAlign w:val="bottom"/>
          </w:tcPr>
          <w:p>
            <w:pPr>
              <w:jc w:val="center"/>
              <w:ind w:right="1096"/>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560" w:type="dxa"/>
            <w:vAlign w:val="bottom"/>
            <w:tcBorders>
              <w:top w:val="single" w:sz="8" w:color="auto"/>
            </w:tcBorders>
          </w:tcPr>
          <w:p>
            <w:pPr>
              <w:spacing w:after="0"/>
              <w:rPr>
                <w:sz w:val="19"/>
                <w:szCs w:val="19"/>
                <w:color w:val="auto"/>
              </w:rPr>
            </w:pPr>
          </w:p>
        </w:tc>
        <w:tc>
          <w:tcPr>
            <w:tcW w:w="5060" w:type="dxa"/>
            <w:vAlign w:val="bottom"/>
            <w:tcBorders>
              <w:top w:val="single" w:sz="8" w:color="auto"/>
            </w:tcBorders>
          </w:tcPr>
          <w:p>
            <w:pPr>
              <w:jc w:val="center"/>
              <w:ind w:right="472"/>
              <w:spacing w:after="0"/>
              <w:rPr>
                <w:sz w:val="20"/>
                <w:szCs w:val="20"/>
                <w:color w:val="auto"/>
              </w:rPr>
            </w:pPr>
            <w:r>
              <w:rPr>
                <w:rFonts w:ascii="Arial" w:cs="Arial" w:eastAsia="Arial" w:hAnsi="Arial"/>
                <w:sz w:val="18"/>
                <w:szCs w:val="18"/>
                <w:color w:val="auto"/>
                <w:w w:val="91"/>
              </w:rPr>
              <w:t>Common Stock ($0.001 par value)</w:t>
            </w:r>
          </w:p>
        </w:tc>
        <w:tc>
          <w:tcPr>
            <w:tcW w:w="2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tcPr>
          <w:p>
            <w:pPr>
              <w:jc w:val="center"/>
              <w:ind w:right="1096"/>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r>
        <w:trPr>
          <w:trHeight w:val="350"/>
        </w:trPr>
        <w:tc>
          <w:tcPr>
            <w:tcW w:w="7000" w:type="dxa"/>
            <w:vAlign w:val="bottom"/>
            <w:gridSpan w:val="4"/>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Yes o</w:t>
            </w:r>
          </w:p>
        </w:tc>
        <w:tc>
          <w:tcPr>
            <w:tcW w:w="6440" w:type="dxa"/>
            <w:vAlign w:val="bottom"/>
            <w:gridSpan w:val="3"/>
          </w:tcPr>
          <w:p>
            <w:pPr>
              <w:ind w:left="200"/>
              <w:spacing w:after="0"/>
              <w:rPr>
                <w:sz w:val="20"/>
                <w:szCs w:val="20"/>
                <w:color w:val="auto"/>
              </w:rPr>
            </w:pPr>
            <w:r>
              <w:rPr>
                <w:rFonts w:ascii="Arial" w:cs="Arial" w:eastAsia="Arial" w:hAnsi="Arial"/>
                <w:sz w:val="18"/>
                <w:szCs w:val="18"/>
                <w:color w:val="auto"/>
              </w:rPr>
              <w:t>No x</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Yes o</w:t>
            </w:r>
          </w:p>
        </w:tc>
        <w:tc>
          <w:tcPr>
            <w:tcW w:w="6440" w:type="dxa"/>
            <w:vAlign w:val="bottom"/>
            <w:gridSpan w:val="3"/>
          </w:tcPr>
          <w:p>
            <w:pPr>
              <w:ind w:left="200"/>
              <w:spacing w:after="0"/>
              <w:rPr>
                <w:sz w:val="20"/>
                <w:szCs w:val="20"/>
                <w:color w:val="auto"/>
              </w:rPr>
            </w:pPr>
            <w:r>
              <w:rPr>
                <w:rFonts w:ascii="Arial" w:cs="Arial" w:eastAsia="Arial" w:hAnsi="Arial"/>
                <w:sz w:val="18"/>
                <w:szCs w:val="18"/>
                <w:color w:val="auto"/>
              </w:rPr>
              <w:t>No x</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during the preceding 12 months (or for such shorter period that the registrant was required to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submit and post such files).</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14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1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79" w:lineRule="exact"/>
        <w:rPr>
          <w:sz w:val="24"/>
          <w:szCs w:val="24"/>
          <w:color w:val="auto"/>
        </w:rPr>
      </w:pPr>
    </w:p>
    <w:p>
      <w:pPr>
        <w:ind w:left="22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181" w:lineRule="exact"/>
        <w:rPr>
          <w:sz w:val="24"/>
          <w:szCs w:val="24"/>
          <w:color w:val="auto"/>
        </w:rPr>
      </w:pPr>
    </w:p>
    <w:p>
      <w:pPr>
        <w:sectPr>
          <w:pgSz w:w="11900" w:h="16838" w:orient="portrait"/>
          <w:cols w:equalWidth="0" w:num="2">
            <w:col w:w="7600" w:space="720"/>
            <w:col w:w="3100"/>
          </w:cols>
          <w:pgMar w:left="240" w:top="233" w:right="239" w:bottom="0" w:gutter="0" w:footer="0" w:header="0"/>
          <w:type w:val="continuous"/>
        </w:sectPr>
      </w:pPr>
    </w:p>
    <w:p>
      <w:pPr>
        <w:jc w:val="center"/>
        <w:ind w:right="10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46"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20"/>
          </w:cols>
          <w:pgMar w:left="240" w:top="233" w:right="239" w:bottom="0" w:gutter="0" w:footer="0" w:header="0"/>
          <w:type w:val="continuous"/>
        </w:sectPr>
      </w:pPr>
    </w:p>
    <w:p>
      <w:pPr>
        <w:spacing w:after="0" w:line="143"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on the last business day of the registrant’s most recently completed second fiscal quarter was $746.4 million, determined using a per share closing price for the registrant’s common stock on that date of $21.39, as quoted on The Nasdaq Global Select Market.</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2017, there were 38,231,654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233" w:right="239" w:bottom="0" w:gutter="0" w:footer="0" w:header="0"/>
          <w:type w:val="continuous"/>
        </w:sectPr>
      </w:pPr>
    </w:p>
    <w:bookmarkStart w:id="1" w:name="page2"/>
    <w:bookmarkEnd w:id="1"/>
    <w:p>
      <w:pPr>
        <w:ind w:right="40"/>
        <w:spacing w:after="0" w:line="277" w:lineRule="auto"/>
        <w:rPr>
          <w:sz w:val="20"/>
          <w:szCs w:val="20"/>
          <w:color w:val="auto"/>
        </w:rPr>
      </w:pPr>
      <w:r>
        <w:rPr>
          <w:rFonts w:ascii="Arial" w:cs="Arial" w:eastAsia="Arial" w:hAnsi="Arial"/>
          <w:sz w:val="18"/>
          <w:szCs w:val="18"/>
          <w:color w:val="auto"/>
        </w:rPr>
        <w:t>Portions of the definitive Proxy Statement for the 2017 Annual Meeting of Stockholders of First Busey Corporation to be held May 24, 2017, are incorporated by reference in this Form 10-K in response to Part III.</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4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r>
      <w:tr>
        <w:trPr>
          <w:trHeight w:val="434"/>
        </w:trPr>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w w:val="99"/>
              </w:rPr>
              <w:t>FIRST BUSEY CORPORATION</w:t>
            </w:r>
          </w:p>
        </w:tc>
        <w:tc>
          <w:tcPr>
            <w:tcW w:w="12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4"/>
              </w:rPr>
              <w:t>Form 10-K Annual Report</w:t>
            </w:r>
          </w:p>
        </w:tc>
        <w:tc>
          <w:tcPr>
            <w:tcW w:w="12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8"/>
          </w:tcPr>
          <w:p>
            <w:pPr>
              <w:jc w:val="center"/>
              <w:ind w:right="3280"/>
              <w:spacing w:after="0"/>
              <w:rPr>
                <w:sz w:val="20"/>
                <w:szCs w:val="20"/>
                <w:color w:val="auto"/>
              </w:rPr>
            </w:pPr>
            <w:r>
              <w:rPr>
                <w:rFonts w:ascii="Arial" w:cs="Arial" w:eastAsia="Arial" w:hAnsi="Arial"/>
                <w:sz w:val="18"/>
                <w:szCs w:val="18"/>
                <w:color w:val="auto"/>
                <w:w w:val="90"/>
              </w:rPr>
              <w:t>Table of Contents</w:t>
            </w:r>
          </w:p>
        </w:tc>
        <w:tc>
          <w:tcPr>
            <w:tcW w:w="1220" w:type="dxa"/>
            <w:vAlign w:val="bottom"/>
          </w:tcPr>
          <w:p>
            <w:pPr>
              <w:spacing w:after="0"/>
              <w:rPr>
                <w:sz w:val="24"/>
                <w:szCs w:val="24"/>
                <w:color w:val="auto"/>
              </w:rPr>
            </w:pPr>
          </w:p>
        </w:tc>
      </w:tr>
      <w:tr>
        <w:trPr>
          <w:trHeight w:val="392"/>
        </w:trPr>
        <w:tc>
          <w:tcPr>
            <w:tcW w:w="1160" w:type="dxa"/>
            <w:vAlign w:val="bottom"/>
            <w:gridSpan w:val="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680" w:type="dxa"/>
            <w:vAlign w:val="bottom"/>
            <w:gridSpan w:val="5"/>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2">
              <w:r>
                <w:rPr>
                  <w:rFonts w:ascii="Arial" w:cs="Arial" w:eastAsia="Arial" w:hAnsi="Arial"/>
                  <w:sz w:val="18"/>
                  <w:szCs w:val="18"/>
                  <w:color w:val="0000EE"/>
                  <w:w w:val="84"/>
                </w:rPr>
                <w:t>Business</w:t>
              </w:r>
            </w:hyperlink>
          </w:p>
        </w:tc>
        <w:tc>
          <w:tcPr>
            <w:tcW w:w="8440" w:type="dxa"/>
            <w:vAlign w:val="bottom"/>
            <w:gridSpan w:val="2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620" w:type="dxa"/>
            <w:vAlign w:val="bottom"/>
            <w:gridSpan w:val="6"/>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Item 1A</w:t>
              </w:r>
            </w:hyperlink>
          </w:p>
        </w:tc>
        <w:tc>
          <w:tcPr>
            <w:tcW w:w="54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20" w:type="dxa"/>
            <w:vAlign w:val="bottom"/>
            <w:gridSpan w:val="6"/>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Item 1B</w:t>
              </w:r>
            </w:hyperlink>
          </w:p>
        </w:tc>
        <w:tc>
          <w:tcPr>
            <w:tcW w:w="54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8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2</w:t>
              </w:r>
            </w:hyperlink>
          </w:p>
        </w:tc>
        <w:tc>
          <w:tcPr>
            <w:tcW w:w="140" w:type="dxa"/>
            <w:vAlign w:val="bottom"/>
            <w:tcBorders>
              <w:top w:val="single" w:sz="8" w:color="0000EE"/>
            </w:tcBorders>
            <w:gridSpan w:val="4"/>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04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3</w:t>
              </w:r>
            </w:hyperlink>
          </w:p>
        </w:tc>
        <w:tc>
          <w:tcPr>
            <w:tcW w:w="680" w:type="dxa"/>
            <w:vAlign w:val="bottom"/>
            <w:gridSpan w:val="5"/>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774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4</w:t>
              </w:r>
            </w:hyperlink>
          </w:p>
        </w:tc>
        <w:tc>
          <w:tcPr>
            <w:tcW w:w="680" w:type="dxa"/>
            <w:vAlign w:val="bottom"/>
            <w:gridSpan w:val="5"/>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730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6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2"/>
        </w:trPr>
        <w:tc>
          <w:tcPr>
            <w:tcW w:w="560" w:type="dxa"/>
            <w:vAlign w:val="bottom"/>
            <w:tcBorders>
              <w:bottom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600" w:type="dxa"/>
            <w:vAlign w:val="bottom"/>
            <w:gridSpan w:val="3"/>
          </w:tcPr>
          <w:p>
            <w:pPr>
              <w:spacing w:after="0"/>
              <w:rPr>
                <w:sz w:val="24"/>
                <w:szCs w:val="24"/>
                <w:color w:val="auto"/>
              </w:rPr>
            </w:pP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6</w:t>
              </w:r>
            </w:hyperlink>
          </w:p>
        </w:tc>
        <w:tc>
          <w:tcPr>
            <w:tcW w:w="680" w:type="dxa"/>
            <w:vAlign w:val="bottom"/>
            <w:gridSpan w:val="5"/>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7</w:t>
              </w:r>
            </w:hyperlink>
          </w:p>
        </w:tc>
        <w:tc>
          <w:tcPr>
            <w:tcW w:w="80" w:type="dxa"/>
            <w:vAlign w:val="bottom"/>
            <w:tcBorders>
              <w:bottom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16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7A</w:t>
              </w:r>
            </w:hyperlink>
          </w:p>
        </w:tc>
        <w:tc>
          <w:tcPr>
            <w:tcW w:w="908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8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8</w:t>
              </w:r>
            </w:hyperlink>
          </w:p>
        </w:tc>
        <w:tc>
          <w:tcPr>
            <w:tcW w:w="140" w:type="dxa"/>
            <w:vAlign w:val="bottom"/>
            <w:tcBorders>
              <w:top w:val="single" w:sz="8" w:color="0000EE"/>
            </w:tcBorders>
            <w:gridSpan w:val="4"/>
          </w:tcPr>
          <w:p>
            <w:pPr>
              <w:spacing w:after="0"/>
              <w:rPr>
                <w:sz w:val="17"/>
                <w:szCs w:val="17"/>
                <w:color w:val="auto"/>
              </w:rPr>
            </w:pPr>
          </w:p>
        </w:tc>
        <w:tc>
          <w:tcPr>
            <w:tcW w:w="540" w:type="dxa"/>
            <w:vAlign w:val="bottom"/>
          </w:tcPr>
          <w:p>
            <w:pPr>
              <w:spacing w:after="0"/>
              <w:rPr>
                <w:sz w:val="17"/>
                <w:szCs w:val="17"/>
                <w:color w:val="auto"/>
              </w:rPr>
            </w:pPr>
          </w:p>
        </w:tc>
        <w:tc>
          <w:tcPr>
            <w:tcW w:w="4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472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9</w:t>
              </w:r>
            </w:hyperlink>
          </w:p>
        </w:tc>
        <w:tc>
          <w:tcPr>
            <w:tcW w:w="80" w:type="dxa"/>
            <w:vAlign w:val="bottom"/>
            <w:tcBorders>
              <w:bottom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Changes in and Disagreements with Accountants on Accounting and Financial Disclosure</w:t>
              </w:r>
            </w:hyperlink>
          </w:p>
        </w:tc>
        <w:tc>
          <w:tcPr>
            <w:tcW w:w="260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0" w:type="dxa"/>
            <w:vAlign w:val="bottom"/>
            <w:gridSpan w:val="6"/>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Item 9A</w:t>
              </w:r>
            </w:hyperlink>
          </w:p>
        </w:tc>
        <w:tc>
          <w:tcPr>
            <w:tcW w:w="54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Item 9B</w:t>
              </w:r>
            </w:hyperlink>
          </w:p>
        </w:tc>
        <w:tc>
          <w:tcPr>
            <w:tcW w:w="5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320" w:type="dxa"/>
            <w:vAlign w:val="bottom"/>
            <w:gridSpan w:val="1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12"/>
        </w:trPr>
        <w:tc>
          <w:tcPr>
            <w:tcW w:w="6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10</w:t>
              </w:r>
            </w:hyperlink>
          </w:p>
        </w:tc>
        <w:tc>
          <w:tcPr>
            <w:tcW w:w="90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Directors, Executive Officers and 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56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11</w:t>
              </w:r>
            </w:hyperlink>
          </w:p>
        </w:tc>
        <w:tc>
          <w:tcPr>
            <w:tcW w:w="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4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58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580" w:type="dxa"/>
            <w:vAlign w:val="bottom"/>
            <w:gridSpan w:val="5"/>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Item 12</w:t>
              </w:r>
            </w:hyperlink>
          </w:p>
        </w:tc>
        <w:tc>
          <w:tcPr>
            <w:tcW w:w="580" w:type="dxa"/>
            <w:vAlign w:val="bottom"/>
            <w:gridSpan w:val="2"/>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580" w:type="dxa"/>
            <w:vAlign w:val="bottom"/>
            <w:tcBorders>
              <w:top w:val="single" w:sz="8" w:color="0000EE"/>
            </w:tcBorders>
            <w:gridSpan w:val="5"/>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Item 13</w:t>
              </w:r>
            </w:hyperlink>
          </w:p>
        </w:tc>
        <w:tc>
          <w:tcPr>
            <w:tcW w:w="580" w:type="dxa"/>
            <w:vAlign w:val="bottom"/>
            <w:gridSpan w:val="2"/>
          </w:tcPr>
          <w:p>
            <w:pPr>
              <w:spacing w:after="0"/>
              <w:rPr>
                <w:sz w:val="17"/>
                <w:szCs w:val="17"/>
                <w:color w:val="auto"/>
              </w:rPr>
            </w:pP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16"/>
        </w:trPr>
        <w:tc>
          <w:tcPr>
            <w:tcW w:w="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Item 14</w:t>
              </w:r>
            </w:hyperlink>
          </w:p>
        </w:tc>
        <w:tc>
          <w:tcPr>
            <w:tcW w:w="580" w:type="dxa"/>
            <w:vAlign w:val="bottom"/>
            <w:gridSpan w:val="2"/>
          </w:tcPr>
          <w:p>
            <w:pPr>
              <w:spacing w:after="0"/>
              <w:rPr>
                <w:sz w:val="18"/>
                <w:szCs w:val="18"/>
                <w:color w:val="auto"/>
              </w:rPr>
            </w:pPr>
          </w:p>
        </w:tc>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Principal Accountant Fees and Services</w:t>
              </w:r>
            </w:hyperlink>
          </w:p>
        </w:tc>
        <w:tc>
          <w:tcPr>
            <w:tcW w:w="2580" w:type="dxa"/>
            <w:vAlign w:val="bottom"/>
            <w:tcBorders>
              <w:top w:val="single" w:sz="8" w:color="0000EE"/>
            </w:tcBorders>
            <w:gridSpan w:val="5"/>
          </w:tcPr>
          <w:p>
            <w:pPr>
              <w:spacing w:after="0"/>
              <w:rPr>
                <w:sz w:val="18"/>
                <w:szCs w:val="18"/>
                <w:color w:val="auto"/>
              </w:rPr>
            </w:pPr>
          </w:p>
        </w:tc>
        <w:tc>
          <w:tcPr>
            <w:tcW w:w="3640" w:type="dxa"/>
            <w:vAlign w:val="bottom"/>
            <w:gridSpan w:val="5"/>
          </w:tcPr>
          <w:p>
            <w:pPr>
              <w:spacing w:after="0"/>
              <w:rPr>
                <w:sz w:val="18"/>
                <w:szCs w:val="18"/>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392"/>
        </w:trPr>
        <w:tc>
          <w:tcPr>
            <w:tcW w:w="6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IV</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15</w:t>
              </w:r>
            </w:hyperlink>
          </w:p>
        </w:tc>
        <w:tc>
          <w:tcPr>
            <w:tcW w:w="90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and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6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16</w:t>
              </w:r>
            </w:hyperlink>
          </w:p>
        </w:tc>
        <w:tc>
          <w:tcPr>
            <w:tcW w:w="908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Summary</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53"/>
        </w:trPr>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4"/>
                <w:szCs w:val="24"/>
                <w:color w:val="auto"/>
              </w:rPr>
            </w:pPr>
          </w:p>
        </w:tc>
        <w:tc>
          <w:tcPr>
            <w:tcW w:w="4720" w:type="dxa"/>
            <w:vAlign w:val="bottom"/>
            <w:gridSpan w:val="14"/>
          </w:tcPr>
          <w:p>
            <w:pPr>
              <w:jc w:val="center"/>
              <w:ind w:left="2850"/>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First Busey Corporation (“First Busey” or the “Company”), a Nevada Corporation, is a $5.4 billion financial holding company which was initially organized as a bank holding company in 1980. First Busey conducts a broad range of financial services through its banking and non-banking subsidiaries. First Busey has one wholly-owned bank subsidiary, Busey Bank (“Busey Bank” or the “Bank”), which has banking centers in Illinois, Missouri, Florida and Indiana. First Busey is headquartered in Champaign, Illinois, and its common stock is traded on The Nasdaq Global Select Market under the symbol “BUSE.”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May 20, 2015,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 All share and per share information has been restated for all prior periods presented in this Annual Report on Form 10-K to give retroactive effect to the Reverse Stock Split.</w:t>
      </w:r>
    </w:p>
    <w:p>
      <w:pPr>
        <w:sectPr>
          <w:pgSz w:w="11900" w:h="16838" w:orient="portrait"/>
          <w:cols w:equalWidth="0" w:num="1">
            <w:col w:w="11460"/>
          </w:cols>
          <w:pgMar w:left="240" w:top="125" w:right="199" w:bottom="142" w:gutter="0" w:footer="0" w:header="0"/>
        </w:sectPr>
      </w:pPr>
    </w:p>
    <w:bookmarkStart w:id="2" w:name="page3"/>
    <w:bookmarkEnd w:id="2"/>
    <w:p>
      <w:pPr>
        <w:spacing w:after="0" w:line="3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April 30, 2016, First Busey acquired Pulaski Financial Corp., a Missouri corporation (“Pulaski”), and its wholly-owned bank subsidiary, Pulaski Bank, National Association (“Pulaski Bank”). First Busey operated Pulaski Bank as a separate banking subsidiary from May 1, 2016 until November 4, 2016, when it was merged with and into Busey Bank. At that time, Pulaski Bank’s branches became branches of Busey Bank. In 2015, First Busey acquired Herget Financial Corp. (“Herget Financial”), headquartered in Pekin, Illinois and its wholly owned bank subsidiary, Herget Bank, National Association (“Herget Bank”). The operating results of Pulaski and Herget Financial are included with the Company’s results of operations since each date of acquisition. See “</w:t>
      </w:r>
      <w:r>
        <w:rPr>
          <w:rFonts w:ascii="Arial" w:cs="Arial" w:eastAsia="Arial" w:hAnsi="Arial"/>
          <w:sz w:val="16"/>
          <w:szCs w:val="16"/>
          <w:i w:val="1"/>
          <w:iCs w:val="1"/>
          <w:color w:val="auto"/>
        </w:rPr>
        <w:t>Note</w:t>
      </w:r>
    </w:p>
    <w:p>
      <w:pPr>
        <w:spacing w:after="0" w:line="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Consolidated Financial Statements for further information relating to these acquisition.</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6, 2017, the Company entered into an Agreement and Plan of Merger (the “Merger Agreement”) with First Community Financial Partners, Inc., an Illinois corporation (“First Community”), pursuant to which First Community will merge into First Busey, with First Busey as the surviving corporation (the “Merger”). It is anticipated that First Community Financial Bank, First Community’s wholly-owned bank subsidiary, will be merged with and into First Busey’s bank subsidiary, Busey Bank, at a date following the completion of the holding company merger. At the time of the bank merger, First Community Financial Bank’s banking offices will become branches of Busey Bank. The Merger is anticipated to be completed in mid-2017, and is subject to the satisfaction of customary closing conditions contained in the Merger Agreement including the approval of the appropriate regulatory authorities and the stockholders of First Community. As of December 31, 2016, First Community had total consolidated assets of $1.3 billion, total loans of $991.6 million and total deposits of $1.1 billion. See “</w:t>
      </w:r>
      <w:r>
        <w:rPr>
          <w:rFonts w:ascii="Arial" w:cs="Arial" w:eastAsia="Arial" w:hAnsi="Arial"/>
          <w:sz w:val="18"/>
          <w:szCs w:val="18"/>
          <w:i w:val="1"/>
          <w:iCs w:val="1"/>
          <w:color w:val="auto"/>
        </w:rPr>
        <w:t>Note 2. Acquisitions</w:t>
      </w:r>
      <w:r>
        <w:rPr>
          <w:rFonts w:ascii="Arial" w:cs="Arial" w:eastAsia="Arial" w:hAnsi="Arial"/>
          <w:sz w:val="18"/>
          <w:szCs w:val="18"/>
          <w:color w:val="auto"/>
        </w:rPr>
        <w:t>” in the Notes to the Consolidated Financial Statements for further information relating to this planned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First Busey</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First Busey conducts the business of banking and related services through the Bank, asset management, brokerage and fiduciary services through Busey Wealth Management, Inc. (“Busey Wealth Management”) and Trevett Capital Partners (“Trevett”), and retail payment processing through FirsTech, Inc. (“FirsTech”).</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Bank is an Illinois state-chartered bank organized in 1868 with its headquarters in Champaign, Illinois. The Bank has 28 banking centers in Illinois, 13 in Missouri, five in southwest Florida and one in Indianapolis, Indiana. The Company also offers mortgage loan products through loan production offices in the St. Louis, Kansas City, Chicago, and Omaha-Council Bluffs metropolitan areas and other locations across the Midwest.</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Bank offers a full range of diversified financial products and services for consumers and businesses, including innovative online and mobile banking capabilities to conveniently serve our customers’ needs. Services include commercial, agricultural and real estate loans, and retail banking services, including home equity lines of credit, residential real estate and consumer loans, customary types of demand and savings deposits, money transfers, safe deposit services, and IRA and other fiduciary services through our branch, ATM and technology-based networks. In addition, our professional farm management and brokerage services are entrusted to care and maximize value for landowners of prime farmland in Illinois.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Bank’s principal sources of income are interest and fees on loans and investments and service fees. Its principal expenses are interest paid on deposits and general operating expenses. The Bank’s primary markets are downstate Illinois, the St. Louis, Missouri metropolitan area, southwest Florida, and central Indiana.</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Bank’s portfolio loans are comprised of commercial, commercial real estate, real estate construction, retail real estate, and retail other. As of December 31, 2016, commercial loans comprised approximately 24.7%, commercial real estate comprised approximately 42.6%, real estate construction comprised approximately 4.7%, retail real estate comprised approximately 27.6% and retail other loans comprised approximately 0.4%.</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Trevett, operating as a division of the Bank, is a private wealth management boutique created to serve clientele in southwest Florida through a highly tenured team of sophisticated wealth management professionals. Trevett builds upon our established presence in Florida and the broad capabilities of our existing Wealth Management operation to provide concierge service and tailored solutions for the accumulation and preservation of capital and generational legacies.</w:t>
      </w:r>
    </w:p>
    <w:p>
      <w:pPr>
        <w:spacing w:after="0" w:line="14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Busey Wealth Management, which is headquartered in Champaign, Illinois, provides asset management, investment and fiduciary services to individuals, businesses and foundations through its subsidiary, Busey Trust Company. As of December 31, 2016, Busey Trust Company had $5.4 billion in assets under care. For individuals, Busey Trust Company provides investment management, trust and estate advisory services and financial planning. For businesses, it provides investment management, business succession planning and employee retirement plan services. For foundations, Busey Trust Company provides investment management, investment strategy consulting and fiduciary services.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Brokerage related services are offered by Busey Investment Services, a division of Busey Trust Company, through a third-party arrangement with Raymond James Financial Services.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FirsTech, which has offices in Decatur, Illinois and Clayton, Missouri, offers the following pay processing solutions: walk-in payment processing for payments delivered by customers to retail pay agents; online bill payment solutions for payments made by customers on a billing company’s website; customer service payments for payments accepted over the telephone; direct debit services; electronic concentration of payments delivered by the Automated Clearing House network; money management software and credit card networks; and lockbox remittance processing of payments delivered by mail. FirsTech had approximately 3,000 agent locations in 36 states as of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First Busey Corporation also has various other subsidiaries that are not significant to the consolidated entity.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operations are managed along three operating segments consisting of Banking, Remittance Processing and Wealth Management. See “</w:t>
      </w:r>
      <w:r>
        <w:rPr>
          <w:rFonts w:ascii="Arial" w:cs="Arial" w:eastAsia="Arial" w:hAnsi="Arial"/>
          <w:sz w:val="16"/>
          <w:szCs w:val="16"/>
          <w:i w:val="1"/>
          <w:iCs w:val="1"/>
          <w:color w:val="auto"/>
        </w:rPr>
        <w:t>Note</w:t>
      </w:r>
    </w:p>
    <w:p>
      <w:pPr>
        <w:spacing w:after="0" w:line="4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Segments and Related Information</w:t>
      </w:r>
      <w:r>
        <w:rPr>
          <w:rFonts w:ascii="Arial" w:cs="Arial" w:eastAsia="Arial" w:hAnsi="Arial"/>
          <w:sz w:val="18"/>
          <w:szCs w:val="18"/>
          <w:color w:val="auto"/>
        </w:rPr>
        <w:t>” in the Notes to the Consolidated Financial Statements for an analysis of segment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of Markets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has 28 banking centers serving Illinois. Our primary downstate Illinois markets of Champaign, Macon, McLean and Peoria counties are anchored by several strong, familiar and stable organizations. Champaign County is home to the University of Illinois — Urbana/Champaign (“U of I”), the University’s primary campus. U of I has in excess of 44,000 students from all 50 states and over 100 countries. Additionally, Champaign County healthcare providers serve a significant area of downstate Illinois and western Indiana. Macon County is home to the North American headquarters for Archer Daniels</w:t>
      </w:r>
    </w:p>
    <w:p>
      <w:pPr>
        <w:sectPr>
          <w:pgSz w:w="11900" w:h="16877" w:orient="portrait"/>
          <w:cols w:equalWidth="0" w:num="1">
            <w:col w:w="11420"/>
          </w:cols>
          <w:pgMar w:left="240" w:top="125" w:right="239" w:bottom="0" w:gutter="0" w:footer="0" w:header="0"/>
        </w:sectPr>
      </w:pPr>
    </w:p>
    <w:bookmarkStart w:id="3" w:name="page4"/>
    <w:bookmarkEnd w:id="3"/>
    <w:p>
      <w:pPr>
        <w:spacing w:after="0" w:line="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Inc.,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State of Illinois, where a large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Payment lapses by the State of Illinois to its vendors and government sponsored entities may have negative effects on our primary market areas.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recent acquisition of Pulaski expands our presence into the St. Louis, Missouri metropolitan area, which is the largest metropolitan area in Missouri and the twentieth largest in the United States. The bi-state metropolitan area includes seven counties in Missouri and eight counties in Illinois. The area is home to 19 Fortune 1000 companies, including Express Scripts, Emerson Electric, Centene and Monsanto. St. Louis has a diverse economy with its major employment sectors including health care, financial services, professional and business services, and retail. The Company has 13 banking centers serving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The Company’s geographic concentration in only three of the 15 counties included in the St. Louis metropolitan area gives the Company tremendous expansion opportunities into the other neighboring counties.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 In 2017, the Company plans to build out its presence in Indianapolis.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Bank competes actively with national and state banks, savings and loan associations and credit unions for deposits and loans mainly in downstate Illinois (primarily Champaign, Ford, Livingston, Macon, McLean, Peoria, and Shelby counties), the St. Louis, Missouri metropolitan area (primarily St. Louis (City), St. Louis and St. Charles counties), southwest Florida (primarily Charlotte, Lee and Sarasota counties), and central Indiana (primarily Hamilton and Marion counties). In addition, First Busey and its non-bank subsidiaries compete with other financial institutions, including asset management and trust companies, security broker/dealers, personal loan companies, insurance companies, finance companies, leasing companies, mortgage companies, remittance processing companies, and certain governmental agencies, all of which actively engage in marketing various types of loans, deposit accounts, and other products and services. The Bank competes for real estate and other loans primarily on the basis of the interest rates and loan fees it charges, the types of loans it originates and the quality of services it provides to borrowers.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 faces substantial competition in attracting deposits from other commercial banks, savings institutions, money market and mutual funds, credit unions, insurance agencies, brokerage firms, and other investment vehicles. The ability of the Bank to attract and retain deposits depends on its ability to provide investment opportunities that satisfy the requirements of investors as to rate of return, liquidity, risk and other factors. The Bank attracts a significant amount of deposits through its branch offices, primarily from the communities in which those branch offices are located; therefore, competition for those deposits is principally from other commercial banks, savings institutions, and credit unions located in the same communities. The Bank competes for these deposits by offering a variety of deposit accounts at competitive rates, high-quality customer service, convenient business hours, internet and mobile banking, and convenient banking centers with interbranch deposit and withdrawal privileges at each.</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Based on information obtained from the Federal Deposit Insurance Corporation (“FDIC”) Summary of Deposits dated June 30, 2016, First Busey ranked in the top ten in total deposits in eight Illinois counties: first in Champaign County; fourth in Ford County; seventh in Livingston County; second in Macon County; fifth in McLean County; ninth in Peoria County; second in Shelby County; and fourth in Tazewell County. In addition, First Busey ranked tenth in St. Louis (City) County in Missouri. Customers for banking services are generally influenced by convenience, quality of service, personal contacts, price of services and availability of products. Although the market share of First Busey varies in different markets, First Busey believes that it effectively competes with other banks, thrifts and financial institutions in the relevant market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Regulation and Other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Institutions insured by the FDIC, their holding companies and their affiliates are extensively regulated under federal and state law. As a result, First Busey’s growth and earnings performance may be affected not only by management decisions and general economic conditions, but also by the requirements of federal and state statutes and by the regulations and policies of various bank regulatory agencies, including the Illinois Department of Financial and Professional Regulation (the “DFPR”), the Board of Governors of the Federal Reserve System (the “Federal Reserve”), the FDIC, and the Consumer Financial Protection Bureau (the “CFPB”). Furthermore, taxation laws administered by the Internal Revenue Service and state taxing authorities, accounting rules developed by the Financial Accounting Standards Board (“FASB”), securities laws administered by the Securities and Exchange Commission (the “SEC”) and state securities authorities, and anti-money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380"/>
          </w:cols>
          <w:pgMar w:left="240" w:top="125" w:right="279" w:bottom="0" w:gutter="0" w:footer="0" w:header="0"/>
          <w:type w:val="continuous"/>
        </w:sectPr>
      </w:pPr>
    </w:p>
    <w:bookmarkStart w:id="4" w:name="page5"/>
    <w:bookmarkEnd w:id="4"/>
    <w:p>
      <w:pPr>
        <w:ind w:right="680"/>
        <w:spacing w:after="0" w:line="277" w:lineRule="auto"/>
        <w:rPr>
          <w:sz w:val="20"/>
          <w:szCs w:val="20"/>
          <w:color w:val="auto"/>
        </w:rPr>
      </w:pPr>
      <w:r>
        <w:rPr>
          <w:rFonts w:ascii="Arial" w:cs="Arial" w:eastAsia="Arial" w:hAnsi="Arial"/>
          <w:sz w:val="18"/>
          <w:szCs w:val="18"/>
          <w:color w:val="auto"/>
        </w:rPr>
        <w:t>laundering laws enforced by the U.S. Department of the Treasury (“Treasury”) have an impact on First Busey’s business. The effect of these statutes, regulations, regulatory policies and accounting rules are significant to First Busey’s operations and results.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First Busey’s business, the kinds and amounts of investments First Busey and the Bank may make, reserve requirements, required capital levels relative to assets, the nature and amount of collateral for loans, the establishment of branches, First Busey’s ability to merge, consolidate and acquire, dealings First Busey’s and the Bank’s insiders and affiliates, and First Busey’s payment of dividends. In the last several years, First Busey and the Bank have experienced heightened regulatory requirements and scrutiny following the global financial crisis and as a result of the Dodd-Frank Wall Street Reform and Consumer Protection Act (the “Dodd-Frank Act”). Although the reforms primarily targeted systemically important financial service providers, their influence filtered down in varying degrees to community banks over time and the reforms have caused First Busey’s compliance and risk management processes, and the costs thereof, to increase. While it is anticipated that the Trump administration will not increase the regulatory burden on community banks and may reduce some of the burdens associated with implementation of the Dodd-Frank Act, the true impact of the new administration is impossible to predict with any certainty.</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supervisory and regulatory framework subjects banks and bank holding companies to regular examination by their respective regulatory agencies, which results in examination reports and ratings that are not publicly available and that can impact the conduct and growth of their business.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First Busey and the Bank, beginning with a discussion of the continuing regulatory emphasis on First Busey’s capital levels.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Emphasis on Capital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Regulatory capital represents the net assets of a banking organization available to absorb losses. Because of the risks attendant to their business, FDIC-insured institutions are generally required to hold more capital than other businesses, which directly affects First Busey’s earnings capabilities. While capital has historically been one of the key measures of the financial health of both bank holding companies and banks, its role became fundamentally more important in the wake of the global financial crisis, as the banking regulators recognized that the amount and quality of capital held by banks prior to the crisis was insufficient to absorb losses during periods of severe stress. Certain provisions of the Dodd-Frank Act and Basel III, discussed below, establish strengthened capital standards for banks and bank holding companies that are meaningfully more stringent than those in place previously.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Required Capital Levels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Banks have been required to hold minimum levels of capital based on guidelines established by the bank regulatory agencies since 1983. The minimums have been expressed in terms of ratios of capital divided by total assets. As discussed below, bank capital measures have become more sophisticated over the years and have focused more on the quality of capital and the risk of assets. Bank holding companies have historically had to comply with less stringent capital standards than their bank subsidiaries and have been able to raise capital with hybrid instruments such as trust preferred securities. 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being excluded from capital over a phase-out period. However, if such securities were issued prior to May 19, 2010 by bank holding companies with less than $15.0 billion of assets, they may be retained, subject to certain restrictions. Because the Company has assets of less than $15.0 billion, the Company is able to maintain its trust preferred proceeds as capital but the Company has to comply with new capital mandates in other respects and will not be able to raise capital in the future through the issuance of trust preferred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International Capital Accords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risk-based capital guidelines for U.S. banks since 1989 were based upon the 1988 capital accord known as “Basel I” adopted by the international Basel Committee on Banking Supervision, a committee of central banks and bank supervisors that acts as the primary global standard-setter for prudential regulation, as implemented by the U.S. bank regulatory agencies on an interagency basis. The accord recognized that bank assets for the purpose of the capital ratio calculations needed to be risk weighted (the theory being that riskier assets should require more capital) and that off-balance sheet exposures needed to be factored in the calculations. Basel I had a very simple formula for assigning risk weights to bank assets from 0% to 100% based on four categories. In 2008, the banking agencies collaboratively began to phase-in capital standards based on a second capital accord, referred to as “Basel II,” for large or “core” international banks (generally defined for U.S. purposes as having total assets of $250.0 billion or more, or consolidated foreign exposures of $10.0 billion or more) known as “advanced approaches” banks.</w:t>
      </w:r>
    </w:p>
    <w:p>
      <w:pPr>
        <w:spacing w:after="0" w:line="17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primary focus of Basel II was on the calculation of risk weights based on complex models developed by each advanced approaches bank. Because most banks were not subject to Basel II, the U.S. bank regulators worked to improve the risk sensitivity of Basel I standards without imposing the complexities of Basel II. This “standardized approach” increased the number of risk-weight categories and recognized risks well above the original 100% risk weighting. The standardized approach is institutionalized by the Dodd-Frank Act for all banking organizations as a floor.</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September 12, 2010, the Group of Governors and Heads of Supervision, the oversight body of the Basel Committee on Banking Supervision, announced agreement on a strengthened set of capital requirements for banking organizations around the world, known as Basel III, to address deficiencies recognized in connection with the global financial crisis.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III Rule</w:t>
      </w:r>
    </w:p>
    <w:p>
      <w:pPr>
        <w:sectPr>
          <w:pgSz w:w="11900" w:h="16838" w:orient="portrait"/>
          <w:cols w:equalWidth="0" w:num="1">
            <w:col w:w="11420"/>
          </w:cols>
          <w:pgMar w:left="240" w:top="341" w:right="239" w:bottom="0" w:gutter="0" w:footer="0" w:header="0"/>
        </w:sectPr>
      </w:pPr>
    </w:p>
    <w:bookmarkStart w:id="5" w:name="page6"/>
    <w:bookmarkEnd w:id="5"/>
    <w:p>
      <w:pPr>
        <w:ind w:right="20"/>
        <w:spacing w:after="0" w:line="273" w:lineRule="auto"/>
        <w:rPr>
          <w:sz w:val="20"/>
          <w:szCs w:val="20"/>
          <w:color w:val="auto"/>
        </w:rPr>
      </w:pPr>
      <w:r>
        <w:rPr>
          <w:rFonts w:ascii="Arial" w:cs="Arial" w:eastAsia="Arial" w:hAnsi="Arial"/>
          <w:sz w:val="17"/>
          <w:szCs w:val="17"/>
          <w:color w:val="auto"/>
        </w:rPr>
        <w:t>In July of 2013, the U.S. federal banking agencies approved the implementation of the Basel III regulatory capital reforms in pertinent part, and, at the same time, promulgated rules effecting certain changes required by the Dodd-Frank Act (the “Basel III Rule”). In contrast to capital requirements historically, which were in the form of guidelines, Basel III was released in the form of enforceable regulations by each of the regulatory agencies. The Basel III Rule is applicable to all banking organizations that are subject to minimum capital requirements, including federal and state banks and savings and loan associations, as well as to bank and savings and loan holding companies, other than “small bank holding companies” (generally holding companies with consolidated assets of less than $1.0 billion that do not have securities registered with the SEC).</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Basel III Rule required higher capital levels, increased the required quality of capital, and required more detailed categories of risk weighting of riskier, more opaque assets. For nearly every class of assets, the Basel III Rule requires a more complex, detailed and calibrated assessment of credit risk and calculation of risk weightings.</w:t>
      </w:r>
    </w:p>
    <w:p>
      <w:pPr>
        <w:spacing w:after="0" w:line="18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Not only did the Basel III Rule increase most of the required minimum capital ratios in effect prior to January 1, 2015, but it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A number of instruments that qualified as Tier 1 Capital under Basel I do not qualify, or their qualifications changed. For example, noncumulative perpetual preferred stock, which qualified as simple Tier 1 Capital under Basel I, does not qualify as Common Equity Tier 1 Capital, but qualifies as Additional Tier 1 Capital. The Basel III Rule also constrained the inclusion of minority interests, mortgage-servicing assets, and deferred tax assets in capital and requires deductions from Common Equity Tier 1 Capital in the event that such assets exceed a certain percentage of a banking institution’s Common Equity Tier 1 Capital.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Basel III Rule required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capital ratios as of January 1, 2015, as follows:</w:t>
      </w:r>
    </w:p>
    <w:p>
      <w:pPr>
        <w:spacing w:after="0" w:line="22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minimum Common Equity Tier 1 Capital equal to 4.5% of risk-weighted assets;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the minimum required amount of Tier 1 Capital from 4% to 6% of risk-weighted assets;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continuation of the minimum required amount of Total Capital (Tier 1 plus Tier 2) at 8% of risk-weighted assets;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leverage ratio of Tier 1 Capital to total quarterly average assets equal to 4% in all circumstances.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institutions that seek the freedom to make capital distributions (including for dividends and repurchases of stock) and pay discretionary bonuses to executive officers without restriction must also maintain 2.5% in Common Equity Tier 1 Capital attributable to a capital conservation buffer being phased in over three years beginning in 2016 (which, as of January 1, 2017, was phased in half-way to 1.25%). The purpose of the conservation buffer is to ensure that banking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institutions maintain a buffer of capital that can be used to absorb losses during periods of financial and economic stress. Factoring in the fully phased-in conservation buffer increases the minimum ratios depicted above to 7% for Common Equity Tier 1 Capital, 8.5% for Tier 1 Capital and 10.5% for Total Capital.</w:t>
      </w:r>
    </w:p>
    <w:p>
      <w:pPr>
        <w:spacing w:after="0" w:line="18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Banking organizations (except for large, internationally active banking organizations) became subject to the new rules on January 1, 2015. However, there are separate phase-in/phase-out periods for: (i) the capital conservation buffer; (ii) regulatory capital adjustments and deductions; (iii) nonqualifying capital instruments; and (iv) changes to the prompt corrective action rules discussed below. The phase-in periods commenced on January 1, 2016 and extend until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Well-Capitalized Requirements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ratios described above are minimum standards in order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could also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8"/>
          <w:szCs w:val="18"/>
          <w:i w:val="1"/>
          <w:iCs w:val="1"/>
          <w:color w:val="auto"/>
        </w:rPr>
        <w:t>i.e.</w:t>
      </w:r>
      <w:r>
        <w:rPr>
          <w:rFonts w:ascii="Arial" w:cs="Arial" w:eastAsia="Arial" w:hAnsi="Arial"/>
          <w:sz w:val="18"/>
          <w:szCs w:val="18"/>
          <w:color w:val="auto"/>
        </w:rPr>
        <w:t>, Tier 1 Capital less all intangible assets), well above the minimum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Under the capital regulations of the FDIC and Federal Reserve, in order to be well-capitalized, a banking organization must maintain:</w:t>
      </w:r>
    </w:p>
    <w:p>
      <w:pPr>
        <w:spacing w:after="0" w:line="22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Common Equity Tier 1 Capital ratio to risk-weighted assets of 6.5% or more;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8% or more (6% under Basel I);</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more (the same as Basel I);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leverage ratio of Tier 1 Capital to total adjusted average quarterly assets of 5% or greater.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It is possible under the Basel III Rule to be well-capitalized while remaining out of compliance with the capital conservation buffer discussed above.</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2016: (i) the Bank was not subject to a directive from the DFPR or FDIC to increase its capital and (ii) the Bank was well-capitalized, as defined by FDIC regulations. As of December 31, 2016, the Company had regulatory capital in excess of the Federal Reserve’s requirements and met the Basel III Rule requirements to be well-capitalized.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Prompt Corrective Action</w:t>
      </w:r>
    </w:p>
    <w:p>
      <w:pPr>
        <w:sectPr>
          <w:pgSz w:w="11900" w:h="16838" w:orient="portrait"/>
          <w:cols w:equalWidth="0" w:num="1">
            <w:col w:w="11360"/>
          </w:cols>
          <w:pgMar w:left="240" w:top="341" w:right="299" w:bottom="0" w:gutter="0" w:footer="0" w:header="0"/>
        </w:sectPr>
      </w:pPr>
    </w:p>
    <w:bookmarkStart w:id="6" w:name="page7"/>
    <w:bookmarkEnd w:id="6"/>
    <w:p>
      <w:pPr>
        <w:spacing w:after="0" w:line="6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An FDIC-insured institution’s capital plays an important role in connection with regulatory enforcement as well. Federal law provides the federal banking regulators with broad power to take “prompt corrective action” to resolve the problems of undercapitalized institutions.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 (ii) limiting the institution’s asset growth and restricting its activities;</w:t>
      </w:r>
    </w:p>
    <w:p>
      <w:pPr>
        <w:spacing w:after="0" w:line="2" w:lineRule="exact"/>
        <w:rPr>
          <w:sz w:val="20"/>
          <w:szCs w:val="20"/>
          <w:color w:val="auto"/>
        </w:rPr>
      </w:pPr>
    </w:p>
    <w:p>
      <w:pPr>
        <w:ind w:right="140" w:firstLine="8"/>
        <w:spacing w:after="0" w:line="281"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that senior executive officers or directors be dismissed; (viii) prohibiting the institution from accepting deposits from correspondent banks;</w:t>
      </w:r>
    </w:p>
    <w:p>
      <w:pPr>
        <w:spacing w:after="0" w:line="20" w:lineRule="exact"/>
        <w:rPr>
          <w:rFonts w:ascii="Arial" w:cs="Arial" w:eastAsia="Arial" w:hAnsi="Arial"/>
          <w:sz w:val="17"/>
          <w:szCs w:val="17"/>
          <w:color w:val="auto"/>
        </w:rPr>
      </w:pPr>
    </w:p>
    <w:p>
      <w:pPr>
        <w:ind w:right="560" w:firstLine="8"/>
        <w:spacing w:after="0" w:line="261"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the institution to divest certain subsidiaries; (x) prohibiting the payment of principal or interest on subordinated debt; and (xi) ultimately, appointing a receiver for the institution.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Supervision of First Busey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First Busey, as the sole stockholder of the Bank, is a bank holding company. As a bank holding company, First Busey is registered with, and subject to regulation, supervision and enforcement by, the Federal Reserve under the Bank Holding Company Act of 1956, as amended (the “BHCA”). First Busey is legally obligated to act as a source of financial and managerial strength to the Bank and to commit resources to support the Bank in circumstances where First Busey might not otherwise do so. Under the BHCA, First Busey is subject to periodic examination by the Federal Reserve and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required to file with the Federal Reserve periodic reports of First Busey’s operations and such additional information regarding First Busey and the Bank as the Federal Reserve may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Activities and Change in Control</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examiners must rate them well-managed in order to effect interstate mergers or acquisitions. For a discussion of the capital requirements, see “Regulatory Emphasis on Capital” above.</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BHCA generally prohibits First Busey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would permit First Busey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services. The BHCA does not place territorial restrictions on the domestic activities of nonbank subsidiaries of bank holding companies.</w:t>
      </w:r>
    </w:p>
    <w:p>
      <w:pPr>
        <w:spacing w:after="0" w:line="1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FDIC-insured institutions or the financial system generally. First Busey has elected to be, and continues to operate as, a financial holding company.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maintain the Company’s status as a financial holding company, the Company and the Bank must be well-capitalized, well-managed, and have a least a satisfactory Community Reinvestment Act (“CRA”) rating. If the Federal Reserve determines that a financial holding company is not well-capitalized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the Company will not be able to commence any new financial activities or acquire a company that engages in such activities.</w:t>
      </w:r>
    </w:p>
    <w:p>
      <w:pPr>
        <w:spacing w:after="0" w:line="193"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Bank holding companies are required to maintain capital in accordance with Federal Reserve capital adequacy requirements. For a discussion of capital requirements, see “Regulatory Emphasis on Capital”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First Busey’s ability to pay dividends to its stockholders may be affected by both general corporate law considerations and the policies of the Federal Reserve applicable to bank holding companies</w:t>
      </w:r>
      <w:r>
        <w:rPr>
          <w:rFonts w:ascii="Arial" w:cs="Arial" w:eastAsia="Arial" w:hAnsi="Arial"/>
          <w:sz w:val="16"/>
          <w:szCs w:val="16"/>
          <w:i w:val="1"/>
          <w:iCs w:val="1"/>
          <w:color w:val="auto"/>
        </w:rPr>
        <w:t>.</w:t>
      </w:r>
      <w:r>
        <w:rPr>
          <w:rFonts w:ascii="Arial" w:cs="Arial" w:eastAsia="Arial" w:hAnsi="Arial"/>
          <w:sz w:val="16"/>
          <w:szCs w:val="16"/>
          <w:color w:val="auto"/>
        </w:rPr>
        <w:t xml:space="preserve"> As a Nevada corporation, First Busey is subject to the limitations of Nevada law, which allows First Busey to pay</w:t>
      </w:r>
    </w:p>
    <w:p>
      <w:pPr>
        <w:sectPr>
          <w:pgSz w:w="11900" w:h="16908" w:orient="portrait"/>
          <w:cols w:equalWidth="0" w:num="1">
            <w:col w:w="11420"/>
          </w:cols>
          <w:pgMar w:left="240" w:top="125" w:right="239" w:bottom="0" w:gutter="0" w:footer="0" w:header="0"/>
        </w:sectPr>
      </w:pPr>
    </w:p>
    <w:bookmarkStart w:id="7" w:name="page8"/>
    <w:bookmarkEnd w:id="7"/>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unless, after such dividend, (i) First Busey would not be able to pay its debts as they become due in the usual course of business or (ii) First Busey’s total assets would be less than the sum of its total liabilities plus any amount that would be needed, if First Busey were to be dissolved at the time of the dividend payment, to satisfy the preferential rights upon dissolution of stockholders whose rights are superior to the rights of the stockholders receiving the distribution.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w:t>
      </w:r>
    </w:p>
    <w:p>
      <w:pPr>
        <w:spacing w:after="0" w:line="154"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will have to maintain 2.5% in Common Equity Tier 1 Capital attributable to the capital conservation buffer to be phased in over three years beginning in 2016. See “Regulatory Emphasis on Capital”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There have been a number of developments in recent years focused on incentive compensation plans sponsored by bank holding companies and banks, reflecting recognition by the bank regulatory agencies and Congress that unbalanced incentive compensation practices in the financial industry were one of many factors contributing to the global financial crisis. The result is interagency guidance on sound incentive compensation practices and proposed rulemaking by the agencies required under Section 956 of the Dodd-Frank Act.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interagency guidance recognized three core principles: effective incentive plans should: (i) provide employees incentives that appropriately balance risk and reward; (ii) be compatible with effective controls and risk-management; and (iii) 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the Company that use incentive compensation arrangements are expected to be less extensive, formalized, and detailed than those of the larger banks.</w:t>
      </w:r>
    </w:p>
    <w:p>
      <w:pPr>
        <w:spacing w:after="0" w:line="17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Section 956 of the Dodd-Frank Act required the banking agencies, the National Credit Union Administration, the SEC and the Federal Housing Finance Agency to jointly prescribe regulations that prohibit types of incentive-based compensation that encourage inappropriate risk taking and to disclose certain information regarding such plans. On June 10, 2016, the agencies released an updated proposed rule for comment. Section 956 will only apply to banking organizations with assets of greater than $1.0 billion. The Company has consolidated assets greater than $1.0 billion and less than $50.0 billion and the Company is considered a Level 3 banking organization under the proposed rules. The proposed rules contain mostly general principles and reporting requirements for Level 3 institutions so there are no specific prescriptions or limits, deferral requirements or claw-back mandates. Risk management and controls are required, as is board or committee level approval and oversight. Management expects to review its incentive plans in light of the proposed rulemaking and guidance and implement policies and procedures that mitigate unreasonable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Monetary Policy</w:t>
      </w:r>
    </w:p>
    <w:p>
      <w:pPr>
        <w:spacing w:after="0" w:line="22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bank borrowings and changes in reserve requirements against bank deposits. These means are used in varying combinations to influence overall growth and distribution of bank loans, investments and deposits, and their use may affect interest rates charged on loans or paid on deposits.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Regulation</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First Busey’s common stock is registered with the SEC under the Securities Exchange Act of 1934, as amended (the “Exchange Act”). Consequently, First Busey is subject to the information, proxy solicitation, insider trading and other restrictions and requirements of the SEC under the Exchange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Dodd-Frank Act addressed many investor protection, corporate governance and executive compensation matters that affect most U.S. publicly traded companies. It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Supervision of the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Bank is an Illinois-chartered bank. The deposit accounts of the Bank are insured by the FDIC’s Deposit Insurance Fund (“DIF”) to the maximum extent provided under federal law and FDIC regulations, currently $250,000 per insured depositor category. As an Illinois-chartered FDIC-insured bank, the Bank is</w:t>
      </w:r>
    </w:p>
    <w:p>
      <w:pPr>
        <w:sectPr>
          <w:pgSz w:w="11900" w:h="16975" w:orient="portrait"/>
          <w:cols w:equalWidth="0" w:num="1">
            <w:col w:w="11420"/>
          </w:cols>
          <w:pgMar w:left="240" w:top="125" w:right="239" w:bottom="0" w:gutter="0" w:footer="0" w:header="0"/>
        </w:sectPr>
      </w:pPr>
    </w:p>
    <w:bookmarkStart w:id="8" w:name="page9"/>
    <w:bookmarkEnd w:id="8"/>
    <w:p>
      <w:pPr>
        <w:spacing w:after="0" w:line="2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subject to the examination, supervision, reporting and enforcement requirements of the DFPR, the chartering authority for Illinois banks, and the FDIC, designated by federal law as the primary federal regulator of insured state banks that, like the Bank, are not members of the Federal Reserve System (“nonmember banks”).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an FDIC-insured institution, the Bank is required to pay deposit insurance premium assessments to the FDIC. The FDIC has adopted a risk-based assessment system whereby FDIC-insured institutions pay insurance premiums at rates based on their risk classification. The total base assessment rates currently range from three basis points to 30 basis points. At least semi-annually, the FDIC updates its loss and income projections for the DIF and, if needed, increases or decreases the assessment rates, following notice and comment on proposed rulemaking. The assessment base against which an FDIC-insured institution’s deposit insurance premiums paid to the DIF are calculated is based on its average consolidated total assets less its average tangible equity. This method shifts the burden of deposit insurance premiums toward those large depository institutions that rely on funding sources other than U.S. deposits.</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reserve ratio is the DIF balance divided by estimated insured deposits. The Dodd-Frank Act altered the minimum reserve ratio of the DIF, increasing the minimum from 1.15% to 1.35% of the estimated amount of total insured deposits, and eliminating the requirement that the FDIC pay dividends to FDIC-insured institutions when the reserve ratio exceeds certain thresholds. The reserve ratio reached 1.15% on June 30, 2016, when revised factors were put in place for calculating the assessment. If the reserve ratio does not reach 1.35% by December 31, 2018 (provided it is at least 1.15%), the FDIC will impose a shortfall assessment on March 31, 2019 on insured depository institutions with total consolidated assets of $10.0 billion or more. The FDIC will provide assessment credits to insured depository institutions, like the Bank, with total consolidated assets of less than $10.0 billion for the portion of their regular assessments that contribute to growth in the reserve ratio between 1.15% and 1.35%. The FDIC will apply the credits each quarter that the reserve ratio is at least 1.38% to offset the regular deposit insurance assessments of institutions with credits.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FICO Assessments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paying basic deposit insurance assessments, FDIC-insured institutions must pay Financing Corporation (“FICO”) assessments. FICO is a mixed-ownership governmental corporation chartered by the former Federal Home Loan Bank Board pursuant to the Competitive Equality Banking Act of 1987 to function as a financing vehicle for the recapitalization of the former Federal Savings and Loan Insurance Corporation. FICO issued 30-year noncallable bonds of approximately $8.1 billion that mature in 2017 through 2019. FICO’s authority to issue bonds ended on December 12, 1991. Since 1996, federal legislation has required that all FDIC-insured institutions pay assessments to cover interest payments on FICO’s outstanding obligations. The FICO assessment rate is adjusted quarterly and for the fourth quarter of 2016 was 0.560 basis points (56 cents per $100 dollars of assessable deposits).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Supervisory Assessments</w:t>
      </w:r>
    </w:p>
    <w:p>
      <w:pPr>
        <w:spacing w:after="0" w:line="22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All Illinois banks are required to pay supervisory assessments to the DFPR to fund the operations of that agency. The amount of the assessment is calculated on the basis of the Bank’s total assets. During the year ended December 31, 2016, the Bank paid supervisory assessments to the DFPR totaling $0.3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Banks are generally required to maintain capital levels in excess of other businesses. For a discussion of capital requirements, see “Regulatory Emphasis on Capital”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Liquidity is a measure of the ability and ease with which bank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Liquidity Coverage Ratio (“LCR”),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Net Stable Funding Ratio (“NSFR”),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liquidity guidelines already in place, the federal bank regulatory agencies implemented the Basel III LCR in 2014 and have proposed the NSFR. While the LCR only applies to the largest banking organizations in the country, as will the NSFR, certain elements are expected to filter down to all FDIC-insured institutions. The Bank continues to monitor regulatory developments with consideration for potential applicability to financial institutions below the current regulatory thresholds.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primary source of funds for First Busey is dividends from the Bank. Under the Illinois Banking Act, the Bank generally may not pay dividends in excess of its net profit. Moreover, the payment of dividends by any FDIC-insured institution is affected by the requirement to maintain adequate capital pursuant to applicable capital adequacy guidelines and regulations, and a FDIC-insured institution generally is prohibited from paying any dividends if, following payment thereof, the institution would be undercapitalized. In addition, under the Basel III Rule, institutions that seek the freedom to pay dividends will have to maintain 2.5% in Common Equity Tier 1 Capital attributable to the capital conservation buffer to be phased in over three years beginning in 2016. See “Regulatory Emphasis on Capital” above. Notwithstanding the availability of funds for dividends, the FDIC and the DFPR may prohibit the payment of dividends by the Bank if either or both determine such payment would constitute an unsafe or unsound practice. The Bank exceeded its minimum capital requirements under applicable guidelines as of December 31, 2016. However, as of December 31, 2016, the Bank was in a retained deficit position and no amount was available to be paid as dividends by the Bank.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most recently distributed $30.0 million to the Company on</w:t>
      </w:r>
    </w:p>
    <w:p>
      <w:pPr>
        <w:sectPr>
          <w:pgSz w:w="11900" w:h="16859" w:orient="portrait"/>
          <w:cols w:equalWidth="0" w:num="1">
            <w:col w:w="11420"/>
          </w:cols>
          <w:pgMar w:left="240" w:top="125" w:right="239" w:bottom="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October 21, 2016. The Company expects to seek regulatory approval for additional capital distributions in future periods. Pulaski Bank had positive retained earnings and was able to pay a dividend to First Busey prior to the bank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Transactions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Bank is subject to certain restrictions imposed by federal law on “covered transactions” between the Bank and its “affiliates.” First Busey is an affiliate of the Bank for purposes of these restrictions, and covered transactions subject to the restrictions include extensions of credit to First Busey, investments in the stock or other securities of First Busey and the acceptance of the stock or other securities of First Busey as collateral for loans made by the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limitations and reporting requirements are also placed on extensions of credit by the Bank to its directors and officers, to directors and officers of First Busey and its subsidiaries, to principal stockholders of First Busey and to “related interests” of such directors, officers and principal stockholders. In addition, federal law and regulations may affect the terms upon which any person who is a director or officer of First Busey or the Bank, or a principal stockholder of First Busey, may obtain credit from banks with which the Bank maintains a correspondent relationship.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Soundness Standards/Risk Management</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federal banking agencies have adopted guidelines that establish operational and managerial standards to promote the safety and soundness of FDIC-insured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FDIC-insured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third-party risk and cybersecurity are critical sources of operational risk that FDIC-insured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Branching Authority</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Illinois banks, such as the Bank, have the authority under Illinois law to establish branches anywhere in the State of Illinois, subject to receipt of all required regulatory approvals. Federal law permits state and national banks to merge with banks in other states subject to: (i) regulatory approval; (ii) federal and state deposit concentration limits; and (iii) state law limitations requiring the merging bank to have been in existence for a minimum period of time (not to exceed five years) prior to the merger. The Dodd-Frank Act permits well-capitalized and well-managed banks to establish new interstate branches or acquire individual branches of a bank in another state (rather than the acquisition of an out-of-state bank in its entirety) without impediments.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Account Reserves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Federal Reserve regulations require FDIC-insured institutions to maintain reserves against their transaction accounts (primarily NOW and regular checking accounts). For 2017: the first $15.5 million of otherwise reservable balances are exempt from reserves and have a zero percent reserve requirement; for transaction accounts aggregating more than $15.5 million to $115.1 million, the reserve requirement is 3% of total transaction accounts; and for net transaction accounts in excess of $115.1 million, the reserve requirement is 3% up to $115.1 million plus 10% of the aggregate amount of total transaction accounts in excess of $115.1 million. These reserve requirements are subject to annual adjustment by the Federal Reserve.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Bank is a member of the Federal Home Loan Bank of Chicago (the “FHLB”), which serves as a central credit facility for its members. The FHLB is funded primarily from proceeds from the sale of obligations of the FHLB system. It makes loans to member banks in the form of FHLB advances. All advances from the FHLB are required to be fully collateralized as determined by the FHLB.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Act Requirements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CRA requires the Bank to have a continuing and affirmative obligation in a safe and sound manner to help meet the credit needs of its entire community, including low- and moderate-income neighborhoods. Federal regulators regularly assess the Bank’s record of meeting the credit needs of its communities. Applications for additional acquisitions would be affected by the evaluation of the Bank’s effectiveness in meeting its CRA requirements.</w:t>
      </w:r>
    </w:p>
    <w:p>
      <w:pPr>
        <w:sectPr>
          <w:pgSz w:w="11900" w:h="16838" w:orient="portrait"/>
          <w:cols w:equalWidth="0" w:num="1">
            <w:col w:w="11400"/>
          </w:cols>
          <w:pgMar w:left="240" w:top="125" w:right="259" w:bottom="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Uniting and Strengthening America by Providing Appropriate Tools Required to Intercept and Obstruct Terrorism Act of 2001 (the “Patriot Act”) is designed to deny terrorists and criminals the ability to obtain access to the U.S. financial system and has significant implications for FDIC-insured institutions, brokers, dealers and other businesses involved in the transfer of money. The Patriot Act mandates financial services companies to have policies and procedures with respect to measures designed to address any or all of the following matters: (i) customer identification programs; (ii) money laundering;</w:t>
      </w:r>
    </w:p>
    <w:p>
      <w:pPr>
        <w:spacing w:after="0" w:line="2" w:lineRule="exact"/>
        <w:rPr>
          <w:sz w:val="20"/>
          <w:szCs w:val="20"/>
          <w:color w:val="auto"/>
        </w:rPr>
      </w:pPr>
    </w:p>
    <w:p>
      <w:pPr>
        <w:ind w:firstLine="8"/>
        <w:spacing w:after="0" w:line="261"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financing; (iv) identifying and reporting suspicious activities and currency transactions; (v) currency crimes; and (vi) cooperation between FDIC-insured institutions and law enforcement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in Commercial Real Estate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Concentration risk exists when FDIC-insured institutions deploy too many assets to any one industry or segment. A concentration in commercial real estate is one example of regulatory concern. The interagency Concentrations in Commercial Real Estate Lending, Sound Risk Management Practices guidance (“CRE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The CRE Guidance does not limit banks’ levels of commercial real estate lending activities, but rather guides institutions in developing risk management practices and levels of capital that are commensurate with the level and nature of their commercial real estate concentrations. On December 18, 2015, the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The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Based on the Bank’s loan portfolio as of December 31, 2016, it did not exceed the 100% guideline for construction and land development loans or 300% guideline for commercial real estate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Financial Services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$10.0 billion in assets. FDIC-insured institutions with $10.0 billion or less in assets, like the Bank, continue to be examined by their applicable bank regulators.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abuses in connection with residential mortgages were a significant factor contributing to the global financial crisis, many new rules issued by the CFPB and required by the Dodd-Frank Act address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all FDIC-insured institutions, in an effort to strongly encourage lenders to verify a borrower’s “ability to repay,” while also establishing a presumption of compliance for certain “qualified mortgages.” In addition, the Dodd-Frank Act generally required lenders or securitizers to retain an economic interest in the credit risk relating to loans that the lender sells, and other asset-backed securities that the securitizer issues, if the loans have not complied with the ability-to-repay standards. First Busey does not currently expect the CFPB’s rules to have a significant impact on the Bank’s operations, except for ongoing costs of compliance.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Wealth Management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Busey Wealth Management is an Illinois corporation that operates under a certificate of authority to exercise trust powers issued by the DFPR. As such, Busey Wealth Management is subject to the examination, supervision, reporting and enforcement requirements established for trust companies by the DFPR. Additionally, because Busey Wealth Management is a wholly-owned subsidiary of First Busey, the Federal Reserve, as the primary federal regulator of First Busey, has the authority to conduct such examinations of Busey Wealth Management as the Federal Reserve deems necessary. Busey Wealth Management is required to maintain capital at the level determined by the DFPR to be necessary for the safe and sound operation of Busey Wealth Management. Like Busey Bank, Busey Wealth Management is required to pay supervisory assessments to the DFPR, which, for the year ended December 31, 2016, was $0.1 million.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the business experience for at least the past five years of our executive officers.</w:t>
      </w:r>
    </w:p>
    <w:p>
      <w:pPr>
        <w:spacing w:after="0" w:line="221"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Van A. Dukeman. </w:t>
      </w:r>
      <w:r>
        <w:rPr>
          <w:rFonts w:ascii="Arial" w:cs="Arial" w:eastAsia="Arial" w:hAnsi="Arial"/>
          <w:sz w:val="16"/>
          <w:szCs w:val="16"/>
          <w:color w:val="auto"/>
        </w:rPr>
        <w:t>Mr. Dukeman, age 58, has served as a Director, Chief Executive Officer and President of First Busey since August 2007.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28, 2009 through March 31, 2010, Mr. Dukeman also served as the Chief Executive Officer and President of the Bank. Prior to August 2007, Mr. Dukeman served as a Director, Chief Executive Officer and President of Main Street Trust, Inc. (“Main Street Trust”) until its merger with First Busey.</w:t>
      </w:r>
    </w:p>
    <w:p>
      <w:pPr>
        <w:spacing w:after="0" w:line="142"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Curt A. Anderson. </w:t>
      </w:r>
      <w:r>
        <w:rPr>
          <w:rFonts w:ascii="Arial" w:cs="Arial" w:eastAsia="Arial" w:hAnsi="Arial"/>
          <w:sz w:val="17"/>
          <w:szCs w:val="17"/>
          <w:color w:val="auto"/>
        </w:rPr>
        <w:t>Mr. Anderson, age 61, was appointed President and Chief Executive Officer of Busey Wealth Management in February 2016.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that appointment, he had served as Executive Vice President and Senior Managing Director at Busey Wealth Management since 2007.</w:t>
      </w:r>
    </w:p>
    <w:p>
      <w:pPr>
        <w:spacing w:after="0" w:line="13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Robin N. Elliott. </w:t>
      </w:r>
      <w:r>
        <w:rPr>
          <w:rFonts w:ascii="Arial" w:cs="Arial" w:eastAsia="Arial" w:hAnsi="Arial"/>
          <w:sz w:val="16"/>
          <w:szCs w:val="16"/>
          <w:color w:val="auto"/>
        </w:rPr>
        <w:t>Mr. Elliott, age 40, was appointed Chief Operating Officer in February 2016. He will continue to serve as Chief Financial Officer of First</w:t>
      </w:r>
      <w:r>
        <w:rPr>
          <w:rFonts w:ascii="Arial" w:cs="Arial" w:eastAsia="Arial" w:hAnsi="Arial"/>
          <w:sz w:val="16"/>
          <w:szCs w:val="16"/>
          <w:b w:val="1"/>
          <w:bCs w:val="1"/>
          <w:color w:val="auto"/>
        </w:rPr>
        <w:t xml:space="preserve"> </w:t>
      </w:r>
      <w:r>
        <w:rPr>
          <w:rFonts w:ascii="Arial" w:cs="Arial" w:eastAsia="Arial" w:hAnsi="Arial"/>
          <w:sz w:val="16"/>
          <w:szCs w:val="16"/>
          <w:color w:val="auto"/>
        </w:rPr>
        <w:t>Busey, which was effective on January 1, 2014, as the Company conducts a search to fill the Chief Financial Officer role. Mr. Elliott had previously served as</w:t>
      </w:r>
    </w:p>
    <w:p>
      <w:pPr>
        <w:sectPr>
          <w:pgSz w:w="11900" w:h="16838" w:orient="portrait"/>
          <w:cols w:equalWidth="0" w:num="1">
            <w:col w:w="11400"/>
          </w:cols>
          <w:pgMar w:left="240" w:top="517" w:right="259" w:bottom="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Director of the Business Banking Group of the Bank since November 2011. Prior to that appointment, he had served as Director of Finance &amp; Treasury since joining the organization in 2006.</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Barbara J. Harrington. </w:t>
      </w:r>
      <w:r>
        <w:rPr>
          <w:rFonts w:ascii="Arial" w:cs="Arial" w:eastAsia="Arial" w:hAnsi="Arial"/>
          <w:sz w:val="18"/>
          <w:szCs w:val="18"/>
          <w:color w:val="auto"/>
        </w:rPr>
        <w:t>Mrs. Harrington, age 57, has served as Chief Risk Officer of First Busey since March 2010, prior to which she had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First Busey since March 1999. She also served as Controller and Senior Vice President of the Bank from December 1994 to March 1999, and has served in various financial and accounting positions since joining the organization in 1991.</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Howard F. Mooney II. </w:t>
      </w:r>
      <w:r>
        <w:rPr>
          <w:rFonts w:ascii="Arial" w:cs="Arial" w:eastAsia="Arial" w:hAnsi="Arial"/>
          <w:sz w:val="18"/>
          <w:szCs w:val="18"/>
          <w:color w:val="auto"/>
        </w:rPr>
        <w:t>Mr. Mooney, age 52, has served as President and Chief Executive Officer of FirsTech Inc., our payment processing subsidiary,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2000. In addition, Mr. Mooney has served as Chief Information Officer of First Busey since January 1, 2014. Prior to our August 2007 merger, FirsTech was a subsidiary of Main Street Trust.</w:t>
      </w:r>
    </w:p>
    <w:p>
      <w:pPr>
        <w:spacing w:after="0" w:line="17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color w:val="auto"/>
        </w:rPr>
        <w:t xml:space="preserve">Robert F. Plecki, Jr. </w:t>
      </w:r>
      <w:r>
        <w:rPr>
          <w:rFonts w:ascii="Arial" w:cs="Arial" w:eastAsia="Arial" w:hAnsi="Arial"/>
          <w:sz w:val="16"/>
          <w:szCs w:val="16"/>
          <w:color w:val="auto"/>
        </w:rPr>
        <w:t>Mr. Plecki, age 56, has served as Chief Credit Officer of First Busey since March 2010. Mr. Plecki previously served as President &amp;</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Busey Wealth Management from October 2013 until February 2016 and Chief Operating Officer of First Busey from</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October 2012 until February 2016. Prior to March 2010, he had served as Executive Vice President of our southwest Florida market since early 2009. Prior to that he served as Executive Vice President of our Champaign-Urbana market following First Busey’s merger with Main Street Trust in 2007, and, prior to the merger, had served as President of Main Street Bank &amp; Trust Retail Banking since 2004.</w:t>
      </w:r>
    </w:p>
    <w:p>
      <w:pPr>
        <w:spacing w:after="0" w:line="18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John J. Powers. </w:t>
      </w:r>
      <w:r>
        <w:rPr>
          <w:rFonts w:ascii="Arial" w:cs="Arial" w:eastAsia="Arial" w:hAnsi="Arial"/>
          <w:sz w:val="18"/>
          <w:szCs w:val="18"/>
          <w:color w:val="auto"/>
        </w:rPr>
        <w:t>Mr. Powers, age 61, has served as General Counsel of First Busey since December 2011. Prior to that, he was a shareholder of Meyer</w:t>
      </w:r>
      <w:r>
        <w:rPr>
          <w:rFonts w:ascii="Arial" w:cs="Arial" w:eastAsia="Arial" w:hAnsi="Arial"/>
          <w:sz w:val="18"/>
          <w:szCs w:val="18"/>
          <w:b w:val="1"/>
          <w:bCs w:val="1"/>
          <w:color w:val="auto"/>
        </w:rPr>
        <w:t xml:space="preserve"> </w:t>
      </w:r>
      <w:r>
        <w:rPr>
          <w:rFonts w:ascii="Arial" w:cs="Arial" w:eastAsia="Arial" w:hAnsi="Arial"/>
          <w:sz w:val="18"/>
          <w:szCs w:val="18"/>
          <w:color w:val="auto"/>
        </w:rPr>
        <w:t>Capel, P.C., a law firm based in Champaign, Illinois, since 1998.</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Amy L. Randolph. </w:t>
      </w:r>
      <w:r>
        <w:rPr>
          <w:rFonts w:ascii="Arial" w:cs="Arial" w:eastAsia="Arial" w:hAnsi="Arial"/>
          <w:sz w:val="18"/>
          <w:szCs w:val="18"/>
          <w:color w:val="auto"/>
        </w:rPr>
        <w:t>Mrs. Randolph, age 42, was appointed Executive Vice President and Chief Brand Officer in March 2014. Prior to that appointment,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Senior Vice President of Growth Strategies since 2008.</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Christopher M. Shroyer. </w:t>
      </w:r>
      <w:r>
        <w:rPr>
          <w:rFonts w:ascii="Arial" w:cs="Arial" w:eastAsia="Arial" w:hAnsi="Arial"/>
          <w:sz w:val="18"/>
          <w:szCs w:val="18"/>
          <w:color w:val="auto"/>
        </w:rPr>
        <w:t>Mr. Shroyer, age 51, has served as President and Chief Executive Officer of the Bank since March 2010, prior to which he had</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Executive Vice President of our East Region since early 2009. Prior to 2009, he served as Executive Vice President of our Decatur market following First Busey’s merger with Main Street Trust in 2007, and, prior to the merger, had served as Executive Vice President of Main Street Bank &amp; Trust Commercial Banking since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First Busey and its subsidiaries had a total of 1,295 employees (full-time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Reporting and Other Information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First Busey’s website address is www.busey.com. We make available on this website our Annual Report on Form 10-K, quarterly reports on Form 10-Q, current reports on Form 8-K, and amendments thereto, as soon as reasonably practicable after such reports are filed or furnished with the SEC, and in any event, on the same day as such filing with the SEC. Reference to this website does not constitute incorporation by reference of the information contained on the website and should not be considered part of this document.</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First Busey has adopted a code of ethics applicable to our employees, officers, and directors. The text of this code of ethics may be found under “Investor Relations” on our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Annual Report on Form 10-K contains certain financial information determined by methods other than in accordance with U.S. Generally Accepted Accounting Principles (“GAAP”). These measures include acquisition and other notable pre-tax items, operating earnings, tangible common equity, tangible common equity to tangible assets and efficiency ratios. Management uses these non-GAAP measures, together with the related GAAP measures, in analysis of the Company’s performance and in making business decisions. Management also uses these measures for peer comparisons.</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Management believes that notable pre-tax items and operating earnings are useful in assessing our core operating performance and in understanding the primary drivers of our non-interest income and non-interest expense when comparing periods. Management believes that operating earnings adjusted for acquisition related expenses are a useful measure because it excludes expenses that can significantly fluctuate from acquisition to acquisition. In addition, management believes that excluding these expenses provides investors and analysts a measure to better understand the Company’s primary operations when comparing the periods presented.</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Management believes that tangible common equity, tangible common equity to tangible assets and efficiency ratios are standard financial measures used in the banking industry to evaluate performance.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non-GAAP disclosures contained herein should not be viewed as substitutes for the results determined to be in accordance with GAAP, nor are they necessarily comparable to non-GAAP performance measures that may be presented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Note Regarding Forward-Looking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statements contained in or incorporated by reference into this Annual Report on Form 10-K that are not historical facts may constitute forward-looking statements within the meaning of Section 27A of the Securities Act of 1933, as amended (the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w:t>
      </w:r>
    </w:p>
    <w:p>
      <w:pPr>
        <w:sectPr>
          <w:pgSz w:w="11900" w:h="16838" w:orient="portrait"/>
          <w:cols w:equalWidth="0" w:num="1">
            <w:col w:w="11400"/>
          </w:cols>
          <w:pgMar w:left="240" w:top="125" w:right="259" w:bottom="0" w:gutter="0" w:footer="0" w:header="0"/>
        </w:sectPr>
      </w:pPr>
    </w:p>
    <w:bookmarkStart w:id="12" w:name="page13"/>
    <w:bookmarkEnd w:id="12"/>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relating to the anticipated effects on results of operations and financial condition from expected developments or events, our business and growth strategies and any other statements that are not historical facts.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forward-looking statements are subject to significant risks, assumptions and uncertainties, and could be affected by many factors. Factors that could have a material adverse effect on our financial condition, results of operations and future prospects can be found under Item 1A “Risk Factors” in this Annual Report on Form 10-K and elsewhere in our periodic and current reports filed with the SEC. These factors include, but are not limited to, the following:</w:t>
      </w:r>
    </w:p>
    <w:p>
      <w:pPr>
        <w:spacing w:after="0" w:line="147" w:lineRule="exact"/>
        <w:rPr>
          <w:sz w:val="20"/>
          <w:szCs w:val="20"/>
          <w:color w:val="auto"/>
        </w:rPr>
      </w:pPr>
    </w:p>
    <w:p>
      <w:pPr>
        <w:ind w:left="500" w:hanging="10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local, national and international economy;</w:t>
      </w:r>
    </w:p>
    <w:p>
      <w:pPr>
        <w:spacing w:after="0" w:line="23" w:lineRule="exact"/>
        <w:rPr>
          <w:rFonts w:ascii="Arial" w:cs="Arial" w:eastAsia="Arial" w:hAnsi="Arial"/>
          <w:sz w:val="18"/>
          <w:szCs w:val="18"/>
          <w:color w:val="auto"/>
        </w:rPr>
      </w:pPr>
    </w:p>
    <w:p>
      <w:pPr>
        <w:ind w:left="620" w:right="60" w:hanging="223"/>
        <w:spacing w:after="0" w:line="250" w:lineRule="auto"/>
        <w:tabs>
          <w:tab w:leader="none" w:pos="4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state and federal laws, regulations and governmental policies concerning First Busey’s general business (including the impact of the Dodd-Frank Act and the extensive regulations to be promulgated thereunder, as well as the Basel III Rule);</w:t>
      </w: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assets;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executives or employees;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9" w:lineRule="exact"/>
        <w:rPr>
          <w:rFonts w:ascii="Arial" w:cs="Arial" w:eastAsia="Arial" w:hAnsi="Arial"/>
          <w:sz w:val="18"/>
          <w:szCs w:val="18"/>
          <w:color w:val="auto"/>
        </w:rPr>
      </w:pPr>
    </w:p>
    <w:p>
      <w:pPr>
        <w:ind w:left="620" w:right="20" w:hanging="223"/>
        <w:spacing w:after="0" w:line="250" w:lineRule="auto"/>
        <w:tabs>
          <w:tab w:leader="none" w:pos="4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results of acquisitions (including the acquisition of Pulaski and planned acquisition of First Community), which may include failure to realize the anticipated benefits of the acquisition, possibility that the transaction costs may be greater than anticipated and possible termination of the Merger Agreement with First Community causing the acquisition to not be completed;</w:t>
      </w:r>
    </w:p>
    <w:p>
      <w:pPr>
        <w:spacing w:after="0" w:line="1"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economic impact of exceptional weather occurrences such as tornadoes, hurricanes, floods, and blizzards;</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policies and practices; and</w:t>
      </w:r>
    </w:p>
    <w:p>
      <w:pPr>
        <w:spacing w:after="0" w:line="9" w:lineRule="exact"/>
        <w:rPr>
          <w:rFonts w:ascii="Arial" w:cs="Arial" w:eastAsia="Arial" w:hAnsi="Arial"/>
          <w:sz w:val="18"/>
          <w:szCs w:val="18"/>
          <w:color w:val="auto"/>
        </w:rPr>
      </w:pPr>
    </w:p>
    <w:p>
      <w:pPr>
        <w:ind w:left="480" w:hanging="8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and risks described under “Risk Factors” herein.</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Because of those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Market Risks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general financial performance is highly dependent upon the business environment in the markets where it operates and in particular, the ability of borrowers to pay interest on and repay principal of outstanding loans and the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8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While economic conditions have improved considerably since the 2008-2009 recession, there can be no assurance that this improvement will continue. Uncertainty regarding continuing economic improvement may result in changes in consumer and business spending, borrowing, and savings habits. Such conditions could adversely affect the credit quality of the Company’s loans, our financial condition and results of operations.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financial performance is also affected by the condition of the markets in which it conducts business. The Company currently conducts its banking operations primarily in downstate Illinois, the St. Louis, Missouri metropolitan area, and southwest Florida. The financial condition of the State of Illinois, in which the largest portion of the Company’s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customer base resides, is among the most troubled of any state in the United States with credit downgrade concerns, pension under-funding, a current budget impasse, budget deficits and political standoffs. In addition, the Company operates in markets with significant university and healthcare presence, which rely heavily on state and federal funding and contracts. Payment delays by the State of Illinois to its vendors and government-sponsored entities as well as potential federal changes to healthcare laws could affect the Company’s primary market areas, which could in turn adversely affect its financial condition and results of operations. Downturns in markets where banking operations occur could result in a decrease in demand for the Company’s products and services, an increase in loan delinquencies and defaults, high or increased levels of problem assets and foreclosures and reduced wealth management fees resulting from lower asset values. The Company originates mortgage loans at a national level through a network of referral sources, so downturns in certain housing markets could also have an adverse effect on the Company’s mortgage operation.</w:t>
      </w:r>
    </w:p>
    <w:p>
      <w:pPr>
        <w:sectPr>
          <w:pgSz w:w="11900" w:h="16933" w:orient="portrait"/>
          <w:cols w:equalWidth="0" w:num="1">
            <w:col w:w="11360"/>
          </w:cols>
          <w:pgMar w:left="240" w:top="125" w:right="29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Market volatility and changes in interest rates could have an adverse effect on the Company.</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certain recent periods, the capital and credit markets experienced heightened volatility and disruption. In some cases, the markets produced downward pressure on stock prices and credit availability for certain issuers without regard to those issuers’ underlying financial condition or performance. Conversely, significant increases in the stock markets, as experienced at the end of 2016, can also have destabilizing effects. If the capital and credit markets experience these heightened levels of disruption and volatility again, both the Company and its customers’ ability to maintain or access capital could be adversely affected which could have an impact on the Company’s business, financial condition and results of operations.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Federal Open Market Committee.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In addition, a rise in interest rates could result in decreased demand for first mortgages as well as mortgage refinancing, activities which have historically contributed to a significant portion of the Company’s mortgage revenue. Furthermore,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prolonged change in market interest rates could have a material adverse effect on the Company’s business, financial condition, and results of operation. Interest rates paid on deposit products declined significantly in recent years and while interest rates increased slightly during 2015 and 2016, future increases, if they occur, could create uncertainty in financial markets. Such uncertainty or market fluctuations could negatively affect customer’s financial stability and ultimately, their ability to repay loan commitments.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wealth management business may also be negatively impacted by changes in general economic conditions and the conditions in the financial and securities markets, which could affect the values of assets held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Company could recognize losses on securities held in its securities portfolio, particularly if interest rates increase or economic and market conditions deteriorate.</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Factors beyond the Company’s control may significantly influence the fair value of securities in its portfolio and may cause potential adverse changes to the fair value of these securities. For example, fixed-rate securities acquired by the Company are generally subject to decreases in market value when interest rates rise. A change in the fair value of securities could cause an other-than-temporary impairment (“OTTI”) in future periods and result in realized losses.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process for determining whether impairment is an OTTI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Downgrades in the credit ratings of one or more insurers that provide credit enhancements for the Company’s state and municipal securities portfolio may have an adverse impact on the market for and valuation of these types of securities.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invests in tax-exempt state and local municipal securities, some of which are insured by monoline insurers. In recent years, several of these insurers have come under scrutiny by rating agencies. Even though management generally purchases municipal securities on the overall credit strength of the issuer, the reduction in the credit rating of an insurer may negatively impact the market for and valuation of the Company’s investment securities. A downgrade or a default by an issuer could adversely affect the Company’s liquidity,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financial services industry, as well as the broader economy, may be subject to new legislation, regulation, and government policy.</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this time, it is difficult to predict the legislative and regulatory changes that will result from the combination of a new President of the United States and the first year since 2010 in which both Houses of Congress and the White House have majority memberships from the same political party. Recently, however, both the new President and senior members of the House of Representatives have advocated for significant reduction of financial services regulation, to include amendments to the Dodd-Frank Act and structural changes to the CFPB. The new Administration and Congress also may cause broader economic changes due to changes in governing ideology and governing style. New appointments to the Board of Governors of the Federal Reserve could affect monetary policy and interest rates, and changes in fiscal policy could affect broader patterns of trade and economic growth. Future legislation, regulation, and government policy could affect the banking industry as a whole, including our business and results of operations, in ways that are difficult to predict. In addition, our results of operations also could be adversely affected by changes in the way in which existing statutes and regulations are interpreted or applied by courts and government agencies.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Recent legislative and regulatory reforms applicable to the financial services industry, as well as heightened focus on particular regulations, may have a significant impact on the Company’s business, financial condition and results of operations.</w:t>
      </w:r>
    </w:p>
    <w:p>
      <w:pPr>
        <w:sectPr>
          <w:pgSz w:w="11900" w:h="16838" w:orient="portrait"/>
          <w:cols w:equalWidth="0" w:num="1">
            <w:col w:w="11420"/>
          </w:cols>
          <w:pgMar w:left="240" w:top="341" w:right="239" w:bottom="45" w:gutter="0" w:footer="0" w:header="0"/>
        </w:sectPr>
      </w:pPr>
    </w:p>
    <w:bookmarkStart w:id="14" w:name="page15"/>
    <w:bookmarkEnd w:id="14"/>
    <w:p>
      <w:pPr>
        <w:ind w:right="40"/>
        <w:spacing w:after="0" w:line="271" w:lineRule="auto"/>
        <w:rPr>
          <w:sz w:val="20"/>
          <w:szCs w:val="20"/>
          <w:color w:val="auto"/>
        </w:rPr>
      </w:pPr>
      <w:r>
        <w:rPr>
          <w:rFonts w:ascii="Arial" w:cs="Arial" w:eastAsia="Arial" w:hAnsi="Arial"/>
          <w:sz w:val="17"/>
          <w:szCs w:val="17"/>
          <w:color w:val="auto"/>
        </w:rPr>
        <w:t>The laws, regulations, rules, policies and regulatory interpretations governing the Company continue to evolve and may change significantly over time as Congress and various regulatory agencies react to adverse economic conditions or other matters. The global financial crisis of 2008-2009 served as a catalyst for a number of significant changes in the financial services industry, including the Dodd-Frank Act, which reformed the regulation of financial institutions in a comprehensive manner, and the Basel III regulatory capital reforms, which increase both the amount and quality of capital that financial institutions must hold. The implementation of these provisions, as well as any other aspects of current or proposed regulatory or legislative changes to laws applicable to the financial industry, may impact the profitability of the Company’s business activities and may change certain business practices, including the ability to offer new products, obtain financing, attract deposits, make loans, and achieve satisfactory interest spreads, and could expose the Company to additional expense, including increased compliance costs.</w:t>
      </w:r>
    </w:p>
    <w:p>
      <w:pPr>
        <w:spacing w:after="0" w:line="1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These rule and regulatory changes may also require the Company to invest significant management attention and resources so as to make necessary changes to operations in order to comply. Legislative and regulatory changes may limit our ability to promote our objectives through compensation and incentive programs and could materially and adversely affect our business, financial condition and results of operations. The Company’s management has reviewed the provisions of the Dodd-Frank Act, the Basel III Rule, and other regulatory mandated changes, many of which have become effective or are to be phased-in over the next several years, and assessed the probable impact on operations. However, the long-term cumulative effect of these changes on the financial services industry, in general, and the Company in particular, is uncertain at this time.</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to the expense and uncertainty related to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and other consumer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compliance matters, and compliance with Bank Secrecy Act, anti-money laundering laws, and the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required to repurchase mortgage loans as a result of breaches in contractual representations and warranties.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When the Company sells mortgage loans that it has originated to various parties, it is required to make customary representations and warranties to the purchaser about the mortgage loans and the manner in which they were originated. The Company may be required to repurchase mortgage loans in the event of a breach of a contractual representation or warranty that is not remedied within a certain period. Contracts for residential mortgage loan sales include various types of specific remedies and penalties that could be applied to inadequate responses to repurchase requests. If economic conditions and the housing market deteriorate, the Company could have increased repurchase obligations and increased losses on repurchases, requiring material increases to its repurchase reserve.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Lending Risks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and delinquencies and/or a need for increases in the provision for loan losses.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establishes an allowance for loan losses and maintains it at a level considered adequate by management to absorb probable loan losses based on a continual analysis of the Company’s portfolio and market environment. The allowance for loan losses represents the Company’s estimate of probable losses in the portfolio at each balance sheet date and is based upon other relevant information available. The allowance contains provisions for probable losses that have been identified relating to specific borrowing relationships, as well as probable losses inherent in the loan portfolio and credit undertakings that are not specifically identified. Changes to the allowance for loan losses, which are charged to earnings through the provision for loan losses, are determined based on a variety of factors, including an analysis of the loan portfolio, historical loss experience and an evaluation of current economic conditions in the relevant market areas. The actual amount of loan losses is affected by changes in economic, operating and other market conditions, which may be beyond the Company’s control, and such losses may exceed current estimates.</w:t>
      </w:r>
    </w:p>
    <w:p>
      <w:pPr>
        <w:spacing w:after="0" w:line="1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Although management believes the allowance for loan losses is adequate to absorb losses on existing loans that may become uncollectible, management cannot guarantee that additional provisions for loan losses will not be required in the future. Additional provision could be recorded, either as a result of management’s decision or as a requirement by regulators, to further supplement the allowance for loan losses, particularly if economic conditions unfold in a manner which differs significantly from what management currently expects. Additional provisions to the allowance for loan losses and loan losses in excess of the Company’s allowance for loan losses may adversely affect its business, financial condition and results of operations.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and its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w:t>
      </w:r>
    </w:p>
    <w:p>
      <w:pPr>
        <w:sectPr>
          <w:pgSz w:w="11900" w:h="16838" w:orient="portrait"/>
          <w:cols w:equalWidth="0" w:num="1">
            <w:col w:w="11420"/>
          </w:cols>
          <w:pgMar w:left="240" w:top="125" w:right="239" w:bottom="0" w:gutter="0" w:footer="0" w:header="0"/>
        </w:sectPr>
      </w:pPr>
    </w:p>
    <w:bookmarkStart w:id="15" w:name="page16"/>
    <w:bookmarkEnd w:id="15"/>
    <w:p>
      <w:pPr>
        <w:spacing w:after="0" w:line="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result in a loss. These non-performing loans and other real estate owned also increase its risk profile and the capital its regulators believe is appropriate in light of such risks. The resolution of non-performing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requires significant time commitments from management, which can be detrimental to the performance of their other responsibilities. The Company cannot guarantee that it will not experience increases in non-performing loans in the future, and its non-performing assets may result in further losses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and market risk could increase the potential for significant losses.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may have higher credit risk, or experience higher credit losses, to the extent its loans are concentrated by loan type, industry segment, borrower type, or location of the borrower or collateral. A significant portion of the Company’s loan portfolio is made up of mortgage, commercial and industrial loans, and secured by real estate. Thus, deterioration in economic conditions or real estate values could result in higher credit costs and losses to the Company.</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commercial loans are primarily made based on the identified cash flow of the borrower and secondarily on the underlying collateral provided by the borrower. Most often, this collateral is accounts receivable, inventory, machinery or real estate.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the Company’s financial condition and results of operations.</w:t>
      </w:r>
    </w:p>
    <w:p>
      <w:pPr>
        <w:spacing w:after="0" w:line="1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 significant portion of the Company’s loans are collateralized by real estate. The market value of real estate can fluctuate significantly in a short period of time as a result of market conditions in the area in which the real estate is located. Adverse changes affecting real estate values and the liquidity of real estate in one or more markets could increase the credit risk associated with the Company’s loan portfolio, and could result in losses which would adversely affect profitability. Mortgage loans in the Company’ portfolio with high loan-to-value ratios are more sensitive to declining property values and may experience a higher incident of default and severity of losses. Adverse changes in the economy affecting real estate values and liquidity generally, and in markets in which the Company has banking operations,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associated with concentration of securities in the Company’s investment portfolio may increase the potential for loss.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the respect of the underlying securities could create results such as rating agency downgrades of the securities and default by issuers or individual mortgagors. Any of the foregoing factors could cause an OTTI in future periods and result in realized losses, which could adversely affect the Company’s financial condition and results of operations.</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4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exposure to home equity lines of credit may increase the potential for loss.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Company’s mortgage loan portfolio consists, in part, of home equity lines of credit. A large portion of home equity lines of credit are originated in conjunction with the origination of first mortgage loans eligible for sale in the secondary market, which the Company typically does not service if the loan is sold. By not servicing the first mortgage loans, the Company is unable to track the delinquency status which may indicate whether such loans are at risk of foreclosure by others. In addition, home equity lines of credit are initially offered as “revolving” lines of credit whereby the borrowers are only required to make scheduled interest payments during the initial terms of the loans, which is generally five years. Thereafter, the borrowers no longer have the ability to make principal draws from the lines and the loans convert to a fully-amortizing basis, requiring scheduled principal and interest payments sufficient to repay the loans within a certain period of time, which is generally 10 years. The conversion of a home equity line of credit to a fully amortizing basis presents an increased level of default risk to us since the borrower no longer has the ability to make principal draws on the line, and the amount of the required monthly payment could substantially increase to provide for scheduled repayment of principal and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Liquidity Risks</w:t>
      </w:r>
    </w:p>
    <w:p>
      <w:pPr>
        <w:sectPr>
          <w:pgSz w:w="11900" w:h="16870" w:orient="portrait"/>
          <w:cols w:equalWidth="0" w:num="1">
            <w:col w:w="11420"/>
          </w:cols>
          <w:pgMar w:left="240" w:top="125" w:right="239" w:bottom="0" w:gutter="0" w:footer="0" w:header="0"/>
        </w:sectPr>
      </w:pPr>
    </w:p>
    <w:bookmarkStart w:id="16" w:name="page17"/>
    <w:bookmarkEnd w:id="16"/>
    <w:p>
      <w:pPr>
        <w:spacing w:after="0" w:line="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First Busey, the Bank and Busey Wealth Management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 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or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risks could affect operations and jeopardize the Company’s business, financial condition and results of operations.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the Company’s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lead to market-wide liquidity problems, loss of depositor, creditor, and counterparty confidence which could lead to losses or defaults by the Company or by other institutions. Furthermore, regional and community banks generally have less access to the capital markets than do the national and super-regional banks because of their smaller size, limited analyst coverage, and lack of credit rating resulting from significant expense required to obtain it.</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negatively affect the Company.</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increases in deposits and assets as a result of the difficulties or failures of other banks and government-sponsored financial institutions, which would increase the funding needed to support its growth.</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a prolonged period of illiquidity in the secondary mortgage market, and an increase in interest rates, could reduce the demand for residential mortgage loans and increase investor yield requirements for those loans. As a result, the Company may be at higher risk of retaining a larger portion of mortgage loans than in other environments until they are sold to investors. The Company’s ability to retain fixed-rate residential mortgage loans is limited and could result in a reduction of loan production volumes, which could have a material adverse effect on our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Strategic Risks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currently conducts its banking operations primarily in downstate Illinois, St. Louis, Missouri metropolitan area, and southwest Florida. Mortgage loan services offered through Busey Home Mortgage are primarily in the St. Louis, Kansas City, Omaha-Council Bluffs metropolitan areas and across the Midwest; although this service originates mortgages nationally. In addition, the Company currently offers fiduciary and wealth management services through Trevett and Busey Wealth Management, which account for an important portion of its noninterest income. Many competitors offer the same, or a wider variety of, banking and wealth management services within the Company’s market areas. These competitors include national banks, regional banks and other community banks. The Company also faces competition from many other types of financial institutions, including savings and loan institutions, finance companies, brokerage firms, insurance companies, credit unions, mortgage banks and online lenders,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or financial technology companies, to offer products and services traditionally provided by banks. For example, customers can maintain funds that would have historically been held as bank deposits in brokerage accounts or mutual funds. Customers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w:t>
      </w:r>
    </w:p>
    <w:p>
      <w:pPr>
        <w:sectPr>
          <w:pgSz w:w="11900" w:h="16860" w:orient="portrait"/>
          <w:cols w:equalWidth="0" w:num="1">
            <w:col w:w="11420"/>
          </w:cols>
          <w:pgMar w:left="240" w:top="341" w:right="239" w:bottom="0" w:gutter="0" w:footer="0" w:header="0"/>
        </w:sectPr>
      </w:pPr>
    </w:p>
    <w:bookmarkStart w:id="17" w:name="page18"/>
    <w:bookmarkEnd w:id="17"/>
    <w:p>
      <w:pPr>
        <w:ind w:right="220"/>
        <w:spacing w:after="0" w:line="308" w:lineRule="auto"/>
        <w:rPr>
          <w:sz w:val="20"/>
          <w:szCs w:val="20"/>
          <w:color w:val="auto"/>
        </w:rPr>
      </w:pPr>
      <w:r>
        <w:rPr>
          <w:rFonts w:ascii="Arial" w:cs="Arial" w:eastAsia="Arial" w:hAnsi="Arial"/>
          <w:sz w:val="17"/>
          <w:szCs w:val="17"/>
          <w:color w:val="auto"/>
        </w:rPr>
        <w:t>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pursuing acquisitions exposes us to financial, execution and operational risks that could negatively affect us.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To help us fulfill our strategic objectives and enhance our earnings, part of our strategy is to supplement organic growth by acquiring other financial institutions in our market areas and in nearby markets. As our capital position and asset quality allow, we may again supplement organic growth through acquisitions, as planned with First Community in 2017 and as we did with the 2015 acquisition of Herget Financial and the 2016 acquisition of Pulaski. There are risks associated with an acquisition strategy, including the following:</w:t>
      </w:r>
    </w:p>
    <w:p>
      <w:pPr>
        <w:spacing w:after="0" w:line="187" w:lineRule="exact"/>
        <w:rPr>
          <w:sz w:val="20"/>
          <w:szCs w:val="20"/>
          <w:color w:val="auto"/>
        </w:rPr>
      </w:pPr>
    </w:p>
    <w:p>
      <w:pPr>
        <w:ind w:left="500" w:right="100" w:hanging="168"/>
        <w:spacing w:after="0" w:line="277" w:lineRule="auto"/>
        <w:tabs>
          <w:tab w:leader="none" w:pos="4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70" w:lineRule="exact"/>
        <w:rPr>
          <w:rFonts w:ascii="Arial" w:cs="Arial" w:eastAsia="Arial" w:hAnsi="Arial"/>
          <w:sz w:val="18"/>
          <w:szCs w:val="18"/>
          <w:color w:val="auto"/>
        </w:rPr>
      </w:pPr>
    </w:p>
    <w:p>
      <w:pPr>
        <w:ind w:left="500" w:right="120" w:hanging="168"/>
        <w:spacing w:after="0" w:line="264" w:lineRule="auto"/>
        <w:tabs>
          <w:tab w:leader="none" w:pos="4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at which acquisitions can be made fluctuate with market conditions. We have experienced times during which acquisitions could not be made in specific markets at prices our management considered acceptable and expect that we will experience this condition in the future in one or more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60" w:hanging="168"/>
        <w:spacing w:after="0" w:line="297" w:lineRule="auto"/>
        <w:tabs>
          <w:tab w:leader="none" w:pos="4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acquisition of other entities generally requires integration of systems, procedures and 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We may also experience greater than anticipated customer losses even if the integration process is successful.</w:t>
      </w:r>
    </w:p>
    <w:p>
      <w:pPr>
        <w:spacing w:after="0" w:line="158" w:lineRule="exact"/>
        <w:rPr>
          <w:rFonts w:ascii="Arial" w:cs="Arial" w:eastAsia="Arial" w:hAnsi="Arial"/>
          <w:sz w:val="16"/>
          <w:szCs w:val="16"/>
          <w:color w:val="auto"/>
        </w:rPr>
      </w:pPr>
    </w:p>
    <w:p>
      <w:pPr>
        <w:ind w:left="460" w:hanging="12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due diligence expenses which may not result in acquisitions.</w:t>
      </w:r>
    </w:p>
    <w:p>
      <w:pPr>
        <w:spacing w:after="0" w:line="225" w:lineRule="exact"/>
        <w:rPr>
          <w:rFonts w:ascii="Arial" w:cs="Arial" w:eastAsia="Arial" w:hAnsi="Arial"/>
          <w:sz w:val="18"/>
          <w:szCs w:val="18"/>
          <w:color w:val="auto"/>
        </w:rPr>
      </w:pPr>
    </w:p>
    <w:p>
      <w:pPr>
        <w:ind w:left="500" w:right="40" w:hanging="168"/>
        <w:spacing w:after="0" w:line="277" w:lineRule="auto"/>
        <w:tabs>
          <w:tab w:leader="none" w:pos="4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70" w:lineRule="exact"/>
        <w:rPr>
          <w:rFonts w:ascii="Arial" w:cs="Arial" w:eastAsia="Arial" w:hAnsi="Arial"/>
          <w:sz w:val="18"/>
          <w:szCs w:val="18"/>
          <w:color w:val="auto"/>
        </w:rPr>
      </w:pPr>
    </w:p>
    <w:p>
      <w:pPr>
        <w:ind w:left="500" w:hanging="168"/>
        <w:spacing w:after="0" w:line="277" w:lineRule="auto"/>
        <w:tabs>
          <w:tab w:leader="none" w:pos="4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period in which anticipated benefits of a merger are fully realized may take longer than anticipated, or we may be unsuccessful in realizing the anticipated benefits from mergers and future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Risks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Financial statements are created, in part, by assumptions and methods used by management, which, if incorrect, could cause unexpected losses in the future.</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the Company’s financial statements are incorrect, it may experience material losses.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One such assumption and estimate is the valuation analysis of its goodwill. Although the Company’s analysis does not indicate impairments exist; it could be required to perform additional goodwill impairment assessments on at least an annual basis, and perhaps more frequently, which could result in further goodwill impairment charges. Any future goodwill impairment charge, on the current goodwill balance or future goodwill arising out of acquisitions that the Company is required to take could have a material adverse effect on the results of operations by reducing net income or increasing net losses.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changes in accounting principles, policies or guidelines.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Periodically, agencies such as the FASB or the SEC change the financial accounting and reporting standards or the interpretation of those standards that govern the preparation of the Company’s financial statements. These changes are beyond the Company’s control, can be difficult to predict and could materially impact it reports its financial condition and results of operations. Changes in these standards are continuously occurring, and given recent economic conditions, more drastic changes may occur. The implementation of such changes could have a material adverse effect on the Company’s financial condition and results of operations.</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2016, the FASB published new Current Expected Credit Loss impairment standards (“CECL”) which requires “life of loan” estimates of losses to be recorded for unimpaired loans at origination or purchase. This is a change from the 40-year standard in which loan losses are handled under “incurring loss” accounting, meaning something has happened that has caused impairment to a loan. The “expected loss” methodology requires that financial institutions consider events that have happened in the past and may be expected to occur in the future based on prior life-of-loan or life-of-portfolio historical loss rates. This change has the potential to pose compliance and operational challenges for financial institutions as the life-of-loan loss concept presents complexities that can decrease capital and add volatility to allowance for loan losses estimates. In addition, the new standard may require changes to the Company’s policies, procedures and technology systems to properly account for and comply with the new methodology. CECL is not set to take effect until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realize tax benefits which could adversely affect our results of operations.</w:t>
      </w:r>
    </w:p>
    <w:p>
      <w:pPr>
        <w:sectPr>
          <w:pgSz w:w="11900" w:h="16838" w:orient="portrait"/>
          <w:cols w:equalWidth="0" w:num="1">
            <w:col w:w="11420"/>
          </w:cols>
          <w:pgMar w:left="240" w:top="125" w:right="239" w:bottom="32"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t>Deferred tax assets are designed to reduce subsequent period’s income tax expense and arise, in part, as a result of net loss carry-overs, allowance for loan losses, stock-based compensation, and deferred compensation. Such items are recorded as assets when it is anticipated the asset will be used in future periods. Valuation allowance is established when it is unlikely the assets will be realized. Significant judgment by management about matters that are by nature uncertain is required to record a deferred tax asset and establish a valuation allowance.</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evaluating the need for a valuation allowance, the Company estimated future taxable income based on management forecasts and tax planning strategies that may be available to us. If future events differ significantly from our current forecasts, it may need to establish a valuation allowance against its net deferred tax assets, which would have a material adverse effect on its results of operations and financial condition. In addition, current portions of the net deferred tax assets relate to tax-effected state net operating loss carry-forward, the utilization of which may be further limited in the event of certain material changes in its ownership.</w:t>
      </w:r>
    </w:p>
    <w:p>
      <w:pPr>
        <w:spacing w:after="0" w:line="18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addition, changes in ownership could further limit the Company’s realization of deferred tax assets. The ultimate realization of deferred tax assets is dependent upon the generation of future taxable income during the periods prior to the expiration of the related net operating losses and the limitation of Section 382 of the Internal Revenue Code. Section 382 of the Code contains rules that limit the ability of a company that undergoes an ownership change to utilize its net operating loss carry-forwards and certain built-in losses recognized in years after the ownership change. The Company issued a significant amount of common stock in connection with the acquisition of Pulaski in 2016 and anticipates issuing common stock in connection with the acquisition of First Community in 2017. While this will not affect an ownership change under Section 382, it may make it more likely that an ownership change under Section 382 will occur in the future. If the Company undergoes an ownership change for purposes of Section 382 as a result of future transactions involving its common stock, its ability to use any of our net operating loss carry-forwards, tax credit carry-forwards or net unrealized built-in losses at the time of ownership change would be subject to the limitations of Section 382 on its use against future taxable income. The limitation may affect the amount of the Company’s deferred income tax asset and, depending on the limitation, a portion of its built-in losses, any net operating loss carry-forwards or tax credit carry-forwards could expire before it would be able to use them. This could adversely affect the Company’s financial position, results of operations and cash flow.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relies on the integrity of its operating systems and employees, and those of third-parties and certain failures of such systems or error by such employees or customers could materially and adversely affect the Company’s operations.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 operations are dependent upon the protection of computer equipment against damage from physical theft, fire, power loss, telecommunications failure or a similar catastrophic event, as well as from security breaches, cybersecurity attacks, viruses and other disruptive problems caused by hackers.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 expectations, experience system or processing failure, or incur disruptions affecting operations, results could adversely impact the Company. The Company follows certain due diligence procedures in reviewing and vetting its third-parties, however, it cannot control their actions.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 activities or electronic funds transfers, could damage its reputation, result in a loss of customer business, subject it to additional regulatory scrutiny, or expose it to civil litigation and possible financial liability, any of which could have a material adverse effect on its financial condition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The Company maintains a system of internal controls and insurance coverage to mitigate operational risks, including data processing system failures and errors, customer or employee fraud and other disruptions which might impact its business. In addition, Internal Audit routinely reviews operations and high risk areas for error, deficient controls, and failure to adhere to policy.</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the Company devotes significant resources to maintain and regularly upgrade systems and processes designed to protect the security of its computer systems, software, networks and other technology assets, these measures do not provide absolute security. In fact, several financial services institutions, government agencies, retailers and other companies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 Some companies in the United States have experienced well-publicized attacks from technically sophisticated and well-resourced third-parties that were intended to disrupt normal business activities by making internet banking systems inaccessible to customers for extended periods. These “denial-of-service” attacks may not have breached data security systems, but require substantial resources to defend, and may affect customer satisfaction and behavior. Furthermore, even if not directed at the Company, attacks on financial or other institutions important to the overall functioning of the financial system could adversely affect, directly or indirectly, aspects of the Company’s businesses.</w:t>
      </w:r>
    </w:p>
    <w:p>
      <w:pPr>
        <w:sectPr>
          <w:pgSz w:w="11900" w:h="16838" w:orient="portrait"/>
          <w:cols w:equalWidth="0" w:num="1">
            <w:col w:w="11420"/>
          </w:cols>
          <w:pgMar w:left="240" w:top="125" w:right="239" w:bottom="0" w:gutter="0" w:footer="0" w:header="0"/>
        </w:sectPr>
      </w:pPr>
    </w:p>
    <w:bookmarkStart w:id="19" w:name="page20"/>
    <w:bookmarkEnd w:id="19"/>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Threats to security also exist in the processing of customer information through various other third-parties, their personnel, and their use of subcontractors. Furthermore,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also faces risks related to cyber-attacks and other security breaches in connection with credit card and debit card transactions that typically involve the transmission of sensitive information regarding the Company’s customers through various third-parties, including merchant acquiring banks, payment processors, payment card networks and its processors. Because card transactions involve third-parties and environments such as the point of sale that the Company does not control or secure, future security breaches or cyber-attacks affecting any of these third-parties could impact the Company through no fault of its own, and in some cases it may have exposure and suffer losses for breaches or attacks relating to them. Further cyber-attacks or other breaches in the future, whether affecting the Company or others, could intensify consumer concern and regulatory focus and result in reduced use of payment cards and increased costs, all of which could have a material adverse effect on the Company’s business.</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damage to computers or systems of the Company and those of its customers and counterparties. Such events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risks have increased for all financial institutions as new technologies, the use of the Internet and telecommunications technologies, including mobile devices, to conduct financial and other business transactions and the increased sophistication and activities of organized crime, perpetrators of fraud, hackers, terrorists and others. Despite the Company’s efforts to prevent or limit the effects of potential threats, it is possible that the Company may not be able to anticipate or implement effective preventative measures against all security breaches of these types, especially because the techniques used change frequently or are not recognized until launched, and because security-related attacks can originate from a wide variety of sources, including organized crime, hackers, terrorists, activists, and other external parties, including parties sponsored by hostile foreign governments. Those parties may also attempt to fraudulently induce employees, customers, third-party service providers or other users of the Company’s systems to disclose sensitive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in order to gain access to the Company’s data or that of its customers. These risks may increase in the future as the Company increases its mobile payments, internet-based product offerings, and expand its internal usage of web-based products and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or employee fraud may affect operations, result in significant financial loss, and have an adverse impact on the Company’s reputation.</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Misconduct could subject the Company to financial losses or regulatory sanctions and seriously harm its reputation. Misconduct by employees and customers could include hiding unauthorized activities, improper or unauthorized activities or improper use of confidential information. It is not possible to prevent all errors and misconduct, and the precautions the Company takes to prevent and detect this activity may not be effective in all cases.</w:t>
      </w:r>
    </w:p>
    <w:p>
      <w:pPr>
        <w:spacing w:after="0" w:line="16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pacing w:after="0" w:line="17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Should the Company’s internal controls fail to prevent or detect an occurrence, or if any resulting loss is not insured or exceeds applicable insurance limits, such failures could adversely affect its business, results of operations and financial condition. 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Much of the Company’s success and growth has been influenced strongly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Also critical is the Company’s ability to attract and retain qualified staff with the appropriate level of experience and knowledge about its market areas so as to implement its community-based operating strategy. The unexpected loss of services of key personnel, or the inability to recruit and retain qualified personnel in the future, could have an adverse effect on the Company’s business, financial condition, and results of operation.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Damage resulting from negative publicity could harm the Company’s reputation and adversely impact its business and financial condition.</w:t>
      </w:r>
    </w:p>
    <w:p>
      <w:pPr>
        <w:spacing w:after="0" w:line="2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Severe weather, natural disasters, acts of terrorism or war or other adverse external events could significantly impact the Company’s business.</w:t>
      </w:r>
    </w:p>
    <w:p>
      <w:pPr>
        <w:spacing w:after="0" w:line="24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Severe weather, natural disasters, acts of terrorism or war and other adverse external events could have a significant impact on the Company’s ability to conduct business. In addition, such events could affect the stability of the Company’s deposit base; impair the ability of borrowers to repay outstanding loans,</w:t>
      </w:r>
    </w:p>
    <w:p>
      <w:pPr>
        <w:sectPr>
          <w:pgSz w:w="11900" w:h="16908" w:orient="portrait"/>
          <w:cols w:equalWidth="0" w:num="1">
            <w:col w:w="11400"/>
          </w:cols>
          <w:pgMar w:left="240" w:top="125" w:right="259" w:bottom="0" w:gutter="0" w:footer="0" w:header="0"/>
        </w:sectPr>
      </w:pPr>
    </w:p>
    <w:bookmarkStart w:id="20" w:name="page21"/>
    <w:bookmarkEnd w:id="20"/>
    <w:p>
      <w:pPr>
        <w:jc w:val="both"/>
        <w:ind w:right="540"/>
        <w:spacing w:after="0" w:line="264" w:lineRule="auto"/>
        <w:rPr>
          <w:sz w:val="20"/>
          <w:szCs w:val="20"/>
          <w:color w:val="auto"/>
        </w:rPr>
      </w:pPr>
      <w:r>
        <w:rPr>
          <w:rFonts w:ascii="Arial" w:cs="Arial" w:eastAsia="Arial" w:hAnsi="Arial"/>
          <w:sz w:val="18"/>
          <w:szCs w:val="18"/>
          <w:color w:val="auto"/>
        </w:rPr>
        <w:t>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financial condition and results of operation.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framework for managing risks may not be effective in mitigating risk and loss.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The Company’s ability to successfully identify and manage the risks it faces is an important factor that can significantly impact results. If its risk management framework proves ineffective, the Company could suffer unexpected losses and could be materially adversely affected.</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From time to time, we may seek to implement new lines of business or offer new products and services within existing lines of business in our current markets or new markets.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 Busey’s headquarters are located at 100 West University Avenue, Champaign, Illinois. The Busey Bank and Busey Wealth Management headquarters are also located at 100 West University Avenue, Champaign, Illinois. FirsTech’s headquarters are located at 130 North Water Street, Decatur, Illinois. These facilities, which are owned by the Company, house the executive and primary administrative offices of each respective entity. The Company also owns or leases other facilities, such as branches of Busey Bank, for business operations.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First Busey and its subsidiaries own or lease all of the real property and/or buildings on which each respective entity is located. From time to time, the Company will sign contracts for construction projects relating to the Company’s facilities. The Company considers its properties to be suitable and adequate for its present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8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Common Stock Prices and Dividends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for the periods indicated the high and low sales price for First Busey common stock as reported on The Nasdaq Global Select Market. Prices have been adjusted to reflect the Reverse Stock Split on September 8, 2015.</w:t>
      </w:r>
    </w:p>
    <w:p>
      <w:pPr>
        <w:sectPr>
          <w:pgSz w:w="11900" w:h="16838" w:orient="portrait"/>
          <w:cols w:equalWidth="0" w:num="1">
            <w:col w:w="11400"/>
          </w:cols>
          <w:pgMar w:left="240" w:top="125" w:right="25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Market Prices of Common Stock</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220" w:type="dxa"/>
            <w:vAlign w:val="bottom"/>
            <w:gridSpan w:val="3"/>
            <w:vMerge w:val="continue"/>
          </w:tcPr>
          <w:p>
            <w:pPr>
              <w:spacing w:after="0"/>
              <w:rPr>
                <w:sz w:val="12"/>
                <w:szCs w:val="12"/>
                <w:color w:val="auto"/>
              </w:rPr>
            </w:pPr>
          </w:p>
        </w:tc>
        <w:tc>
          <w:tcPr>
            <w:tcW w:w="900" w:type="dxa"/>
            <w:vAlign w:val="bottom"/>
            <w:gridSpan w:val="2"/>
          </w:tcPr>
          <w:p>
            <w:pPr>
              <w:jc w:val="center"/>
              <w:ind w:left="400"/>
              <w:spacing w:after="0" w:line="142" w:lineRule="exact"/>
              <w:rPr>
                <w:sz w:val="20"/>
                <w:szCs w:val="20"/>
                <w:color w:val="auto"/>
              </w:rPr>
            </w:pPr>
            <w:r>
              <w:rPr>
                <w:rFonts w:ascii="Arial" w:cs="Arial" w:eastAsia="Arial" w:hAnsi="Arial"/>
                <w:sz w:val="14"/>
                <w:szCs w:val="14"/>
                <w:b w:val="1"/>
                <w:bCs w:val="1"/>
                <w:color w:val="auto"/>
                <w:w w:val="96"/>
              </w:rPr>
              <w:t>High</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640" w:type="dxa"/>
            <w:vAlign w:val="bottom"/>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22.91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19.00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40" w:type="dxa"/>
            <w:vAlign w:val="bottom"/>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20.94</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640" w:type="dxa"/>
            <w:vAlign w:val="bottom"/>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31.01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21.80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22.59</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418"/>
        </w:trPr>
        <w:tc>
          <w:tcPr>
            <w:tcW w:w="7160" w:type="dxa"/>
            <w:vAlign w:val="bottom"/>
            <w:gridSpan w:val="12"/>
          </w:tcPr>
          <w:p>
            <w:pPr>
              <w:jc w:val="right"/>
              <w:spacing w:after="0"/>
              <w:rPr>
                <w:sz w:val="20"/>
                <w:szCs w:val="20"/>
                <w:color w:val="auto"/>
              </w:rPr>
            </w:pPr>
            <w:r>
              <w:rPr>
                <w:rFonts w:ascii="Arial" w:cs="Arial" w:eastAsia="Arial" w:hAnsi="Arial"/>
                <w:sz w:val="18"/>
                <w:szCs w:val="18"/>
                <w:color w:val="auto"/>
                <w:w w:val="90"/>
              </w:rPr>
              <w:t>During 2016 and 2015, First Busey declared cash dividends per share of common stock as follows: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5"/>
              </w:rPr>
              <w:t>0.15</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April</w:t>
            </w:r>
          </w:p>
        </w:tc>
        <w:tc>
          <w:tcPr>
            <w:tcW w:w="900" w:type="dxa"/>
            <w:vAlign w:val="bottom"/>
            <w:gridSpan w:val="2"/>
          </w:tcPr>
          <w:p>
            <w:pPr>
              <w:jc w:val="center"/>
              <w:ind w:left="380"/>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0.17</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Arial" w:cs="Arial" w:eastAsia="Arial" w:hAnsi="Arial"/>
                <w:sz w:val="18"/>
                <w:szCs w:val="18"/>
                <w:color w:val="auto"/>
              </w:rPr>
              <w:t>0.15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900" w:type="dxa"/>
            <w:vAlign w:val="bottom"/>
            <w:gridSpan w:val="2"/>
            <w:shd w:val="clear" w:color="auto" w:fill="CCEEFF"/>
          </w:tcPr>
          <w:p>
            <w:pPr>
              <w:jc w:val="cente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0.17</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0.15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October</w:t>
            </w:r>
          </w:p>
        </w:tc>
        <w:tc>
          <w:tcPr>
            <w:tcW w:w="900" w:type="dxa"/>
            <w:vAlign w:val="bottom"/>
            <w:gridSpan w:val="2"/>
          </w:tcPr>
          <w:p>
            <w:pPr>
              <w:jc w:val="center"/>
              <w:ind w:left="380"/>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0.17</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ind w:left="120"/>
              <w:spacing w:after="0"/>
              <w:rPr>
                <w:sz w:val="20"/>
                <w:szCs w:val="20"/>
                <w:color w:val="auto"/>
              </w:rPr>
            </w:pPr>
            <w:r>
              <w:rPr>
                <w:rFonts w:ascii="Arial" w:cs="Arial" w:eastAsia="Arial" w:hAnsi="Arial"/>
                <w:sz w:val="18"/>
                <w:szCs w:val="18"/>
                <w:color w:val="auto"/>
              </w:rPr>
              <w:t>0.17</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Company’s board of directors and management are currently committed to continue paying regular cash dividends; however, no guarantee can be given with respect to future dividends, as they are dependent on certain regulatory restrictions, future earnings, capital requirements and financial condition of the Company and its subsidiaries.</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 of February 28, 2017, First Busey Corporation had 38,231,654 shares of common stock outstanding held by 1,710 holders of record. Additionally, there were an estimated 7,032 beneficial holders whose stock was held in street name by brokerage houses and nominees as of that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December 31, 2016. At December 31, 2016, the Company had 333,334 shares that may yet be purchased under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graph compares First Busey’s performance, as measured by the change in price of its common stock plus reinvested dividends, with the NASDAQ Composite and the SNL Midwest Bank Index for the five years ended December 31, 2016.</w:t>
      </w:r>
    </w:p>
    <w:p>
      <w:pPr>
        <w:spacing w:after="0" w:line="1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51145" cy="2487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5114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Index</w:t>
            </w:r>
          </w:p>
        </w:tc>
        <w:tc>
          <w:tcPr>
            <w:tcW w:w="2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12/31/16</w:t>
            </w:r>
          </w:p>
        </w:tc>
        <w:tc>
          <w:tcPr>
            <w:tcW w:w="120" w:type="dxa"/>
            <w:vAlign w:val="bottom"/>
          </w:tcPr>
          <w:p>
            <w:pPr>
              <w:spacing w:after="0"/>
              <w:rPr>
                <w:sz w:val="14"/>
                <w:szCs w:val="14"/>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 Corporation</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117.74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165.04</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189.51</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202.99</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221.19</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SNL Midwest Bank Index</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242.99</w:t>
            </w: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banks in the SNL Midwest Bank Index represent all publicly traded banks, thrifts or financial service companies located in Iowa, Illinois, Indiana, Kansas, Kentucky, Michigan, Minnesota, Missouri, North Dakota, Nebraska, Ohio, South Dakota and Wisconsin.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ectPr>
          <w:pgSz w:w="11900" w:h="16838" w:orient="portrait"/>
          <w:cols w:equalWidth="0" w:num="1">
            <w:col w:w="11420"/>
          </w:cols>
          <w:pgMar w:left="240" w:top="118" w:right="239" w:bottom="9"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Selected Consolidated Financial Information</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following selected financial data, adjusted to reflect the Reverse Stock Split, as of year-end and for each of the five years in the period ended December 31, 2016, have been derived from First Busey’s audited Consolidated Financial Statements and the results of operations for each period. This financial data should be read in conjunction with the Consolidated Financial Statements and the related Notes to the Consolidated Financial Statements included in this Annual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940" w:type="dxa"/>
            <w:vAlign w:val="bottom"/>
            <w:gridSpan w:val="5"/>
          </w:tcPr>
          <w:p>
            <w:pPr>
              <w:jc w:val="right"/>
              <w:ind w:right="751"/>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Balance Sheet Items</w:t>
            </w:r>
          </w:p>
        </w:tc>
        <w:tc>
          <w:tcPr>
            <w:tcW w:w="27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4300" w:type="dxa"/>
            <w:vAlign w:val="bottom"/>
            <w:gridSpan w:val="5"/>
          </w:tcPr>
          <w:p>
            <w:pPr>
              <w:ind w:left="180"/>
              <w:spacing w:after="0"/>
              <w:rPr>
                <w:sz w:val="20"/>
                <w:szCs w:val="20"/>
                <w:color w:val="auto"/>
              </w:rPr>
            </w:pPr>
            <w:r>
              <w:rPr>
                <w:rFonts w:ascii="Arial" w:cs="Arial" w:eastAsia="Arial" w:hAnsi="Arial"/>
                <w:sz w:val="18"/>
                <w:szCs w:val="18"/>
                <w:color w:val="auto"/>
              </w:rPr>
              <w:t>Securities available for sale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759,811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834,838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759,065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841,310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1,001,497</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Securities held to maturity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47,820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49,832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2,373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256,319</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9,351</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10,400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13,840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40,003</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Gross portfolio loans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3,878,900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2,627,739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2,405,290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2,281,460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2,033,107</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47,795</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47,487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47,453</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47,567</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48,012</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5,425,170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3,998,976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3,665,607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3,539,575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3,618,056</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Tangible assets(1)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5,303,894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3,966,034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3,638,234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3,509,318</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3,584,667</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4,374,298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3,289,106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2,900,848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2,869,138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2,980,292</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Short-term debt(2)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264,157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172,972</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198,893</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172,348</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139,024</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w w:val="92"/>
              </w:rPr>
              <w:t>Junior subordinated debt owed to unconsolidated trusts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70,868</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55,000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55,000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55,000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55,000</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594,314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373,186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433,639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415,364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408,797</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Common 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594,314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373,186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360,975</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342,700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336,133</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Tangible common stockholders’ equity(3)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480,415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343,211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336,271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316,351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307,976</w:t>
            </w:r>
          </w:p>
        </w:tc>
      </w:tr>
      <w:tr>
        <w:trPr>
          <w:trHeight w:val="176"/>
        </w:trPr>
        <w:tc>
          <w:tcPr>
            <w:tcW w:w="43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3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164,889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118,022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108,075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108,696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116,916</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10,229</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6,207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6,499</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8,631</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14,770</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154,660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111,815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101,576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100,065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102,146</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5,550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16,500</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Net income available for common stockholders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49,694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38,306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32,047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25,093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18,724</w:t>
            </w:r>
          </w:p>
        </w:tc>
      </w:tr>
      <w:tr>
        <w:trPr>
          <w:trHeight w:val="176"/>
        </w:trPr>
        <w:tc>
          <w:tcPr>
            <w:tcW w:w="43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0.65</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0.62</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0.57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Book value(4)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11.84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Tangible book value(5)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11.86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11.52</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10.80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10.48</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Closing stock price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30.78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20.63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w:t>
            </w:r>
          </w:p>
        </w:tc>
      </w:tr>
      <w:tr>
        <w:trPr>
          <w:trHeight w:val="176"/>
        </w:trPr>
        <w:tc>
          <w:tcPr>
            <w:tcW w:w="43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Other Information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Return on average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Return on average common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Net interest margin(6)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r>
      <w:tr>
        <w:trPr>
          <w:trHeight w:val="216"/>
        </w:trPr>
        <w:tc>
          <w:tcPr>
            <w:tcW w:w="4300" w:type="dxa"/>
            <w:vAlign w:val="bottom"/>
            <w:gridSpan w:val="5"/>
          </w:tcPr>
          <w:p>
            <w:pPr>
              <w:ind w:left="200"/>
              <w:spacing w:after="0"/>
              <w:rPr>
                <w:sz w:val="20"/>
                <w:szCs w:val="20"/>
                <w:color w:val="auto"/>
              </w:rPr>
            </w:pPr>
            <w:r>
              <w:rPr>
                <w:rFonts w:ascii="Arial" w:cs="Arial" w:eastAsia="Arial" w:hAnsi="Arial"/>
                <w:sz w:val="18"/>
                <w:szCs w:val="18"/>
                <w:color w:val="auto"/>
              </w:rPr>
              <w:t>Equity to assets ratio(7)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9.74%</w:t>
            </w:r>
          </w:p>
        </w:tc>
      </w:tr>
      <w:tr>
        <w:trPr>
          <w:trHeight w:val="216"/>
        </w:trPr>
        <w:tc>
          <w:tcPr>
            <w:tcW w:w="43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Dividend payout ratio(8)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(1)Total assets less goodwill and intangible assets, non-GAAP.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(2)Includes federal funds purchased, securities sold under agreements to repurchase, and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(3)Common equity less tax effected goodwill and 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(4)Total common equity divided by shares outstanding as of period 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(5)Total common equity less goodwill and intangible assets divided by shares outstanding as of period 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(6)Tax-equivalent net interest income divided by average earning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(7)Average common equity divided by average 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(8)Ratio calculated using only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following is management’s discussion and analysis of the financial condition as of December 31, 2016 and 2015 and results of operations for the years ended December 31, 2016, 2015, and 2014 of First Busey and its subsidiaries. It should be read in conjunction with “Item 1. Business,” “Item 6. Selected Financial Data,” the Consolidated Financial Statements and the related Notes to the Consolidated Financial Statements included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First Busey has established various accounting policies that govern the application of GAAP in the preparation of its Consolidated Financial Statements. First Busey’s significant accounting policies are described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in the Notes to the Consolidated Financial Statements. The majority of these accounting policies do not require management to make difficult, subjective or complex judgments or estimates or the variability of the estimates is not material.</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ectPr>
          <w:pgSz w:w="11900" w:h="16838" w:orient="portrait"/>
          <w:cols w:equalWidth="0" w:num="1">
            <w:col w:w="11420"/>
          </w:cols>
          <w:pgMar w:left="240" w:top="125" w:right="239" w:bottom="0" w:gutter="0" w:footer="0" w:header="0"/>
        </w:sectPr>
      </w:pPr>
    </w:p>
    <w:bookmarkStart w:id="23" w:name="page24"/>
    <w:bookmarkEnd w:id="23"/>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Fair Value of Investment Securities. </w:t>
      </w:r>
      <w:r>
        <w:rPr>
          <w:rFonts w:ascii="Arial" w:cs="Arial" w:eastAsia="Arial" w:hAnsi="Arial"/>
          <w:sz w:val="17"/>
          <w:szCs w:val="17"/>
          <w:color w:val="auto"/>
        </w:rPr>
        <w:t>Securities are classified as held to maturity when First Busey has the ability and management has the intent to hold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securities to maturity. Accordingly, they are stated at cost, adjusted for amortization of premiums and accretion of discounts. First Busey had $47.8 million of securities classified as held to maturity at December 31, 2016. First Busey had no securities classified as trading at December 31, 2016.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December 31, 2016, First Busey had $759.8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 likely than 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Fair Value of Assets Acquired and Liabilities Assumed in Business Combinations. </w:t>
      </w:r>
      <w:r>
        <w:rPr>
          <w:rFonts w:ascii="Arial" w:cs="Arial" w:eastAsia="Arial" w:hAnsi="Arial"/>
          <w:sz w:val="18"/>
          <w:szCs w:val="18"/>
          <w:color w:val="auto"/>
        </w:rPr>
        <w:t>Business combinations are accounted for using the acquisition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Under the acquisition method of accounting, assets acquired and liabilities assumed are recorded at their estimated fair value on the date of acquisition. Analysis is conducted under the standard of fair value which is defined in FASB Accounting Standards Codification (“ASC”) Topic 820 —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w:t>
      </w:r>
      <w:r>
        <w:rPr>
          <w:rFonts w:ascii="Arial" w:cs="Arial" w:eastAsia="Arial" w:hAnsi="Arial"/>
          <w:sz w:val="18"/>
          <w:szCs w:val="18"/>
          <w:color w:val="auto"/>
        </w:rPr>
        <w:t>as “the price that would be received to sell an asset or paid to transfer a liability in an orderly transaction between market participants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fair value of a loan portfolio acquired in a business combination generally requires greater levels of management estimates and judgment than the remainder of assets acquired or liabilities assumed. At the date of acquisition, when the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The Company must estimate expected cash flows at each future reporting date. Subsequent decreases in the expected cash flows will generally result in a provision for loan losses. Subsequent increases in the expected cash flows will generally be offset against the allowance for loan losses to the extent an allowance has been established or recognized as interest income prospectively.</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24" w:name="page25"/>
    <w:bookmarkEnd w:id="2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1"/>
        </w:trPr>
        <w:tc>
          <w:tcPr>
            <w:tcW w:w="2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 by operating segment:</w:t>
            </w:r>
          </w:p>
        </w:tc>
        <w:tc>
          <w:tcPr>
            <w:tcW w:w="2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4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Banking</w:t>
            </w:r>
          </w:p>
        </w:tc>
        <w:tc>
          <w:tcPr>
            <w:tcW w:w="2780" w:type="dxa"/>
            <w:vAlign w:val="bottom"/>
            <w:tcBorders>
              <w:top w:val="single" w:sz="8" w:color="CCEEFF"/>
            </w:tcBorders>
            <w:gridSpan w:val="2"/>
          </w:tcPr>
          <w:p>
            <w:pPr>
              <w:jc w:val="right"/>
              <w:ind w:right="265"/>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48,691</w:t>
            </w:r>
          </w:p>
        </w:tc>
        <w:tc>
          <w:tcPr>
            <w:tcW w:w="52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36,026</w:t>
            </w:r>
          </w:p>
        </w:tc>
        <w:tc>
          <w:tcPr>
            <w:tcW w:w="80" w:type="dxa"/>
            <w:vAlign w:val="bottom"/>
            <w:tcBorders>
              <w:top w:val="single" w:sz="8" w:color="CCEEFF"/>
            </w:tcBorders>
          </w:tcPr>
          <w:p>
            <w:pPr>
              <w:spacing w:after="0"/>
              <w:rPr>
                <w:sz w:val="18"/>
                <w:szCs w:val="18"/>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2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Wealth Management</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4,388</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4,721</w:t>
            </w: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(5,143)</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(3,450)</w:t>
            </w:r>
          </w:p>
        </w:tc>
      </w:tr>
      <w:tr>
        <w:trPr>
          <w:trHeight w:val="210"/>
        </w:trPr>
        <w:tc>
          <w:tcPr>
            <w:tcW w:w="2480" w:type="dxa"/>
            <w:vAlign w:val="bottom"/>
          </w:tcPr>
          <w:p>
            <w:pPr>
              <w:ind w:left="180"/>
              <w:spacing w:after="0"/>
              <w:rPr>
                <w:sz w:val="20"/>
                <w:szCs w:val="20"/>
                <w:color w:val="auto"/>
              </w:rPr>
            </w:pPr>
            <w:r>
              <w:rPr>
                <w:rFonts w:ascii="Arial" w:cs="Arial" w:eastAsia="Arial" w:hAnsi="Arial"/>
                <w:sz w:val="18"/>
                <w:szCs w:val="18"/>
                <w:color w:val="auto"/>
              </w:rPr>
              <w:t>Total net income</w:t>
            </w:r>
          </w:p>
        </w:tc>
        <w:tc>
          <w:tcPr>
            <w:tcW w:w="23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49,694</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Performance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continued its steady earnings expansion with net income and net income available to common stockholders of $49.7 million, or $1.40 per diluted common share for the year ended December 31, 2016, compared to net income of $39.0 million and net income available to common stockholders of $38.3 million, or $1.32 per diluted common share, for the year ended December 31, 2015.</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2016 results benefitted from the acquisition of Pulaski since the closing of the transaction on April 30, 2016, resetting the baseline for financial performance in current and future periods in a multitude of positive ways. We expect to continue to realize significant accretion to core earnings as a result of this transaction. The addition of Pulaski rapidly accelerated growth in nearly every financial measure. The acquisition of Pulaski allowed the Company to significantly expand its geographic presence through a premier St. Louis banking franchise with an almost 100-year history and a strong regional residential lending presence. Further, this acquisition created a Midwest community bank with greater scale and improved operating efficiency, along with geographic and balance sheet diversification.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incurred $10.0 million in pre-tax expenses related to the Pulaski acquisition during 2016. The level of such expenses is expected to decrease in future periods. In addition, the Company incurred $2.8 million of notable pre-tax costs during 2016, from wealth management division restructuring, branch fixed asset impairments and losses on private equity investments, which were partially offset by favorable pre-tax amounts of $1.5 million relating to a gain on sale of other real estate owned and a security gain from a strategic bond trade. Excluding these items, the Company’s operating earnings(1) for 2016 would have been $56.5 million or $1.60 per diluted common share.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Portfolio loans increased to $3.88 billion at December 31, 2016 compared to $2.63 billion at December 31, 2015. The growth during the year was primarily due to the Pulaski acquisition. Commercial loans at December 31, 2016 grew to $2.80 billion from $1.96 billion for the same period of 2015, a notable increase of 42.5%.</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Revenues from trust fees, commissions and brokers’ fees, and remittance processing activities represented 45.8% of the Company’s non-interest income for the year ended December 31, 2016, providing a balance to revenue from traditional banking activities. As Pulaski had no legacy fee income in these businesses, the addition of these service offerings in Pulaski’s markets is expected to provide attractive growth opportunities in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Merger</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6, 2017, the Company entered into the Merger Agreement with First Community, pursuant to which First Community will merge into First Busey, with First Busey as the surviving corporation. It is anticipated that First Community Financial Bank, First Community’s wholly-owned bank subsidiary, will be merged with and into First Busey’s bank subsidiary, Busey Bank, at a date following the completion of the holding company merger. At the time of the bank merger, First Community Financial Bank’s banking offices will become branches of Busey Bank. The Merger is anticipated to be completed in mid-2017, and is subject to the satisfaction of customary closing conditions contained in the Merger Agreement including the approval of the appropriate regulatory authorities and the stockholders of First Community. The acquisition provides the Company entrance into the demographically and economically attractive southwest suburban markets of the greater Chicagoland area. These markets are home to more than 1.67 million people; 593,000 households and nearly 70,000 businesses. Both companies value an engaged and empowered workforce, and are committed to building a premier, service-oriented, community brand experience. As of December 31, 2016, First Community had total consolidated assets of $1.3 billion, total loans of $991.6 million and total deposits of $1.1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(1)Operating earnings, a non-GAAP financial measure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While much internal focus has been directed toward growth, the Company’s commitment to credit quality remains strong. The asset metrics reflect the post combination results with Pulaski since the date of acquisition. As of December 31, 2016, the Company reported non-performing loans of $21.6 million compared to $12.8 million as of December 31, 2015. Non-performing loans were 0.56% of total portfolio loans as of December 31, 2016 compared to 0.49% as of December 31, 2015. 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period to period. The key metrics are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and for the Years Ended</w:t>
            </w:r>
          </w:p>
        </w:tc>
      </w:tr>
      <w:tr>
        <w:trPr>
          <w:trHeight w:val="119"/>
        </w:trPr>
        <w:tc>
          <w:tcPr>
            <w:tcW w:w="42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23"/>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r>
      <w:tr>
        <w:trPr>
          <w:trHeight w:val="171"/>
        </w:trPr>
        <w:tc>
          <w:tcPr>
            <w:tcW w:w="4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3,878,900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63"/>
              <w:spacing w:after="0"/>
              <w:rPr>
                <w:sz w:val="20"/>
                <w:szCs w:val="20"/>
                <w:color w:val="auto"/>
              </w:rPr>
            </w:pPr>
            <w:r>
              <w:rPr>
                <w:rFonts w:ascii="Arial" w:cs="Arial" w:eastAsia="Arial" w:hAnsi="Arial"/>
                <w:sz w:val="18"/>
                <w:szCs w:val="18"/>
                <w:color w:val="auto"/>
              </w:rPr>
              <w:t>47,795</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47,487</w:t>
            </w:r>
          </w:p>
        </w:tc>
      </w:tr>
      <w:tr>
        <w:trPr>
          <w:trHeight w:val="205"/>
        </w:trPr>
        <w:tc>
          <w:tcPr>
            <w:tcW w:w="4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Non-performing loans</w:t>
            </w: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121" w:right="239" w:bottom="0" w:gutter="0" w:footer="0" w:header="0"/>
        </w:sectPr>
      </w:pPr>
    </w:p>
    <w:bookmarkStart w:id="25" w:name="page26"/>
    <w:bookmarkEnd w:id="2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3040" w:type="dxa"/>
            <w:vAlign w:val="bottom"/>
          </w:tcPr>
          <w:p>
            <w:pPr>
              <w:jc w:val="right"/>
              <w:ind w:right="550"/>
              <w:spacing w:after="0"/>
              <w:rPr>
                <w:sz w:val="20"/>
                <w:szCs w:val="20"/>
                <w:color w:val="auto"/>
              </w:rPr>
            </w:pPr>
            <w:r>
              <w:rPr>
                <w:rFonts w:ascii="Arial" w:cs="Arial" w:eastAsia="Arial" w:hAnsi="Arial"/>
                <w:sz w:val="18"/>
                <w:szCs w:val="18"/>
                <w:color w:val="auto"/>
              </w:rPr>
              <w:t>21,423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12,748</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90+ days past due</w:t>
            </w:r>
          </w:p>
        </w:tc>
        <w:tc>
          <w:tcPr>
            <w:tcW w:w="3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131</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3040" w:type="dxa"/>
            <w:vAlign w:val="bottom"/>
          </w:tcPr>
          <w:p>
            <w:pPr>
              <w:jc w:val="right"/>
              <w:ind w:right="550"/>
              <w:spacing w:after="0"/>
              <w:rPr>
                <w:sz w:val="20"/>
                <w:szCs w:val="20"/>
                <w:color w:val="auto"/>
              </w:rPr>
            </w:pPr>
            <w:r>
              <w:rPr>
                <w:rFonts w:ascii="Arial" w:cs="Arial" w:eastAsia="Arial" w:hAnsi="Arial"/>
                <w:sz w:val="18"/>
                <w:szCs w:val="18"/>
                <w:color w:val="auto"/>
              </w:rPr>
              <w:t>4,090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3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2,518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221.75%</w:t>
            </w:r>
          </w:p>
        </w:tc>
        <w:tc>
          <w:tcPr>
            <w:tcW w:w="1140" w:type="dxa"/>
            <w:vAlign w:val="bottom"/>
          </w:tcPr>
          <w:p>
            <w:pPr>
              <w:jc w:val="right"/>
              <w:spacing w:after="0"/>
              <w:rPr>
                <w:sz w:val="20"/>
                <w:szCs w:val="20"/>
                <w:color w:val="auto"/>
              </w:rPr>
            </w:pPr>
            <w:r>
              <w:rPr>
                <w:rFonts w:ascii="Arial" w:cs="Arial" w:eastAsia="Arial" w:hAnsi="Arial"/>
                <w:sz w:val="18"/>
                <w:szCs w:val="18"/>
                <w:color w:val="auto"/>
              </w:rPr>
              <w:t>372.07%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3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 — Three Years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Average Balance Sheets and Interest Rates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197"/>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Income/</w:t>
            </w:r>
          </w:p>
        </w:tc>
        <w:tc>
          <w:tcPr>
            <w:tcW w:w="6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58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6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Yield/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Balance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Rate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740" w:type="dxa"/>
            <w:vAlign w:val="bottom"/>
            <w:gridSpan w:val="2"/>
          </w:tcPr>
          <w:p>
            <w:pPr>
              <w:jc w:val="right"/>
              <w:ind w:right="237"/>
              <w:spacing w:after="0"/>
              <w:rPr>
                <w:sz w:val="20"/>
                <w:szCs w:val="20"/>
                <w:color w:val="auto"/>
              </w:rPr>
            </w:pPr>
            <w:r>
              <w:rPr>
                <w:rFonts w:ascii="Arial" w:cs="Arial" w:eastAsia="Arial" w:hAnsi="Arial"/>
                <w:sz w:val="14"/>
                <w:szCs w:val="14"/>
                <w:b w:val="1"/>
                <w:bCs w:val="1"/>
                <w:color w:val="auto"/>
              </w:rPr>
              <w:t>Rate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41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Interest-bearing bank deposits</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232,460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1,090</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0.47%</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237,819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622</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0.26%</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160,948</w:t>
            </w:r>
          </w:p>
        </w:tc>
        <w:tc>
          <w:tcPr>
            <w:tcW w:w="12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411</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Federal funds sold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U.S. Government obligations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185,855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2,143</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1.15%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220,848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2,580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274,062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3,491</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ind w:left="160"/>
              <w:spacing w:after="0" w:line="135" w:lineRule="exact"/>
              <w:rPr>
                <w:sz w:val="20"/>
                <w:szCs w:val="20"/>
                <w:color w:val="auto"/>
              </w:rPr>
            </w:pPr>
            <w:r>
              <w:rPr>
                <w:rFonts w:ascii="Arial" w:cs="Arial" w:eastAsia="Arial" w:hAnsi="Arial"/>
                <w:sz w:val="13"/>
                <w:szCs w:val="13"/>
                <w:color w:val="auto"/>
                <w:w w:val="97"/>
              </w:rPr>
              <w:t>Obligations of states and political Subdivisions(1)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212,559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6,102</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2.87%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238,129</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6,574</w:t>
            </w:r>
          </w:p>
        </w:tc>
        <w:tc>
          <w:tcPr>
            <w:tcW w:w="1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245,218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6,495</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Other securities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439,470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9,397</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2.14%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447,333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9,625</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308,925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7,036</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Loans held for sale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164,728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5,997</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3.64%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14,131</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703</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10,917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541</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Portfolio loans(1), (2), (3)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3,394,352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143,650</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4.23%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2,518,328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100,100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2,290,441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92,118</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tcPr>
          <w:p>
            <w:pPr>
              <w:spacing w:after="0"/>
              <w:rPr>
                <w:sz w:val="20"/>
                <w:szCs w:val="20"/>
                <w:color w:val="auto"/>
              </w:rPr>
            </w:pPr>
            <w:r>
              <w:rPr>
                <w:rFonts w:ascii="Arial" w:cs="Arial" w:eastAsia="Arial" w:hAnsi="Arial"/>
                <w:sz w:val="13"/>
                <w:szCs w:val="13"/>
                <w:color w:val="auto"/>
              </w:rPr>
              <w:t>Total interest-earning assets(1)</w:t>
            </w: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4,630,768</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168,382</w:t>
            </w:r>
          </w:p>
        </w:tc>
        <w:tc>
          <w:tcPr>
            <w:tcW w:w="220" w:type="dxa"/>
            <w:vAlign w:val="bottom"/>
            <w:vMerge w:val="continue"/>
          </w:tcPr>
          <w:p>
            <w:pPr>
              <w:spacing w:after="0"/>
              <w:rPr>
                <w:sz w:val="11"/>
                <w:szCs w:val="11"/>
                <w:color w:val="auto"/>
              </w:rPr>
            </w:pPr>
          </w:p>
        </w:tc>
        <w:tc>
          <w:tcPr>
            <w:tcW w:w="840" w:type="dxa"/>
            <w:vAlign w:val="bottom"/>
            <w:gridSpan w:val="2"/>
          </w:tcPr>
          <w:p>
            <w:pPr>
              <w:jc w:val="right"/>
              <w:ind w:right="2"/>
              <w:spacing w:after="0" w:line="129" w:lineRule="exact"/>
              <w:rPr>
                <w:sz w:val="20"/>
                <w:szCs w:val="20"/>
                <w:color w:val="auto"/>
              </w:rPr>
            </w:pPr>
            <w:r>
              <w:rPr>
                <w:rFonts w:ascii="Arial" w:cs="Arial" w:eastAsia="Arial" w:hAnsi="Arial"/>
                <w:sz w:val="13"/>
                <w:szCs w:val="13"/>
                <w:color w:val="auto"/>
              </w:rPr>
              <w:t>3.64%</w:t>
            </w: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3,676,588</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120,204</w:t>
            </w:r>
          </w:p>
        </w:tc>
        <w:tc>
          <w:tcPr>
            <w:tcW w:w="1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3.27%</w:t>
            </w:r>
          </w:p>
        </w:tc>
        <w:tc>
          <w:tcPr>
            <w:tcW w:w="60" w:type="dxa"/>
            <w:vAlign w:val="bottom"/>
            <w:vMerge w:val="continue"/>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3,290,511</w:t>
            </w: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110,092</w:t>
            </w:r>
          </w:p>
        </w:tc>
        <w:tc>
          <w:tcPr>
            <w:tcW w:w="180" w:type="dxa"/>
            <w:vAlign w:val="bottom"/>
            <w:vMerge w:val="continue"/>
          </w:tcPr>
          <w:p>
            <w:pPr>
              <w:spacing w:after="0"/>
              <w:rPr>
                <w:sz w:val="11"/>
                <w:szCs w:val="11"/>
                <w:color w:val="auto"/>
              </w:rPr>
            </w:pPr>
          </w:p>
        </w:tc>
        <w:tc>
          <w:tcPr>
            <w:tcW w:w="8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Cash and due from banks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70,785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86,942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87,884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Premises and equipment, net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74,919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64,891</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65,049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Allowance for loan losses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(47,294)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(47,756)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(48,091)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244,735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140,838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143,211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4,973,913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3,921,503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3,538,564</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line="121" w:lineRule="exact"/>
              <w:rPr>
                <w:sz w:val="20"/>
                <w:szCs w:val="20"/>
                <w:color w:val="auto"/>
              </w:rPr>
            </w:pPr>
            <w:r>
              <w:rPr>
                <w:rFonts w:ascii="Arial" w:cs="Arial" w:eastAsia="Arial" w:hAnsi="Arial"/>
                <w:sz w:val="13"/>
                <w:szCs w:val="13"/>
                <w:color w:val="auto"/>
                <w:w w:val="91"/>
              </w:rPr>
              <w:t>Interest-bearing transaction, savings and money market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160"/>
              <w:spacing w:after="0"/>
              <w:rPr>
                <w:sz w:val="20"/>
                <w:szCs w:val="20"/>
                <w:color w:val="auto"/>
              </w:rPr>
            </w:pPr>
            <w:r>
              <w:rPr>
                <w:rFonts w:ascii="Arial" w:cs="Arial" w:eastAsia="Arial" w:hAnsi="Arial"/>
                <w:sz w:val="13"/>
                <w:szCs w:val="13"/>
                <w:color w:val="auto"/>
              </w:rPr>
              <w:t>deposits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2,316,413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3,043</w:t>
            </w:r>
          </w:p>
        </w:tc>
        <w:tc>
          <w:tcPr>
            <w:tcW w:w="840" w:type="dxa"/>
            <w:vAlign w:val="bottom"/>
            <w:gridSpan w:val="2"/>
          </w:tcPr>
          <w:p>
            <w:pPr>
              <w:jc w:val="right"/>
              <w:ind w:right="2"/>
              <w:spacing w:after="0"/>
              <w:rPr>
                <w:sz w:val="20"/>
                <w:szCs w:val="20"/>
                <w:color w:val="auto"/>
              </w:rPr>
            </w:pPr>
            <w:r>
              <w:rPr>
                <w:rFonts w:ascii="Arial" w:cs="Arial" w:eastAsia="Arial" w:hAnsi="Arial"/>
                <w:sz w:val="13"/>
                <w:szCs w:val="13"/>
                <w:color w:val="auto"/>
              </w:rPr>
              <w:t>0.13%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1,950,411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2,169</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0.11%</w:t>
            </w:r>
          </w:p>
        </w:tc>
        <w:tc>
          <w:tcPr>
            <w:tcW w:w="1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1,741,887</w:t>
            </w:r>
          </w:p>
        </w:tc>
        <w:tc>
          <w:tcPr>
            <w:tcW w:w="1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1,790</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Time deposits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721,124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4,022</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0.56%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500,296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2,587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537,415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3,333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Short-term borrowings: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Federal funds purchased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1.18%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ind w:left="160"/>
              <w:spacing w:after="0" w:line="135" w:lineRule="exact"/>
              <w:rPr>
                <w:sz w:val="20"/>
                <w:szCs w:val="20"/>
                <w:color w:val="auto"/>
              </w:rPr>
            </w:pPr>
            <w:r>
              <w:rPr>
                <w:rFonts w:ascii="Arial" w:cs="Arial" w:eastAsia="Arial" w:hAnsi="Arial"/>
                <w:sz w:val="13"/>
                <w:szCs w:val="13"/>
                <w:color w:val="auto"/>
              </w:rPr>
              <w:t>Repurchase agreements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181,474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391</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0.22%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179,662</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182</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148,452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185</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99,294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641</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0.65%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42.86%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220</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0.28%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52,145</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9,271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Junior subordinated debt issued to unconsolidated trusts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65,540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1,910</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2.91%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1,183</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tcPr>
          <w:p>
            <w:pPr>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3,464,015</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10,229</w:t>
            </w:r>
          </w:p>
        </w:tc>
        <w:tc>
          <w:tcPr>
            <w:tcW w:w="220" w:type="dxa"/>
            <w:vAlign w:val="bottom"/>
            <w:vMerge w:val="continue"/>
          </w:tcPr>
          <w:p>
            <w:pPr>
              <w:spacing w:after="0"/>
              <w:rPr>
                <w:sz w:val="11"/>
                <w:szCs w:val="11"/>
                <w:color w:val="auto"/>
              </w:rPr>
            </w:pPr>
          </w:p>
        </w:tc>
        <w:tc>
          <w:tcPr>
            <w:tcW w:w="840" w:type="dxa"/>
            <w:vAlign w:val="bottom"/>
            <w:gridSpan w:val="2"/>
          </w:tcPr>
          <w:p>
            <w:pPr>
              <w:jc w:val="right"/>
              <w:ind w:right="2"/>
              <w:spacing w:after="0" w:line="129" w:lineRule="exact"/>
              <w:rPr>
                <w:sz w:val="20"/>
                <w:szCs w:val="20"/>
                <w:color w:val="auto"/>
              </w:rPr>
            </w:pPr>
            <w:r>
              <w:rPr>
                <w:rFonts w:ascii="Arial" w:cs="Arial" w:eastAsia="Arial" w:hAnsi="Arial"/>
                <w:sz w:val="13"/>
                <w:szCs w:val="13"/>
                <w:color w:val="auto"/>
              </w:rPr>
              <w:t>0.30%</w:t>
            </w: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2,737,528</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6,207</w:t>
            </w:r>
          </w:p>
        </w:tc>
        <w:tc>
          <w:tcPr>
            <w:tcW w:w="1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0.23%</w:t>
            </w:r>
          </w:p>
        </w:tc>
        <w:tc>
          <w:tcPr>
            <w:tcW w:w="60" w:type="dxa"/>
            <w:vAlign w:val="bottom"/>
            <w:vMerge w:val="continue"/>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2,492,374</w:t>
            </w: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6,499</w:t>
            </w:r>
          </w:p>
        </w:tc>
        <w:tc>
          <w:tcPr>
            <w:tcW w:w="180" w:type="dxa"/>
            <w:vAlign w:val="bottom"/>
            <w:vMerge w:val="continue"/>
          </w:tcPr>
          <w:p>
            <w:pPr>
              <w:spacing w:after="0"/>
              <w:rPr>
                <w:sz w:val="11"/>
                <w:szCs w:val="11"/>
                <w:color w:val="auto"/>
              </w:rPr>
            </w:pPr>
          </w:p>
        </w:tc>
        <w:tc>
          <w:tcPr>
            <w:tcW w:w="8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Net interest spread(1)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3.34%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949,271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717,854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596,058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42,375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28,168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25,655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518,252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437,953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424,477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4,973,913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3,921,503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3,538,564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40" w:type="dxa"/>
            <w:vAlign w:val="bottom"/>
          </w:tcPr>
          <w:p>
            <w:pPr>
              <w:spacing w:after="0" w:line="135" w:lineRule="exact"/>
              <w:rPr>
                <w:sz w:val="20"/>
                <w:szCs w:val="20"/>
                <w:color w:val="auto"/>
              </w:rPr>
            </w:pPr>
            <w:r>
              <w:rPr>
                <w:rFonts w:ascii="Arial" w:cs="Arial" w:eastAsia="Arial" w:hAnsi="Arial"/>
                <w:sz w:val="13"/>
                <w:szCs w:val="13"/>
                <w:color w:val="auto"/>
              </w:rPr>
              <w:t>Interest income/earning assets(1)</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4,630,768</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168,382</w:t>
            </w: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3.64%</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3,676,588</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120,204</w:t>
            </w:r>
          </w:p>
        </w:tc>
        <w:tc>
          <w:tcPr>
            <w:tcW w:w="1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3.27%</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3,290,511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110,092</w:t>
            </w: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expense/earning assets</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4,630,768</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10,229</w:t>
            </w:r>
          </w:p>
        </w:tc>
        <w:tc>
          <w:tcPr>
            <w:tcW w:w="84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0.22%</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3,676,588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0.17%</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3,290,511</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6,499</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line="141" w:lineRule="exact"/>
              <w:rPr>
                <w:sz w:val="20"/>
                <w:szCs w:val="20"/>
                <w:color w:val="auto"/>
              </w:rPr>
            </w:pPr>
            <w:r>
              <w:rPr>
                <w:rFonts w:ascii="Arial" w:cs="Arial" w:eastAsia="Arial" w:hAnsi="Arial"/>
                <w:sz w:val="13"/>
                <w:szCs w:val="13"/>
                <w:color w:val="auto"/>
              </w:rPr>
              <w:t>Net interest margin(1)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158,153</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3.42</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113,997</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3.10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103,593</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3.15</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(1)On a tax-equivalent basis, assuming a federal income tax rate of 35%.</w:t>
      </w:r>
    </w:p>
    <w:p>
      <w:pPr>
        <w:spacing w:after="0" w:line="216" w:lineRule="auto"/>
        <w:rPr>
          <w:sz w:val="20"/>
          <w:szCs w:val="20"/>
          <w:color w:val="auto"/>
        </w:rPr>
      </w:pPr>
      <w:r>
        <w:rPr>
          <w:rFonts w:ascii="Arial" w:cs="Arial" w:eastAsia="Arial" w:hAnsi="Arial"/>
          <w:sz w:val="13"/>
          <w:szCs w:val="13"/>
          <w:color w:val="auto"/>
        </w:rPr>
        <w:t>(2)Non-accrual loans have been included in average portfolio loans.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(3)Includes loan fee income of $3.0 million, $2.2 million and $3.0 million for 2016, 2015 and 2014,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Average Balance Sheets and Interest Rates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Net Interest Income:</w:t>
      </w:r>
    </w:p>
    <w:p>
      <w:pPr>
        <w:sectPr>
          <w:pgSz w:w="11900" w:h="16838" w:orient="portrait"/>
          <w:cols w:equalWidth="0" w:num="1">
            <w:col w:w="11420"/>
          </w:cols>
          <w:pgMar w:left="240" w:top="125" w:right="23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Years Ended December 31, 2016, 2015 and 2014</w:t>
            </w: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gridSpan w:val="9"/>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Year 2016 vs. 2015 Change due to(1)</w:t>
            </w:r>
          </w:p>
        </w:tc>
        <w:tc>
          <w:tcPr>
            <w:tcW w:w="140" w:type="dxa"/>
            <w:vAlign w:val="bottom"/>
          </w:tcPr>
          <w:p>
            <w:pPr>
              <w:spacing w:after="0"/>
              <w:rPr>
                <w:sz w:val="12"/>
                <w:szCs w:val="12"/>
                <w:color w:val="auto"/>
              </w:rPr>
            </w:pPr>
          </w:p>
        </w:tc>
        <w:tc>
          <w:tcPr>
            <w:tcW w:w="3080" w:type="dxa"/>
            <w:vAlign w:val="bottom"/>
            <w:gridSpan w:val="9"/>
          </w:tcPr>
          <w:p>
            <w:pPr>
              <w:jc w:val="right"/>
              <w:ind w:right="412"/>
              <w:spacing w:after="0" w:line="142" w:lineRule="exact"/>
              <w:rPr>
                <w:sz w:val="20"/>
                <w:szCs w:val="20"/>
                <w:color w:val="auto"/>
              </w:rPr>
            </w:pPr>
            <w:r>
              <w:rPr>
                <w:rFonts w:ascii="Arial" w:cs="Arial" w:eastAsia="Arial" w:hAnsi="Arial"/>
                <w:sz w:val="14"/>
                <w:szCs w:val="14"/>
                <w:b w:val="1"/>
                <w:bCs w:val="1"/>
                <w:color w:val="auto"/>
              </w:rPr>
              <w:t>Year 2015 vs. 2014 Change due to(1)</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Average</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32"/>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Yield/Rate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Yield/Rate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Interest-bearing bank deposits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Obligations of state and political subdivisions(2)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interest income(2)</w:t>
            </w:r>
          </w:p>
        </w:tc>
        <w:tc>
          <w:tcPr>
            <w:tcW w:w="16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40,941</w:t>
            </w:r>
          </w:p>
        </w:tc>
        <w:tc>
          <w:tcPr>
            <w:tcW w:w="2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11,598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10,112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Increase (decrease) in 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Interest-bearing transaction, savings and money market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Federal funds purchased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w w:val="93"/>
              </w:rPr>
              <w:t>Junior subordinated debt owed to unconsolidated trusts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interest expense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(decrease) in net interest income(2)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Percentage increase in net interest income over prior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(1)Changes due to both rate and volume have been allocated proportionally.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(2)On a tax-equivalent basis, assuming a federal income tax rate of 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average interest-earning assets increased $954.2 million, or 26.0%, to $4.63 billion in 2016, as compared to $3.68 billion in 2015. Total average interest-earning assets increased $386.1 million, or 11.7%, to $3.68 billion in 2015, as compared to $3.29 billion in 2014. Average loans increased in 2016 due to the acquisition of Pulaski. 2015 was impacted by our continued emphasis on organic commercial loan growth, supplemented by the Herget Financial acquisition. Loans generally have notably higher yields compared to interest-bearing bank deposits and investment securities and our loan growth contributed to a positive effect on net interest margin.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average interest-bearing liability balances increased $726.5 million, or 26.5%, to $3.46 billion in 2016, as compared to $2.74 billion in 2015. Total average interest-bearing liability balances increased $245.2 million, or 9.8%, to $2.74 billion in 2015, as compared to $2.49 billion in 2014. Average noninterest-bearing deposits increased $231.4 million, or 32.2%, to $949.3 million in 2016, as compared to $717.9 million in 2015. Average noninterest-bearing deposits increased $121.8 million, or 20.4%, to $717.9 million in 2015, as compared to $596.1 million in 2014. Average non-interest bearing deposits represented 23.8% of total average deposits in 2016. The Company remains strongly core deposit funded with total average deposits in 2016 representing 89.5% of total average liabilities, with solid liquidity and significant market share in the communities we serve.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income, on a tax-equivalent basis, increased $48.2 million, or 40.1%, to $168.4 million in 2016, from $120.2 million in 2015. The interest income increase related primarily to the increase in loan volumes, as discussed above. Interest income, on a tax-equivalent basis, increased $10.1 million, or 9.2%, to $120.2 million in 2015, from $110.1 million in 2014. The interest income increase in 2015 related primarily to higher average balances earned on assets in a low interest rate environment.</w:t>
      </w:r>
    </w:p>
    <w:p>
      <w:pPr>
        <w:spacing w:after="0" w:line="18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Interest expense increased during 2016 by $4.0 million, or 64.8%, to $10.2 million from $6.2 million in 2015. Interest expense decreased during 2015 by $0.3 million, or 4.5%, to $6.2 million from $6.5 million in 2014. The increase in 2016 was primarily the result of the deposit products and borrowings acquired from Pulaski. The decrease in interest expense during 2015 was the result of favorable changes in funding mix and decreases in interest rates offered by the Company on certain deposit products as the interest rate environment remained low.</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interest income, on a tax-equivalent basis, increased $44.2 million, or 38.7%, in 2016 as compared to 2015. Net interest income, on a tax-equivalent basis, increased $10.4 million, or 10.0%, in 2015 as compared to 2014. Pulaski related purchase accounting accretion and amortization was $7.1 million in 2016, which included an improvement in the fourth quarter of 2016 driven by greater accelerated cash flows. The Federal Open Market Committee announced on December 14, 2016 that the federal funds rate increased from 0.50% to 0.75%. The Company expects this increase in interest rates to be modestly favorable to net interest income in the next year. However, a rise in interest rates could result in decreased demand for first mortgages as well as mortgage refinancing, activities which contribute to a significant portion of the Company’s mortgage revenue.</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increased to 3.42%, which included a tax-equivalent adjustment of $3.5 million, in 2016 compared to 3.10%, with a tax-equivalent adjustment of $2.2 million, in 2015 and 3.15%, with a</w:t>
      </w:r>
    </w:p>
    <w:p>
      <w:pPr>
        <w:sectPr>
          <w:pgSz w:w="11900" w:h="16838" w:orient="portrait"/>
          <w:cols w:equalWidth="0" w:num="1">
            <w:col w:w="11420"/>
          </w:cols>
          <w:pgMar w:left="240" w:top="333" w:right="239" w:bottom="0" w:gutter="0" w:footer="0" w:header="0"/>
        </w:sectPr>
      </w:pPr>
    </w:p>
    <w:bookmarkStart w:id="27" w:name="page28"/>
    <w:bookmarkEnd w:id="27"/>
    <w:p>
      <w:pPr>
        <w:ind w:right="60"/>
        <w:spacing w:after="0" w:line="342" w:lineRule="auto"/>
        <w:rPr>
          <w:sz w:val="20"/>
          <w:szCs w:val="20"/>
          <w:color w:val="auto"/>
        </w:rPr>
      </w:pPr>
      <w:r>
        <w:rPr>
          <w:rFonts w:ascii="Arial" w:cs="Arial" w:eastAsia="Arial" w:hAnsi="Arial"/>
          <w:sz w:val="16"/>
          <w:szCs w:val="16"/>
          <w:color w:val="auto"/>
        </w:rPr>
        <w:t>tax-equivalent adjustment of $2.0 million, in 2014. The net interest spread, which represents the difference between the average rate earned on earning assets and the average rate paid on interest-bearing liabilities, also on a tax-equivalent basis, was 3.34% in 2016 compared to 3.04% in 2015 and 3.09% in 2014.</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net interest margin discussion above is based upon annual results and average balances, which does not fully explain the trends of the net interest margin during the year. The quarterly net interest margins were as follows: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3.13%</w:t>
            </w:r>
          </w:p>
        </w:tc>
      </w:tr>
    </w:tbl>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2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7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2,839</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3,096</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15,789</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12,600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12,600</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Mortgage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7,165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4,787</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Security gains,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4,336</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3,585</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3,585</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1,531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75,169</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64,792</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2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58,941</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non-interest income of $75.2 million increased $10.4 million from $64.8 million in 2015. Total non-interest income of $64.8 million increased $5.9 million from $58.9 million in 2014. The 2016 results were inclusive of Pulaski since the transaction closed on April 30,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Combined wealth management revenue, consisting of trust fees and commissions and broker’s fees, net, decreased slightly to $23.1 million in 2016 compared to $23.5 million in 2015. The 2016 decrease was primarily a result of market performance in the beginning of the year, as well as a reduction in retirement plan based revenue. Combined wealth management revenue, consisting of trust fees and commissions and broker’s fees, net, of $23.5 million in 2015 rose $1.2 million from $22.3 million in 2014. As Pulaski generated no legacy fee income from these businesses, the addition of these service offerings in its markets should provide attractive growth opportunities. Furthermore, the Company believes the boutique services offered by Trevett within its suite of wealth services broadens its business base and enhances its ability to further develop revenue sources. In addition, our professional farm management and brokerage services are entrusted to care and maximize value for landowners of prime farmland in Illinois.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Remittance processing revenue relates to our payment processing company, FirsTech. Remittance processing revenue of $11.3 million in 2016 increased 1.2% compared to $11.1 million in 2015. Remittance processing revenue of $11.1 million in 2015 increased 18.0% compared to $9.4 million in 2014. The increases were primarily due to growth in online and mobile service revenues, with some offset to growth based on customers lost through consolidation with other companies in the normal course of business. Remittance processing adds important diversity to our revenue stream while widening our array of service offerings to larger commercial clients within our footprint and nationally.</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$23.3 million in 2016 as compared to $19.1 million in 2015, largely due to the Pulaski acquisition. Service charges on deposit accounts combined with other service charges and fees increased in 2015 as compared to $18.3 million in 2014. Evolving regulation, product changes and changing behaviors by our client base may impact the revenue derived from charges on deposit accounts.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Mortgage revenue of $12.0 million in 2016 increased $4.8 million compared to $7.2 million in 2015 principally from the additional mortgage activity contributed by the operations acquired from Pulaski. Mortgage revenue of $7.2 million in 2015 increased $1.1 million compared to $6.1 million in 2014. The additional mortgage volume is also reflected in the increase in cash flows for mortgage loans originated of $1.82 billion for 2016 compared to $267.7 million in 2015 and $223.0 million in 2014. The Company has historically held a leading position in its primary residential loan markets in Central Illinois, while the operations acquired from Pulaski have been ranked among the top residential mortgage loan producers in the St. Louis and Kansas City markets. Beginning on January 1, 2016, the Company prospectively adopted an alternative conforming approach to the accounting for loan fees and costs for mortgage loans held for sale, which reclassifies origination costs, including related compensation expense from salaries, wages and employee benefits, to mortgage revenue.</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Security gains, net, of $1.2 million in 2016 increased compared to $0.4 million in 2015. Security gains, net, of $0.4 million in 2015 decreased compared to $0.8 million in 2014. Security gains, net, vary based on the Company’s decisions around selling securities. The 2016 increase primarily related to a first quarter 2016 strategic bond trade that repositioned the investment portfolio to maintain future net interest margin strength and simultaneously elevated the current economic value to stockholders through non-interest income. The Company sold $31.1 million of seasoned To-Be-Announced eligible residential mortgage-backed securities to take advantage of a price floor phenomenon, with related gains of $1.1 million on the sale. The sales proceeds were reinvested within normal investment parameters at similar yields to the securities sold.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income of $4.3 million in 2016 increased as compared to $3.6 million in 2015 and increased in 2015 as compared to $2.1 million in 2014, across multiple revenue streams and fluctuations on private equity investments.</w:t>
      </w:r>
    </w:p>
    <w:p>
      <w:pPr>
        <w:sectPr>
          <w:pgSz w:w="11900" w:h="16838" w:orient="portrait"/>
          <w:cols w:equalWidth="0" w:num="1">
            <w:col w:w="11420"/>
          </w:cols>
          <w:pgMar w:left="240" w:top="125" w:right="239" w:bottom="0" w:gutter="0" w:footer="0" w:header="0"/>
        </w:sectPr>
      </w:pPr>
    </w:p>
    <w:bookmarkStart w:id="28" w:name="page29"/>
    <w:bookmarkEnd w:id="28"/>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4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Salaries, wages and employee</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78,397</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63,516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Net occupancy expense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premises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8,704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2,929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8,704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12,940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7,705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12,940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10,879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2,061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Regulatory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2,357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115,305</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115,305</w:t>
            </w:r>
          </w:p>
        </w:tc>
        <w:tc>
          <w:tcPr>
            <w:tcW w:w="220" w:type="dxa"/>
            <w:vAlign w:val="bottom"/>
          </w:tcPr>
          <w:p>
            <w:pPr>
              <w:spacing w:after="0"/>
              <w:rPr>
                <w:sz w:val="21"/>
                <w:szCs w:val="21"/>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108,209</w:t>
            </w:r>
          </w:p>
        </w:tc>
        <w:tc>
          <w:tcPr>
            <w:tcW w:w="2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26,723</w:t>
            </w: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6,027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20,696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17,534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Effective rate on income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Full-time equivalent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w w:val="99"/>
              </w:rPr>
              <w:t>employees as of period-end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Total non-interest expense of $147.9 million in 2016 increased by $32.6 million as compared to $115.3 million in 2015 and increased by $7.1 million in 2015 as compared to $108.2 million in 2014. Pre-tax acquisition expenses of $10.0 million related to Pulaski impacted 2016 while pre-tax acquisition expenses of $1.0 million related to Herget Financial impacted 2015. We continue to examine all areas of the Company and remain focused on expense discipline.</w:t>
      </w:r>
    </w:p>
    <w:p>
      <w:pPr>
        <w:ind w:right="380"/>
        <w:spacing w:after="0" w:line="261" w:lineRule="auto"/>
        <w:rPr>
          <w:sz w:val="20"/>
          <w:szCs w:val="20"/>
          <w:color w:val="auto"/>
        </w:rPr>
      </w:pPr>
      <w:r>
        <w:rPr>
          <w:rFonts w:ascii="Arial" w:cs="Arial" w:eastAsia="Arial" w:hAnsi="Arial"/>
          <w:sz w:val="18"/>
          <w:szCs w:val="18"/>
          <w:color w:val="auto"/>
        </w:rPr>
        <w:t>Following the planned Merger with First Community, acquisition expenses relating to the integration of First Community may have a negative impact on expenses in 2017.</w:t>
      </w:r>
    </w:p>
    <w:p>
      <w:pPr>
        <w:spacing w:after="0" w:line="18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Salaries, wages and employee benefits increased to $78.4 million in 2016 as compared to $63.5 million in 2015 and $61.3 million in 2014. For 2016, the increase in salaries, wages and employee benefits was due to an increased number of employees resulting from the Pulaski acquisition and $2.6 million in restructuring costs. The 2015 increase over 2014 was primarily due to first quarter restructuring expenses and an initial increase in the number of employees in connection with the Herget Financial acquisition. By the end of 2016, full-time equivalent employees totaled 1,295, up from 795 at December 31, 2015.</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Combined net occupancy expense of premises and furniture and equipment expenses of $18.2 million in 2016 increased as compared to $13.7 million in 2015 and increased in 2015 as compared to $13.2 million in 2014. The acquisition of Pulaski added 13 full-service branches and several loan production offices. We continue to evaluate our branch network and operations for appropriate cost control measures while seeking improvements in service delivery to our customers.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Data processing expense increased 59.5% in 2016 to $20.6 million as compared to $12.9 million in 2015 and increased 18.9% in 2015 as compared to $10.9 million in 2014. The 2016 increase was primarily due to additional data processing expense for the year related to Pulaski’s operations and $5.3 million of software conversion expenses related to the acquisition. 2015 expenses included $0.7 million of software conversion expenses related to the Herget Financial acquisition.</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Amortization of intangible assets increased in 2016 to $4.4 million as compared to $3.2 million in 2015 as a result of the Pulaski acquisition. Amortization of intangible assets increased in 2015 to $3.2 million as compared to $2.9 million in 2014 as a result of the Herget Financial acquisition.</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Regulatory expense increased 21.3% in 2016 to $2.9 million as compared to $2.4 million in 2015 as a result of the Pulaski acquisition. Regulatory expense increased 13.4% in 2015 to $2.4 million as compared to $2.1 million in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expense of $23.3 million in 2016 increased $3.7 million as compared to $19.6 million in 2015 and increased $1.8 million in 2015 as compared to $17.8 million in 2014. The 2016 increase was primarily the result of $1.9 million in Pulaski acquisition expenses and $0.8 million in fixed asset impairments. The 2015 increase was the result of restructuring initiatives, which included $0.7 million in fixed asset impairments, $0.6 million of Herget Financial acquisition related expenses and $0.2 million in costs exploring other strategic growth opportunities.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rate on income taxes, or income taxes divided by income before taxes, of 35.0%, 34.7% and 34.9% for the years ended December 31, 2016, 2015 and 2014, respectively,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The Company continues to monitor evolving federal and state tax legislation and its potential impact on operations on an ongoing basis.</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w:t>
      </w:r>
    </w:p>
    <w:p>
      <w:pPr>
        <w:sectPr>
          <w:pgSz w:w="11900" w:h="16867" w:orient="portrait"/>
          <w:cols w:equalWidth="0" w:num="1">
            <w:col w:w="11420"/>
          </w:cols>
          <w:pgMar w:left="240" w:top="125" w:right="239" w:bottom="0" w:gutter="0" w:footer="0" w:header="0"/>
        </w:sectPr>
      </w:pPr>
    </w:p>
    <w:bookmarkStart w:id="29" w:name="page30"/>
    <w:bookmarkEnd w:id="29"/>
    <w:p>
      <w:pPr>
        <w:ind w:right="80"/>
        <w:spacing w:after="0" w:line="257" w:lineRule="auto"/>
        <w:rPr>
          <w:sz w:val="20"/>
          <w:szCs w:val="20"/>
          <w:color w:val="auto"/>
        </w:rPr>
      </w:pPr>
      <w:r>
        <w:rPr>
          <w:rFonts w:ascii="Arial" w:cs="Arial" w:eastAsia="Arial" w:hAnsi="Arial"/>
          <w:sz w:val="18"/>
          <w:szCs w:val="18"/>
          <w:color w:val="auto"/>
        </w:rPr>
        <w:t>community in the banking industry, measures the amount of expense that is incurred to generate a dollar of revenue. The efficiency ratio improved in 2016 to 61.8% as compared to 62.8% in 2015 and 65.1% in 2014. Acquisition expenses related to the integration of Pulaski and Herget Financial had an impact on the efficiency ratios for 2016 and 2015 and we expect that acquisition expenses related to the planned integration of First Community will have an impact on the efficiency ratio in 2017. We will continue to examine appropriate avenues to improve efficiency, as a focus in future periods, with an emphasis on revenue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759,811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834,838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(75,027)</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47,820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49,832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(2,012)</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256,319</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9,351</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246,968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2,580,252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1,250,853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3,998,976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1,426,194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881,685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252,448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3,240,165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2,407,421</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832,744</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1,085,192</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172,972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16,185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3,625,790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1,205,066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594,314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373,186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221,128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NM= not meaningful</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balance sheet was significantly impacted by the Pulaski acquisition. At the date of the acquisition, the fair value of Pulaski’s total assets was $1.6 billion, including $1.4 billion in loans and loans held for sale, and $1.2 billion in deposits. Our priorities continue to focus around balance sheet strength, profitability and growth. The Company remains strongly core deposit funded, with solid liquidity and significant market share in the communities it serves. With an active growth plan, our strong capital position, an attractive core funding base and a sound credit foundation, we feel confident that we are well positioned for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has classified the majority of its investment securities as available for sale. Securities available for sale are carried at fair value. Securities held to maturity are carried at cost, adjusted for amortization of premiums and accretion of discounts. As of December 31, 2016, the fair value of securities available for sale was $759.8 million and the amortized cost was $759.7 million. There were $4.1 million of gross unrealized gains and $4.0 million of gross unrealized losses for a net unrealized gain of $0.1 million. The unrealized gain, net of tax, has been included in stockholders’ equity. As of December 31, 2016, the amortized cost of securities held to maturity was $47.8 million and the fair value was $47.7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securities available for sale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0"/>
              </w:rPr>
              <w:t>As of December 31,</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right="3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74,944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65,191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50,606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102,640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104,656</w:t>
            </w: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Obligations of U.S. government corporations and</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agencies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79,127</w:t>
            </w:r>
          </w:p>
        </w:tc>
        <w:tc>
          <w:tcPr>
            <w:tcW w:w="2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132,605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167,010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257,411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370,194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154,938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178,612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220,161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272,152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280,288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302,249</w:t>
            </w:r>
          </w:p>
        </w:tc>
        <w:tc>
          <w:tcPr>
            <w:tcW w:w="2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307,549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235,636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177,735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217,715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143,343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148,805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79,307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25,506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5,210</w:t>
            </w:r>
          </w:p>
        </w:tc>
        <w:tc>
          <w:tcPr>
            <w:tcW w:w="2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5,866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securities available for sale</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Amortized cost</w:t>
            </w:r>
          </w:p>
        </w:tc>
        <w:tc>
          <w:tcPr>
            <w:tcW w:w="4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759,751</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830,935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749,364</w:t>
            </w:r>
          </w:p>
        </w:tc>
        <w:tc>
          <w:tcPr>
            <w:tcW w:w="2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833,735</w:t>
            </w:r>
          </w:p>
        </w:tc>
        <w:tc>
          <w:tcPr>
            <w:tcW w:w="2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978,477</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Fair value as a percentage of amortized cost</w:t>
            </w: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100.01</w:t>
            </w:r>
          </w:p>
        </w:tc>
        <w:tc>
          <w:tcPr>
            <w:tcW w:w="280" w:type="dxa"/>
            <w:vAlign w:val="bottom"/>
            <w:tcBorders>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100.47</w:t>
            </w: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101.29</w:t>
            </w:r>
          </w:p>
        </w:tc>
        <w:tc>
          <w:tcPr>
            <w:tcW w:w="2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100.91</w:t>
            </w:r>
          </w:p>
        </w:tc>
        <w:tc>
          <w:tcPr>
            <w:tcW w:w="2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102.35</w:t>
            </w: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86" w:lineRule="auto"/>
        <w:rPr>
          <w:sz w:val="20"/>
          <w:szCs w:val="20"/>
          <w:color w:val="auto"/>
        </w:rPr>
      </w:pPr>
      <w:r>
        <w:rPr>
          <w:rFonts w:ascii="Arial" w:cs="Arial" w:eastAsia="Arial" w:hAnsi="Arial"/>
          <w:sz w:val="17"/>
          <w:szCs w:val="17"/>
          <w:color w:val="auto"/>
        </w:rPr>
        <w:t>The Company had $47.8 million, $49.8 million and $2.4 million of securities classified as held to maturity at December 31, 2016, 2015 and 2014, respectively. There were no held to maturity securities in the prior years. Held to maturity securities are primarily obligations of states and political subdivisions. The increase in securities classified as held to maturity in 2015 primarily related to the Herget Financial acquisition.</w:t>
      </w:r>
    </w:p>
    <w:p>
      <w:pPr>
        <w:sectPr>
          <w:pgSz w:w="11900" w:h="16838" w:orient="portrait"/>
          <w:cols w:equalWidth="0" w:num="1">
            <w:col w:w="11420"/>
          </w:cols>
          <w:pgMar w:left="240" w:top="125" w:right="239" w:bottom="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8"/>
          <w:szCs w:val="18"/>
          <w:color w:val="auto"/>
        </w:rPr>
        <w:t>The primary purposes of the investment portfolio include providing a source of liquidity, providing collateral for pledging purposes against public monies and repurchase agreements, serving as a tool for interest rate risk positioning and providing a source of earnings by deploying funds which are not needed to fulfill loan demand, deposit redemptions or other liquidity purposes. Pledged securities totaled $547.2 million, or 67.8% of total securities, and $627.4 million, or 70.9% of total securities, at December 31, 2016 and 2015,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fair values and weighted average yields of securities available for sale and held to maturity as of December 31, 2016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vMerge w:val="restart"/>
          </w:tcPr>
          <w:p>
            <w:pPr>
              <w:jc w:val="right"/>
              <w:ind w:right="750"/>
              <w:spacing w:after="0"/>
              <w:rPr>
                <w:sz w:val="20"/>
                <w:szCs w:val="20"/>
                <w:color w:val="auto"/>
              </w:rPr>
            </w:pPr>
            <w:r>
              <w:rPr>
                <w:rFonts w:ascii="Arial" w:cs="Arial" w:eastAsia="Arial" w:hAnsi="Arial"/>
                <w:sz w:val="14"/>
                <w:szCs w:val="14"/>
                <w:b w:val="1"/>
                <w:bCs w:val="1"/>
                <w:color w:val="auto"/>
              </w:rPr>
              <w:t>Due in 1 year or less</w:t>
            </w: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Due after 1 year</w:t>
            </w: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Due after 5 years</w:t>
            </w:r>
          </w:p>
        </w:tc>
        <w:tc>
          <w:tcPr>
            <w:tcW w:w="200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5"/>
              </w:rPr>
              <w:t>Due after</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through 5 years</w:t>
            </w: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through 10 years</w:t>
            </w:r>
          </w:p>
        </w:tc>
        <w:tc>
          <w:tcPr>
            <w:tcW w:w="10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10 years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76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sale(1) (2)</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3"/>
          </w:tcPr>
          <w:p>
            <w:pPr>
              <w:jc w:val="center"/>
              <w:ind w:right="35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continue"/>
          </w:tcPr>
          <w:p>
            <w:pPr>
              <w:spacing w:after="0"/>
              <w:rPr>
                <w:sz w:val="12"/>
                <w:szCs w:val="12"/>
                <w:color w:val="auto"/>
              </w:rPr>
            </w:pPr>
          </w:p>
        </w:tc>
        <w:tc>
          <w:tcPr>
            <w:tcW w:w="1320" w:type="dxa"/>
            <w:vAlign w:val="bottom"/>
            <w:gridSpan w:val="3"/>
          </w:tcPr>
          <w:p>
            <w:pPr>
              <w:jc w:val="center"/>
              <w:ind w:right="305"/>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continue"/>
          </w:tcPr>
          <w:p>
            <w:pPr>
              <w:spacing w:after="0"/>
              <w:rPr>
                <w:sz w:val="12"/>
                <w:szCs w:val="12"/>
                <w:color w:val="auto"/>
              </w:rPr>
            </w:pPr>
          </w:p>
        </w:tc>
        <w:tc>
          <w:tcPr>
            <w:tcW w:w="130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vMerge w:val="continue"/>
          </w:tcPr>
          <w:p>
            <w:pPr>
              <w:spacing w:after="0"/>
              <w:rPr>
                <w:sz w:val="12"/>
                <w:szCs w:val="12"/>
                <w:color w:val="auto"/>
              </w:rPr>
            </w:pPr>
          </w:p>
        </w:tc>
        <w:tc>
          <w:tcPr>
            <w:tcW w:w="9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8"/>
              </w:rPr>
              <w:t>Yield(3)</w:t>
            </w: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3"/>
          </w:tcPr>
          <w:p>
            <w:pPr>
              <w:jc w:val="center"/>
              <w:ind w:right="325"/>
              <w:spacing w:after="0"/>
              <w:rPr>
                <w:sz w:val="20"/>
                <w:szCs w:val="20"/>
                <w:color w:val="auto"/>
              </w:rPr>
            </w:pPr>
            <w:r>
              <w:rPr>
                <w:rFonts w:ascii="Arial" w:cs="Arial" w:eastAsia="Arial" w:hAnsi="Arial"/>
                <w:sz w:val="14"/>
                <w:szCs w:val="14"/>
                <w:b w:val="1"/>
                <w:bCs w:val="1"/>
                <w:color w:val="auto"/>
                <w:w w:val="94"/>
              </w:rPr>
              <w:t>Yield(3)</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94"/>
              </w:rPr>
              <w:t>Yield(3)</w:t>
            </w:r>
          </w:p>
        </w:tc>
        <w:tc>
          <w:tcPr>
            <w:tcW w:w="10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Yield(3)</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48,257</w:t>
            </w: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1.12%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26,613</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1.56%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3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2.00% $</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government corporations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and agencies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30,705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48,422</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5"/>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political subdivisions(4)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84,450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29,155</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6,098</w:t>
            </w:r>
          </w:p>
        </w:tc>
        <w:tc>
          <w:tcPr>
            <w:tcW w:w="20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36,037</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260,111</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119,612</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305,626</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5"/>
              </w:rPr>
              <w:t>2.22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67,756</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5"/>
              </w:rPr>
              <w:t>3.54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261,607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vMerge w:val="restart"/>
          </w:tcPr>
          <w:p>
            <w:pPr>
              <w:jc w:val="right"/>
              <w:ind w:right="750"/>
              <w:spacing w:after="0"/>
              <w:rPr>
                <w:sz w:val="20"/>
                <w:szCs w:val="20"/>
                <w:color w:val="auto"/>
              </w:rPr>
            </w:pPr>
            <w:r>
              <w:rPr>
                <w:rFonts w:ascii="Arial" w:cs="Arial" w:eastAsia="Arial" w:hAnsi="Arial"/>
                <w:sz w:val="14"/>
                <w:szCs w:val="14"/>
                <w:b w:val="1"/>
                <w:bCs w:val="1"/>
                <w:color w:val="auto"/>
              </w:rPr>
              <w:t>Due in 1 year or less</w:t>
            </w: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Due after 1 year</w:t>
            </w: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Due after 5 years</w:t>
            </w:r>
          </w:p>
        </w:tc>
        <w:tc>
          <w:tcPr>
            <w:tcW w:w="200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5"/>
              </w:rPr>
              <w:t>Due after</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through 5 years</w:t>
            </w: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through 10 years</w:t>
            </w:r>
          </w:p>
        </w:tc>
        <w:tc>
          <w:tcPr>
            <w:tcW w:w="10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10 years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76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Held to maturity(1)</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3"/>
          </w:tcPr>
          <w:p>
            <w:pPr>
              <w:jc w:val="center"/>
              <w:ind w:right="35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continue"/>
          </w:tcPr>
          <w:p>
            <w:pPr>
              <w:spacing w:after="0"/>
              <w:rPr>
                <w:sz w:val="12"/>
                <w:szCs w:val="12"/>
                <w:color w:val="auto"/>
              </w:rPr>
            </w:pPr>
          </w:p>
        </w:tc>
        <w:tc>
          <w:tcPr>
            <w:tcW w:w="1320" w:type="dxa"/>
            <w:vAlign w:val="bottom"/>
            <w:gridSpan w:val="3"/>
          </w:tcPr>
          <w:p>
            <w:pPr>
              <w:jc w:val="center"/>
              <w:ind w:right="305"/>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continue"/>
          </w:tcPr>
          <w:p>
            <w:pPr>
              <w:spacing w:after="0"/>
              <w:rPr>
                <w:sz w:val="12"/>
                <w:szCs w:val="12"/>
                <w:color w:val="auto"/>
              </w:rPr>
            </w:pPr>
          </w:p>
        </w:tc>
        <w:tc>
          <w:tcPr>
            <w:tcW w:w="130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vMerge w:val="continue"/>
          </w:tcPr>
          <w:p>
            <w:pPr>
              <w:spacing w:after="0"/>
              <w:rPr>
                <w:sz w:val="12"/>
                <w:szCs w:val="12"/>
                <w:color w:val="auto"/>
              </w:rPr>
            </w:pPr>
          </w:p>
        </w:tc>
        <w:tc>
          <w:tcPr>
            <w:tcW w:w="9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8"/>
              </w:rPr>
              <w:t>Yield(3)</w:t>
            </w: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3"/>
          </w:tcPr>
          <w:p>
            <w:pPr>
              <w:jc w:val="center"/>
              <w:ind w:right="325"/>
              <w:spacing w:after="0"/>
              <w:rPr>
                <w:sz w:val="20"/>
                <w:szCs w:val="20"/>
                <w:color w:val="auto"/>
              </w:rPr>
            </w:pPr>
            <w:r>
              <w:rPr>
                <w:rFonts w:ascii="Arial" w:cs="Arial" w:eastAsia="Arial" w:hAnsi="Arial"/>
                <w:sz w:val="14"/>
                <w:szCs w:val="14"/>
                <w:b w:val="1"/>
                <w:bCs w:val="1"/>
                <w:color w:val="auto"/>
                <w:w w:val="94"/>
              </w:rPr>
              <w:t>Yield(3)</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94"/>
              </w:rPr>
              <w:t>Yield(3)</w:t>
            </w:r>
          </w:p>
        </w:tc>
        <w:tc>
          <w:tcPr>
            <w:tcW w:w="10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Yield(3)</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political subdivisions(4)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2.04%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19,721</w:t>
            </w: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2.58%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19,736</w:t>
            </w:r>
          </w:p>
        </w:tc>
        <w:tc>
          <w:tcPr>
            <w:tcW w:w="13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3.16%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Commercial mortgage-</w:t>
            </w:r>
          </w:p>
        </w:tc>
        <w:tc>
          <w:tcPr>
            <w:tcW w:w="180" w:type="dxa"/>
            <w:vAlign w:val="bottom"/>
          </w:tcPr>
          <w:p>
            <w:pPr>
              <w:spacing w:after="0"/>
              <w:rPr>
                <w:sz w:val="17"/>
                <w:szCs w:val="17"/>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tcPr>
          <w:p>
            <w:pPr>
              <w:jc w:val="right"/>
              <w:ind w:right="18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3,388</w:t>
            </w:r>
          </w:p>
        </w:tc>
        <w:tc>
          <w:tcPr>
            <w:tcW w:w="1120" w:type="dxa"/>
            <w:vAlign w:val="bottom"/>
            <w:gridSpan w:val="2"/>
            <w:vMerge w:val="restart"/>
          </w:tcPr>
          <w:p>
            <w:pPr>
              <w:ind w:left="5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7"/>
                <w:szCs w:val="17"/>
                <w:color w:val="auto"/>
              </w:rPr>
            </w:pPr>
          </w:p>
        </w:tc>
        <w:tc>
          <w:tcPr>
            <w:tcW w:w="10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2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w w:val="85"/>
              </w:rPr>
              <w:t>2.58</w:t>
            </w:r>
          </w:p>
        </w:tc>
        <w:tc>
          <w:tcPr>
            <w:tcW w:w="22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w w:val="85"/>
              </w:rPr>
              <w:t>3.07</w:t>
            </w:r>
          </w:p>
        </w:tc>
        <w:tc>
          <w:tcPr>
            <w:tcW w:w="22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are presented based upon final contractual maturity or pre-refunded date.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mutual funds and other equity securities.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with floating rates are assumed to remain constant at their rates as of December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yield calculated on a tax-equivalent basis, assuming a federal income tax rate of 35%.</w:t>
      </w:r>
    </w:p>
    <w:p>
      <w:pPr>
        <w:spacing w:after="0" w:line="21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consider many factors in determining the composition of our investment portfolio including, but not limited to, credit quality, duration, interest rate risk, liquidity, tax-equivalent yield, regulatory and overall portfolio allocation. As of December 31, 2016, the Company did not have any non-U.S. Treasury securities or obligations of U.S. government corporations and agencies issued securities that exceeded 10% of the Company’s total stockholders’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originates conforming, residential mortgage loans directly through commission-based sales staffs in its market areas and through mortgage loan application leads purchased from internet-based sources. Loans held for sale totaled $256.3 million at December 31, 2016 compared to $9.4 million at December 31, 2015. The amount of loans held for sale significantly increased from December 31, 2015, as the acquisition of Pulaski significantly expanded the Company’s mortgage operations. The Company has historically held a leading position in its primary residential loan markets in Central Illinois, while the operations acquired from Pulaski have been ranked among the top residential mortgage loan producers in the St. Louis and Kansas City markets. Loans held for sale generate net interest income until loans are delivered to investors, at which point mortgage revenue will be recognized.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portfolio loans as of the dates indicated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959,888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656,576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580,612</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433,688</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1,654,164</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1,208,429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1,104,151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1,092,273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981,132</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182,078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86,101</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Retail real estate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1,069,060</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651,191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520,653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519,833</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12,353</w:t>
            </w:r>
          </w:p>
        </w:tc>
        <w:tc>
          <w:tcPr>
            <w:tcW w:w="80" w:type="dxa"/>
            <w:vAlign w:val="bottom"/>
            <w:shd w:val="clear" w:color="auto" w:fill="CCEEFF"/>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Portfolio loans</w:t>
            </w:r>
          </w:p>
        </w:tc>
        <w:tc>
          <w:tcPr>
            <w:tcW w:w="13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2,405,290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2,281,460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1" w:name="page32"/>
    <w:bookmarkEnd w:id="3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portfolio loans by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87"/>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Missouri</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114"/>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565,853</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346,204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19,207</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28,624</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878,018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470,126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150,940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155,080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12,789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479,026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468,212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105,620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16,202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895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1,988,289</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1,356,537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289,451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244,623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portfolio loans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5"/>
            <w:vMerge w:val="restart"/>
          </w:tcPr>
          <w:p>
            <w:pPr>
              <w:jc w:val="center"/>
              <w:ind w:left="54"/>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Indiana</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7"/>
          </w:tcPr>
          <w:p>
            <w:pPr>
              <w:jc w:val="center"/>
              <w:ind w:right="1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606,542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33,893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907,628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166,885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133,916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47,466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34,070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523,540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108,088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19,563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14,125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2,099,301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portfolio loans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Portfolio loans, before allowance for loan losses, increased 47.6% to $3.88 billion as of December 31, 2016 from $2.63 billion at December 31, 2015. The growth was primarily due to the Pulaski acquisition. Commercial balances (consisting of commercial, commercial real estate and real estate construction loans) increased $834.6 million from December 31, 2015. Retail real estate and retail other loans increased $416.6 million from December 31, 2015.</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Commitments to extend credit and standby letters of credit totaled approximately $895.2 million and $633.9 million as of December 31, 2016 and 2015, respectively.</w:t>
      </w:r>
    </w:p>
    <w:p>
      <w:pPr>
        <w:spacing w:after="0" w:line="17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Relationship banking, rather than transactional banking, remains a focus for the Company in 2017. Relationship banking implies a primary banking relationship with the borrower that includes, at minimum, an active deposit banking relationship in addition to the lending relationship.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illustrated by the tables above, we have a concentration of loans within commercial real estate. Generally, these loans are collateralized by assets of the borrowers. The loans are expected to be repaid from cash flows from operations of the property or the borrower or from proceeds from the sale of selected assets of the borrowers.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remaining maturities of selected loans (excluding loan accretion and certain real estate-mortgage loans and installment loans to individuals) at December 31,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1 Year or Less</w:t>
            </w:r>
          </w:p>
        </w:tc>
        <w:tc>
          <w:tcPr>
            <w:tcW w:w="2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1 to 5 Years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Over 5 Years</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ind w:lef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332,582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367,444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1,053,356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237,172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93,776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995,456</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1,458,137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349,964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rate sensitivity of selected loans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1,186,754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322,010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Adjustable rate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455,733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271,383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27,954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755,070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activity affecting the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portfolio loans outstanding during period</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3,394,352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2,518,328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2,290,441</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2,105,769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Allowance for loan losses: Balance at beginning of</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period</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47,487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47,453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47,567</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48,012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Loans charged-off:</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3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(2,106)</w:t>
            </w: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(1,534)</w:t>
            </w: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(3,052)</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(4,015)</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charge-offs</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(30,063)</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1,266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w:t>
            </w: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2,379</w:t>
            </w:r>
          </w:p>
        </w:tc>
        <w:tc>
          <w:tcPr>
            <w:tcW w:w="3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1,612</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706</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729</w:t>
            </w: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recoveries</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loans charged-off</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(26,994)</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47,795</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47,453</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47,567</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48,012</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Ratios:</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180"/>
              <w:spacing w:after="0"/>
              <w:rPr>
                <w:sz w:val="20"/>
                <w:szCs w:val="20"/>
                <w:color w:val="auto"/>
              </w:rPr>
            </w:pPr>
            <w:r>
              <w:rPr>
                <w:rFonts w:ascii="Arial" w:cs="Arial" w:eastAsia="Arial" w:hAnsi="Arial"/>
                <w:sz w:val="18"/>
                <w:szCs w:val="18"/>
                <w:color w:val="auto"/>
              </w:rPr>
              <w:t>Net charge-offs to average portfolio loans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3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Allowance for loan losses to portfolio loans at period</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3"/>
                <w:szCs w:val="13"/>
                <w:color w:val="auto"/>
              </w:rPr>
            </w:pPr>
          </w:p>
        </w:tc>
        <w:tc>
          <w:tcPr>
            <w:tcW w:w="10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allowance for loan losses was $47.8 million, or 1.23% of portfolio loans, and $47.5 million, or 1.81% of portfolio loans, at December 31, 2016 and 2015, respectively. The following table sets forth the allowance for loan losses by loan categories as of December 31 for each of the years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3"/>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3"/>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90"/>
              </w:rPr>
              <w:t>to Total</w:t>
            </w:r>
          </w:p>
        </w:tc>
        <w:tc>
          <w:tcPr>
            <w:tcW w:w="10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4"/>
              </w:rPr>
              <w:t>to Total</w:t>
            </w:r>
          </w:p>
        </w:tc>
        <w:tc>
          <w:tcPr>
            <w:tcW w:w="10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94"/>
              </w:rPr>
              <w:t>to Total</w:t>
            </w:r>
          </w:p>
        </w:tc>
        <w:tc>
          <w:tcPr>
            <w:tcW w:w="80" w:type="dxa"/>
            <w:vAlign w:val="bottom"/>
          </w:tcPr>
          <w:p>
            <w:pPr>
              <w:spacing w:after="0"/>
              <w:rPr>
                <w:sz w:val="12"/>
                <w:szCs w:val="12"/>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to 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to Total</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6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6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45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13,115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8,034</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20"/>
                <w:szCs w:val="20"/>
                <w:color w:val="auto"/>
              </w:rPr>
            </w:pPr>
            <w:r>
              <w:rPr>
                <w:rFonts w:ascii="Arial" w:cs="Arial" w:eastAsia="Arial" w:hAnsi="Arial"/>
                <w:sz w:val="16"/>
                <w:szCs w:val="16"/>
                <w:color w:val="auto"/>
              </w:rPr>
              <w:t>Commercial real</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estate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20,623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18,604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20,639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22,112</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21,085</w:t>
            </w: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9"/>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Real estate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4,842</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20"/>
                <w:szCs w:val="20"/>
                <w:color w:val="auto"/>
              </w:rPr>
            </w:pPr>
            <w:r>
              <w:rPr>
                <w:rFonts w:ascii="Arial" w:cs="Arial" w:eastAsia="Arial" w:hAnsi="Arial"/>
                <w:sz w:val="16"/>
                <w:szCs w:val="16"/>
                <w:color w:val="auto"/>
              </w:rPr>
              <w:t>Retail real estate</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11,648</w:t>
            </w:r>
          </w:p>
        </w:tc>
        <w:tc>
          <w:tcPr>
            <w:tcW w:w="8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13,714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11,149</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13,724</w:t>
            </w: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Retail 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9"/>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9"/>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9"/>
              <w:spacing w:after="0"/>
              <w:rPr>
                <w:sz w:val="20"/>
                <w:szCs w:val="20"/>
                <w:color w:val="auto"/>
              </w:rPr>
            </w:pPr>
            <w:r>
              <w:rPr>
                <w:rFonts w:ascii="Arial" w:cs="Arial" w:eastAsia="Arial" w:hAnsi="Arial"/>
                <w:sz w:val="16"/>
                <w:szCs w:val="16"/>
                <w:color w:val="auto"/>
                <w:w w:val="84"/>
              </w:rPr>
              <w: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7"/>
        </w:trPr>
        <w:tc>
          <w:tcPr>
            <w:tcW w:w="1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47,795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47,487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47,453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47,567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vMerge w:val="continue"/>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48,012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December 31, 2016,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 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provision for loan losses increased to $5.6 million in 2016 compared to $1.6 million in 2015 and $2.0 million in 2014. The increase in provision for loan losses from 2015 was in part driven by the Pulaski acquisition and resulting acquisition accounting, which does not permit the carryover of the allowance for loan losses on acquired loans. Instead, these loans are carried net of a fair value adjustment made at the merger date for credit risk and interest rates and are included in the allowance calculation only to the extent that the reserve requirement exceeds such fair value adjustment. However, as the acquired loans renew and as the Company originates new loan production, it is necessary to establish an allowance for losses, which represents an amount that, in management’s opinion, will be adequate to absorb probable credit losses.</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ectPr>
          <w:pgSz w:w="11900" w:h="16838" w:orient="portrait"/>
          <w:cols w:equalWidth="0" w:num="1">
            <w:col w:w="11460"/>
          </w:cols>
          <w:pgMar w:left="240" w:top="140" w:right="199" w:bottom="0" w:gutter="0" w:footer="0" w:header="0"/>
        </w:sectPr>
      </w:pPr>
    </w:p>
    <w:bookmarkStart w:id="33" w:name="page34"/>
    <w:bookmarkEnd w:id="33"/>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non-performing loans and performing restructured loans at December 31 for each year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Repossessed assets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4"/>
              </w:rPr>
              <w:t>Other assets acquired in satisfaction of debts previously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contracted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real estate owned (“OREO”)</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 and OREO</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Non-performing loans to portfolio loans, before</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0.76%</w:t>
            </w:r>
          </w:p>
        </w:tc>
        <w:tc>
          <w:tcPr>
            <w:tcW w:w="240" w:type="dxa"/>
            <w:vAlign w:val="bottom"/>
          </w:tcPr>
          <w:p>
            <w:pPr>
              <w:spacing w:after="0"/>
              <w:rPr>
                <w:sz w:val="13"/>
                <w:szCs w:val="13"/>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Non-performing loans and OREO to portfolio loans,</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allowance for loan losses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Performing restructured loans not included above</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10,652</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8,830</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11,866</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11,891</w:t>
            </w:r>
          </w:p>
        </w:tc>
        <w:tc>
          <w:tcPr>
            <w:tcW w:w="3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Total non-performing loans and OREO were $24.1 million at December 31, 2016, compared to $13.5 million at December 31, 2015. Asset quality metrics remain dependent upon market-specific economic conditions, and specific measures may fluctuate from quarter to quarter. The 2016 totals reflect the post-combination results of acquiring Pulaski.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$50.2 million at December 31, 2016, compared to $29.2 million at December 31, 2015. Management continues to monitor these credits and anticipates that restructurings, guarantees, additional collateral or other planned actions will result in full repayment of the debts. As of December 31, 2016, management identified no other loans that represent or result from trends or uncertainties which management reasonably expected to materially impact future operating results, liquidity or capital resources. As of December 31, 2016, management was not aware of any information about any other credits which caused management to have serious doubts as to the ability of such borrower(s) to comply with the loan repayment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indicated in the following table, average noninterest-bearing deposits as a percentage of average total deposits increased to 23.8% for the year ended December 31, 2016, from 22.7% for the year ended December 31, 2015, and 20.7% for the year ended December 31, 2014. We continue to focus on deepening our relationship value with customers, which, in turn, fosters deposit growth. In addition, deposit growth was impacted in 2016 by the Pulaski acquisition and in 2015 by the Herget Financial acquisition.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499"/>
              <w:spacing w:after="0"/>
              <w:rPr>
                <w:sz w:val="20"/>
                <w:szCs w:val="20"/>
                <w:color w:val="auto"/>
              </w:rPr>
            </w:pPr>
            <w:r>
              <w:rPr>
                <w:rFonts w:ascii="Arial" w:cs="Arial" w:eastAsia="Arial" w:hAnsi="Arial"/>
                <w:sz w:val="14"/>
                <w:szCs w:val="14"/>
                <w:b w:val="1"/>
                <w:bCs w:val="1"/>
                <w:color w:val="auto"/>
                <w:w w:val="91"/>
              </w:rPr>
              <w:t>Years Ended December 31,</w:t>
            </w: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0"/>
                <w:szCs w:val="10"/>
                <w:color w:val="auto"/>
              </w:rPr>
            </w:pPr>
          </w:p>
        </w:tc>
        <w:tc>
          <w:tcPr>
            <w:tcW w:w="2220" w:type="dxa"/>
            <w:vAlign w:val="bottom"/>
            <w:gridSpan w:val="5"/>
          </w:tcPr>
          <w:p>
            <w:pPr>
              <w:jc w:val="center"/>
              <w:ind w:left="479"/>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9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 Total</w:t>
            </w: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2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6"/>
              </w:rPr>
              <w:t>% Total</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 Total</w:t>
            </w: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940" w:type="dxa"/>
            <w:vAlign w:val="bottom"/>
            <w:gridSpan w:val="2"/>
            <w:vMerge w:val="continue"/>
          </w:tcPr>
          <w:p>
            <w:pPr>
              <w:spacing w:after="0"/>
              <w:rPr>
                <w:sz w:val="14"/>
                <w:szCs w:val="14"/>
                <w:color w:val="auto"/>
              </w:rPr>
            </w:pP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20" w:type="dxa"/>
            <w:vAlign w:val="bottom"/>
            <w:gridSpan w:val="3"/>
            <w:vMerge w:val="continue"/>
          </w:tcPr>
          <w:p>
            <w:pPr>
              <w:spacing w:after="0"/>
              <w:rPr>
                <w:sz w:val="14"/>
                <w:szCs w:val="14"/>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vMerge w:val="continue"/>
          </w:tcPr>
          <w:p>
            <w:pPr>
              <w:spacing w:after="0"/>
              <w:rPr>
                <w:sz w:val="14"/>
                <w:szCs w:val="14"/>
                <w:color w:val="auto"/>
              </w:rPr>
            </w:pPr>
          </w:p>
        </w:tc>
        <w:tc>
          <w:tcPr>
            <w:tcW w:w="9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Noninterest-</w:t>
            </w: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bearing demand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949,271</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717,854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596,058</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Interest-bearing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demand, saving</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and money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market deposits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2,316,413</w:t>
            </w:r>
          </w:p>
        </w:tc>
        <w:tc>
          <w:tcPr>
            <w:tcW w:w="18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58.1%</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1,950,411</w:t>
            </w:r>
          </w:p>
        </w:tc>
        <w:tc>
          <w:tcPr>
            <w:tcW w:w="16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1,741,887</w:t>
            </w:r>
          </w:p>
        </w:tc>
        <w:tc>
          <w:tcPr>
            <w:tcW w:w="16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721,124</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3,986,808</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3,168,561</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2,875,360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At December 31, 2016, the ending balance of time deposits with a minimum denomination of $100,000 was approximately $350.7 million with the following maturities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Under 3 months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105,093</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3 to 6 months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64,487</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6 to 12 months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92,995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Over 12 months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88,154</w:t>
            </w: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900" w:orient="portrait"/>
          <w:cols w:equalWidth="0" w:num="1">
            <w:col w:w="11460"/>
          </w:cols>
          <w:pgMar w:left="240" w:top="341" w:right="199" w:bottom="0" w:gutter="0" w:footer="0" w:header="0"/>
        </w:sectPr>
      </w:pPr>
    </w:p>
    <w:bookmarkStart w:id="34" w:name="page35"/>
    <w:bookmarkEnd w:id="3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3673475</wp:posOffset>
            </wp:positionH>
            <wp:positionV relativeFrom="page">
              <wp:posOffset>97790</wp:posOffset>
            </wp:positionV>
            <wp:extent cx="857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885" cy="8890"/>
                    </a:xfrm>
                    <a:prstGeom prst="rect">
                      <a:avLst/>
                    </a:prstGeom>
                    <a:noFill/>
                  </pic:spPr>
                </pic:pic>
              </a:graphicData>
            </a:graphic>
          </wp:anchor>
        </w:drawing>
        <w:t>Interest-bearing transaction deposits included $36.9 million and $7.8 million of reciprocal brokered transaction deposits at December 31, 2016 and 2015, respectively. Savings deposits included $22.2 million of reciprocal brokered deposits at December 31, 2016. There were no reciprocal brokered deposits in savings deposits at December 31, 2015.</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National deposits of $0.1 million and $0.4 million were included in the balance of time deposits as of December 31, 2016 and 2015, respectively. The Company had reciprocal brokered time deposits of $93.4 million and $0.4 million at December 31, 2016 and 2015, respectively, included in the balance of time deposits. The Company had brokered deposits of $5.0 million at December 31, 2016, which are included in the balance of time deposits. There were no brokered deposits at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the distribution of short-term borrowings and weighted average interest rates thereon as of December 31, 2016, 2015 and 2014. Securities sold under agreements to repurchase generally represent overnight borrowing transactions. Short-term borrowings include FHLB advances which mature in less than one year from date of origination.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on November 18, 2016, the Company entered into Amendment No. 1 to a credit agreement with a national bank to extend a revolving loan facility to the Company in the maximum principal amount of $20.0 million. The loan has an annual interest rate of 2.50% plus the one-month LIBOR rate and has a maturity date of November 19, 2017. The loan also bears a non-usage fee calculated based on the average daily principal balance of the loan outstanding during the prior fiscal quarter. The Company had no amount outstanding on December 31, 2016 and 2015; however, during 2016 the Company drew on the loan.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189,157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172,972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216,293</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202,376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181,474</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179,662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236,700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96,698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2,596</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(1)The weighted average interest rate is computed by dividing total interest for the period by the average daily balance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(2)Includes interest and non-usage fee.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ectPr>
          <w:pgSz w:w="11900" w:h="16838" w:orient="portrait"/>
          <w:cols w:equalWidth="0" w:num="1">
            <w:col w:w="11420"/>
          </w:cols>
          <w:pgMar w:left="240" w:top="368" w:right="239" w:bottom="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Average liquid assets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due from banks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Interest-bearing bank deposits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funds sold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Percent of average 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right"/>
              <w:ind w:right="190"/>
              <w:spacing w:after="0" w:line="128" w:lineRule="exact"/>
              <w:rPr>
                <w:sz w:val="20"/>
                <w:szCs w:val="20"/>
                <w:color w:val="auto"/>
              </w:rPr>
            </w:pPr>
            <w:r>
              <w:rPr>
                <w:rFonts w:ascii="Arial" w:cs="Arial" w:eastAsia="Arial" w:hAnsi="Arial"/>
                <w:sz w:val="14"/>
                <w:szCs w:val="14"/>
                <w:b w:val="1"/>
                <w:bCs w:val="1"/>
                <w:color w:val="auto"/>
                <w:w w:val="90"/>
              </w:rPr>
              <w:t>(dollars in thousands)</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70,785</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86,942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87,884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232,460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160,948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1,344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304,589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324,761</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248,832</w:t>
            </w:r>
          </w:p>
        </w:tc>
        <w:tc>
          <w:tcPr>
            <w:tcW w:w="20" w:type="dxa"/>
            <w:vAlign w:val="bottom"/>
            <w:tcBorders>
              <w:bottom w:val="single" w:sz="8" w:color="auto"/>
            </w:tcBorders>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-745490</wp:posOffset>
            </wp:positionV>
            <wp:extent cx="695515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-471170</wp:posOffset>
            </wp:positionV>
            <wp:extent cx="695515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-179705</wp:posOffset>
            </wp:positionV>
            <wp:extent cx="695515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5515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368" w:right="239" w:bottom="0" w:gutter="0" w:footer="0" w:header="0"/>
          <w:type w:val="continuous"/>
        </w:sectPr>
      </w:pP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and the Federal Reserve and brokered deposits.</w:t>
      </w:r>
    </w:p>
    <w:p>
      <w:pPr>
        <w:sectPr>
          <w:pgSz w:w="11900" w:h="16838" w:orient="portrait"/>
          <w:cols w:equalWidth="0" w:num="1">
            <w:col w:w="11420"/>
          </w:cols>
          <w:pgMar w:left="240" w:top="368" w:right="239" w:bottom="0" w:gutter="0" w:footer="0" w:header="0"/>
          <w:type w:val="continuous"/>
        </w:sectPr>
      </w:pPr>
    </w:p>
    <w:bookmarkStart w:id="35" w:name="page36"/>
    <w:bookmarkEnd w:id="35"/>
    <w:p>
      <w:pPr>
        <w:ind w:right="300"/>
        <w:spacing w:after="0" w:line="264" w:lineRule="auto"/>
        <w:rPr>
          <w:sz w:val="20"/>
          <w:szCs w:val="20"/>
          <w:color w:val="auto"/>
        </w:rPr>
      </w:pPr>
      <w:r>
        <w:rPr>
          <w:rFonts w:ascii="Arial" w:cs="Arial" w:eastAsia="Arial" w:hAnsi="Arial"/>
          <w:sz w:val="18"/>
          <w:szCs w:val="18"/>
          <w:color w:val="auto"/>
        </w:rPr>
        <w:t>During 2015 and 2014, the Company took on a modest level of long-term debt taking advantage of low interest rates and attractive funding options by executing $30.0 million and $50.0 million in FHLB discount note indexed advances, respectively. The variable rate notes range in maturity from nineteen months to ten years with options to prepay at par prior to maturity.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2016,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$30.0 million on October 21, 2016. The Company expects to seek regulatory approval for additional capital distributions in future periods. Pulaski Bank had positive retained earnings and was able to pay a dividend to First Busey prior to the bank merger.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Bank routinely enters into commitments to extend credit and standby letters of credit in the normal course of its business. As of December 31, 2016 and 2015, we had outstanding loan commitments and standby letters of credit of $895.2 million and $633.9 million,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certain contractual obligations and other commitments. Such obligations generally relate to funding of operations through deposits, debt issuance, and property and equipment leases. The following table summarizes significant contractual obligations and other commitments as of December 31, 2016: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Junior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Certificates of</w:t>
            </w:r>
          </w:p>
        </w:tc>
        <w:tc>
          <w:tcPr>
            <w:tcW w:w="18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Debt Owed to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Unconsolidated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Deposit</w:t>
            </w:r>
          </w:p>
        </w:tc>
        <w:tc>
          <w:tcPr>
            <w:tcW w:w="18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Trusts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572,052</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2018</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151,415</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2,218</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153,633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59,313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1,723</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81,036</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16,459</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1,566</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70,868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84,529</w:t>
            </w:r>
          </w:p>
        </w:tc>
        <w:tc>
          <w:tcPr>
            <w:tcW w:w="0" w:type="dxa"/>
            <w:vAlign w:val="bottom"/>
          </w:tcPr>
          <w:p>
            <w:pPr>
              <w:spacing w:after="0"/>
              <w:rPr>
                <w:sz w:val="1"/>
                <w:szCs w:val="1"/>
                <w:color w:val="auto"/>
              </w:rPr>
            </w:pPr>
          </w:p>
        </w:tc>
      </w:tr>
      <w:tr>
        <w:trPr>
          <w:trHeight w:val="210"/>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Commitments to extend credit and standby letters of credit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895,222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Net cash flows used in operating activities totaled $21.1 million in 2016 compared to cash flows provided by operating activities of $61.5 million and $68.1 million in 2015 and 2014, respectively. Significant items affecting the cash flows provided by operating activities include net income, depreciation and amortization expense, the provision for loan losses, deferred income taxes, </w:t>
      </w:r>
      <w:r>
        <w:rPr>
          <w:rFonts w:ascii="Arial" w:cs="Arial" w:eastAsia="Arial" w:hAnsi="Arial"/>
          <w:sz w:val="16"/>
          <w:szCs w:val="16"/>
          <w:color w:val="auto"/>
        </w:rPr>
        <w:t>gain on sales of mortgage loans, net of origination costs</w:t>
      </w:r>
      <w:r>
        <w:rPr>
          <w:rFonts w:ascii="Arial" w:cs="Arial" w:eastAsia="Arial" w:hAnsi="Arial"/>
          <w:sz w:val="17"/>
          <w:szCs w:val="17"/>
          <w:color w:val="auto"/>
        </w:rPr>
        <w:t xml:space="preserve"> and activities related to the origination and sales of loans held for sale. Net cash used in mortgage loan originations was $55.4 million in 2016, compared to cash provided by mortgage loan originations of $8.6 million in 2015 and $8.2 million in 2014, as 2016 results were significantly impacted by the Pulaski acquisition. Fluctuations in sales are also a function of changes in market rates for mortgage loans, which influence refinance activity.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investing activities was $149.9 million in 2016, compared to cash used by investment activities of $134.2 million in 2015, and $51.3 million in 2014. Significant items affecting cash flows from investing activities are those activities associated with managing the Company’s investment and loan portfolios and cash received in acquisitions. The Company experienced a net increase in loans of $1.3 million in 2016, excluding Pulaski acquired loans, $118.4 million in 2015 and $126.6 million in 2014.</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financing activities totaled $281.4 million in 2016, compared to cash provided by financial activities of $52.6 million in 2015 and $91.0 million in 2014. Significant items affecting cash flows from financing activities are deposits, short-term borrowings, long-term debt, payment of dividends and proceeds and redemption from stock issuances. Deposits, which represent the Company’s primary funding source, decreased by $142.1 million in 2016, excluding Pulaski acquired deposits, compared to an increase of $146.4 million in 2015 and $31.7 million in 2014. The 2016 decrease related to certificates of deposit while demand deposits, money market and savings accounts had an increase. Securities sold under agreements to repurchase decreased $6.7 million in 2016 and $25.9 million in 2015 but increased by $26.5 million in 2014. In 2015 and 2014, the Company took on a modest level of long-term debt taking advantage of low interest rates and attractive funding options. In 2015, the Company redeemed all of the 72,664 shares of its Senior Non-Cumulative Perpetual Preferred Stock, Series C (“Series C Preferred Stock”) that had been issued to the Treasury pursuant to the Small Business Lending Fund (“SBLF”)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ectPr>
          <w:pgSz w:w="11900" w:h="16838" w:orient="portrait"/>
          <w:cols w:equalWidth="0" w:num="1">
            <w:col w:w="11420"/>
          </w:cols>
          <w:pgMar w:left="240" w:top="125" w:right="239" w:bottom="0" w:gutter="0" w:footer="0" w:header="0"/>
        </w:sectPr>
      </w:pPr>
    </w:p>
    <w:bookmarkStart w:id="36" w:name="page37"/>
    <w:bookmarkEnd w:id="36"/>
    <w:p>
      <w:pPr>
        <w:ind w:right="40"/>
        <w:spacing w:after="0" w:line="257" w:lineRule="auto"/>
        <w:rPr>
          <w:sz w:val="20"/>
          <w:szCs w:val="20"/>
          <w:color w:val="auto"/>
        </w:rPr>
      </w:pPr>
      <w:r>
        <w:rPr>
          <w:rFonts w:ascii="Arial" w:cs="Arial" w:eastAsia="Arial" w:hAnsi="Arial"/>
          <w:sz w:val="18"/>
          <w:szCs w:val="18"/>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2016, the guidelines, including the capital conservation buffer, required bank holding companies and their subsidiary banks to maintain a total capital to total risk-weighted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 ratio of not less than 8.625%, Tier 1 capital to total risk-weighted asset ratio of not less than 6.625%, Common Equity Tier 1 capital to total risk-weighted asset ratio of not less than 5.125% and a Tier 1 leverage ratio of not less than 4.00%. These minimum capital requirements increase annually until the Basel III Rule is fully phased-in on January 1, 2019. As of December 31, 2016, First Busey had a total capital to total risk-weighted asset ratio of 14.04%, a Tier 1 capital to risk-weighted asset ratio of 12.92%, Common Equity Tier 1 capital to risk-weighted asset ratio of 11.22% and a Tier 1 leverage ratio of 10.45%; Busey Bank had ratios of 12.86%, 11.74%, 11.74% and 9.45%,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Preferred Stock Under the Small Business Lending Fund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25, 2011, the Company entered into the Purchase Agreement with the Treasury, pursuant to which the Company issued and sold to the Treasury 72,664 shares of its Series C Preferred Stock, having a liquidation preference of $1,000 per share, for aggregate proceeds of $72,664,000. On December 18, 2015, the Company redeemed all of the 72,664 shares of its Series C Preferred Stock that had been issued to the Treasury pursuant to the SBLF program. The shares were redeemed at their liquidation value of $1,000 per share plus accrued and unpaid dividends to, but excluding December 18, 2015. The redemption was approved by the Company’s primary federal regulator and terminated the Company’s participation in the SBLF program. Before redemption, the Series C Preferred Stock qualified as Tier 1 capital for the Company. Non-cumulative dividends were payable quarterly on the Series C Preferred Stock, which began October 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CPP Warrant</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Company’s participation in the Capital Purchase Program (“CPP”), the Company issued to Treasury a warrant to purchase 382,555 shares of the Company’s common stock. Subsequent to the date of the Company’s participation in the CPP, it raised additional capital through a public offering of common stock and, as a result of that offering, the number of shares of common stock subject to the warrant were reduced by 50% to 191,278. On November 23, 2011 the Treasury completed an auction to sell its warrant in a private transaction. At December 31, 2016, this warrant to purchase 191,278 shares of the Company’s common stock, at an exercise price of $39.21, remained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Company reviews new accounting standards as issued. Information relating to accounting pronouncements issued and applicable to the Company in 2016 appears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xml:space="preserve"> in the Notes to the Consolidated Financial Statements. The Company has not identified any other standards that it believes merit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Average Balance Sheets and Interest Rates and Item 7A. Quantitative and Qualitative Disclosures About Market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First Busey has an asset-liability committee, whose policy is to meet at least quarterly, to review current market conditions and attempts to structure the balance sheet to ensure stable net interest income despite potential changes in interest rates with all other variables constant.</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December 31, 2016 and 2015, due to the current low interest rate environment, a downward adjustment in federal fund rates was not meaningful.</w:t>
      </w:r>
    </w:p>
    <w:p>
      <w:pPr>
        <w:sectPr>
          <w:pgSz w:w="11900" w:h="16838" w:orient="portrait"/>
          <w:cols w:equalWidth="0" w:num="1">
            <w:col w:w="11420"/>
          </w:cols>
          <w:pgMar w:left="240" w:top="125" w:right="239" w:bottom="0" w:gutter="0" w:footer="0" w:header="0"/>
        </w:sectPr>
      </w:pPr>
    </w:p>
    <w:bookmarkStart w:id="37" w:name="page38"/>
    <w:bookmarkEnd w:id="37"/>
    <w:p>
      <w:pPr>
        <w:spacing w:after="0" w:line="11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40" w:type="dxa"/>
            <w:vAlign w:val="bottom"/>
            <w:gridSpan w:val="2"/>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100" w:type="dxa"/>
            <w:vAlign w:val="bottom"/>
            <w:tcBorders>
              <w:top w:val="single" w:sz="8" w:color="auto"/>
            </w:tcBorders>
            <w:gridSpan w:val="3"/>
          </w:tcPr>
          <w:p>
            <w:pPr>
              <w:ind w:left="820"/>
              <w:spacing w:after="0" w:line="142" w:lineRule="exact"/>
              <w:rPr>
                <w:sz w:val="20"/>
                <w:szCs w:val="20"/>
                <w:color w:val="auto"/>
              </w:rPr>
            </w:pPr>
            <w:r>
              <w:rPr>
                <w:rFonts w:ascii="Arial" w:cs="Arial" w:eastAsia="Arial" w:hAnsi="Arial"/>
                <w:sz w:val="14"/>
                <w:szCs w:val="14"/>
                <w:b w:val="1"/>
                <w:bCs w:val="1"/>
                <w:color w:val="auto"/>
                <w:w w:val="92"/>
              </w:rPr>
              <w:t>-300</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+100</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Year-Two: Basis Point Changes</w:t>
            </w: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40" w:type="dxa"/>
            <w:vAlign w:val="bottom"/>
            <w:gridSpan w:val="2"/>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100" w:type="dxa"/>
            <w:vAlign w:val="bottom"/>
            <w:gridSpan w:val="3"/>
          </w:tcPr>
          <w:p>
            <w:pPr>
              <w:ind w:left="820"/>
              <w:spacing w:after="0" w:line="142" w:lineRule="exact"/>
              <w:rPr>
                <w:sz w:val="20"/>
                <w:szCs w:val="20"/>
                <w:color w:val="auto"/>
              </w:rPr>
            </w:pPr>
            <w:r>
              <w:rPr>
                <w:rFonts w:ascii="Arial" w:cs="Arial" w:eastAsia="Arial" w:hAnsi="Arial"/>
                <w:sz w:val="14"/>
                <w:szCs w:val="14"/>
                <w:b w:val="1"/>
                <w:bCs w:val="1"/>
                <w:color w:val="auto"/>
                <w:w w:val="92"/>
              </w:rPr>
              <w:t>-300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80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+100</w:t>
            </w:r>
          </w:p>
        </w:tc>
        <w:tc>
          <w:tcPr>
            <w:tcW w:w="34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w:t>
            </w:r>
          </w:p>
        </w:tc>
        <w:tc>
          <w:tcPr>
            <w:tcW w:w="34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Pr>
          <w:p>
            <w:pPr>
              <w:spacing w:after="0"/>
              <w:rPr>
                <w:sz w:val="12"/>
                <w:szCs w:val="12"/>
                <w:color w:val="auto"/>
              </w:rPr>
            </w:pPr>
          </w:p>
        </w:tc>
        <w:tc>
          <w:tcPr>
            <w:tcW w:w="8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presented beginning on page 65, and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December 31, 2016, under the supervision and with the participation of our Chief Executive Officer, Chief Financial Officer and several other members of our senior management. Based on this evaluation, our Chief Executive Officer and Chief Financial Officer concluded that, as of December 31, 2016,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2016, management assessed the effectiveness of the Company’s internal control over financial reporting based on the criteria for effective internal control over financial reporting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 (“COSO”) in 2013. Based on this assessment, management determined that the Company maintained effective internal control over financial reporting as of December 31, 2016, based on the COSO criteria.</w:t>
      </w:r>
    </w:p>
    <w:p>
      <w:pPr>
        <w:spacing w:after="0" w:line="18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RSM US LLP, an independent registered public accounting firm that audited the Consolidated Financial Statements of the Company included in this Annual Report on Form 10-K, has issued an audit opinion on the effectiveness of the Company’s internal control over financial reporting as of December 31, 2016. The report, which expresses an unqualified opinion on the effectiveness of the Company’s internal control over financial reporting as of December 31, 2016, is included in this Item under the heading “</w:t>
      </w:r>
      <w:r>
        <w:rPr>
          <w:rFonts w:ascii="Arial" w:cs="Arial" w:eastAsia="Arial" w:hAnsi="Arial"/>
          <w:sz w:val="16"/>
          <w:szCs w:val="16"/>
          <w:i w:val="1"/>
          <w:iCs w:val="1"/>
          <w:color w:val="auto"/>
        </w:rPr>
        <w:t>Report of Independent Registered Public Accounting Firm on Internal Control over Financial Reporting.</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First Busey Corporation</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We have audited First Busey Corporation’s internal control over financial reporting as of December 31, 2016,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in 2013. First Busey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w:t>
      </w:r>
    </w:p>
    <w:p>
      <w:pPr>
        <w:sectPr>
          <w:pgSz w:w="11900" w:h="16952" w:orient="portrait"/>
          <w:cols w:equalWidth="0" w:num="1">
            <w:col w:w="11420"/>
          </w:cols>
          <w:pgMar w:left="240" w:top="125" w:right="239" w:bottom="0" w:gutter="0" w:footer="0" w:header="0"/>
        </w:sectPr>
      </w:pPr>
    </w:p>
    <w:bookmarkStart w:id="38" w:name="page39"/>
    <w:bookmarkEnd w:id="38"/>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our opinion, First Busey Corporation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w:t>
      </w:r>
      <w:r>
        <w:rPr>
          <w:rFonts w:ascii="Arial" w:cs="Arial" w:eastAsia="Arial" w:hAnsi="Arial"/>
          <w:sz w:val="18"/>
          <w:szCs w:val="18"/>
          <w:i w:val="1"/>
          <w:iCs w:val="1"/>
          <w:color w:val="auto"/>
        </w:rPr>
        <w:t>.</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of First Busey Corporation and subsidiaries and our report dated February 28, 2017,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ended December 31, 2016, no change occurred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0" w:firstLine="8"/>
        <w:spacing w:after="0" w:line="312"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Directors of the Registrant and Corporate Governance. Information required by this Item is incorporated herein by reference to First Busey’s Proxy Statement for its 2017 Annual Meeting of Stockholders to be filed with the SEC within 120 days of First Busey’s fiscal year-end under the captions “Proposal 1: Election of Directors,” “Section 16(a) Beneficial Ownership Reporting Compliance,” and “Corporate Governance and Board of Directors Matters.”</w:t>
      </w:r>
    </w:p>
    <w:p>
      <w:pPr>
        <w:spacing w:after="0" w:line="146" w:lineRule="exact"/>
        <w:rPr>
          <w:rFonts w:ascii="Arial" w:cs="Arial" w:eastAsia="Arial" w:hAnsi="Arial"/>
          <w:sz w:val="16"/>
          <w:szCs w:val="16"/>
          <w:color w:val="auto"/>
        </w:rPr>
      </w:pPr>
    </w:p>
    <w:p>
      <w:pPr>
        <w:ind w:right="24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Officers of the Registrant. The information required by this item is incorporated herein by reference to Part I, Item I of this Form 10-K under the caption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2017 Annual Meeting of Stockholders to be filed with the SEC within 120 days of First Busey’s fiscal year-end under the captions “Director Compensation,” “Compensation Discussion and Analysis,” “Executive Management Compensation and Succession Committee Report,” “Compensation of Named Executive Officers,” and “Executive Management Compensation and Succession Committee Interlocks and Insider Participation.”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following table discloses the number of outstanding options, warrants and rights granted by First Busey to participants in equity compensation plans, as well as the number of securities remaining available for future issuance under these plans as of December 31, 2016. The table provides this information separately for equity compensation plans that have and have not been approved by security holders. Additional information regarding stock incentive plans is presented in </w:t>
      </w:r>
      <w:r>
        <w:rPr>
          <w:rFonts w:ascii="Arial" w:cs="Arial" w:eastAsia="Arial" w:hAnsi="Arial"/>
          <w:sz w:val="16"/>
          <w:szCs w:val="16"/>
          <w:i w:val="1"/>
          <w:iCs w:val="1"/>
          <w:color w:val="auto"/>
        </w:rPr>
        <w:t>“Note 17. Share-based Compensation”</w:t>
      </w:r>
      <w:r>
        <w:rPr>
          <w:rFonts w:ascii="Arial" w:cs="Arial" w:eastAsia="Arial" w:hAnsi="Arial"/>
          <w:sz w:val="16"/>
          <w:szCs w:val="16"/>
          <w:color w:val="auto"/>
        </w:rPr>
        <w:t xml:space="preserve"> in the Notes to the Consolidated Financial Statements included pursuant to Item 8.</w:t>
      </w:r>
    </w:p>
    <w:p>
      <w:pPr>
        <w:sectPr>
          <w:pgSz w:w="11900" w:h="16905" w:orient="portrait"/>
          <w:cols w:equalWidth="0" w:num="1">
            <w:col w:w="11420"/>
          </w:cols>
          <w:pgMar w:left="240" w:top="125" w:right="239" w:bottom="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(a)</w:t>
      </w:r>
    </w:p>
    <w:p>
      <w:pPr>
        <w:spacing w:after="0" w:line="4"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Number 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(b)</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Weighted-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(c)</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Number of</w:t>
      </w:r>
    </w:p>
    <w:p>
      <w:pPr>
        <w:sectPr>
          <w:pgSz w:w="11900" w:h="16905" w:orient="portrait"/>
          <w:cols w:equalWidth="0" w:num="4">
            <w:col w:w="5880" w:space="720"/>
            <w:col w:w="1180" w:space="720"/>
            <w:col w:w="1080" w:space="720"/>
            <w:col w:w="1120"/>
          </w:cols>
          <w:pgMar w:left="240" w:top="125" w:right="23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remaining for</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future issuance</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 equity</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options,warrants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rights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rights(1)</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plans (excluding</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w:t>
            </w:r>
          </w:p>
        </w:tc>
      </w:tr>
      <w:tr>
        <w:trPr>
          <w:trHeight w:val="149"/>
        </w:trPr>
        <w:tc>
          <w:tcPr>
            <w:tcW w:w="5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reflected in</w:t>
            </w:r>
          </w:p>
        </w:tc>
      </w:tr>
      <w:tr>
        <w:trPr>
          <w:trHeight w:val="17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stockholders(2)</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855,451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(1)The weighted average exercise price only relates to 209,382 stock options.</w:t>
      </w:r>
    </w:p>
    <w:p>
      <w:pPr>
        <w:spacing w:after="0" w:line="23" w:lineRule="exact"/>
        <w:rPr>
          <w:sz w:val="20"/>
          <w:szCs w:val="20"/>
          <w:color w:val="auto"/>
        </w:rPr>
      </w:pPr>
    </w:p>
    <w:p>
      <w:pPr>
        <w:jc w:val="both"/>
        <w:ind w:left="220" w:right="120" w:hanging="206"/>
        <w:spacing w:after="0" w:line="255" w:lineRule="auto"/>
        <w:rPr>
          <w:sz w:val="20"/>
          <w:szCs w:val="20"/>
          <w:color w:val="auto"/>
        </w:rPr>
      </w:pPr>
      <w:r>
        <w:rPr>
          <w:rFonts w:ascii="Arial" w:cs="Arial" w:eastAsia="Arial" w:hAnsi="Arial"/>
          <w:sz w:val="18"/>
          <w:szCs w:val="18"/>
          <w:color w:val="auto"/>
        </w:rPr>
        <w:t>(2)Includes outstanding awards under the First Busey Corporation 2010 Equity Incentive Plan, as amended, the First Busey Corporation 2004 Stock Option Plan, the Main Street Trust, Inc. 2000 Stock Incentive Plan, the Pulaski Financial Corp. 2006 Long-Term Incentive Plan, the Pulaski Financial Corp. 2002 Stock Option Plan and the Pulaski Financial Corp. 2000 Stock- Based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Other information required by Item 12 is incorporated herein by reference to First Busey’s Proxy Statement for its 2017 Annual Meeting of Stockholders to be filed with the SEC within 120 days of First Busey’s fiscal year-end under the caption “Stock Ownership of Certain Beneficial Owners and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2017 Annual Meeting of Stockholders to be filed with the SEC within 120 days of First Busey’s fiscal year-end under the captions “Certain Relationships and Related-Person Transactions” and “Corporate Governance and Board of Directors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2017 Annual Meeting of Stockholders to be filed with the SEC within 120 days of First Busey’s fiscal year-end under the caption “Audit and Related Fees.”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list of exhibits to this Form 10-K is set forth on the Exhibit Index immediately following the signature page hereto and is incorporated into this report by reference. Our Consolidated Financial Statements can be found immediately following the Exhibit Index.</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BUSEY CORPORATION</w:t>
      </w:r>
    </w:p>
    <w:p>
      <w:pPr>
        <w:spacing w:after="0" w:line="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VAN A. DUKEMAN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SUSAN K. MILLER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Deputy 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04"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Signature</w:t>
            </w:r>
          </w:p>
        </w:tc>
        <w:tc>
          <w:tcPr>
            <w:tcW w:w="380" w:type="dxa"/>
            <w:vAlign w:val="bottom"/>
          </w:tcPr>
          <w:p>
            <w:pPr>
              <w:spacing w:after="0"/>
              <w:rPr>
                <w:sz w:val="14"/>
                <w:szCs w:val="14"/>
                <w:color w:val="auto"/>
              </w:rPr>
            </w:pPr>
          </w:p>
        </w:tc>
        <w:tc>
          <w:tcPr>
            <w:tcW w:w="4780" w:type="dxa"/>
            <w:vAlign w:val="bottom"/>
            <w:gridSpan w:val="2"/>
          </w:tcPr>
          <w:p>
            <w:pPr>
              <w:ind w:left="2060"/>
              <w:spacing w:after="0"/>
              <w:rPr>
                <w:sz w:val="20"/>
                <w:szCs w:val="20"/>
                <w:color w:val="auto"/>
              </w:rPr>
            </w:pPr>
            <w:r>
              <w:rPr>
                <w:rFonts w:ascii="Arial" w:cs="Arial" w:eastAsia="Arial" w:hAnsi="Arial"/>
                <w:sz w:val="14"/>
                <w:szCs w:val="14"/>
                <w:b w:val="1"/>
                <w:bCs w:val="1"/>
                <w:color w:val="auto"/>
              </w:rPr>
              <w:t>Title</w:t>
            </w:r>
          </w:p>
        </w:tc>
        <w:tc>
          <w:tcPr>
            <w:tcW w:w="2180" w:type="dxa"/>
            <w:vAlign w:val="bottom"/>
          </w:tcPr>
          <w:p>
            <w:pPr>
              <w:ind w:left="94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rPr>
              <w:t>/s/ VAN A. DUKEMAN</w:t>
            </w:r>
          </w:p>
        </w:tc>
        <w:tc>
          <w:tcPr>
            <w:tcW w:w="38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Director</w:t>
            </w:r>
          </w:p>
        </w:tc>
        <w:tc>
          <w:tcPr>
            <w:tcW w:w="380" w:type="dxa"/>
            <w:vAlign w:val="bottom"/>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Van A. Dukeman</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ROBIN N. ELLIOTT</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Robin N. Elliott</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80" w:type="dxa"/>
            <w:vAlign w:val="bottom"/>
            <w:gridSpan w:val="5"/>
            <w:vMerge w:val="restart"/>
          </w:tcPr>
          <w:p>
            <w:pPr>
              <w:spacing w:after="0"/>
              <w:rPr>
                <w:sz w:val="20"/>
                <w:szCs w:val="20"/>
                <w:color w:val="auto"/>
              </w:rPr>
            </w:pPr>
            <w:r>
              <w:rPr>
                <w:rFonts w:ascii="Arial" w:cs="Arial" w:eastAsia="Arial" w:hAnsi="Arial"/>
                <w:sz w:val="18"/>
                <w:szCs w:val="18"/>
                <w:color w:val="auto"/>
              </w:rPr>
              <w:t>/s/ SUSAN K. MILLER</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Deputy Chief Financial Officer and Chief Accounting</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80" w:type="dxa"/>
            <w:vAlign w:val="bottom"/>
            <w:gridSpan w:val="5"/>
            <w:vMerge w:val="continue"/>
          </w:tcPr>
          <w:p>
            <w:pPr>
              <w:spacing w:after="0"/>
              <w:rPr>
                <w:sz w:val="9"/>
                <w:szCs w:val="9"/>
                <w:color w:val="auto"/>
              </w:rPr>
            </w:pPr>
          </w:p>
        </w:tc>
        <w:tc>
          <w:tcPr>
            <w:tcW w:w="380" w:type="dxa"/>
            <w:vAlign w:val="bottom"/>
          </w:tcPr>
          <w:p>
            <w:pPr>
              <w:spacing w:after="0"/>
              <w:rPr>
                <w:sz w:val="9"/>
                <w:szCs w:val="9"/>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21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780" w:type="dxa"/>
            <w:vAlign w:val="bottom"/>
            <w:gridSpan w:val="2"/>
            <w:vMerge w:val="continu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60" w:type="dxa"/>
            <w:vAlign w:val="bottom"/>
            <w:gridSpan w:val="4"/>
            <w:vMerge w:val="restart"/>
          </w:tcPr>
          <w:p>
            <w:pPr>
              <w:spacing w:after="0"/>
              <w:rPr>
                <w:sz w:val="20"/>
                <w:szCs w:val="20"/>
                <w:color w:val="auto"/>
              </w:rPr>
            </w:pPr>
            <w:r>
              <w:rPr>
                <w:rFonts w:ascii="Arial" w:cs="Arial" w:eastAsia="Arial" w:hAnsi="Arial"/>
                <w:sz w:val="18"/>
                <w:szCs w:val="18"/>
                <w:color w:val="auto"/>
              </w:rPr>
              <w:t>Susan K. Miller</w:t>
            </w:r>
          </w:p>
        </w:tc>
        <w:tc>
          <w:tcPr>
            <w:tcW w:w="24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780" w:type="dxa"/>
            <w:vAlign w:val="bottom"/>
            <w:gridSpan w:val="2"/>
            <w:vMerge w:val="continue"/>
          </w:tcPr>
          <w:p>
            <w:pPr>
              <w:spacing w:after="0"/>
              <w:rPr>
                <w:sz w:val="7"/>
                <w:szCs w:val="7"/>
                <w:color w:val="auto"/>
              </w:rPr>
            </w:pPr>
          </w:p>
        </w:tc>
        <w:tc>
          <w:tcPr>
            <w:tcW w:w="2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660" w:type="dxa"/>
            <w:vAlign w:val="bottom"/>
            <w:gridSpan w:val="4"/>
            <w:vMerge w:val="continue"/>
          </w:tcPr>
          <w:p>
            <w:pPr>
              <w:spacing w:after="0"/>
              <w:rPr>
                <w:sz w:val="11"/>
                <w:szCs w:val="11"/>
                <w:color w:val="auto"/>
              </w:rPr>
            </w:pPr>
          </w:p>
        </w:tc>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(Principal Accounting Officer)</w:t>
            </w:r>
          </w:p>
        </w:tc>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780" w:type="dxa"/>
            <w:vAlign w:val="bottom"/>
            <w:gridSpan w:val="2"/>
            <w:vMerge w:val="continue"/>
          </w:tcPr>
          <w:p>
            <w:pPr>
              <w:spacing w:after="0"/>
              <w:rPr>
                <w:sz w:val="8"/>
                <w:szCs w:val="8"/>
                <w:color w:val="auto"/>
              </w:rPr>
            </w:pPr>
          </w:p>
        </w:tc>
        <w:tc>
          <w:tcPr>
            <w:tcW w:w="2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GREGORY B. LYKINS</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Gregory B. Lykins</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JOSEPH M. AMBROSE</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Joseph M. Ambrose</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STANLEY J. BRADSHAW</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w w:val="99"/>
              </w:rPr>
              <w:t>Stanley J. Bradshaw</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DAVID J. DOWNEY</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David J. Downey</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STEPHEN V. KING</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Stephen V. King</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E. PHILLIPS KNOX</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E. Phillips Knox</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V. B. LEISTER, JR.</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V. B. Leister, Jr.</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AUGUST C. MEYER, JR.</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w w:val="99"/>
              </w:rPr>
              <w:t>August C. Meyer, Jr.</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GEORGE T. SHAPLAND</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George T. Shapland</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THOMAS G. SLOAN</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Thomas G. Sloan</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/s/ JON D. STEWART</w:t>
            </w:r>
          </w:p>
        </w:tc>
        <w:tc>
          <w:tcPr>
            <w:tcW w:w="24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Jon D. Stewart</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PHYLLIS M. WISE</w:t>
            </w:r>
          </w:p>
        </w:tc>
        <w:tc>
          <w:tcPr>
            <w:tcW w:w="3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80" w:type="dxa"/>
            <w:vAlign w:val="bottom"/>
          </w:tcPr>
          <w:p>
            <w:pPr>
              <w:spacing w:after="0"/>
              <w:rPr>
                <w:sz w:val="20"/>
                <w:szCs w:val="20"/>
                <w:color w:val="auto"/>
              </w:rPr>
            </w:pPr>
            <w:r>
              <w:rPr>
                <w:rFonts w:ascii="Arial" w:cs="Arial" w:eastAsia="Arial" w:hAnsi="Arial"/>
                <w:sz w:val="18"/>
                <w:szCs w:val="18"/>
                <w:color w:val="auto"/>
              </w:rPr>
              <w:t>February 28,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60" w:type="dxa"/>
            <w:vAlign w:val="bottom"/>
            <w:gridSpan w:val="4"/>
          </w:tcPr>
          <w:p>
            <w:pPr>
              <w:spacing w:after="0"/>
              <w:rPr>
                <w:sz w:val="20"/>
                <w:szCs w:val="20"/>
                <w:color w:val="auto"/>
              </w:rPr>
            </w:pPr>
            <w:r>
              <w:rPr>
                <w:rFonts w:ascii="Arial" w:cs="Arial" w:eastAsia="Arial" w:hAnsi="Arial"/>
                <w:sz w:val="18"/>
                <w:szCs w:val="18"/>
                <w:color w:val="auto"/>
              </w:rPr>
              <w:t>Phyllis M. Wise</w:t>
            </w:r>
          </w:p>
        </w:tc>
        <w:tc>
          <w:tcPr>
            <w:tcW w:w="2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80" w:type="dxa"/>
            <w:vAlign w:val="bottom"/>
            <w:gridSpan w:val="2"/>
          </w:tcPr>
          <w:p>
            <w:pPr>
              <w:jc w:val="right"/>
              <w:ind w:right="297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4"/>
              </w:rPr>
              <w:t>Exhibit Index</w:t>
            </w: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Description of Exhibit</w:t>
            </w: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80" w:type="dxa"/>
            <w:vAlign w:val="bottom"/>
            <w:gridSpan w:val="2"/>
            <w:vMerge w:val="continue"/>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6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280" w:type="dxa"/>
            <w:vAlign w:val="bottom"/>
            <w:gridSpan w:val="2"/>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7"/>
              </w:rPr>
              <w:t>Amended and Restated Articles of Incorporation of First Busey Corporation, together with: (i) the Certificate of Amendment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2"/>
              </w:rPr>
              <w:t>Articles of Incorporation, dated July 31, 2007; (ii) the Certificate of Amendment to Articles of Incorporation, dated December 3,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660" w:right="80" w:firstLine="9"/>
        <w:spacing w:after="0" w:line="254" w:lineRule="auto"/>
        <w:tabs>
          <w:tab w:leader="none" w:pos="1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Certificate of Amendment to Articles of Incorporation, dated May 21, 2010; and (iv) the Certificate of Change Pursuant to Nevada Revised Statutes Section 78.209, dated September 8, 2015, (filed as Exhibit 3.1 to First Busey’s Quarterly Report on Form 10-Q for the quarter ended September 30, 2015, filed with the Commission on November 6, 2015 (Commission No. 0-15950), and incorporated herein by reference)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3.2</w:t>
            </w:r>
          </w:p>
        </w:tc>
        <w:tc>
          <w:tcPr>
            <w:tcW w:w="10280" w:type="dxa"/>
            <w:vAlign w:val="bottom"/>
          </w:tcPr>
          <w:p>
            <w:pPr>
              <w:ind w:left="700"/>
              <w:spacing w:after="0"/>
              <w:rPr>
                <w:sz w:val="20"/>
                <w:szCs w:val="20"/>
                <w:color w:val="auto"/>
              </w:rPr>
            </w:pPr>
            <w:r>
              <w:rPr>
                <w:rFonts w:ascii="Arial" w:cs="Arial" w:eastAsia="Arial" w:hAnsi="Arial"/>
                <w:sz w:val="18"/>
                <w:szCs w:val="18"/>
                <w:color w:val="auto"/>
                <w:w w:val="91"/>
              </w:rPr>
              <w:t>First Busey Corporation Amended and Restated By-Laws (filed as Exhibit 3.1 to First Busey’s Form 8-K dated November 18, 2008,</w:t>
            </w:r>
          </w:p>
        </w:tc>
      </w:tr>
      <w:tr>
        <w:trPr>
          <w:trHeight w:val="230"/>
        </w:trPr>
        <w:tc>
          <w:tcPr>
            <w:tcW w:w="960" w:type="dxa"/>
            <w:vAlign w:val="bottom"/>
          </w:tcPr>
          <w:p>
            <w:pPr>
              <w:spacing w:after="0"/>
              <w:rPr>
                <w:sz w:val="20"/>
                <w:szCs w:val="20"/>
                <w:color w:val="auto"/>
              </w:rPr>
            </w:pPr>
          </w:p>
        </w:tc>
        <w:tc>
          <w:tcPr>
            <w:tcW w:w="10280" w:type="dxa"/>
            <w:vAlign w:val="bottom"/>
          </w:tcPr>
          <w:p>
            <w:pPr>
              <w:ind w:left="700"/>
              <w:spacing w:after="0"/>
              <w:rPr>
                <w:sz w:val="20"/>
                <w:szCs w:val="20"/>
                <w:color w:val="auto"/>
              </w:rPr>
            </w:pPr>
            <w:r>
              <w:rPr>
                <w:rFonts w:ascii="Arial" w:cs="Arial" w:eastAsia="Arial" w:hAnsi="Arial"/>
                <w:sz w:val="18"/>
                <w:szCs w:val="18"/>
                <w:color w:val="auto"/>
              </w:rPr>
              <w:t>filed with the Commission on November 24, 2008 (Commission No. 0-15950), and incorporated herein by reference)</w:t>
            </w:r>
          </w:p>
        </w:tc>
      </w:tr>
      <w:tr>
        <w:trPr>
          <w:trHeight w:val="418"/>
        </w:trPr>
        <w:tc>
          <w:tcPr>
            <w:tcW w:w="960" w:type="dxa"/>
            <w:vAlign w:val="bottom"/>
          </w:tcPr>
          <w:p>
            <w:pPr>
              <w:jc w:val="right"/>
              <w:ind w:right="630"/>
              <w:spacing w:after="0"/>
              <w:rPr>
                <w:sz w:val="20"/>
                <w:szCs w:val="20"/>
                <w:color w:val="auto"/>
              </w:rPr>
            </w:pPr>
            <w:r>
              <w:rPr>
                <w:rFonts w:ascii="Arial" w:cs="Arial" w:eastAsia="Arial" w:hAnsi="Arial"/>
                <w:sz w:val="18"/>
                <w:szCs w:val="18"/>
                <w:color w:val="auto"/>
                <w:w w:val="87"/>
              </w:rPr>
              <w:t>4.1</w:t>
            </w:r>
          </w:p>
        </w:tc>
        <w:tc>
          <w:tcPr>
            <w:tcW w:w="10280" w:type="dxa"/>
            <w:vAlign w:val="bottom"/>
          </w:tcPr>
          <w:p>
            <w:pPr>
              <w:ind w:left="700"/>
              <w:spacing w:after="0"/>
              <w:rPr>
                <w:sz w:val="20"/>
                <w:szCs w:val="20"/>
                <w:color w:val="auto"/>
              </w:rPr>
            </w:pPr>
            <w:r>
              <w:rPr>
                <w:rFonts w:ascii="Arial" w:cs="Arial" w:eastAsia="Arial" w:hAnsi="Arial"/>
                <w:sz w:val="18"/>
                <w:szCs w:val="18"/>
                <w:color w:val="auto"/>
                <w:w w:val="91"/>
              </w:rPr>
              <w:t>Warrant to Purchase Common Stock, dated March 6, 2009 (filed as Exhibit 4.2 to First Busey’s Form 8-K dated March 4, 2009, filed</w:t>
            </w:r>
          </w:p>
        </w:tc>
      </w:tr>
      <w:tr>
        <w:trPr>
          <w:trHeight w:val="230"/>
        </w:trPr>
        <w:tc>
          <w:tcPr>
            <w:tcW w:w="960" w:type="dxa"/>
            <w:vAlign w:val="bottom"/>
          </w:tcPr>
          <w:p>
            <w:pPr>
              <w:spacing w:after="0"/>
              <w:rPr>
                <w:sz w:val="20"/>
                <w:szCs w:val="20"/>
                <w:color w:val="auto"/>
              </w:rPr>
            </w:pPr>
          </w:p>
        </w:tc>
        <w:tc>
          <w:tcPr>
            <w:tcW w:w="10280" w:type="dxa"/>
            <w:vAlign w:val="bottom"/>
          </w:tcPr>
          <w:p>
            <w:pPr>
              <w:ind w:left="700"/>
              <w:spacing w:after="0"/>
              <w:rPr>
                <w:sz w:val="20"/>
                <w:szCs w:val="20"/>
                <w:color w:val="auto"/>
              </w:rPr>
            </w:pPr>
            <w:r>
              <w:rPr>
                <w:rFonts w:ascii="Arial" w:cs="Arial" w:eastAsia="Arial" w:hAnsi="Arial"/>
                <w:sz w:val="18"/>
                <w:szCs w:val="18"/>
                <w:color w:val="auto"/>
              </w:rPr>
              <w:t>with the Commission on March 9, 2009 (Commission No. 0-15950), and incorporated herein by reference)</w:t>
            </w:r>
          </w:p>
        </w:tc>
      </w:tr>
    </w:tbl>
    <w:p>
      <w:pPr>
        <w:sectPr>
          <w:pgSz w:w="11900" w:h="16838" w:orient="portrait"/>
          <w:cols w:equalWidth="0" w:num="1">
            <w:col w:w="11460"/>
          </w:cols>
          <w:pgMar w:left="240" w:top="368" w:right="19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First Busey Corporation Profit Sharing Plan and Trust (filed as Exhibit 10.3 to First Busey’s Registration Statement on Form S-1</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(Registration No. 33-13973),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First Busey Corporation Employee Stock Ownership Plan (filed as Exhibit 10.7 to First Busey’s Annual Report on Form 10-K for the</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fiscal year ended December 31, 1988 (Registration No. 2-66201),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First Busey Corporation 2004 Stock Option Plan (filed as Annex D to First Busey’s definitive proxy statement filed with the</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on March 12, 2004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Employment agreement between First Busey Corporation and Barbara J. Harrington, dated September 20, 2006 (filed as Exhibit 99.6</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to First Busey’s Form 8-K dated September 20, 2006, filed with the Commission on September 21, 2006 (Commission No. 0-15950),</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and incorporated by reference herein)</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Main Street Trust, Inc. and Van A. Dukeman, dated December 26, 2001 (filed as Exhibit 10.2</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to Main Street Trust, Inc.’s Form 10-K for the year ended December 31, 2001, filed with the Commission on March 29, 2002</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000-30031), and incorporated by reference herein)</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Main Street Trust, Inc. 2000 Stock Incentive Plan (filed as Exhibit 10.1 to Main Street Trust, Inc.’s Form S-8 filed on November 29,</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2000 (Commission No. 333-50890), and incorporated by reference herein)</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Letter agreement between Main Street Trust, Inc. and Gregory B. Lykins, dated September 20, 2006 (filed as Exhibit 99.1 to Main</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1"/>
              </w:rPr>
              <w:t>Street Trust, Inc.’s Form 8-K dated September 20, 2006, filed on September 21, 2006 (Commission No. 000-30031), and incorporated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by reference herein)</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0"/>
              </w:rPr>
              <w:t>Letter agreement between Main Street Trust, Inc. and Van A. Dukeman, dated September 20, 2006 (filed as Exhibit 99.2 to Main Street</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Trust, Inc.’s Form 8-K dated September 20, 2006, filed on September 21, 2006 (Commission No. 000-30031), and incorporated by</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reference herein)</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7"/>
              </w:rPr>
              <w:t>Van A. Dukeman Addendum to Employment Agreement (filed as Exhibit 10.1 to First Busey’s Form 10-Q for the quarter ended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March 31, 2010, filed with the Commission on May 13, 2010 (Commission No. 0-15950), and incorporated herein by reference)</w:t>
            </w:r>
          </w:p>
        </w:tc>
      </w:tr>
      <w:tr>
        <w:trPr>
          <w:trHeight w:val="432"/>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60</w:t>
            </w:r>
          </w:p>
        </w:tc>
      </w:tr>
      <w:tr>
        <w:trPr>
          <w:trHeight w:val="132"/>
        </w:trPr>
        <w:tc>
          <w:tcPr>
            <w:tcW w:w="1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r>
      <w:tr>
        <w:trPr>
          <w:trHeight w:val="523"/>
        </w:trPr>
        <w:tc>
          <w:tcPr>
            <w:tcW w:w="1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Barbara J. Harrington Addendum to Employment Agreement (filed as Exhibit 10.3 to First Busey’s Form 10-Q for the quarter ended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March 31, 2010, filed with the Commission on May 13, 2010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5"/>
              </w:rPr>
              <w:t>Robert F. Plecki, Jr. Addendum to Employment Agreement (filed as Exhibit 10.4 to First Busey’s Form 10-Q for the quarter ended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March 31, 2010, filed with the Commission on May 13, 2010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Christopher M. Shroyer Addendum to Employment Agreement (filed as Exhibit 10.5 to First Busey’s Form 10-Q for the quarter ended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March 31, 2010, filed with the Commission on May 13, 2010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Securities Purchase Agreement, dated August 25, 2011, between First Busey and the Secretary of the Treasury, with respect to the</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issuance and sale of the Warrant to Purchase Common Stock (filed as Exhibit 10.1 to First Busey’s Form 8-K dated August 25, 2011,</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filed with the Commission on August 25, 2011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Van A. Dukeman First Amendment to Employment Agreement, dated December 31, 2008 (filed as Exhibit 10.1 to First Busey’s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8"/>
              </w:rPr>
              <w:t>Form 10-Q for the quarter ended March 31, 2012, filed with the Commission on May 8, 2012 (Commission No. 0-15950), and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Main Street Trust, Inc. and Christopher M. Shroyer, dated July 31, 2007 (filed as Exhibit 10.2</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5"/>
              </w:rPr>
              <w:t>to First Busey’s Form 10-Q for the quarter ended March 31, 2012, filed with the Commission on May 8, 2012 (Commission No. 0-</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Christopher M. Shroyer First Amendment to Employment Agreement, dated December 23, 2008 (filed as Exhibit 10.3 to First Busey’s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8"/>
              </w:rPr>
              <w:t>Form 10-Q for the quarter ended March 31, 2012, filed with the Commission on May 8, 2012 (Commission No. 0-15950), and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1"/>
              </w:rPr>
              <w:t>Employment agreement by and between Main Street Trust, Inc. and Robert F. Plecki, dated July 30, 2007 (filed as Exhibit 10.4 to First</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Busey’s Form 10-Q for the quarter ended March 31, 2012, filed with the Commission on May 8, 2012 (Commission No. 0-15950), and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7"/>
              </w:rPr>
              <w:t>Robert F. Plecki First Amendment to Employment Agreement, dated December 16, 2008 (filed as Exhibit 10.5 to First Busey’s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8"/>
              </w:rPr>
              <w:t>Form 10-Q for the quarter ended March 31, 2012, filed with the Commission on May 8, 2012 (Commission No. 0-15950), and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First Busey Corporation 2010 Equity Incentive Plan, as amended (filed as Appendix C to First Busey’s definitive proxy statement filed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with the Commission on April 17, 2015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Employment Agreement by and among First Busey Corporation, Busey Bank and John J. Powers, dated January 1, 2012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Exhibit 10.1 to First Busey’s Form 10-Q for the quarter ended March 31, 2013, filed with the Commission on May 9, 2013</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-5875655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-5875655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2" w:name="page43"/>
    <w:bookmarkEnd w:id="42"/>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Employment Agreement by and among First Busey Corporation, Busey Bank and Robin Elliott, dated February 1, 2014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Exhibit 10.1 to Form 8-K dated May 22, 2014, filed with the Commission on May 27, 2014 (Commission No. 0-15950), and</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Employment Agreement by and among First Busey Corporation, FirsTech Inc. and Howard Mooney, dated February 1, 2014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Exhibit 10.1 to First Busey’s Form 10-Q for the quarter ended March 31, 2015, filed with the Commission on May 8, 2015</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r>
        <w:trPr>
          <w:trHeight w:val="432"/>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61</w:t>
            </w:r>
          </w:p>
        </w:tc>
      </w:tr>
      <w:tr>
        <w:trPr>
          <w:trHeight w:val="132"/>
        </w:trPr>
        <w:tc>
          <w:tcPr>
            <w:tcW w:w="1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r>
      <w:tr>
        <w:trPr>
          <w:trHeight w:val="523"/>
        </w:trPr>
        <w:tc>
          <w:tcPr>
            <w:tcW w:w="1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5"/>
              </w:rPr>
              <w:t>Credit Agreement between First Busey Corporation and U.S. Bank National Association dated as of November 20, 2015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Exhibit 10.1 to Form 8-K dated November 20, 2015, filed with the Commission on November 25, 2015 (Commission No. 0-15950),</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Employment Agreement by and among First Busey Corporation, Busey Bank and Curt Anderson, dated February 1, 2014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Exhibit 10.1 to First Busey’s Form 10-Q for the quarter ended September 30, 2016, filed with the Commission on November 8, 2016</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7"/>
              </w:rPr>
              <w:t>Employment Agreement by and among First Busey Corporation, Busey Bank and Amy Randolph, dated April 1, 2014 (filed as</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Exhibit 10.2 to First Busey’s Form 10-Q for the quarter ended September 30, 2016, filed with the Commission on November 8, 2016</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Amendment No. 1 to Credit Agreement between First Busey Corporation and U.S. Bank National Association dated as of</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November 18, 2016 (filed as Exhibit 10.1 to Form 8-K dated November 18, 2016, filed with the Commission on November 22, 2016</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First Busey Corporation Executive Deferred Compensation Plan (filed as Exhibit 10.2 to First Busey’s Form 10-Q for the quarter</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ended March 31, 2015, filed with the Commission on May 8, 2015 (Commission No. 0-15950),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2"/>
              </w:rPr>
              <w:t>Form of Restricted Stock Unit Award Agreement under the First Busey Corporation 2010 Equity Incentive Plan, as amended (filed as</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Exhibit 4.4 to First Busey’s Form S-8 filed on June 22, 2010 (Commission No. 333-167683),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8"/>
              </w:rPr>
              <w:t>First Busey Corporation Employee Stock Purchase Plan (filed as Exhibit 4.2 to First Busey’s Form S-8 filed on June 22, 2010</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333-167683),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Pulaski Financial Corp. 2000 Stock Based Incentive Plan (filed as Appendix A to Pulaski Financial Corp.’s definitive proxy statement</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filed with the Commission on December 16, 1999 (Commission No. 000-24571),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Pulaski Financial Corp. 2002 Stock Option Plan (filed as Appendix A to Pulaski Financial Corp.’s definitive proxy statement filed with</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the Commission on December 17, 2001 (Commission No. 000-24571),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4"/>
              </w:rPr>
              <w:t>Pulaski Financial Corp. 2006 Long-Term Incentive Plan (filed as Appendix A to Pulaski Financial Corp.’s definitive proxy statement</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filed with the Commission on December 30, 2005 (Commission No. 000-24571), and incorporated herein by reference)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6"/>
              </w:rPr>
              <w:t>Agreement and Plan of Merger, dated February 6, 2017, by and among First Busey Corporation and First Community Financial</w:t>
            </w:r>
          </w:p>
        </w:tc>
      </w:tr>
      <w:tr>
        <w:trPr>
          <w:trHeight w:val="216"/>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Partners, Inc. (filed as Exhibit 2.1 to First Busey’s Form 8-K dated February 6, 2017, filed with the Commission on February 6, 2017</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(Commission No. 0-15950), and incorporated herein by reference)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List of Subsidiaries of First Busey Corporation</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Consent of RSM US LLP</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from First</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Busey’s Chief Executive Officer</w:t>
            </w:r>
          </w:p>
        </w:tc>
      </w:tr>
      <w:tr>
        <w:trPr>
          <w:trHeight w:val="432"/>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62</w:t>
            </w:r>
          </w:p>
        </w:tc>
      </w:tr>
      <w:tr>
        <w:trPr>
          <w:trHeight w:val="132"/>
        </w:trPr>
        <w:tc>
          <w:tcPr>
            <w:tcW w:w="1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r>
      <w:tr>
        <w:trPr>
          <w:trHeight w:val="523"/>
        </w:trPr>
        <w:tc>
          <w:tcPr>
            <w:tcW w:w="1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from First</w:t>
            </w:r>
          </w:p>
        </w:tc>
      </w:t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Busey’s Chief Financial Officer</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Interactive Data File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-8525510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-8525510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660" w:right="40"/>
        <w:spacing w:after="0" w:line="291" w:lineRule="auto"/>
        <w:rPr>
          <w:sz w:val="20"/>
          <w:szCs w:val="20"/>
          <w:color w:val="auto"/>
        </w:rPr>
      </w:pPr>
      <w:r>
        <w:rPr>
          <w:rFonts w:ascii="Arial" w:cs="Arial" w:eastAsia="Arial" w:hAnsi="Arial"/>
          <w:sz w:val="16"/>
          <w:szCs w:val="16"/>
          <w:color w:val="auto"/>
        </w:rPr>
        <w:t>Interactive data files pursuant to Rule 405 of Regulation S-T: (i) Consolidated Balance Sheets at December 31, 2016 and December 31, 2015; (ii) Consolidated Statements of Income for the years ended December 31, 2016, December 31, 2015 and December 31, 2014;</w:t>
      </w:r>
    </w:p>
    <w:p>
      <w:pPr>
        <w:ind w:left="1660" w:right="400" w:firstLine="9"/>
        <w:spacing w:after="0" w:line="323" w:lineRule="auto"/>
        <w:tabs>
          <w:tab w:leader="none" w:pos="19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Consolidated Statements of Comprehensive Income for the years ended December 31, 2016, December 31, 2015 and December 31, 2014; (iv) Consolidated Statements of Stockholders’ Equity for the years ended December 31, 2016, December 31,</w:t>
      </w:r>
    </w:p>
    <w:p>
      <w:pPr>
        <w:sectPr>
          <w:pgSz w:w="11900" w:h="16961" w:orient="portrait"/>
          <w:cols w:equalWidth="0" w:num="1">
            <w:col w:w="11460"/>
          </w:cols>
          <w:pgMar w:left="240" w:top="125" w:right="199" w:bottom="0" w:gutter="0" w:footer="0" w:header="0"/>
        </w:sectPr>
      </w:pPr>
    </w:p>
    <w:bookmarkStart w:id="43" w:name="page44"/>
    <w:bookmarkEnd w:id="43"/>
    <w:p>
      <w:pPr>
        <w:spacing w:after="0" w:line="62" w:lineRule="exact"/>
        <w:rPr>
          <w:sz w:val="20"/>
          <w:szCs w:val="20"/>
          <w:color w:val="auto"/>
        </w:rPr>
      </w:pPr>
    </w:p>
    <w:p>
      <w:pPr>
        <w:ind w:left="1660" w:right="60"/>
        <w:spacing w:after="0" w:line="277" w:lineRule="auto"/>
        <w:rPr>
          <w:sz w:val="20"/>
          <w:szCs w:val="20"/>
          <w:color w:val="auto"/>
        </w:rPr>
      </w:pPr>
      <w:r>
        <w:rPr>
          <w:rFonts w:ascii="Arial" w:cs="Arial" w:eastAsia="Arial" w:hAnsi="Arial"/>
          <w:sz w:val="18"/>
          <w:szCs w:val="18"/>
          <w:color w:val="auto"/>
        </w:rPr>
        <w:t>2015 and December 31, 2014; (v) Consolidated Statements of Cash Flows for the years ended December 31, 2016, December 31, 2015 and December 31, 2014;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186055</wp:posOffset>
            </wp:positionV>
            <wp:extent cx="1800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8"/>
          </w:tcPr>
          <w:p>
            <w:pPr>
              <w:ind w:left="1460"/>
              <w:spacing w:after="0"/>
              <w:rPr>
                <w:sz w:val="20"/>
                <w:szCs w:val="20"/>
                <w:color w:val="auto"/>
              </w:rPr>
            </w:pPr>
            <w:r>
              <w:rPr>
                <w:rFonts w:ascii="Arial" w:cs="Arial" w:eastAsia="Arial" w:hAnsi="Arial"/>
                <w:sz w:val="18"/>
                <w:szCs w:val="18"/>
                <w:color w:val="auto"/>
              </w:rPr>
              <w:t>* Filed herewith</w:t>
            </w:r>
          </w:p>
        </w:tc>
        <w:tc>
          <w:tcPr>
            <w:tcW w:w="1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w w:val="99"/>
              </w:rPr>
              <w:t>FIRST BUSEY CORPORATION AND SUBSIDIARIES</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rPr>
              <w:t>CONSOLIDATED FINANCIAL STATEMENTS</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94"/>
              </w:rPr>
              <w:t>DECEMBER 31, 2016, 2015 AND 2014</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98"/>
              </w:rPr>
              <w:t>CONTENTS</w:t>
            </w:r>
          </w:p>
        </w:tc>
        <w:tc>
          <w:tcPr>
            <w:tcW w:w="1900" w:type="dxa"/>
            <w:vAlign w:val="bottom"/>
          </w:tcPr>
          <w:p>
            <w:pPr>
              <w:spacing w:after="0"/>
              <w:rPr>
                <w:sz w:val="24"/>
                <w:szCs w:val="24"/>
                <w:color w:val="auto"/>
              </w:rPr>
            </w:pPr>
          </w:p>
        </w:tc>
      </w:tr>
      <w:tr>
        <w:trPr>
          <w:trHeight w:val="392"/>
        </w:trPr>
        <w:tc>
          <w:tcPr>
            <w:tcW w:w="58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REPORT OF INDEPENDENT REGISTERED PUBLIC ACCOUNTING FIRM</w:t>
              </w:r>
            </w:hyperlink>
          </w:p>
        </w:tc>
        <w:tc>
          <w:tcPr>
            <w:tcW w:w="37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956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900" w:type="dxa"/>
            <w:vAlign w:val="bottom"/>
          </w:tcPr>
          <w:p>
            <w:pPr>
              <w:spacing w:after="0"/>
              <w:rPr>
                <w:sz w:val="19"/>
                <w:szCs w:val="19"/>
                <w:color w:val="auto"/>
              </w:rPr>
            </w:pPr>
          </w:p>
        </w:tc>
      </w:tr>
      <w:tr>
        <w:trPr>
          <w:trHeight w:val="190"/>
        </w:trPr>
        <w:tc>
          <w:tcPr>
            <w:tcW w:w="180" w:type="dxa"/>
            <w:vAlign w:val="bottom"/>
          </w:tcPr>
          <w:p>
            <w:pPr>
              <w:spacing w:after="0"/>
              <w:rPr>
                <w:sz w:val="16"/>
                <w:szCs w:val="16"/>
                <w:color w:val="auto"/>
              </w:rPr>
            </w:pPr>
          </w:p>
        </w:tc>
        <w:tc>
          <w:tcPr>
            <w:tcW w:w="21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Balance Sheets</w:t>
              </w:r>
            </w:hyperlink>
          </w:p>
        </w:tc>
        <w:tc>
          <w:tcPr>
            <w:tcW w:w="7280" w:type="dxa"/>
            <w:vAlign w:val="bottom"/>
            <w:gridSpan w:val="7"/>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Income</w:t>
              </w:r>
            </w:hyperlink>
          </w:p>
        </w:tc>
        <w:tc>
          <w:tcPr>
            <w:tcW w:w="680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80" w:type="dxa"/>
            <w:vAlign w:val="bottom"/>
          </w:tcPr>
          <w:p>
            <w:pPr>
              <w:spacing w:after="0"/>
              <w:rPr>
                <w:sz w:val="17"/>
                <w:szCs w:val="17"/>
                <w:color w:val="auto"/>
              </w:rPr>
            </w:pPr>
          </w:p>
        </w:tc>
        <w:tc>
          <w:tcPr>
            <w:tcW w:w="9380" w:type="dxa"/>
            <w:vAlign w:val="bottom"/>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Comprehensive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564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w:t>
              </w:r>
            </w:hyperlink>
          </w:p>
        </w:tc>
        <w:tc>
          <w:tcPr>
            <w:tcW w:w="650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80" w:type="dxa"/>
            <w:vAlign w:val="bottom"/>
          </w:tcPr>
          <w:p>
            <w:pPr>
              <w:spacing w:after="0"/>
              <w:rPr>
                <w:sz w:val="17"/>
                <w:szCs w:val="17"/>
                <w:color w:val="auto"/>
              </w:rPr>
            </w:pPr>
          </w:p>
        </w:tc>
        <w:tc>
          <w:tcPr>
            <w:tcW w:w="938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453"/>
        </w:trPr>
        <w:tc>
          <w:tcPr>
            <w:tcW w:w="200" w:type="dxa"/>
            <w:vAlign w:val="bottom"/>
            <w:gridSpan w:val="2"/>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6220" w:type="dxa"/>
            <w:vAlign w:val="bottom"/>
            <w:gridSpan w:val="4"/>
          </w:tcPr>
          <w:p>
            <w:pPr>
              <w:jc w:val="center"/>
              <w:ind w:right="1480"/>
              <w:spacing w:after="0"/>
              <w:rPr>
                <w:sz w:val="20"/>
                <w:szCs w:val="20"/>
                <w:color w:val="auto"/>
              </w:rPr>
            </w:pPr>
            <w:r>
              <w:rPr>
                <w:rFonts w:ascii="Arial" w:cs="Arial" w:eastAsia="Arial" w:hAnsi="Arial"/>
                <w:sz w:val="18"/>
                <w:szCs w:val="18"/>
                <w:color w:val="auto"/>
                <w:w w:val="89"/>
              </w:rPr>
              <w:t>63</w:t>
            </w:r>
          </w:p>
        </w:tc>
        <w:tc>
          <w:tcPr>
            <w:tcW w:w="190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660" w:firstLine="2624"/>
        <w:spacing w:after="0" w:line="50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First Busey Corporation</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accompanying consolidated balance sheets of First Busey Corporation and subsidiaries (the “Company”) as of December 31, 2016 and 2015, and the related consolidated statements of income, comprehensive income,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2016 and 2015, and the results of their operations and their cash flows for each of the three years in the period ended December 31, 2016, in conformity with United States generally accepted accounting principles.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and our report dated February 28, 2017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89"/>
              </w:rPr>
              <w:t>Cash and due from banks (interest-bearing 2016</w:t>
            </w: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$75,006; 2015</w:t>
            </w:r>
          </w:p>
        </w:tc>
        <w:tc>
          <w:tcPr>
            <w:tcW w:w="2240" w:type="dxa"/>
            <w:vAlign w:val="bottom"/>
          </w:tcPr>
          <w:p>
            <w:pPr>
              <w:jc w:val="right"/>
              <w:ind w:right="1390"/>
              <w:spacing w:after="0"/>
              <w:rPr>
                <w:sz w:val="20"/>
                <w:szCs w:val="20"/>
                <w:color w:val="auto"/>
              </w:rPr>
            </w:pPr>
            <w:r>
              <w:rPr>
                <w:rFonts w:ascii="Arial" w:cs="Arial" w:eastAsia="Arial" w:hAnsi="Arial"/>
                <w:sz w:val="18"/>
                <w:szCs w:val="18"/>
                <w:color w:val="auto"/>
                <w:w w:val="91"/>
              </w:rPr>
              <w:t>$250,404)</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166,097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609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166,706</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Securities available for sale, at fair value</w:t>
            </w: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759,811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7"/>
              </w:rPr>
              <w:t>Securities held to maturity, at amortized cost</w:t>
            </w:r>
          </w:p>
        </w:tc>
        <w:tc>
          <w:tcPr>
            <w:tcW w:w="10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47,820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Loans held for sale</w:t>
            </w:r>
          </w:p>
        </w:tc>
        <w:tc>
          <w:tcPr>
            <w:tcW w:w="1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256,319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34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1"/>
              </w:rPr>
              <w:t>Portfolio loans (net of allowance for loan losses 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$47,795; 2015</w:t>
            </w:r>
          </w:p>
        </w:tc>
        <w:tc>
          <w:tcPr>
            <w:tcW w:w="20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2"/>
              </w:rPr>
              <w:t>$47,487)</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3,831,105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77,861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102,814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18,462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surrender value of bank owned life insurance</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79,720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20,224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64,328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5,425,170</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1,134,133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3,240,165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2,407,421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deposits</w:t>
            </w:r>
          </w:p>
        </w:tc>
        <w:tc>
          <w:tcPr>
            <w:tcW w:w="10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4,374,298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Securities sold under agreements to repurchase</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189,157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Junior subordinated debt owed to unconsolidated trusts</w:t>
            </w: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70,868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41,533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4,830,856</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3,625,790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Commitments and contingencies (see “</w:t>
      </w:r>
      <w:r>
        <w:rPr>
          <w:rFonts w:ascii="Arial" w:cs="Arial" w:eastAsia="Arial" w:hAnsi="Arial"/>
          <w:sz w:val="18"/>
          <w:szCs w:val="18"/>
          <w:i w:val="1"/>
          <w:iCs w:val="1"/>
          <w:color w:val="auto"/>
        </w:rPr>
        <w:t>Note 19. Outstanding Commitments and Contingent Liabilities”</w:t>
      </w:r>
      <w:r>
        <w:rPr>
          <w:rFonts w:ascii="Arial" w:cs="Arial" w:eastAsia="Arial" w:hAnsi="Arial"/>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$.001 par value, authorized 66,666,667 shares; shares issued 2016 38,869,519; 2015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29,427,738</w:t>
            </w:r>
          </w:p>
        </w:tc>
        <w:tc>
          <w:tcPr>
            <w:tcW w:w="5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Surplus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781,716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(deficit)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(163,689)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618,102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shares held in treasury at cost – 2016 633,232; 2015 732,887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(23,788)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594,314</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5,425,170</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3"/>
          </w:tcPr>
          <w:p>
            <w:pPr>
              <w:ind w:left="56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 2016, 2015 and 2014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Interest and fees on loans held for sale and portfolio loans</w:t>
            </w: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147,816</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100,395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Taxable interest income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14,330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Total interest income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118,022</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Junior subordinated debt owed to unconsolidated trusts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Total interest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149,110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Trust fees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20,363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Commissions and brokers’ fees,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Remittance processing</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11,120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service charges and fees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6,483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 revenue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-4752340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-4752340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5" w:name="page46"/>
    <w:bookmarkEnd w:id="4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Security gains, net</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Total non-interest income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78,397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63,516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Net occupancy expense of premises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8,704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8,462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Furniture and equipment expenses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Data processing</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20,645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12,940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10,879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Regulatory expense</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2,357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23,299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Total non-interest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26,723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20,696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stockholders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1.40</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3"/>
          </w:tcPr>
          <w:p>
            <w:pPr>
              <w:ind w:left="562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 2016, 2015 and 2014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49,694</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line="196" w:lineRule="exact"/>
              <w:rPr>
                <w:sz w:val="20"/>
                <w:szCs w:val="20"/>
                <w:color w:val="auto"/>
              </w:rPr>
            </w:pPr>
            <w:r>
              <w:rPr>
                <w:rFonts w:ascii="Arial" w:cs="Arial" w:eastAsia="Arial" w:hAnsi="Arial"/>
                <w:sz w:val="18"/>
                <w:szCs w:val="18"/>
                <w:color w:val="auto"/>
              </w:rPr>
              <w:t>Other comprehensive (loss) income, before tax:</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Unrealized net (losses) gains on securities: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Unrealized net holding (losses) gains arising during period</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700"/>
              <w:spacing w:after="0"/>
              <w:rPr>
                <w:sz w:val="20"/>
                <w:szCs w:val="20"/>
                <w:color w:val="auto"/>
              </w:rPr>
            </w:pPr>
            <w:r>
              <w:rPr>
                <w:rFonts w:ascii="Arial" w:cs="Arial" w:eastAsia="Arial" w:hAnsi="Arial"/>
                <w:sz w:val="18"/>
                <w:szCs w:val="18"/>
                <w:color w:val="auto"/>
              </w:rPr>
              <w:t>Reclassification adjustment for (gains) included in net income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Income tax (benefit) expense related to items of other comprehensive income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35,529</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-2694305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-2694305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(dollars in thousands, except shares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Surplus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593,203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(225,722)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(29,266)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1,361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12,612 shares of treasury stock for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6"/>
              </w:rPr>
              <w:t>Net issuance of 6,206 shares of treasury stock for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restricted stock unit vesting and related tax</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dividends common stock at $0.57 per share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Stock dividend equivalents restricted stock units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at $0.57 per share</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based employee compensation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46" w:name="page47"/>
    <w:bookmarkEnd w:id="46"/>
    <w:p>
      <w:pPr>
        <w:spacing w:after="0"/>
        <w:tabs>
          <w:tab w:leader="none" w:pos="3860" w:val="left"/>
          <w:tab w:leader="none" w:pos="4220" w:val="left"/>
          <w:tab w:leader="none" w:pos="4940" w:val="left"/>
          <w:tab w:leader="none" w:pos="5620" w:val="left"/>
          <w:tab w:leader="none" w:pos="6020" w:val="left"/>
          <w:tab w:leader="none" w:pos="6300" w:val="left"/>
          <w:tab w:leader="none" w:pos="7100" w:val="left"/>
          <w:tab w:leader="none" w:pos="8180" w:val="left"/>
          <w:tab w:leader="none" w:pos="8720" w:val="left"/>
          <w:tab w:leader="none" w:pos="9340" w:val="left"/>
          <w:tab w:leader="none" w:pos="9660" w:val="left"/>
          <w:tab w:leader="none" w:pos="10420" w:val="left"/>
          <w:tab w:leader="none" w:pos="10700" w:val="left"/>
        </w:tabs>
        <w:rPr>
          <w:sz w:val="20"/>
          <w:szCs w:val="20"/>
          <w:color w:val="auto"/>
        </w:rPr>
      </w:pPr>
      <w:r>
        <w:rPr>
          <w:rFonts w:ascii="Arial" w:cs="Arial" w:eastAsia="Arial" w:hAnsi="Arial"/>
          <w:sz w:val="18"/>
          <w:szCs w:val="18"/>
          <w:color w:val="auto"/>
        </w:rPr>
        <w:t>Balance, December 31, 2014</w:t>
      </w:r>
      <w:r>
        <w:rPr>
          <w:sz w:val="20"/>
          <w:szCs w:val="20"/>
          <w:color w:val="auto"/>
        </w:rPr>
        <w:tab/>
      </w:r>
      <w:r>
        <w:rPr>
          <w:rFonts w:ascii="Arial" w:cs="Arial" w:eastAsia="Arial" w:hAnsi="Arial"/>
          <w:sz w:val="18"/>
          <w:szCs w:val="18"/>
          <w:b w:val="1"/>
          <w:bCs w:val="1"/>
          <w:color w:val="auto"/>
        </w:rPr>
        <w:t>$</w:t>
        <w:tab/>
        <w:t>72,664</w:t>
        <w:tab/>
        <w:t>$</w:t>
      </w:r>
      <w:r>
        <w:rPr>
          <w:sz w:val="20"/>
          <w:szCs w:val="20"/>
          <w:color w:val="auto"/>
        </w:rPr>
        <w:tab/>
      </w:r>
      <w:r>
        <w:rPr>
          <w:rFonts w:ascii="Arial" w:cs="Arial" w:eastAsia="Arial" w:hAnsi="Arial"/>
          <w:sz w:val="18"/>
          <w:szCs w:val="18"/>
          <w:b w:val="1"/>
          <w:bCs w:val="1"/>
          <w:color w:val="auto"/>
        </w:rPr>
        <w:t>29</w:t>
        <w:tab/>
        <w:t>$</w:t>
        <w:tab/>
        <w:t>593,746</w:t>
        <w:tab/>
        <w:t>$  (210,384)</w:t>
        <w:tab/>
        <w:t>$</w:t>
      </w:r>
      <w:r>
        <w:rPr>
          <w:sz w:val="20"/>
          <w:szCs w:val="20"/>
          <w:color w:val="auto"/>
        </w:rPr>
        <w:tab/>
      </w:r>
      <w:r>
        <w:rPr>
          <w:rFonts w:ascii="Arial" w:cs="Arial" w:eastAsia="Arial" w:hAnsi="Arial"/>
          <w:sz w:val="18"/>
          <w:szCs w:val="18"/>
          <w:b w:val="1"/>
          <w:bCs w:val="1"/>
          <w:color w:val="auto"/>
        </w:rPr>
        <w:t>5,817</w:t>
        <w:tab/>
        <w:t>$</w:t>
        <w:tab/>
        <w:t>(28,233)</w:t>
        <w:tab/>
        <w:t>$</w:t>
      </w:r>
      <w:r>
        <w:rPr>
          <w:sz w:val="20"/>
          <w:szCs w:val="20"/>
          <w:color w:val="auto"/>
        </w:rPr>
        <w:tab/>
      </w:r>
      <w:r>
        <w:rPr>
          <w:rFonts w:ascii="Arial" w:cs="Arial" w:eastAsia="Arial" w:hAnsi="Arial"/>
          <w:sz w:val="16"/>
          <w:szCs w:val="16"/>
          <w:b w:val="1"/>
          <w:bCs w:val="1"/>
          <w:color w:val="auto"/>
        </w:rPr>
        <w:t>433,639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shares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Treasury</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Surplus</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(210,384)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15,292 shares of treasury stock for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4"/>
              </w:rPr>
              <w:t>Net issuance of 59,983 shares of treasury stock for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restricted stock unit vesting and related tax</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3,643</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Issuance of 612 shares of treasury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7"/>
              </w:rPr>
              <w:t>Cash dividends common stock at $0.62 per share</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 restricted stock units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$0.62 per share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based employee compensation</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Purchase of 333,333 shares of treasury stock</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(6,296)</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in lieu of fractional shares in reverse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split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Redemption of SBLF</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(72,664)</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591,053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(190,265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(29,971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shares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Surplus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591,053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(190,265)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(29,971)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14,749 shares of treasury stock for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4"/>
              </w:rPr>
              <w:t>Net issuance of 43,396 shares of treasury stock for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restricted stock unit vesting and related tax</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(3,477)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2,668</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41,771 shares of stock options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net of shares redeemed</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Stock issued for acquisition of Pulaski, net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stock issuance costs</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195,188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on common stock of $0.68 per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Stock dividend equivalents on restricted stock</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units of $0.68 per share</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dividend accrued on restricted stock awards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assumed with the Pulaski acquisition at $0.34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based employee compensation</w:t>
            </w: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Return of 261 equity trust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47" w:name="page48"/>
    <w:bookmarkEnd w:id="4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3"/>
          </w:tcPr>
          <w:p>
            <w:pPr>
              <w:spacing w:after="0"/>
              <w:rPr>
                <w:sz w:val="20"/>
                <w:szCs w:val="20"/>
                <w:color w:val="auto"/>
              </w:rPr>
            </w:pPr>
            <w:r>
              <w:rPr>
                <w:rFonts w:ascii="Arial" w:cs="Arial" w:eastAsia="Arial" w:hAnsi="Arial"/>
                <w:sz w:val="18"/>
                <w:szCs w:val="18"/>
                <w:color w:val="auto"/>
              </w:rPr>
              <w:t>Balance, December 31, 2016</w:t>
            </w:r>
          </w:p>
        </w:tc>
        <w:tc>
          <w:tcPr>
            <w:tcW w:w="680" w:type="dxa"/>
            <w:vAlign w:val="bottom"/>
          </w:tcPr>
          <w:p>
            <w:pPr>
              <w:jc w:val="right"/>
              <w:ind w:right="525"/>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  $</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781,716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  (163,689)</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  (23,788)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  594,314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gridSpan w:val="7"/>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FIRST BUSEY CORPORATION AND SUBSIDIARIES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w w:val="94"/>
              </w:rPr>
              <w:t>Years Ended December 31, 2016, 2015 and 2014</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49,694</w:t>
            </w: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39,006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Stock-based and non-cash compensation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1,803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5,697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3,192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Premises and equipment impairment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5,550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w w:val="99"/>
              </w:rPr>
              <w:t>Amortization of security premiums and discounts,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6,877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8,360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8"/>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Accretion of premiums and discounts on time deposits and trust preferred</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securities, net</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Accretion of premiums and discounts on loans,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(7,429)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(1,476)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security gains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w w:val="93"/>
              </w:rPr>
              <w:t>Gain on sales of mortgage loans, net of origination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(28,299)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(5,843)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 loans originated for sale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(1,822,027)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(267,737)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Proceeds from sales of mortgage loans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1,767,220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276,377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Increase in cash surrender value of bank owned life insurance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(1,454)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ind w:left="340"/>
              <w:spacing w:after="0"/>
              <w:rPr>
                <w:sz w:val="20"/>
                <w:szCs w:val="20"/>
                <w:color w:val="auto"/>
              </w:rPr>
            </w:pPr>
            <w:r>
              <w:rPr>
                <w:rFonts w:ascii="Arial" w:cs="Arial" w:eastAsia="Arial" w:hAnsi="Arial"/>
                <w:sz w:val="18"/>
                <w:szCs w:val="18"/>
                <w:color w:val="auto"/>
              </w:rPr>
              <w:t>Net losses (gains) on disposition of premises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deferred compensation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Change in assets and liabilities: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decrease in other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520"/>
              <w:spacing w:after="0"/>
              <w:rPr>
                <w:sz w:val="20"/>
                <w:szCs w:val="20"/>
                <w:color w:val="auto"/>
              </w:rPr>
            </w:pPr>
            <w:r>
              <w:rPr>
                <w:rFonts w:ascii="Arial" w:cs="Arial" w:eastAsia="Arial" w:hAnsi="Arial"/>
                <w:sz w:val="18"/>
                <w:szCs w:val="18"/>
                <w:color w:val="auto"/>
              </w:rPr>
              <w:t>Decrease in other liabilities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(6,288)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(1,329)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ind w:left="7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(20,894)</w:t>
            </w: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61,505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Purchases of securities classified available for sale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(180,447)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(235,291)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w w:val="93"/>
              </w:rPr>
              <w:t>Purchases of securities classified held to maturity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(16,287)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9"/>
              </w:rPr>
              <w:t>Proceeds from sales of securities classified available for sale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52,587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25,068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ind w:left="180"/>
              <w:spacing w:after="0"/>
              <w:rPr>
                <w:sz w:val="20"/>
                <w:szCs w:val="20"/>
                <w:color w:val="auto"/>
              </w:rPr>
            </w:pPr>
            <w:r>
              <w:rPr>
                <w:rFonts w:ascii="Arial" w:cs="Arial" w:eastAsia="Arial" w:hAnsi="Arial"/>
                <w:sz w:val="18"/>
                <w:szCs w:val="18"/>
                <w:color w:val="auto"/>
                <w:w w:val="99"/>
              </w:rPr>
              <w:t>Proceeds from maturities of securities classified 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241,304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200,780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Proceeds from sales of securities classified held to maturity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tcPr>
          <w:p>
            <w:pPr>
              <w:ind w:left="18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increase in loans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(118,398)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Purchases of premises and equipment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(8,991)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(4,114)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OREO properties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4,498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1,090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redemption of FHLB stock</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35,397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Purchase of FHLB stock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received in acquisitions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25,575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12,114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ind w:left="700"/>
              <w:spacing w:after="0"/>
              <w:rPr>
                <w:sz w:val="20"/>
                <w:szCs w:val="20"/>
                <w:color w:val="auto"/>
              </w:rPr>
            </w:pPr>
            <w:r>
              <w:rPr>
                <w:rFonts w:ascii="Arial" w:cs="Arial" w:eastAsia="Arial" w:hAnsi="Arial"/>
                <w:sz w:val="18"/>
                <w:szCs w:val="18"/>
                <w:b w:val="1"/>
                <w:bCs w:val="1"/>
                <w:color w:val="auto"/>
                <w:w w:val="89"/>
              </w:rPr>
              <w:t>Net cash provided by (used in) investing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149,743</w:t>
            </w:r>
          </w:p>
        </w:tc>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(134,246)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(continued)</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FIRST BUSEY CORPORATION AND SUBSIDIARIES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7"/>
          </w:tcPr>
          <w:p>
            <w:pPr>
              <w:spacing w:after="0"/>
              <w:rPr>
                <w:sz w:val="20"/>
                <w:szCs w:val="20"/>
                <w:color w:val="auto"/>
              </w:rPr>
            </w:pPr>
            <w:r>
              <w:rPr>
                <w:rFonts w:ascii="Arial" w:cs="Arial" w:eastAsia="Arial" w:hAnsi="Arial"/>
                <w:sz w:val="18"/>
                <w:szCs w:val="18"/>
                <w:b w:val="1"/>
                <w:bCs w:val="1"/>
                <w:color w:val="auto"/>
              </w:rPr>
              <w:t>CONSOLIDATED STATEMENTS OF CASH FLOWS (Continued)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w w:val="94"/>
              </w:rPr>
              <w:t>Years Ended December 31, 2016, 2015 and 2014</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(173,385)</w:t>
            </w: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(86,574)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2"/>
              </w:rPr>
              <w:t>Net increase in demand deposits, money market and savings accounts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31,322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232,931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8"/>
          </w:tcPr>
          <w:p>
            <w:pPr>
              <w:ind w:left="180"/>
              <w:spacing w:after="0" w:line="201" w:lineRule="exact"/>
              <w:rPr>
                <w:sz w:val="20"/>
                <w:szCs w:val="20"/>
                <w:color w:val="auto"/>
              </w:rPr>
            </w:pPr>
            <w:r>
              <w:rPr>
                <w:rFonts w:ascii="Arial" w:cs="Arial" w:eastAsia="Arial" w:hAnsi="Arial"/>
                <w:sz w:val="18"/>
                <w:szCs w:val="18"/>
                <w:color w:val="auto"/>
                <w:w w:val="94"/>
              </w:rPr>
              <w:t>Net (decrease) increase in federal funds purchased and securities sold under</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(6,655)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agreements to repurchase</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(25,921)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-9719310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-9719310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-2035175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-2035175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short-term borrowings, net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(104,000)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Repayment of FHLB long term advances</w:t>
            </w:r>
          </w:p>
        </w:tc>
        <w:tc>
          <w:tcPr>
            <w:tcW w:w="4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(4,906)</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80"/>
              <w:spacing w:after="0" w:line="201" w:lineRule="exact"/>
              <w:rPr>
                <w:sz w:val="20"/>
                <w:szCs w:val="20"/>
                <w:color w:val="auto"/>
              </w:rPr>
            </w:pPr>
            <w:r>
              <w:rPr>
                <w:rFonts w:ascii="Arial" w:cs="Arial" w:eastAsia="Arial" w:hAnsi="Arial"/>
                <w:sz w:val="18"/>
                <w:szCs w:val="18"/>
                <w:color w:val="auto"/>
              </w:rPr>
              <w:t>Value of shares surrendered upon vesting of restricted stock units to satisfy tax</w:t>
            </w:r>
          </w:p>
        </w:tc>
        <w:tc>
          <w:tcPr>
            <w:tcW w:w="420" w:type="dxa"/>
            <w:vAlign w:val="bottom"/>
          </w:tcPr>
          <w:p>
            <w:pPr>
              <w:spacing w:after="0"/>
              <w:rPr>
                <w:sz w:val="17"/>
                <w:szCs w:val="17"/>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(809)</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4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4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SBLF preferred stock</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(72,664)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4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(22,748)</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(18,619)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 for fractional shares related to reverse stock split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4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costs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4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(6,296)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2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(281,423)</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52,583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(152,574)</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(20,158)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319,280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339,438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ending of period</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166,706</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420" w:type="dxa"/>
            <w:vAlign w:val="bottom"/>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9,674</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6,282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20,186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Other real estate acquired in settlement of loans</w:t>
            </w:r>
          </w:p>
        </w:tc>
        <w:tc>
          <w:tcPr>
            <w:tcW w:w="4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2,775</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First Busey Corporation is a Nevada corporation and a financial holding company. The Company’s subsidiaries provide retail and commercial banking services, remittance processing, and offer a full range of financial products and services, including depository, lending, security brokerage services, investment management and fiduciary services, to individual, corporate, institutional and governmental customers through its locations in Illinois, Missouri, southwest Florida and Indianapolis, Indiana. The Company and its subsidiaries are subject to competition from other financial institutions and non-financial institutions providing financial products and services. The Company and its subsidiaries are also subject to the regulations of certain regulatory agencies and undergo periodic examinations by those regulatory agencies.</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share and per share information has been restated for all prior periods presented in this Annual Report on Form 10-K to give retroactive effect to the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and reporting policies for the Company and its subsidiaries follow: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consolidation</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Consolidated Financial Statements include the accounts of the Company and its subsidiaries: Busey Bank and its wholly-owned subsidiaries FirsTech, Inc. and Pulaski Service Corporation; and Busey Wealth Management, Inc. and its wholly-owned subsidiaries Busey Trust Company and Busey Capital Management, Inc. The Company and its subsidiaries maintain various LLCs that hold specific assets for risk mitigation purposes and are consolidated into these financial statements. All significant intercompany balances and transactions have been eliminated in consolidation.</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Consolidated Financial Statements also exclude the following wholly-owned variable interest entities: First Busey Statutory Trust II, First Busey Statutory Trust III, First Busey Statutory Trust IV, Pulaski Financial Statutory Trust I and Pulaski Financial Statutory Trust II because the Company is not the primary beneficiary.</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Consolidated Financial Statements of the Company have been prepared in conformity with GAAP and conform to predominant practice within the banking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preparing the accompanying Consolidated Financial Statements in conformity with GAAP,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near-term relate to the fair value of investment securities, fair value of assets acquired and liabilities assumed in business combinations and the determination of the allowance for loan losses.</w:t>
      </w:r>
    </w:p>
    <w:p>
      <w:pPr>
        <w:sectPr>
          <w:pgSz w:w="11900" w:h="16838" w:orient="portrait"/>
          <w:cols w:equalWidth="0" w:num="1">
            <w:col w:w="11420"/>
          </w:cols>
          <w:pgMar w:left="240" w:top="140"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Accounting principles generally require that recognized revenue, expenses, gains and losses be included in net income. Although certain changes in assets and liabilities, such as unrealized gains and losses on available for sale securities, are reported as a separate component of the equity section of the balance sheet, such items, along with net income, are components of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assets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Assets held for customers in a fiduciary or agency capacity, other than trust cash on deposit at the Company’s bank subsidiary, are not assets of the Company and, accordingly, are not included in the accompanying Consolidated Financial Statements. Busey Trust Company had assets under care of $5.4 billion and $5.1 billion at December 31, 2016 and 2015,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purposes of the Consolidated Statement of Cash Flows, cash and cash equivalents includes cash on hand, amounts due from banks and federal funds sold. Cash flows from federal funds purchased and sold, short-term borrowings, and securities sold under agreements to repurchase are reported net, since their original maturities are less than three months. Cash flows from loans and deposits are also reported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Securities classified as held to maturity are those debt securities that the Company intends to hold to maturity. Securities held to maturity are carried at cost, adjusted for amortization of premiums and accretion of discounts.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Securities classified as available for sale are those debt securities that the Company intends to hold for an indefinite period of time, but not necessarily to maturity, and marketable equity securities. Any decision to sell a security classified as available for sale would be based on various factors, including significant movements in interest rates, changes in the maturity mix of the Company’s assets and liabilities, liquidity needs, regulatory capital considerations and other similar factors. Securities available for sale are carried at fair value, with temporary unrealized gains and losses excluded from earnings and reported in other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Declines in the fair value of debt securities below their amortized cost are evaluated to determine whether they are temporary or OTTI. If the Company</w:t>
      </w:r>
    </w:p>
    <w:p>
      <w:pPr>
        <w:spacing w:after="0" w:line="35" w:lineRule="exact"/>
        <w:rPr>
          <w:sz w:val="20"/>
          <w:szCs w:val="20"/>
          <w:color w:val="auto"/>
        </w:rPr>
      </w:pPr>
    </w:p>
    <w:p>
      <w:pPr>
        <w:ind w:right="140" w:firstLine="8"/>
        <w:spacing w:after="0" w:line="253"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the intent to sell a debt security or (b) more likely than not will be required to sell the debt security before its anticipated recovery, then the Company recognizes the entire unrealized loss in earnings as an OTTI loss. If neither of these conditions are met, the Company evaluates whether a credit loss exists. The impairment is separated into (x) the amount of the total impairment related to the credit loss and (y) the amount of total impairment related to all other factors. The amount of the total OTTI related to the credit loss is recognized in earnings and the amount related to all other factors is recognized in other comprehensive income.</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Purchase premiums and discounts are recognized in interest income using the interest method over the terms of the securities. Gains and losses on the sale of securities are recorded on the trade date and are determined using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Loans held for sale consist of loans that management does not intend to hold until maturity. These loans consist of mortgage loans conforming to established guidelines and held for sale to investors and the secondary mortgage market. Loans held for sale are reflected at their fair values, as the Company has elected to apply the fair value method of accounting, with changes in fair value recognized in earnings, consistent with the provisions in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Company accounted for loans held for sale that were originated prior to January 1, 2016 under the lower of cost or fair value option,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corresponding adjustments recorded as a valuation adjustment, if necessary. Fair value adjustments are recorded as an adjustment to mortgage revenues. The fair value of the loans held for sale are measured using observable quoted market or contract prices or market price equivalents, which are consistent with those used by other market participants. Consistent with the fair value principles of ASC Topic 820, any direct loan origination fees and costs related to loans accounted for at fair value are recognized when the loans are sold.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servicing</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Servicing assets are recognized as separate assets when rights are acquired or retained through the sale of mortgage loans. Mortgage servicing rights are initially recorded at fair value. Fair value is based on a valuation model that calculates the present value of estimated future net servicing income. Capitalized servicing rights are reported in other assets and are amortized into other income in proportion to, and over the period of, the estimated future net servicing income of the underlying financial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Mortgage servicing rights are periodically evaluated for impairment based on the fair value of those rights as compared to book value. Fair values are estimated using discounted cash flows based on current expected future prepayment rates. For purposes of measuring impairment, the rights must be stratified by one or more predominant risk characteristics of the underlying loans. The Company stratifies its capitalized mortgage servicing rights based on the type of the underlying loans. The amount of impairment recognized is the amount, if any, by which the amortized cost of the rights for each stratum</w:t>
      </w:r>
    </w:p>
    <w:p>
      <w:pPr>
        <w:sectPr>
          <w:pgSz w:w="11900" w:h="16838" w:orient="portrait"/>
          <w:cols w:equalWidth="0" w:num="1">
            <w:col w:w="11400"/>
          </w:cols>
          <w:pgMar w:left="240" w:top="125" w:right="259" w:bottom="0" w:gutter="0" w:footer="0" w:header="0"/>
        </w:sectPr>
      </w:pPr>
    </w:p>
    <w:bookmarkStart w:id="50" w:name="page51"/>
    <w:bookmarkEnd w:id="50"/>
    <w:p>
      <w:pPr>
        <w:ind w:right="180"/>
        <w:spacing w:after="0" w:line="308" w:lineRule="auto"/>
        <w:rPr>
          <w:sz w:val="20"/>
          <w:szCs w:val="20"/>
          <w:color w:val="auto"/>
        </w:rPr>
      </w:pPr>
      <w:r>
        <w:rPr>
          <w:rFonts w:ascii="Arial" w:cs="Arial" w:eastAsia="Arial" w:hAnsi="Arial"/>
          <w:sz w:val="17"/>
          <w:szCs w:val="17"/>
          <w:color w:val="auto"/>
        </w:rPr>
        <w:t>exceeds its fair value. If the Company later determines that all or a portion of the impairment no longer exists for a particular group of loans, a reduction of the allowance may be recorded as an increase to income. The Company had no impairment recorded at December 31, 2016 and 2015.</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and are recorded as income when earned. The amortization of mortgage servicing rights is included in mortgage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loans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Loan receivables that management has the intent and ability to hold for the foreseeable future or until maturity or pay-off are reported at the principal balance outstanding, net of purchase premiums and discounts, charge-offs, the allowance for loan losses, and any deferred origination fees or costs on loans.</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Retail loan origination fees, net of certain direct loan origination costs, are deferred and the net amount is amortized as an adjustment of the related loan’s yield. The Company is generally amortizing these amounts over the contractual life. However, for long-term, fixed-rate residential mortgages, the Company has anticipated prepayments and assumes an estimated economic life of five years or less. Material commercial loan origination fees are amortized over the life of the loan which is usually a term of three years or less. Commitment fees and costs are generally based upon a percentage of a customer’s maximum line of credit or fees related to standby letters of credit and are recognized as collected.</w:t>
      </w:r>
    </w:p>
    <w:p>
      <w:pPr>
        <w:spacing w:after="0" w:line="1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Interest income is accrued daily on the outstanding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Interest accrued in the current year but not collected for loans that are placed on non-accrual status or charged-off is reversed against interest income. Interest accrued during the prior year but not collected for loans that are placed on non-accrual status or charged-off is charged against the allowance for loan losses. The interest on these loans is accounted for on the cash-basis or cost-recovery method, until qualifying for return to accrual status.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Purchased credit-impaired loans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conjunction with business combinations, the Company purchases loans, some of which have shown evidence of credit deterioration since origination. These purchased credit-impaired (“PCI”) loans are recorded at fair value at acquisition date, factoring in credit losses expected to be incurred over the life of the loan. Accordingly, the seller’s allowance for loan losses is not carried over or recorded as of the acquisition date.</w:t>
      </w:r>
    </w:p>
    <w:p>
      <w:pPr>
        <w:spacing w:after="0" w:line="16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PCI loans are reviewed individually or aggregated into pools of loans based on common risk characteristics. The Company estimates the amount and timing of expected cash flows and the excess of the cash flows expected to be collected over the recorded investment, if material, is considered to be the accretable yield and is recognized as interest income over the life. The excess of the contractual cash flows over the cash flows expected to be collected is considered to be the nonaccretable difference.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Over the life, expected cash flows continue to be estimated and any increases in expected cash flows over those expected at purchase date in excess of fair value that are significant and probable are adjusted through the accretable yield on a prospective basis. Any subsequent decreases in expected cash flows over those expected at purchase date that are probable are recognized by recording an allowance for loan losses.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loan losses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Loan losses are charged against the allowance for loan losses when management believes the uncollectibility of the loan balance is confirmed. Subsequent recoveries, if any, are credited to the allowance.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upon management’s periodic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addition, regulatory agencies, as an integral part of their examination process, periodically review the allowance for loan losses, and may require the Company to make additions to the allowance based on their judgment about information available to them at the time of their examinations.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 net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Land is stated at cost less accumulated depreciation of depreciable land improvements. Premises and equipment are stated at cost less accumulated depreciation. Depreciation is computed principally by the straight-line method over the estimated useful lives of the assets. The estimated useful lives for premises and equipment are:</w:t>
      </w:r>
    </w:p>
    <w:p>
      <w:pPr>
        <w:spacing w:after="0" w:line="17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Asset Description</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 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 10 years</w:t>
            </w:r>
          </w:p>
        </w:tc>
      </w:tr>
    </w:tbl>
    <w:p>
      <w:pPr>
        <w:sectPr>
          <w:pgSz w:w="11900" w:h="16838" w:orient="portrait"/>
          <w:cols w:equalWidth="0" w:num="1">
            <w:col w:w="11400"/>
          </w:cols>
          <w:pgMar w:left="240" w:top="125" w:right="259" w:bottom="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Long-lived assets, including premises and equipment and intangible assets, are reviewed for impairment whenever events or changes in circumstances indicate that the carrying amount of the asset may not be recoverable. An impairment loss would be recognized when estimated undiscounted future cash flows from operations of the asset are less than the carrying value of the asset. The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real estate owned</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Goodwill represents the excess of the cost of a business acquired over the fair value of the new assets acquired. Goodwill is not amortized, but is subject to at least annual impairment assessments. The Company has established December 31 as the annual impairment assessment date. Accounting standards allow for goodwill to be tested for impairment by first performing a qualitative assessment to determine whether it is more likely than not that the fair value of the reporting unit is less than its carrying value. As part of this analysis, the reporting unit’s carrying value is compared to its fair value.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estimates the fair value of its reporting units as of the measurement date utilizing valuation methodologies including the comparable transactions approach and the control premium approach. Goodwill is considered impaired if the carrying value of the reporting unit exceeds its fair value. There was no impairment determined at December 31, 2016 and 2015. It is possible the Company will evaluate its goodwill for impairment on a more frequent basis than annually. Future evaluations may result in impairment. See “</w:t>
      </w:r>
      <w:r>
        <w:rPr>
          <w:rFonts w:ascii="Arial" w:cs="Arial" w:eastAsia="Arial" w:hAnsi="Arial"/>
          <w:sz w:val="16"/>
          <w:szCs w:val="16"/>
          <w:i w:val="1"/>
          <w:iCs w:val="1"/>
          <w:color w:val="auto"/>
        </w:rPr>
        <w:t>Note 10. Goodwill and Other Intangible Assets”</w:t>
      </w:r>
      <w:r>
        <w:rPr>
          <w:rFonts w:ascii="Arial" w:cs="Arial" w:eastAsia="Arial" w:hAnsi="Arial"/>
          <w:sz w:val="16"/>
          <w:szCs w:val="16"/>
          <w:color w:val="auto"/>
        </w:rPr>
        <w:t xml:space="preserve"> for further discussion.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surrender value of bank-owned life insurance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purchased life insurance policies on certain executives and senior officers. Life insurance is recorded at its cash surrender value.</w:t>
      </w: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ASC Topic 715, “Compensation—Retirement Benefits” requires an employer to recognize a liability for post-employment benefits promised to an employee based on an arrangement between an employer and an employee. In an endorsement split-dollar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included in other liabilities, for this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 of financial assets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Transfers of financial assets are accounted for as sales only when control over the assets has been surrendered. Control over transferred assets is deemed to be surrendered when: (1) the assets have been isolated from the Company, (2) the transferee obtains the right to pledge or exchange the assets it received, and no condition both constrains the transferee from taking advantage of its right to pledge or exchange and provides more than a modest benefit to the transferor, and (3) the Company does not maintain effective control over the transferred assets through an agreement to repurchase them before their maturity or the ability to unilaterally cause the holder to return specific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subject to income taxes in the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2012. The provision for income taxes is based on income as reported in the Consolidated Financial Statements.</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has maintained significant net deferred tax assets for deductible temporary differences, the largest of which relates to the allowance for loan losses. For income tax return purposes, only actual charge-offs are deductible, not the provision for loan losses. 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1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evaluated the recoverability of its net deferred tax assets and established a valuation allowance for certain state net operating loss carryforwards and capital loss carryforwards that are not expected to be fully realized. Management believes that it is more likely than not that the deferred tax assets included in the accompanying Consolidated Financial Statements will be fully realized. The Company determined that no valuation allowance was required for any other deferred tax assets as of December 31, 2016, although there is no guarantee that those assets will be recognizable in future periods.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52" w:name="page53"/>
    <w:bookmarkEnd w:id="52"/>
    <w:p>
      <w:pPr>
        <w:spacing w:after="0" w:line="3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Positions taken in tax returns may be subject to challenge upon examination by the taxing authorities. Uncertain tax positions are initially recognized in the Financial Statements when it is more likely than not the position will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the Company was not under examination by any tax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Treasury stock acquired is recorded at cost. Treasury stock issued is valued based on the “first-in, first-out” method. Gains and losses on issuance are recorded as increases or decreases to surplus.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employee compensation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2010, the Company adopted the First Busey Corporation 2010 Equity Incentive Plan (“2010 Equity Plan”), which was approved at the annual stockholders meeting on May 19, 2010. During the second quarter of 2015, the Company adopted an amendment to revise some technical terms to the 2010 Equity Plan, which was approved at the annual stockholders meeting on May 20, 2015, and can be found as Appendix C of the Company’s Proxy Statement for the 2015 Annual Meeting of Stockholders. The Company will make all future grants under this plan.</w:t>
      </w:r>
    </w:p>
    <w:p>
      <w:pPr>
        <w:spacing w:after="0" w:line="171"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 See “</w:t>
      </w:r>
      <w:r>
        <w:rPr>
          <w:rFonts w:ascii="Arial" w:cs="Arial" w:eastAsia="Arial" w:hAnsi="Arial"/>
          <w:sz w:val="16"/>
          <w:szCs w:val="16"/>
          <w:i w:val="1"/>
          <w:iCs w:val="1"/>
          <w:color w:val="auto"/>
        </w:rPr>
        <w:t>Note 17. Share-based Compensation”</w:t>
      </w:r>
      <w:r>
        <w:rPr>
          <w:rFonts w:ascii="Arial" w:cs="Arial" w:eastAsia="Arial" w:hAnsi="Arial"/>
          <w:sz w:val="16"/>
          <w:szCs w:val="16"/>
          <w:color w:val="auto"/>
        </w:rPr>
        <w:t xml:space="preserve"> for further discussion.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calculates the compensation cost of its non-vested stock awards (restricted stock units) based on the Company’s stock price on the grant date multiplied by the number of units granted. This cost is recorded over a specified requisite service period (i.e. vesting period) ranging from one to five years. As the units cliff vest and are subject only to a service condition, the cost is recorded using straight-line amortization. No compensation cost is recognized for unvested awards that are forfeited.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disclosure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Operating segments are components of a business that (i) engage in business activities from which it may earn revenues and incur expenses; (ii) have operating results that are reviewed regularly by the entity’s chief operating decision maker to make decisions about resources to be allocated to the segments and assess their performance; and (iii) for which discrete financial information is available. The Company’s operations are managed along three operating segments consisting of Banking, Remittance Processing and Wealth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Business combinations are accounted for under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using the acquisition method of accounting. The acquisition method of accounting requires an acquirer to recognize the assets acquired and the liabilities assumed at the acquisition date measured at their fair values as of that date. To determine the fair values, the Company may rely on third-party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8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On April 30, 2016, First Busey completed its acquisition of Pulaski, a Missouri corporation. On January 8, 2015, First Busey completed its acquisition of Herget Financial, headquartered in Pekin, Illinois. The operating results of both are included with the Company’s results of operations since each date of acquisition. See “</w:t>
      </w:r>
      <w:r>
        <w:rPr>
          <w:rFonts w:ascii="Arial" w:cs="Arial" w:eastAsia="Arial" w:hAnsi="Arial"/>
          <w:sz w:val="16"/>
          <w:szCs w:val="16"/>
          <w:i w:val="1"/>
          <w:iCs w:val="1"/>
          <w:color w:val="auto"/>
        </w:rPr>
        <w:t>Note 2. Acquisitions</w:t>
      </w:r>
      <w:r>
        <w:rPr>
          <w:rFonts w:ascii="Arial" w:cs="Arial" w:eastAsia="Arial" w:hAnsi="Arial"/>
          <w:sz w:val="16"/>
          <w:szCs w:val="16"/>
          <w:color w:val="auto"/>
        </w:rPr>
        <w:t>” in the Notes to the Consolidated Financial Statements for further information relating to these acquisitions.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Acquisition related costs are costs the Company incurs to effect a business combination. Those costs may include legal, accounting, valuation, other professional or consulting fees, system conversions and marketing costs. The Company will account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will recognize these costs in its post-combination financial statements in accordance with other applicable accounting guidance.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enters into derivative financial instruments, including interest rate lock commitments issued to residential loan customers for loans that will be held for sale, forward sales commitments to sell residential mortgage loans to loan investors and foreign currency forward contracts. These instruments have certain interest rate risk characteristics that change in value based upon changes in the capital markets.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Commitments to originate loans held for sale (interest rate lock commitments), which primarily consist of commitments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 fixed-rate residential mortgage loans, are recorded at their fair value in other assets or other liabilities in the Consolidated Financial Statements, with changes in the fair value of the corresponding derivative financial assets or liabilities recorded as either a charge or credit to mortgage revenues during the period in which the changes occurred. Such derivative financial instruments are recorded as an adjustment to the carrying value of the resulting loan once funded.</w:t>
      </w:r>
    </w:p>
    <w:p>
      <w:pPr>
        <w:spacing w:after="0" w:line="18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As a general rule, the Company economically hedges loans held for sale and interest rate lock commitments issued to its</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 in other assets or other liabilities in the Consolidated Financial Statements. The Company does not designate these forward sales commitments for hedge accounting treatment, and accordingly,</w:t>
      </w:r>
    </w:p>
    <w:p>
      <w:pPr>
        <w:sectPr>
          <w:pgSz w:w="11900" w:h="16874" w:orient="portrait"/>
          <w:cols w:equalWidth="0" w:num="1">
            <w:col w:w="11400"/>
          </w:cols>
          <w:pgMar w:left="240" w:top="125" w:right="259" w:bottom="0" w:gutter="0" w:footer="0" w:header="0"/>
        </w:sectPr>
      </w:pPr>
    </w:p>
    <w:bookmarkStart w:id="53" w:name="page54"/>
    <w:bookmarkEnd w:id="53"/>
    <w:p>
      <w:pPr>
        <w:spacing w:after="0" w:line="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changes in fair value of the corresponding derivative financial asset or liability are recorded as either a charge or credit to mortgage revenue during the period in which the changes occur.</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The Company enters into derivative financial instruments as part of its foreign currency risk management strategies.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 consist of foreign currency forward contracts to accommodate the business needs of its customers. They are carried at their fair value in other assets or other liabilities in the Consolidated Financial Statements. The Company does not designate these foreign currency forward contracts for hedge accounting treatment, and accordingly, changes in fair value of the corresponding derivative financial asset or liability are recorded in non-interest income and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December 31, 2016, 28,350 outstanding options, 191,278 warrants and 132,017 restricted stock units were anti-dilutive and excluded from the calculation of common stock equivalents. At December 31, 2015, 61,568 outstanding options and 191,278 warrants were anti-dilutive and excluded from the calculation of common stock equivalents.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adjusted to reflect the Reverse Stock Split, have been computed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3"/>
              </w:rPr>
              <w:t>(dollars in thousands, except per share data)</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49,694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38,306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35,081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28,928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line="201" w:lineRule="exact"/>
              <w:rPr>
                <w:sz w:val="20"/>
                <w:szCs w:val="20"/>
                <w:color w:val="auto"/>
              </w:rPr>
            </w:pPr>
            <w:r>
              <w:rPr>
                <w:rFonts w:ascii="Arial" w:cs="Arial" w:eastAsia="Arial" w:hAnsi="Arial"/>
                <w:sz w:val="18"/>
                <w:szCs w:val="18"/>
                <w:color w:val="auto"/>
              </w:rPr>
              <w:t>Dilutive effect of outstanding options, warrants and restricted stock</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w w:val="95"/>
              </w:rPr>
              <w:t>units as determined by the application of the treasury stock method</w:t>
            </w:r>
          </w:p>
        </w:tc>
        <w:tc>
          <w:tcPr>
            <w:tcW w:w="86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common shares outstanding, as adjusted for</w:t>
            </w:r>
          </w:p>
        </w:tc>
        <w:tc>
          <w:tcPr>
            <w:tcW w:w="860" w:type="dxa"/>
            <w:vAlign w:val="bottom"/>
          </w:tcPr>
          <w:p>
            <w:pPr>
              <w:spacing w:after="0"/>
              <w:rPr>
                <w:sz w:val="17"/>
                <w:szCs w:val="17"/>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0"/>
              </w:rPr>
              <w:t>35,413</w:t>
            </w:r>
          </w:p>
        </w:tc>
        <w:tc>
          <w:tcPr>
            <w:tcW w:w="320" w:type="dxa"/>
            <w:vAlign w:val="bottom"/>
          </w:tcPr>
          <w:p>
            <w:pPr>
              <w:spacing w:after="0"/>
              <w:rPr>
                <w:sz w:val="17"/>
                <w:szCs w:val="17"/>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29,103</w:t>
            </w:r>
          </w:p>
        </w:tc>
        <w:tc>
          <w:tcPr>
            <w:tcW w:w="4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360"/>
              <w:spacing w:after="0"/>
              <w:rPr>
                <w:sz w:val="20"/>
                <w:szCs w:val="20"/>
                <w:color w:val="auto"/>
              </w:rPr>
            </w:pPr>
            <w:r>
              <w:rPr>
                <w:rFonts w:ascii="Arial" w:cs="Arial" w:eastAsia="Arial" w:hAnsi="Arial"/>
                <w:sz w:val="18"/>
                <w:szCs w:val="18"/>
                <w:color w:val="auto"/>
              </w:rPr>
              <w:t>diluted earnings per share calculation</w:t>
            </w:r>
          </w:p>
        </w:tc>
        <w:tc>
          <w:tcPr>
            <w:tcW w:w="860" w:type="dxa"/>
            <w:vAlign w:val="bottom"/>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Reclassifications have been made to certain prior year account balances, with no effect on net income or stockholders’ equity, to be consistent with the classifications adopted as of and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Consolidated Financial Statements included in this Annual Report on Form 10-K were issued. On February 6, 2017, First Busey announced entering into a Merger Agreement with First Community, pursuant to which First Community will merge into Frist Busey. The Merger is anticipated to be completed in mid-2017, and is subject to the satisfaction of customary closing conditions contained in the Merger Agreement including the approval of the appropriate regulatory authorities and the stockholders of First Community. See “</w:t>
      </w:r>
      <w:r>
        <w:rPr>
          <w:rFonts w:ascii="Arial" w:cs="Arial" w:eastAsia="Arial" w:hAnsi="Arial"/>
          <w:sz w:val="16"/>
          <w:szCs w:val="16"/>
          <w:i w:val="1"/>
          <w:iCs w:val="1"/>
          <w:color w:val="auto"/>
        </w:rPr>
        <w:t>Note 2. Acquisitions</w:t>
      </w:r>
      <w:r>
        <w:rPr>
          <w:rFonts w:ascii="Arial" w:cs="Arial" w:eastAsia="Arial" w:hAnsi="Arial"/>
          <w:sz w:val="16"/>
          <w:szCs w:val="16"/>
          <w:color w:val="auto"/>
        </w:rPr>
        <w:t>” for further information relating to this planned acquisition. Other than the Merger Agreement with First Community, there were no significant subsequent events for the year ended December 31, 2016 through the filing date of these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new financial accounting standards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6"/>
          <w:szCs w:val="16"/>
          <w:i w:val="1"/>
          <w:iCs w:val="1"/>
          <w:color w:val="auto"/>
        </w:rPr>
        <w:t>ASU 2015-14, “Revenue from Contracts with Customers (Topic 606)”</w:t>
      </w:r>
      <w:r>
        <w:rPr>
          <w:rFonts w:ascii="Arial" w:cs="Arial" w:eastAsia="Arial" w:hAnsi="Arial"/>
          <w:sz w:val="16"/>
          <w:szCs w:val="16"/>
          <w:color w:val="auto"/>
        </w:rPr>
        <w:t xml:space="preserve"> was issued to delay the effective date of ASU 2014-09 by one year. The FASB issued four subsequent ASUs in 2016 which are intended to improve and clarify the implementation guidance related to ASU 2014-09. The Company is continuing to evaluate the effect this guidance will have on components of non-interest income and related disclosures. The Company expects to adopt the standard in the first quarter of 2018 with a cumulative effect adjustment to opening retained earnings, if such adjustment is deemed to be significant.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ASU 2016-01, “Financial Instruments — Overall (Subtopic 825-10): Recognition and Measurement of Financial Assets and Financial Liabilities.”</w:t>
      </w:r>
    </w:p>
    <w:p>
      <w:pPr>
        <w:spacing w:after="0" w:line="3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w:t>
      </w:r>
    </w:p>
    <w:p>
      <w:pPr>
        <w:sectPr>
          <w:pgSz w:w="11900" w:h="16906" w:orient="portrait"/>
          <w:cols w:equalWidth="0" w:num="1">
            <w:col w:w="11400"/>
          </w:cols>
          <w:pgMar w:left="240" w:top="125" w:right="259" w:bottom="0" w:gutter="0" w:footer="0" w:header="0"/>
        </w:sectPr>
      </w:pPr>
    </w:p>
    <w:bookmarkStart w:id="54" w:name="page55"/>
    <w:bookmarkEnd w:id="54"/>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measuring the fair value of financial instruments for disclosure purposes; separate presentation of financial assets and financial liabilities by measurement category and form of financial assets on the balance sheet or the accompanying notes to the financial statements; eliminating the requirement for public business entities to disclose the method and significant assumptions used to estimate the fair value that is to be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evaluating the impact this guidance will have on its Consolidated Financial Statements and related disclosures.</w:t>
      </w:r>
    </w:p>
    <w:p>
      <w:pPr>
        <w:spacing w:after="0" w:line="16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ASU 2016-09, “Compensation - Stock Compensation (Topic 718): Improvements to Employee Share-Based Payment Accounting.” </w:t>
      </w:r>
      <w:r>
        <w:rPr>
          <w:rFonts w:ascii="Arial" w:cs="Arial" w:eastAsia="Arial" w:hAnsi="Arial"/>
          <w:sz w:val="17"/>
          <w:szCs w:val="17"/>
          <w:color w:val="auto"/>
        </w:rPr>
        <w:t>ASU 2016-09 is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simplify several aspects of the accounting for share-based payment transactions, including the income tax consequences, classification of awards as either equity or liabilities and classification on the statement of cash flows. This guidance is effective for reporting periods after December 15, 2016, and interim periods within those fiscal years with early adoption permitted. The Company elected to early adopt this update in the third quarter of the current fiscal year and adoption of this did not have a significant impact to its Consolidated Financial Statements and related disclosures.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ASU 2016-13, “Financial Instruments — Credit Losses (Topic 326): Measurement of Credit Losses on Financial Instruments.” </w:t>
      </w:r>
      <w:r>
        <w:rPr>
          <w:rFonts w:ascii="Arial" w:cs="Arial" w:eastAsia="Arial" w:hAnsi="Arial"/>
          <w:sz w:val="17"/>
          <w:szCs w:val="17"/>
          <w:color w:val="auto"/>
        </w:rPr>
        <w:t>ASU 2016-13 implements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is evaluating the impact this guidance will have on its Consolidated Financial Statements and related disclosures.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ASU 2016-15, “Statement of Cash Flows (Topic 230): Classification of Certain Cash Receipts and Cash Payments.” </w:t>
      </w:r>
      <w:r>
        <w:rPr>
          <w:rFonts w:ascii="Arial" w:cs="Arial" w:eastAsia="Arial" w:hAnsi="Arial"/>
          <w:sz w:val="17"/>
          <w:szCs w:val="17"/>
          <w:color w:val="auto"/>
        </w:rPr>
        <w:t>ASU 2016-15 provides clarification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how certain cash receipts and cash payment are presented and classified in the Consolidated Statements of Cash Flows. This update is effective for fiscal years beginning after December 15, 2017, and interim periods within those fiscal years, with early adoption permitted. The Company does not expect the adoption of this guidance to have a material impact to its Consolidated Financial Statements.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i w:val="1"/>
          <w:iCs w:val="1"/>
          <w:color w:val="auto"/>
        </w:rPr>
        <w:t xml:space="preserve">ASU 2016-16, “Income Taxes (Topic 740): Intra-Entity Transfers of Asses Other Than Inventory.” </w:t>
      </w:r>
      <w:r>
        <w:rPr>
          <w:rFonts w:ascii="Arial" w:cs="Arial" w:eastAsia="Arial" w:hAnsi="Arial"/>
          <w:sz w:val="16"/>
          <w:szCs w:val="16"/>
          <w:color w:val="auto"/>
        </w:rPr>
        <w:t>ASU 2016-16 is intended to improve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tax consequences of intra-entity transfers of assets other than inventory by requiring an entity to recognize the income tax consequences when a transfer occurs, instead of when an asset is sold to an outside party. This guidance is effective for annual reporting periods beginning after December 15, 2017. The new standard will require adoption on a modified retrospective basis through a cumulative-effect adjustment to retained earnings, and early adoption is permitted. The Company does not expect the adoption of this guidance to have a material impact to its Consolidated Financial Statements.</w:t>
      </w:r>
    </w:p>
    <w:p>
      <w:pPr>
        <w:spacing w:after="0" w:line="158"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i w:val="1"/>
          <w:iCs w:val="1"/>
          <w:color w:val="auto"/>
        </w:rPr>
        <w:t xml:space="preserve">ASU 2017-01, “Business Combinations (Topic 805): Clarifying the Definition of a Business.” </w:t>
      </w:r>
      <w:r>
        <w:rPr>
          <w:rFonts w:ascii="Arial" w:cs="Arial" w:eastAsia="Arial" w:hAnsi="Arial"/>
          <w:sz w:val="16"/>
          <w:szCs w:val="16"/>
          <w:color w:val="auto"/>
        </w:rPr>
        <w:t>ASU 2017-01 clarifies the definition and provides a more</w:t>
      </w:r>
      <w:r>
        <w:rPr>
          <w:rFonts w:ascii="Arial" w:cs="Arial" w:eastAsia="Arial" w:hAnsi="Arial"/>
          <w:sz w:val="16"/>
          <w:szCs w:val="16"/>
          <w:i w:val="1"/>
          <w:iCs w:val="1"/>
          <w:color w:val="auto"/>
        </w:rPr>
        <w:t xml:space="preserve"> </w:t>
      </w:r>
      <w:r>
        <w:rPr>
          <w:rFonts w:ascii="Arial" w:cs="Arial" w:eastAsia="Arial" w:hAnsi="Arial"/>
          <w:sz w:val="16"/>
          <w:szCs w:val="16"/>
          <w:color w:val="auto"/>
        </w:rPr>
        <w:t>robust framework to use in determining when a set of assets and activities constitutes a business. ASU 2017-01 is intended to provide guidance when evaluating whether transactions should be accounted for as acquisitions of assets or businesses. This guidance is effective for annual reporting periods beginning after December 15, 2017 and is not expected to have a significant impact to the Company’s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6, 2017, the Company entered into a Merger Agreement with First Community, pursuant to which First Community will merge into First Busey, with First Busey as the surviving corporation. It is anticipated that First Community Financial Bank, First Community’s wholly-owned bank subsidiary, will be merged with and into First Busey’s bank subsidiary, Busey Bank, at a date following the completion of the holding company merger. At the time of the bank merger, First Community Financial Bank’s banking offices will become branches of Busey Bank. The Merger is anticipated to be completed in mid-2017, and is subject to the satisfaction of customary closing conditions contained in the Merger Agreement including the approval of the appropriate regulatory authorities and the stockholders of First Community. As of December 31, 2016, First Community had total consolidated assets of $1.3 billion, total loans of $991.6 million and total deposits of $1.1 billion.</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Founded in 2004, First Community operates as a state chartered commercial bank with nine branches in Will, DuPage and Grundy counties, which encompass portions of the southwestern suburbs of Chicago. The Merger Agreement between the Company and First Community, and the Investor Presentation with more information regarding our planned acquisition of First Community can be found on Form 8-K, filed on February 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April 30, 2016, First Busey completed its acquisition of Pulaski. Pulaski Bank, which was Pulaski’s wholly owned bank subsidiary prior to the acquisition, offers a full line of quality retail and commercial banking products through thirteen full-service branch offices in the St. Louis metropolitan area. Pulaski Bank also offers mortgage loan products through loan production offices in the St. Louis, Kansas City, Chicago, and Omaha-Council Bluffs metropolitan areas and other locations across the Midwest.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branches became branches of Busey Bank.</w:t>
      </w:r>
    </w:p>
    <w:p>
      <w:pPr>
        <w:spacing w:after="0" w:line="178"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Under the terms of the definitive agreement, at the effective time of the acquisition, each share of Pulaski common stock issued and outstanding was converted into 0.79 shares of First Busey common stock and cash in lieu of fractional shares. The market value of the 9.4 million shares of First Busey common stock issued at the effective time of the acquisition was approximately $193.0 million based on First Busey’s closing stock price of $20.44 on</w:t>
      </w:r>
    </w:p>
    <w:p>
      <w:pPr>
        <w:sectPr>
          <w:pgSz w:w="11900" w:h="16885" w:orient="portrait"/>
          <w:cols w:equalWidth="0" w:num="1">
            <w:col w:w="11420"/>
          </w:cols>
          <w:pgMar w:left="240" w:top="125" w:right="239" w:bottom="0" w:gutter="0" w:footer="0" w:header="0"/>
        </w:sectPr>
      </w:pPr>
    </w:p>
    <w:bookmarkStart w:id="55" w:name="page56"/>
    <w:bookmarkEnd w:id="55"/>
    <w:p>
      <w:pPr>
        <w:ind w:right="260"/>
        <w:spacing w:after="0" w:line="277" w:lineRule="auto"/>
        <w:rPr>
          <w:sz w:val="20"/>
          <w:szCs w:val="20"/>
          <w:color w:val="auto"/>
        </w:rPr>
      </w:pPr>
      <w:r>
        <w:rPr>
          <w:rFonts w:ascii="Arial" w:cs="Arial" w:eastAsia="Arial" w:hAnsi="Arial"/>
          <w:sz w:val="18"/>
          <w:szCs w:val="18"/>
          <w:color w:val="auto"/>
        </w:rPr>
        <w:t>April 29, 2016. In addition, all of the options to purchase shares of Pulaski common stock that were outstanding at the acquisition date were converted into options to purchase shares of First Busey common stock, adjusted for the 0.79 exchange ratio.</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April 30, 2016 as additional information regarding the closing date fair values becomes available; however, the Company does not expect any further adjustments will be necessary.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$77.3 million was recorded as a result of the acquisition. Goodwill recorded in the transaction, which reflects the synergies expected from the acquisition and the enhanced revenue opportunities from the Company’s broader service capabilities in the St. Louis market, is not tax deductible, and was assigned to the Banking operating segment.</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First Busey incurred $6.9 million and $10.0 million in pre-tax expenses related to the acquisition of Pulaski for the three and twelve months ended December 31, 2016, respectively, including professional and legal fees of $0.1 million and $1.2 million, respectively, to directly consummate the acquisition, all of which are reported as a component of non-interest expense in the accompanying Consolidated Financial Statements. The remainder of the expenses primarily relate to data processing conversion expenses and restructuring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assets acquired and liabilities assumed of Pulaski as of April 30, 2016 and their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Recorded by</w:t>
            </w:r>
          </w:p>
        </w:tc>
        <w:tc>
          <w:tcPr>
            <w:tcW w:w="18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Recorded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Pulaski</w:t>
            </w:r>
          </w:p>
        </w:tc>
        <w:tc>
          <w:tcPr>
            <w:tcW w:w="18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25,580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47,895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105(a)</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184,856</w:t>
            </w:r>
          </w:p>
        </w:tc>
        <w:tc>
          <w:tcPr>
            <w:tcW w:w="18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(14,452)(b)</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17,236</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(667)(c)</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5,022</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(2,534)(d)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3,939</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(3,939)(e)</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15,468(f)</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70,365</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(122)(g)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1,226,906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1,102(h)</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205,840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906(i)</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Trust preferred securities</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19,589</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(3,805)(j)</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24,594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(612)(k)</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121,877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(3,732)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118,145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Consideration paid: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stock options assumed</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consideration paid</w:t>
            </w:r>
          </w:p>
        </w:tc>
        <w:tc>
          <w:tcPr>
            <w:tcW w:w="1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9" w:lineRule="exact"/>
        <w:rPr>
          <w:rFonts w:ascii="Arial" w:cs="Arial" w:eastAsia="Arial" w:hAnsi="Arial"/>
          <w:sz w:val="18"/>
          <w:szCs w:val="18"/>
          <w:color w:val="auto"/>
        </w:rPr>
      </w:pPr>
    </w:p>
    <w:p>
      <w:pPr>
        <w:jc w:val="both"/>
        <w:ind w:left="500" w:right="32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premises and equipment.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will be no discount accretion.</w:t>
      </w:r>
    </w:p>
    <w:p>
      <w:pPr>
        <w:spacing w:after="0" w:line="32" w:lineRule="exact"/>
        <w:rPr>
          <w:rFonts w:ascii="Arial" w:cs="Arial" w:eastAsia="Arial" w:hAnsi="Arial"/>
          <w:sz w:val="16"/>
          <w:szCs w:val="16"/>
          <w:color w:val="auto"/>
        </w:rPr>
      </w:pPr>
    </w:p>
    <w:p>
      <w:pPr>
        <w:ind w:left="500" w:right="36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FASB ASC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xml:space="preserve"> and were</w:t>
      </w:r>
    </w:p>
    <w:p>
      <w:pPr>
        <w:sectPr>
          <w:pgSz w:w="11900" w:h="16838" w:orient="portrait"/>
          <w:cols w:equalWidth="0" w:num="1">
            <w:col w:w="11420"/>
          </w:cols>
          <w:pgMar w:left="240" w:top="125" w:right="239" w:bottom="0" w:gutter="0" w:footer="0" w:header="0"/>
        </w:sectPr>
      </w:pPr>
    </w:p>
    <w:bookmarkStart w:id="56" w:name="page57"/>
    <w:bookmarkEnd w:id="56"/>
    <w:p>
      <w:pPr>
        <w:ind w:right="140"/>
        <w:spacing w:after="0" w:line="308" w:lineRule="auto"/>
        <w:rPr>
          <w:sz w:val="20"/>
          <w:szCs w:val="20"/>
          <w:color w:val="auto"/>
        </w:rPr>
      </w:pPr>
      <w:r>
        <w:rPr>
          <w:rFonts w:ascii="Arial" w:cs="Arial" w:eastAsia="Arial" w:hAnsi="Arial"/>
          <w:sz w:val="17"/>
          <w:szCs w:val="17"/>
          <w:color w:val="auto"/>
        </w:rPr>
        <w:t xml:space="preserve">subsequently considered as part of the Company’s determination of the adequacy of the allowance for loan losses. PCI loans, which are loans with evidence of credit quality deterioration at the date of acquisition, were accounted for under FASB ASC 310-30, </w:t>
      </w:r>
      <w:r>
        <w:rPr>
          <w:rFonts w:ascii="Arial" w:cs="Arial" w:eastAsia="Arial" w:hAnsi="Arial"/>
          <w:sz w:val="17"/>
          <w:szCs w:val="17"/>
          <w:i w:val="1"/>
          <w:iCs w:val="1"/>
          <w:color w:val="auto"/>
        </w:rPr>
        <w:t>Receivables — Loans and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Securities Acquired with Deteriorated Credit Quality</w:t>
      </w:r>
      <w:r>
        <w:rPr>
          <w:rFonts w:ascii="Arial" w:cs="Arial" w:eastAsia="Arial" w:hAnsi="Arial"/>
          <w:sz w:val="17"/>
          <w:szCs w:val="17"/>
          <w:color w:val="auto"/>
        </w:rPr>
        <w:t>. As of the acquisition date, the aggregate principal outstanding and aggregate fair value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performing loans, including loans held for sale, both rounded to $1.4 billion. The difference between the aggregate principal balance outstanding and aggregate fair value of $16.6 million is expected to be accreted over the estimated four year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During the third quarter of 2016, PCI loans with a carrying value of $6.2 million were sold to outside parties. Further, in the fourth quarter of 2016, a commercial PCI loan with a carrying value of $1.6 million was collected.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$0.3 million on PCI loans was expected to be recognized over the estimated four year remaining life of the respective loans in a manner that approximates the level yield method; however, the majority was accelerated in 2016 as a result of the third quarter loan sale and fourth quarter collection.</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Since the acquisition date of April 30, 2016 and until November 4, 2016 when Pulaski Bank was merged into Busey Bank, Pulaski Bank earned total revenues of $40.2 million and net income of $10.5 million, which are included in the Company’s Consolidated Statement of Income for the year ended December 31, 2016. The following table provides the unaudited pro forma information for the results of operation for the twelve months ended December 31, 2016 and 2015, as if the acquisition had occurred on January 1, 2015. The pro forma results combine the historical results of Pulaski with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2015. No assumptions have been applied to the pro forma results of operations regarding possible revenue enhancements, expense efficiencies or asset dispositions. Only the acquisition related expenses that have been incurred as of December 31, 2016 are included in net income in the table below. Acquisition related expenses that were recognized and are included in the pro forma net income for the twelve months ended December, 2016 totaled $15.0 million, on a pre-tax basis. Such expenses consisted primarily of professional fees to transact the acquisition, data processing conversion expenses and compensation to certain officers and employees required under employment or restructuring agreements.</w:t>
      </w:r>
    </w:p>
    <w:p>
      <w:pPr>
        <w:spacing w:after="0" w:line="16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Pro Forma</w:t>
      </w:r>
    </w:p>
    <w:p>
      <w:pPr>
        <w:jc w:val="center"/>
        <w:ind w:left="5120"/>
        <w:spacing w:after="0" w:line="236" w:lineRule="auto"/>
        <w:rPr>
          <w:sz w:val="20"/>
          <w:szCs w:val="20"/>
          <w:color w:val="auto"/>
        </w:rPr>
      </w:pPr>
      <w:r>
        <w:rPr>
          <w:rFonts w:ascii="Arial" w:cs="Arial" w:eastAsia="Arial" w:hAnsi="Arial"/>
          <w:sz w:val="14"/>
          <w:szCs w:val="14"/>
          <w:b w:val="1"/>
          <w:bCs w:val="1"/>
          <w:color w:val="auto"/>
        </w:rPr>
        <w:t>Twelve Months Ended December 31,</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revenues (net interest income plus non-interest income)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245,861</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247,694</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46,276</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57,092</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1.20</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Herget Financial Corp.</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January 8, 2015, First Busey acquired Herget Financial, headquartered in Pekin, Illinois and its wholly owned bank subsidiary, Herget Bank. First Busey operated Herget Bank as a separate banking subsidiary from January 9, 2015 until March 13, 2015, when it was merged with and into Busey Bank. At that time, Herget Bank’s branches in Pekin, Illinois became branches of Busey Bank. The operating results of Herget Financial are included in the Company’s results of operations since the date of acquisition. This transaction was accounted for using the acquisition method of accounting and, accordingly, assets acquired, liabilities assumed, and consideration exchanged were recorded at estimated fair values on the date of acquisition.</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Expenses related to the acquisition of Herget Financial during the twelve months ended December 31, 2016 were insignificant. During the twelve months ended December 31, 2015, pre-tax expenses related to the acquisition of Herget Financial totaled $1.0 million. The 2015 expenses were comprised primarily of system conversion, restructuring, legal, consulting, regulatory and marketing costs, all of which are reported as a component of non-interest expense in the accompanying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Bank is required to maintain certain cash reserve balances with the Federal Reserve Bank of Chicago, which may be offset by cash on hand. The required reserve balances as of December 31, 2016 and 2015 were approximately $22.5 million and $14.6 million, respectively.</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maintains its cash in deposit accounts which, at times, may exceed federally insured limits. The Company has not experienced any losses in such accounts. Management believes the Company is not exposed to any significant credit risk on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fair values of securities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120" w:type="dxa"/>
            <w:vAlign w:val="bottom"/>
          </w:tcPr>
          <w:p>
            <w:pPr>
              <w:jc w:val="center"/>
              <w:ind w:right="224"/>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140" w:type="dxa"/>
            <w:vAlign w:val="bottom"/>
          </w:tcPr>
          <w:p>
            <w:pPr>
              <w:jc w:val="center"/>
              <w:ind w:right="264"/>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14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1120" w:type="dxa"/>
            <w:vAlign w:val="bottom"/>
          </w:tcPr>
          <w:p>
            <w:pPr>
              <w:jc w:val="center"/>
              <w:ind w:right="244"/>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140" w:type="dxa"/>
            <w:vAlign w:val="bottom"/>
          </w:tcPr>
          <w:p>
            <w:pPr>
              <w:jc w:val="center"/>
              <w:ind w:right="264"/>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3"/>
          </w:tcPr>
          <w:p>
            <w:pPr>
              <w:jc w:val="right"/>
              <w:ind w:right="704"/>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2016:</w:t>
            </w:r>
          </w:p>
        </w:tc>
        <w:tc>
          <w:tcPr>
            <w:tcW w:w="234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74,784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79,577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154,438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303,641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Total debt securities</w:t>
            </w: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755,276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759,751</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3,487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2015:</w:t>
            </w:r>
          </w:p>
        </w:tc>
        <w:tc>
          <w:tcPr>
            <w:tcW w:w="34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132,547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176,764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304,978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Total debt securities</w:t>
            </w: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829,293</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830,935</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834,838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amortized cost and fair value of debt securities as of December 31, 2016, by contractual maturity or pre-refunded date, are shown below. Mutual funds and other equity securities do not have stated maturity dates and therefore are not included in the following maturity summary. Mortgages underlying mortgage-backed securities may be called or prepaid; therefore, actual maturities could differ from the contractual maturities. All mortgage-backed securities were issued by U.S. government agencies and corporations.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Available for sale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6"/>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7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119,423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119,612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305,314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305,626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19,750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19,721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66,702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263,837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261,607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3,133</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755,276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available for sale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260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Gross security (losses)</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security gains</w:t>
            </w:r>
          </w:p>
        </w:tc>
        <w:tc>
          <w:tcPr>
            <w:tcW w:w="26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1,232</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40"/>
        <w:spacing w:after="0" w:line="277" w:lineRule="auto"/>
        <w:rPr>
          <w:sz w:val="20"/>
          <w:szCs w:val="20"/>
          <w:color w:val="auto"/>
        </w:rPr>
      </w:pPr>
      <w:r>
        <w:rPr>
          <w:rFonts w:ascii="Arial" w:cs="Arial" w:eastAsia="Arial" w:hAnsi="Arial"/>
          <w:sz w:val="18"/>
          <w:szCs w:val="18"/>
          <w:color w:val="auto"/>
        </w:rPr>
        <w:t>The tax provision for these net realized gains and losses was $0.4 million for the year ended December 31, 2016, $0.1 million for the year ended December 31, 2015, and $0.3 million for the year ended December 31, 2014.</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second quarter of 2016, the Company sold one held to maturity security, which was an obligation of state and political subdivisions, with a fair value of $0.4 million due to significant credit deterioration. The sale resulted in an insignificant loss during the second quarter.</w:t>
      </w:r>
    </w:p>
    <w:p>
      <w:pPr>
        <w:spacing w:after="0" w:line="14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Investment securities with carrying amounts of $547.2 million and $627.4 million on December 31, 2016 and 2015,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Information pertaining to securities with gross unrealized losses at December 31, 2016 and 2015 aggregated by investment category and length of time that individual securities have been in a continuous loss position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2016:</w:t>
            </w:r>
          </w:p>
        </w:tc>
        <w:tc>
          <w:tcPr>
            <w:tcW w:w="1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46,209</w:t>
            </w:r>
          </w:p>
        </w:tc>
        <w:tc>
          <w:tcPr>
            <w:tcW w:w="1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46,209</w:t>
            </w:r>
          </w:p>
        </w:tc>
        <w:tc>
          <w:tcPr>
            <w:tcW w:w="1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65,986</w:t>
            </w: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168,898</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168,898</w:t>
            </w: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32,749</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tcPr>
          <w:p>
            <w:pPr>
              <w:spacing w:after="0" w:line="196" w:lineRule="exact"/>
              <w:rPr>
                <w:sz w:val="20"/>
                <w:szCs w:val="20"/>
                <w:color w:val="auto"/>
              </w:rPr>
            </w:pPr>
            <w:r>
              <w:rPr>
                <w:rFonts w:ascii="Arial" w:cs="Arial" w:eastAsia="Arial" w:hAnsi="Arial"/>
                <w:sz w:val="18"/>
                <w:szCs w:val="18"/>
                <w:color w:val="auto"/>
              </w:rPr>
              <w:t>Total temporarily impaired</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24,558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tcPr>
          <w:p>
            <w:pPr>
              <w:spacing w:after="0" w:line="196" w:lineRule="exact"/>
              <w:rPr>
                <w:sz w:val="20"/>
                <w:szCs w:val="20"/>
                <w:color w:val="auto"/>
              </w:rPr>
            </w:pPr>
            <w:r>
              <w:rPr>
                <w:rFonts w:ascii="Arial" w:cs="Arial" w:eastAsia="Arial" w:hAnsi="Arial"/>
                <w:sz w:val="18"/>
                <w:szCs w:val="18"/>
                <w:color w:val="auto"/>
              </w:rPr>
              <w:t>Total temporarily impaired</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2015:</w:t>
            </w:r>
          </w:p>
        </w:tc>
        <w:tc>
          <w:tcPr>
            <w:tcW w:w="1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52,154</w:t>
            </w:r>
          </w:p>
        </w:tc>
        <w:tc>
          <w:tcPr>
            <w:tcW w:w="1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52,154</w:t>
            </w:r>
          </w:p>
        </w:tc>
        <w:tc>
          <w:tcPr>
            <w:tcW w:w="1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40,026</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51,445</w:t>
            </w: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93,608</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93,608</w:t>
            </w: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99,148</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tcPr>
          <w:p>
            <w:pPr>
              <w:spacing w:after="0" w:line="196" w:lineRule="exact"/>
              <w:rPr>
                <w:sz w:val="20"/>
                <w:szCs w:val="20"/>
                <w:color w:val="auto"/>
              </w:rPr>
            </w:pPr>
            <w:r>
              <w:rPr>
                <w:rFonts w:ascii="Arial" w:cs="Arial" w:eastAsia="Arial" w:hAnsi="Arial"/>
                <w:sz w:val="18"/>
                <w:szCs w:val="18"/>
                <w:color w:val="auto"/>
              </w:rPr>
              <w:t>Total temporarily impaired</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subdivisions(1)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temporarily impaired</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(1)Unrealized losses existing for greater than 12 months, gross,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Securities are periodically evaluated for OTTI. The total number of securities in the investment portfolio in an unrealized loss position as of December 31, 2016 was 283, and represented a loss of 1.21% of the aggregate carrying value. As of December 31, 2016, the Company does not intend to sell such securities and it is more likely than not that the Company will recover the amortized cost prior to being required to sell the securities. Full collection of the amounts due according to the contractual terms of the securities is expected; therefore, the Company does not consider these investments to be OTTI at December 31, 2016.</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$154.9 million and $178.6 million as of December 31, 2016 and 2015, respectively. In addition, the Company had held to maturity obligations of state and political subdivisions with a fair value of $44.3 million and $49.3 million at December 31, 2016 and 2015, respectively.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2016, the fair value of the Company’s obligations of state and political subdivisions portfolio was comprised of $163.6 million of general obligation bonds and $35.6 million of revenue bonds issued by 260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2015, the fair value of the Company’s obligations of state and political subdivisions portfolio was comprised of $193.4 million of general obligation bonds and $34.3 million of revenue bonds issued by 278 issuers, primarily consisting of states, counties, cities, towns, villages and school districts.</w:t>
      </w:r>
    </w:p>
    <w:p>
      <w:pPr>
        <w:sectPr>
          <w:pgSz w:w="11900" w:h="16838" w:orient="portrait"/>
          <w:cols w:equalWidth="0" w:num="1">
            <w:col w:w="11420"/>
          </w:cols>
          <w:pgMar w:left="240" w:top="125" w:right="239" w:bottom="0" w:gutter="0" w:footer="0" w:header="0"/>
        </w:sectPr>
      </w:pPr>
    </w:p>
    <w:bookmarkStart w:id="59" w:name="page60"/>
    <w:bookmarkEnd w:id="59"/>
    <w:p>
      <w:pPr>
        <w:spacing w:after="0" w:line="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held investments in general obligation bonds in 29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Exposure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67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Ohio</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22,028</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22,192</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December 31, 2015: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8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Exposure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67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30,889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Ohio</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88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general obligation bonds are diversified across many issuers, with $3.4 million being the largest exposure to a single issuer at December 31, 2016 and 2015. Accordingly, as of December 31, 2016 and 2015, the Company did not hold general obligation bonds of any single issuer, the aggregate book or market value of which exceeded 10% of the Company’s stockholders’ equity. Of the general obligation bonds in the Company’s portfolio, 98.4% had been rated by at least one nationally recognized statistical rating organization and 1.6% were unrated, based on the fair value as of December 31, 2016. Of the general obligation bonds in the Company’s portfolio, 97.6% had been rated by at least one nationally recognized statistical rating organization and 2.4% were unrated, based on the fair value as of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December 31, 2016:</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67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35,686</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35,621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December 31, 2015: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67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34,403</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34,421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revenue bonds are diversified across many issuers and revenue sources with $3.5 million and $3.0 million being the largest exposure to a single issuer at each of December 31, 2016 and 2015, respectively. Accordingly, as of December 31, 2016 and 2015, the Company did not hold revenue bonds of any single issuer, the aggregate book or market value of which exceeded 10% of the Company’s stockholders’ equity. Of the revenue bonds in the Company’s portfolio, 97.1% had been rated by at least one nationally recognized statistical rating organization and 2.9% were unrated, based on the fair value as of December 31, 2016. All of the revenue bonds in the Company’s portfolio had been rated by at least one nationally recognized statistical rating organization as of December 31, 2015. Some of the primary types of revenue bonds held in the Company’s portfolio include: primary education or government building lease</w:t>
      </w:r>
    </w:p>
    <w:p>
      <w:pPr>
        <w:sectPr>
          <w:pgSz w:w="11900" w:h="16921" w:orient="portrait"/>
          <w:cols w:equalWidth="0" w:num="1">
            <w:col w:w="11460"/>
          </w:cols>
          <w:pgMar w:left="240" w:top="125" w:right="199" w:bottom="0" w:gutter="0" w:footer="0" w:header="0"/>
        </w:sectPr>
      </w:pPr>
    </w:p>
    <w:bookmarkStart w:id="60" w:name="page61"/>
    <w:bookmarkEnd w:id="60"/>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its subsidiary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sale</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Loans held for sale totaled $256.3 million at December 31, 2016 compared to $9.4 million at December 31, 2015. Effective January 1, 2016, the Company elected to account for all loans held for sale at fair value. Prior to this change, the Company accounted for loans held for sale at the lower of cost or fair value. Further, beginning on January 1, 2016, the Company prospectively adopted an alternative conforming approach to the accounting for loan fees and costs for mortgage loans held for sale, which reclassifies origination costs, including related compensation expense from salaries, wages and employee benefits, to mortgage revenue. The amount of loans held for sale significantly increased from December 31, 2015, as the acquisition of Pulaski significantly expanded the Company’s mortgage operations. Loans held for sale generate net interest income until loans are delivered to investors, at which point mortgage revenue will be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received on sales of mortgage loans, including fair value adjustments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43,119</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Less direct origination costs</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(32,793)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Mortgage servicing revenues</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2015 and 2014, mortgage revenue was $7.2 million and $6.1 million, respectively, as a result of premiums received on sales of mortgage loans and mortgage servicing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Mortgage Loan Servicing</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unpaid principal balances of loans serviced by the Company for the benefit of others are not included in the accompanying Consolidated Balance Sheets. These unpaid principal balances were $1.43 billion and $1.46 billion as of December 31, 2016 and 2015, respectively. Servicing loans for others generally consists of collecting mortgage payments, maintaining escrow accounts, disbursing payments to investors and collection and foreclosure processing. Mortgage servicing revenues, a component of mortgage revenue, is recorded on the accrual basis and includes servicing fees from investors and certain charges collected from borrowers, such as late payment fees, and is net of amortization of capitalized mortgage servicing rights.</w:t>
      </w:r>
    </w:p>
    <w:p>
      <w:pPr>
        <w:spacing w:after="0" w:line="15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 xml:space="preserve">The balance of capitalized servicing rights included in other assets in the accompanying Consolidated Balance Sheets at December 31, 2016 and 2015, was $3.1 million and $3.5 million, respectively. The fair values of these servicing rights were $7.8 million and $5.9 million, respectively, at December 31, 2016 and 2015. The following summarizes mortgage servicing rights capitalized and amortized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capitalized</w:t>
            </w:r>
          </w:p>
        </w:tc>
        <w:tc>
          <w:tcPr>
            <w:tcW w:w="26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Mortgage servicing rights amortized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1,921</w:t>
            </w:r>
          </w:p>
        </w:tc>
        <w:tc>
          <w:tcPr>
            <w:tcW w:w="3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2,146</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vMerge w:val="restart"/>
          </w:tcPr>
          <w:p>
            <w:pPr>
              <w:jc w:val="right"/>
              <w:ind w:right="250"/>
              <w:spacing w:after="0"/>
              <w:rPr>
                <w:sz w:val="20"/>
                <w:szCs w:val="20"/>
                <w:color w:val="auto"/>
              </w:rPr>
            </w:pPr>
            <w:r>
              <w:rPr>
                <w:rFonts w:ascii="Arial" w:cs="Arial" w:eastAsia="Arial" w:hAnsi="Arial"/>
                <w:sz w:val="18"/>
                <w:szCs w:val="18"/>
                <w:color w:val="auto"/>
              </w:rPr>
              <w:t>90</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Portfolio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p>
      <w:pPr>
        <w:ind w:left="7620"/>
        <w:spacing w:after="0"/>
        <w:tabs>
          <w:tab w:leader="none" w:pos="924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ind w:left="7900"/>
        <w:spacing w:after="0"/>
        <w:tabs>
          <w:tab w:leader="none" w:pos="9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22617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ectPr>
          <w:pgSz w:w="11900" w:h="16876" w:orient="portrait"/>
          <w:cols w:equalWidth="0" w:num="1">
            <w:col w:w="11460"/>
          </w:cols>
          <w:pgMar w:left="240" w:top="125" w:right="199" w:bottom="0" w:gutter="0" w:footer="0" w:header="0"/>
        </w:sectPr>
      </w:pPr>
    </w:p>
    <w:p>
      <w:pPr>
        <w:ind w:left="660"/>
        <w:spacing w:after="0"/>
        <w:tabs>
          <w:tab w:leader="none" w:pos="7340" w:val="left"/>
          <w:tab w:leader="none" w:pos="8120" w:val="left"/>
          <w:tab w:leader="none" w:pos="8980" w:val="left"/>
          <w:tab w:leader="none" w:pos="9740" w:val="left"/>
        </w:tabs>
        <w:rPr>
          <w:sz w:val="20"/>
          <w:szCs w:val="20"/>
          <w:color w:val="auto"/>
        </w:rPr>
      </w:pPr>
      <w:r>
        <w:rPr>
          <w:rFonts w:ascii="Arial" w:cs="Arial" w:eastAsia="Arial" w:hAnsi="Arial"/>
          <w:sz w:val="18"/>
          <w:szCs w:val="18"/>
          <w:color w:val="auto"/>
        </w:rPr>
        <w:t>Commercial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959,888</w:t>
        <w:tab/>
        <w:t>$</w:t>
      </w:r>
      <w:r>
        <w:rPr>
          <w:sz w:val="20"/>
          <w:szCs w:val="20"/>
          <w:color w:val="auto"/>
        </w:rPr>
        <w:tab/>
      </w:r>
      <w:r>
        <w:rPr>
          <w:rFonts w:ascii="Arial" w:cs="Arial" w:eastAsia="Arial" w:hAnsi="Arial"/>
          <w:sz w:val="16"/>
          <w:szCs w:val="16"/>
          <w:color w:val="auto"/>
        </w:rPr>
        <w:t>656,576</w:t>
      </w:r>
    </w:p>
    <w:p>
      <w:pPr>
        <w:sectPr>
          <w:pgSz w:w="11900" w:h="16876" w:orient="portrait"/>
          <w:cols w:equalWidth="0" w:num="1">
            <w:col w:w="11460"/>
          </w:cols>
          <w:pgMar w:left="240" w:top="125" w:right="199" w:bottom="0" w:gutter="0" w:footer="0" w:header="0"/>
          <w:type w:val="continuous"/>
        </w:sectPr>
      </w:pPr>
    </w:p>
    <w:bookmarkStart w:id="61" w:name="page62"/>
    <w:bookmarkEnd w:id="61"/>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1,654,164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Retail real estate</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1,069,060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Portfolio loans</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2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47,795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portfolio loans</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portfolio loans increased $1.25 billion as of December 31, 2016 as compared to December 31, 2015 primarily as a result of the Pulaski acquisition. Net deferred loan origination costs included in the tables above were $2.5 million as of December 31, 2016 and $0.9 million as of December 31, 2015. Net accretable purchase accounting adjustments included in the table above reduced loans by $12.7 million as of December 31, 2016 and $2.2 million as of December 31, 2015.</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and reported in loans held for sale balances or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Management reviews and approves the Company’s lending policies and procedures on a routine basis. The policies for legacy Pulaski loans are similar in nature to Busey Bank’s policies and the Company is migrating Pulaski’s portfolio towards the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decisions. As a part of underwriting, tangible positive or negative evidence of the borrower’s integrity and character are sought out. Additional significant underwriting factors beyond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retail other loans. The significant majority of the Company’s portfolio lending activity occurs in its Illinois and Missouri markets, with the remainder in the Indiana and Florida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Loans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Commercial loans typically comprise working capital loans or business expansion loans, including loans for asset purchases and other business loans. Commercial loans will generally be guaranteed in full or a significant amount by the primary owners of the business. Commercial loans are made based primarily on the historical and projected cash flow of the underlying borrower and secondarily on the underlying assets pledged as collateral by the borrower. The cash flows of the underlying borrower, however, may not perform consistently with historical or projected information. Further, the collateral securing loans may fluctuate in value due to individual economic or other factors. The Company has established minimum standards and underwriting guidelines for all commercial loan types.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Real Estate Loans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is primarily located in markets with significant academic presence. The academic presence in addition to the commercial environment provides for the majority of the Company’s commercial lending opportunities to be commercial real estate related, including multi-unit housing. As the majority of the Company’s loan portfolio is within the commercial real estate class, the Company’s goal is to maintain a high quality, geographically diverse portfolio of commercial real estate loans. Commercial real estate loans are subject to underwriting standards and guidelines similar to commercial loans. Commercial real estate loans will generally be guaranteed in full or a significant amount by the primary owners of the business. The repayment of these loans is primarily dependent on the cash flows of the underlying property. However, the commercial real estate loan generally must be supported by an adequate underlying collateral value. The performance and the value of the underlying property may be adversely affected by economic factors or geographical and/or industry specific factors. These loans are subject to other industry guidelines that are closely monitored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Construction Loans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Real estate construction loans are typically commercial in nature. The loan proceeds are monitored by the Company and advanced for the improvement of real estate in which the Company holds a mortgage. Real estate construction loans will generally be guaranteed in full or a significant amount by the</w:t>
      </w:r>
    </w:p>
    <w:p>
      <w:pPr>
        <w:sectPr>
          <w:pgSz w:w="11900" w:h="16975" w:orient="portrait"/>
          <w:cols w:equalWidth="0" w:num="1">
            <w:col w:w="11420"/>
          </w:cols>
          <w:pgMar w:left="240" w:top="125" w:right="239" w:bottom="0" w:gutter="0" w:footer="0" w:header="0"/>
        </w:sectPr>
      </w:pPr>
    </w:p>
    <w:bookmarkStart w:id="62" w:name="page63"/>
    <w:bookmarkEnd w:id="62"/>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The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Real Estate Loans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Retail real estate loans are comprised of direct consumer loans that include residential real estate, residential real estate construction loans, home equity lines of credit and home equity loans. In 2016, the Company sold substantially all if its fixed rate retail real estate loans to secondary market purchasers and intends to do the same in 2017. As retail real estate loan underwriting is subject to specific regulations, the Company typically underwrites its retail real estate loans to conform to widely accepted standards. Several factors are considered in underwriting including the value of the underlying real estate and the debt to income and credit history of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Other Loans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Retail other loans consist of installment loans to individuals, including automotive loans. These loans are centrally underwritten utilizing the borrower’s financial history, including the Fair Isaac Corporation (FICO) credit scoring and information as to the underlying collateral. Repayment is expected from the cash flow of the borrower.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580" w:hanging="322"/>
        <w:spacing w:after="0" w:line="264"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right="280" w:hanging="322"/>
        <w:spacing w:after="0" w:line="277"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20" w:hanging="322"/>
        <w:spacing w:after="0" w:line="277"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20" w:hanging="322"/>
        <w:spacing w:after="0" w:line="286" w:lineRule="auto"/>
        <w:tabs>
          <w:tab w:leader="none" w:pos="64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00" w:hanging="322"/>
        <w:spacing w:after="0" w:line="264"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$3.72 billion at December 31, 2016, compared to $2.46 billion at December 31, 2015. Portfolio loans in the lowest grades, represented by the special mention, substandard and doubtful, totaled $165.5 million at December 31, 2016, compared to $166.8 million at December 31, 2015.</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is a summary of risk grades segregated by category of portfolio loans (excluding accretable purchase accounting adjustments and non-posted and clearings):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Watch</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Substandard</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826,163</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70,260</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1,507,513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Retail real estate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1,050,671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3,532,612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185,954</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65,478</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Watch</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Substandard</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553,294</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57,703</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1,068,568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Retail real estate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607,398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6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25" w:right="299" w:bottom="0" w:gutter="0" w:footer="0" w:header="0"/>
        </w:sectPr>
      </w:pPr>
    </w:p>
    <w:bookmarkStart w:id="63" w:name="page64"/>
    <w:bookmarkEnd w:id="63"/>
    <w:p>
      <w:pPr>
        <w:spacing w:after="0" w:line="8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r>
      <w:tr>
        <w:trPr>
          <w:trHeight w:val="210"/>
        </w:trPr>
        <w:tc>
          <w:tcPr>
            <w:tcW w:w="356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2,308,716</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107,933</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12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portfolio loans that are past due and still accruing or on a non-accrual status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6"/>
          </w:tcPr>
          <w:p>
            <w:pPr>
              <w:jc w:val="center"/>
              <w:ind w:left="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60-89 Days</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3"/>
          </w:tcPr>
          <w:p>
            <w:pPr>
              <w:jc w:val="center"/>
              <w:ind w:left="5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Retail real estate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6"/>
          </w:tcPr>
          <w:p>
            <w:pPr>
              <w:jc w:val="center"/>
              <w:ind w:left="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20" w:type="dxa"/>
            <w:vAlign w:val="bottom"/>
            <w:gridSpan w:val="2"/>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60-89 Days</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3"/>
          </w:tcPr>
          <w:p>
            <w:pPr>
              <w:jc w:val="center"/>
              <w:ind w:left="5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Retail real estate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assessed for impairment by the Company.</w:t>
      </w:r>
    </w:p>
    <w:p>
      <w:pPr>
        <w:spacing w:after="0" w:line="16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gross interest income that would have been recorded in the years ended December 31, 2016, 2015 and 2014 if impaired loans had been current in accordance with their original terms was approximately $0.9 million, $0.4 million, and $0.8 million, respectively. The amount of interest collected on impaired loans and recognized on a cash basis that was included in interest income was insignificant in 2016, $1.0 million in 2015 and insignificant in 2014.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December 31, 2016 and 2015 is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December 31, 2016</w:t>
            </w:r>
          </w:p>
        </w:tc>
        <w:tc>
          <w:tcPr>
            <w:tcW w:w="30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4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3"/>
          </w:tcPr>
          <w:p>
            <w:pPr>
              <w:jc w:val="right"/>
              <w:ind w:right="9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10,593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8,770</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1,285</w:t>
            </w:r>
          </w:p>
        </w:tc>
        <w:tc>
          <w:tcPr>
            <w:tcW w:w="3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bl>
    <w:p>
      <w:pPr>
        <w:sectPr>
          <w:pgSz w:w="11900" w:h="16925" w:orient="portrait"/>
          <w:cols w:equalWidth="0" w:num="1">
            <w:col w:w="11420"/>
          </w:cols>
          <w:pgMar w:left="240" w:top="140" w:right="239" w:bottom="0" w:gutter="0" w:footer="0" w:header="0"/>
        </w:sectPr>
      </w:pPr>
    </w:p>
    <w:bookmarkStart w:id="64" w:name="page65"/>
    <w:bookmarkEnd w:id="64"/>
    <w:p>
      <w:pPr>
        <w:spacing w:after="0" w:line="54" w:lineRule="exact"/>
        <w:rPr>
          <w:sz w:val="20"/>
          <w:szCs w:val="20"/>
          <w:color w:val="auto"/>
        </w:rPr>
      </w:pPr>
    </w:p>
    <w:p>
      <w:pPr>
        <w:ind w:left="1020"/>
        <w:spacing w:after="0"/>
        <w:tabs>
          <w:tab w:leader="none" w:pos="6880" w:val="left"/>
          <w:tab w:leader="none" w:pos="8000" w:val="left"/>
          <w:tab w:leader="none" w:pos="8760" w:val="left"/>
          <w:tab w:leader="none" w:pos="99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11,937</w:t>
        <w:tab/>
        <w:t>$</w:t>
      </w:r>
      <w:r>
        <w:rPr>
          <w:sz w:val="20"/>
          <w:szCs w:val="20"/>
          <w:color w:val="auto"/>
        </w:rPr>
        <w:tab/>
      </w:r>
      <w:r>
        <w:rPr>
          <w:rFonts w:ascii="Arial" w:cs="Arial" w:eastAsia="Arial" w:hAnsi="Arial"/>
          <w:sz w:val="16"/>
          <w:szCs w:val="16"/>
          <w:color w:val="auto"/>
        </w:rPr>
        <w:t>9,473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2617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25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Performing loans classified as a TDR during the three months ended December 31, 2016 included one commercial real estate modification for short-term principal payment relief, with a recorded investment of $3.0 million. Performing loans classified as TDRs during the twelve months ended December 31, 2016 included four commercial real estate modifications for short-term principal payment relief, with an aggregate recorded investment of $3.3 million and three retail real estate modifications for short-term principal payment relief, with an aggregate recorded investment of $0.4 million.</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Performing loans classified as TDRs during the three months ended December 31, 2015 included one retail real estate modification for short-term principal payment relief, with a recorded investment of $0.2 million, one retail real estate modification for short-term interest rate relief, with a recorded investment of $0.1 million and one retail other modification for short-term interest rate relief, with a recorded investment of $0.1 million. Performing loans classified as TDRs during the twelve months ended December 31, 2015 included one commercial modification for short-term principal payment relief, with a recorded investment of $0.2 million, one retail real estate modification for short-term interest rate relief, with a recorded investment of $0.1 million, four retail real estate modifications for short-term principal payment relief, with a recorded investment of $0.4 million, and one retail other modification for short-term interest rate relief, with a recorded investment of $0.1 million.</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twelve months ended December 31, 2016 and 2015 if performing TDRs had been in accordance with their original terms instead of modified terms was insignificant.</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There were no TDRs that were entered into during the last twelve months that were subsequently classified as non-performing and had payment defaults (a default occurs when a loan is 90 days or more past due or transferred to non-accrual) during the three months ended December 31, 2016. TDRs that were entered into during the last twelve months that were subsequently classified as non-performing and had payment defaults during the twelve months ended December 31, 2016 consisted of one retail real estate modification totaling $0.1 million and one insignificant retail other modification.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TDRs that were entered into during the prior twelve months that subsequently were classified as non-performing and had payment defaults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2015. TDRs that were entered into during the prior twelve months that subsequently were classified as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performing and had payment defaults during the twelve months ended December 31, 2015 consisted of one commercial modification totaling $0.3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with 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12,922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12,154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12,118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with 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5,381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11,560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Management’s opinion as to the ultimate collectability of loans is subject to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allowance for loan losses represents an estimate of the amount of probable losses believed to be inherent in the Company’s loan portfolio at the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December 31, 2016 and 2015.</w:t>
      </w:r>
    </w:p>
    <w:p>
      <w:pPr>
        <w:sectPr>
          <w:pgSz w:w="11900" w:h="16893" w:orient="portrait"/>
          <w:cols w:equalWidth="0" w:num="1">
            <w:col w:w="11420"/>
          </w:cols>
          <w:pgMar w:left="240" w:top="125" w:right="239" w:bottom="0" w:gutter="0" w:footer="0" w:header="0"/>
        </w:sectPr>
      </w:pPr>
    </w:p>
    <w:bookmarkStart w:id="65" w:name="page66"/>
    <w:bookmarkEnd w:id="65"/>
    <w:p>
      <w:pPr>
        <w:spacing w:after="0" w:line="6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December 31, 2016, the Company believed this reserve remained adequate. Special mention loans have an additional allocation of 1.00% placed on such loans, which is an estimate of the additional loss inherent in these loan grades. As of December 31, 2016, the Company believed this reserve remained adequate.</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6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Based on each component’s risk factor, a qualitative adjustment to the reserve may be applied to the appropriate loan categories. During the fourth quarter of 2016, the Company did not make adjustments to any qualitative factors. The Company will continue to monitor its qualitative factors on a quarterly basis.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December 31, 2016 totaled approximately $1.0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loan losses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40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47,487</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balances charged-off</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(9,656)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Recoveries applicable to loan balances previously charged-off</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end of year</w:t>
            </w:r>
          </w:p>
        </w:tc>
        <w:tc>
          <w:tcPr>
            <w:tcW w:w="14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47,795</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47,487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details activity in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Year Ended December 31, 2016</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Commercial</w:t>
            </w:r>
          </w:p>
        </w:tc>
        <w:tc>
          <w:tcPr>
            <w:tcW w:w="220" w:type="dxa"/>
            <w:vAlign w:val="bottom"/>
          </w:tcPr>
          <w:p>
            <w:pPr>
              <w:spacing w:after="0"/>
              <w:rPr>
                <w:sz w:val="10"/>
                <w:szCs w:val="10"/>
                <w:color w:val="auto"/>
              </w:rPr>
            </w:pPr>
          </w:p>
        </w:tc>
        <w:tc>
          <w:tcPr>
            <w:tcW w:w="1180" w:type="dxa"/>
            <w:vAlign w:val="bottom"/>
            <w:gridSpan w:val="6"/>
          </w:tcPr>
          <w:p>
            <w:pPr>
              <w:jc w:val="right"/>
              <w:ind w:right="220"/>
              <w:spacing w:after="0" w:line="119" w:lineRule="exact"/>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0"/>
                <w:szCs w:val="10"/>
                <w:color w:val="auto"/>
              </w:rPr>
            </w:pPr>
          </w:p>
        </w:tc>
        <w:tc>
          <w:tcPr>
            <w:tcW w:w="1240" w:type="dxa"/>
            <w:vAlign w:val="bottom"/>
            <w:gridSpan w:val="5"/>
          </w:tcPr>
          <w:p>
            <w:pPr>
              <w:jc w:val="right"/>
              <w:ind w:right="253"/>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1340" w:type="dxa"/>
            <w:vAlign w:val="bottom"/>
            <w:gridSpan w:val="6"/>
          </w:tcPr>
          <w:p>
            <w:pPr>
              <w:jc w:val="right"/>
              <w:ind w:right="44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240" w:type="dxa"/>
            <w:vAlign w:val="bottom"/>
            <w:gridSpan w:val="5"/>
          </w:tcPr>
          <w:p>
            <w:pPr>
              <w:jc w:val="right"/>
              <w:ind w:right="193"/>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Estate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9"/>
          </w:tcPr>
          <w:p>
            <w:pPr>
              <w:jc w:val="right"/>
              <w:ind w:righ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82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8"/>
              </w:rPr>
              <w:t>18,604</w:t>
            </w:r>
          </w:p>
        </w:tc>
        <w:tc>
          <w:tcPr>
            <w:tcW w:w="920" w:type="dxa"/>
            <w:vAlign w:val="bottom"/>
            <w:gridSpan w:val="2"/>
            <w:shd w:val="clear" w:color="auto" w:fill="CCEEFF"/>
          </w:tcPr>
          <w:p>
            <w:pPr>
              <w:jc w:val="right"/>
              <w:ind w:right="54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88"/>
              </w:rPr>
              <w:t>1,763</w:t>
            </w:r>
          </w:p>
        </w:tc>
        <w:tc>
          <w:tcPr>
            <w:tcW w:w="48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13,714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5,520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(2,277)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Charged-off</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(6,598)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97"/>
              <w:spacing w:after="0"/>
              <w:rPr>
                <w:sz w:val="20"/>
                <w:szCs w:val="20"/>
                <w:color w:val="auto"/>
              </w:rPr>
            </w:pPr>
            <w:r>
              <w:rPr>
                <w:rFonts w:ascii="Arial" w:cs="Arial" w:eastAsia="Arial" w:hAnsi="Arial"/>
                <w:sz w:val="18"/>
                <w:szCs w:val="18"/>
                <w:color w:val="auto"/>
                <w:w w:val="90"/>
              </w:rPr>
              <w:t>(470)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1,266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33"/>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5"/>
          </w:tcPr>
          <w:p>
            <w:pPr>
              <w:jc w:val="right"/>
              <w:ind w:right="200"/>
              <w:spacing w:after="0"/>
              <w:rPr>
                <w:sz w:val="20"/>
                <w:szCs w:val="20"/>
                <w:color w:val="auto"/>
              </w:rPr>
            </w:pPr>
            <w:r>
              <w:rPr>
                <w:rFonts w:ascii="Arial" w:cs="Arial" w:eastAsia="Arial" w:hAnsi="Arial"/>
                <w:sz w:val="18"/>
                <w:szCs w:val="18"/>
                <w:color w:val="auto"/>
              </w:rPr>
              <w:t>2,317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4,414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20,623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1,870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Year Ended December 31, 2015</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60" w:type="dxa"/>
            <w:vAlign w:val="bottom"/>
            <w:gridSpan w:val="3"/>
            <w:vMerge w:val="restart"/>
          </w:tcPr>
          <w:p>
            <w:pPr>
              <w:jc w:val="right"/>
              <w:ind w:right="112"/>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Commercial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Real Estate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5"/>
          </w:tcPr>
          <w:p>
            <w:pPr>
              <w:jc w:val="right"/>
              <w:ind w:right="400"/>
              <w:spacing w:after="0" w:line="119" w:lineRule="exact"/>
              <w:rPr>
                <w:sz w:val="20"/>
                <w:szCs w:val="20"/>
                <w:color w:val="auto"/>
              </w:rPr>
            </w:pPr>
            <w:r>
              <w:rPr>
                <w:rFonts w:ascii="Arial" w:cs="Arial" w:eastAsia="Arial" w:hAnsi="Arial"/>
                <w:sz w:val="13"/>
                <w:szCs w:val="13"/>
                <w:b w:val="1"/>
                <w:bCs w:val="1"/>
                <w:color w:val="auto"/>
                <w:w w:val="99"/>
              </w:rPr>
              <w:t>Retail Real</w:t>
            </w:r>
          </w:p>
        </w:tc>
        <w:tc>
          <w:tcPr>
            <w:tcW w:w="40" w:type="dxa"/>
            <w:vAlign w:val="bottom"/>
          </w:tcPr>
          <w:p>
            <w:pPr>
              <w:spacing w:after="0"/>
              <w:rPr>
                <w:sz w:val="10"/>
                <w:szCs w:val="10"/>
                <w:color w:val="auto"/>
              </w:rPr>
            </w:pPr>
          </w:p>
        </w:tc>
        <w:tc>
          <w:tcPr>
            <w:tcW w:w="12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6"/>
            <w:vMerge w:val="restart"/>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Estate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7"/>
          </w:tcPr>
          <w:p>
            <w:pPr>
              <w:jc w:val="right"/>
              <w:ind w:right="209"/>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20,639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13,662</w:t>
            </w: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47,453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(2,064)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70"/>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857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Charged-off</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729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280" w:type="dxa"/>
            <w:vAlign w:val="bottom"/>
            <w:tcBorders>
              <w:top w:val="single" w:sz="8" w:color="CCEEFF"/>
            </w:tcBorders>
            <w:shd w:val="clear" w:color="auto" w:fill="CCEEFF"/>
          </w:tcPr>
          <w:p>
            <w:pPr>
              <w:spacing w:after="0"/>
              <w:rPr>
                <w:sz w:val="9"/>
                <w:szCs w:val="9"/>
                <w:color w:val="auto"/>
              </w:rPr>
            </w:pPr>
          </w:p>
        </w:tc>
        <w:tc>
          <w:tcPr>
            <w:tcW w:w="16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66" w:name="page67"/>
    <w:bookmarkEnd w:id="6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6"/>
              </w:rPr>
              <w:t>Year Ended December 31, 2014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Commercial</w:t>
            </w:r>
          </w:p>
        </w:tc>
        <w:tc>
          <w:tcPr>
            <w:tcW w:w="140" w:type="dxa"/>
            <w:vAlign w:val="bottom"/>
          </w:tcPr>
          <w:p>
            <w:pPr>
              <w:spacing w:after="0"/>
              <w:rPr>
                <w:sz w:val="10"/>
                <w:szCs w:val="10"/>
                <w:color w:val="auto"/>
              </w:rPr>
            </w:pPr>
          </w:p>
        </w:tc>
        <w:tc>
          <w:tcPr>
            <w:tcW w:w="11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portfolio loans by category: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2016</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44,328</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35,175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947,993</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1,056,942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13,654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3,842,183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959,888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1,069,060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43,538</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28,930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644,976</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1,203,048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639,631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14,737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2,598,101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656,576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-2908935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-2908935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OREO</w:t>
      </w:r>
    </w:p>
    <w:p>
      <w:pPr>
        <w:spacing w:after="0" w:line="229"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December 31, 2016, the Company held $2.0 million in commercial OREO, $0.5 million in residential OREO and an insignificant amount of other repossessed assets. At December 31, 2015, the Company held $0.5 million in commercial OREO, $0.3 million in residential OREO and an insignificant amount of other repossessed assets. At December 31, 2016 the Company had $1.0 million of residential real estate in the process of foreclosure.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OREO:</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498"/>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5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278"/>
              <w:spacing w:after="0"/>
              <w:rPr>
                <w:sz w:val="20"/>
                <w:szCs w:val="20"/>
                <w:color w:val="auto"/>
              </w:rPr>
            </w:pPr>
            <w:r>
              <w:rPr>
                <w:rFonts w:ascii="Arial" w:cs="Arial" w:eastAsia="Arial" w:hAnsi="Arial"/>
                <w:sz w:val="14"/>
                <w:szCs w:val="14"/>
                <w:b w:val="1"/>
                <w:bCs w:val="1"/>
                <w:color w:val="auto"/>
                <w:w w:val="95"/>
              </w:rPr>
              <w:t>December 31, 2016</w:t>
            </w:r>
          </w:p>
        </w:tc>
        <w:tc>
          <w:tcPr>
            <w:tcW w:w="30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2015</w:t>
            </w:r>
          </w:p>
        </w:tc>
      </w:tr>
      <w:tr>
        <w:trPr>
          <w:trHeight w:val="142"/>
        </w:trPr>
        <w:tc>
          <w:tcPr>
            <w:tcW w:w="5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3"/>
          </w:tcPr>
          <w:p>
            <w:pPr>
              <w:jc w:val="right"/>
              <w:ind w:right="97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8"/>
              <w:spacing w:after="0"/>
              <w:rPr>
                <w:sz w:val="20"/>
                <w:szCs w:val="20"/>
                <w:color w:val="auto"/>
              </w:rPr>
            </w:pPr>
            <w:r>
              <w:rPr>
                <w:rFonts w:ascii="Arial" w:cs="Arial" w:eastAsia="Arial" w:hAnsi="Arial"/>
                <w:sz w:val="18"/>
                <w:szCs w:val="18"/>
                <w:color w:val="auto"/>
              </w:rPr>
              <w:t>783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2,775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fair value from Pulaski acquisition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2,488</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70" w:orient="portrait"/>
          <w:cols w:equalWidth="0" w:num="1">
            <w:col w:w="11460"/>
          </w:cols>
          <w:pgMar w:left="240" w:top="140" w:right="19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OREO</w:t>
            </w: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(1,090)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sales of OREO</w:t>
            </w:r>
          </w:p>
        </w:tc>
        <w:tc>
          <w:tcPr>
            <w:tcW w:w="2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Valuation allowance for OREO</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40" w:type="dxa"/>
            <w:vAlign w:val="bottom"/>
            <w:vMerge w:val="restart"/>
          </w:tcPr>
          <w:p>
            <w:pPr>
              <w:jc w:val="right"/>
              <w:ind w:right="1010"/>
              <w:spacing w:after="0"/>
              <w:rPr>
                <w:sz w:val="20"/>
                <w:szCs w:val="20"/>
                <w:color w:val="auto"/>
              </w:rPr>
            </w:pPr>
            <w:r>
              <w:rPr>
                <w:rFonts w:ascii="Arial" w:cs="Arial" w:eastAsia="Arial" w:hAnsi="Arial"/>
                <w:sz w:val="18"/>
                <w:szCs w:val="18"/>
                <w:color w:val="auto"/>
              </w:rPr>
              <w:t>99</w:t>
            </w: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Note 9. Premises and Equipment, net</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rPr>
              <w:t>Premises and equipment, net are summarized as follows:</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6"/>
          </w:tcPr>
          <w:p>
            <w:pPr>
              <w:jc w:val="center"/>
              <w:ind w:left="414"/>
              <w:spacing w:after="0"/>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60" w:type="dxa"/>
            <w:vAlign w:val="bottom"/>
            <w:vMerge w:val="restart"/>
          </w:tcPr>
          <w:p>
            <w:pPr>
              <w:spacing w:after="0"/>
              <w:rPr>
                <w:sz w:val="15"/>
                <w:szCs w:val="15"/>
                <w:color w:val="auto"/>
              </w:rPr>
            </w:pPr>
          </w:p>
        </w:tc>
        <w:tc>
          <w:tcPr>
            <w:tcW w:w="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5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8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26,484</w:t>
            </w:r>
          </w:p>
        </w:tc>
        <w:tc>
          <w:tcPr>
            <w:tcW w:w="7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21,950</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73,484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64,270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37,543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34,039</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137,511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59,650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57,171</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Total premises and equipment, net</w:t>
            </w:r>
          </w:p>
        </w:tc>
        <w:tc>
          <w:tcPr>
            <w:tcW w:w="2500" w:type="dxa"/>
            <w:vAlign w:val="bottom"/>
            <w:gridSpan w:val="2"/>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77,861</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-2376805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-2376805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Premises and equipment, net was impacted by the Pulaski acquisition. Depreciation expense was $7.3 million, $5.7 million, and $5.6 million for the years ended December 31,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 Assets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Other than goodwill, the Company does not have any other intangible assets that are not amortized. Accounting standards allow for goodwill to be tested for impairment by first performing a qualitative assessment to determine whether it is more likely than not that the fair value of the reporting unit is less than its carrying value. As part of this analysis, the reporting unit’s carrying value is compared to its fair value.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goodwill is associated with its three operating segments, Banking, Remittance Processing and Wealth Management. Based on the impairment testing performed at December 31, 2016, there were no indicators of potential impairment based on the estimated fair value of those operating segments. All three operating segments have sustained quarterly and annual profits. However, it is possible we will evaluate our goodwill for impairment on a more frequent basis than annually. The evaluation may result in impairment.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2016, the Company recorded goodwill totaling $77.3 million and other intangible assets totaling $15.5 million in connection with the acquisition of Pulaski, both in the Banking segment. During 2015, the Company recorded goodwill totaling $4.8 million in the Banking segment and other intangible assets totaling $3.0 million in the Banking segment and $0.9 million in the Wealth Management segment in connection with the acquisition of Herget Financial. The carrying amount of goodwill by operating segment, at December 31, 2016 and 2015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Goodwill:</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 2016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5"/>
          </w:tcPr>
          <w:p>
            <w:pPr>
              <w:jc w:val="right"/>
              <w:ind w:right="10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Remittance Processing</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8,992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8,992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11,694</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Total goodwill</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Core deposit and customer relationship intangible assets are amortized on an accelerated or straight-line basis over the estimated period benefited up to 14 years. Other intangible asset disclosures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48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660" w:type="dxa"/>
            <w:vAlign w:val="bottom"/>
            <w:gridSpan w:val="3"/>
          </w:tcPr>
          <w:p>
            <w:pPr>
              <w:jc w:val="center"/>
              <w:ind w:left="1256"/>
              <w:spacing w:after="0"/>
              <w:rPr>
                <w:sz w:val="20"/>
                <w:szCs w:val="20"/>
                <w:color w:val="auto"/>
              </w:rPr>
            </w:pPr>
            <w:r>
              <w:rPr>
                <w:rFonts w:ascii="Arial" w:cs="Arial" w:eastAsia="Arial" w:hAnsi="Arial"/>
                <w:sz w:val="14"/>
                <w:szCs w:val="14"/>
                <w:b w:val="1"/>
                <w:bCs w:val="1"/>
                <w:color w:val="auto"/>
                <w:w w:val="89"/>
              </w:rPr>
              <w:t>2016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right"/>
              <w:ind w:right="10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intangible assets: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Core deposit intangible assets</w:t>
            </w:r>
          </w:p>
        </w:tc>
        <w:tc>
          <w:tcPr>
            <w:tcW w:w="13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17,338</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3,361</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5,231</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 intangible assets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18,462</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4,438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1"/>
              </w:rPr>
              <w:t>Core deposit</w:t>
            </w:r>
          </w:p>
        </w:tc>
        <w:tc>
          <w:tcPr>
            <w:tcW w:w="1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relationship</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intangible</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5"/>
          </w:tcPr>
          <w:p>
            <w:pPr>
              <w:jc w:val="right"/>
              <w:ind w:right="244"/>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16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38,467</w:t>
            </w:r>
          </w:p>
        </w:tc>
        <w:tc>
          <w:tcPr>
            <w:tcW w:w="980" w:type="dxa"/>
            <w:vAlign w:val="bottom"/>
            <w:gridSpan w:val="2"/>
          </w:tcPr>
          <w:p>
            <w:pPr>
              <w:jc w:val="right"/>
              <w:ind w:right="664"/>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12,220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21,129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11,096</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17,338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w w:val="94"/>
              </w:rPr>
              <w:t>Estimated amortization expense on balance at December 31,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7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3,190</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deposits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1,134,133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881,685</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Interest-bearing transaction deposits, saving deposits and money market deposits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2,453,965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1,949,370</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786,200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458,051</w:t>
            </w:r>
          </w:p>
        </w:tc>
        <w:tc>
          <w:tcPr>
            <w:tcW w:w="120" w:type="dxa"/>
            <w:vAlign w:val="bottom"/>
            <w:shd w:val="clear" w:color="auto" w:fill="CCEEFF"/>
          </w:tcPr>
          <w:p>
            <w:pPr>
              <w:spacing w:after="0"/>
              <w:rPr>
                <w:sz w:val="18"/>
                <w:szCs w:val="18"/>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4,374,298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3,289,106</w:t>
            </w:r>
          </w:p>
        </w:tc>
        <w:tc>
          <w:tcPr>
            <w:tcW w:w="12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Deposit growth was impacted in 2016 by the April 30, 2016 Pulaski acquisition. Interest-bearing transaction deposits included $36.9 million and $7.8 million of reciprocal brokered transaction deposits at December 31, 2016 and 2015, respectively. Savings deposits included $22.2 million of reciprocal brokered deposits at December 31, 2016. There were no reciprocal brokered deposits in savings deposits at December 31, 2015.</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aggregate amount of time deposits with a minimum denomination of $100,000 was approximately $350.7 million and $128.1 million at December 31, 2016 and 2015, respectively. The aggregate amount of time deposits with a minimum denomination that meets or exceeds the FDIC insurance limit of $250,000 was approximately $70.7 million and $23.2 million at December 31, 2016 and 2015, respectively. National deposits of $0.1 million and $0.4 million were included in the balance of time deposits as of December 31, 2016 and 2015, respectively. The Company had reciprocal brokered time deposits of $93.4 million and $0.4 million at December 31, 2016 and 2015, respectively, included in the balance of time deposits. Further, the Company had brokered deposits of $5.0 million at December 31, 2016, which are included in the balance of time deposits. There were no brokered deposits at December 31, 2015.</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0" w:type="dxa"/>
            <w:vAlign w:val="bottom"/>
            <w:gridSpan w:val="3"/>
          </w:tcPr>
          <w:p>
            <w:pPr>
              <w:spacing w:after="0"/>
              <w:rPr>
                <w:sz w:val="20"/>
                <w:szCs w:val="20"/>
                <w:color w:val="auto"/>
              </w:rPr>
            </w:pPr>
            <w:r>
              <w:rPr>
                <w:rFonts w:ascii="Arial" w:cs="Arial" w:eastAsia="Arial" w:hAnsi="Arial"/>
                <w:sz w:val="18"/>
                <w:szCs w:val="18"/>
                <w:color w:val="auto"/>
              </w:rPr>
              <w:t xml:space="preserve">As of December 31, 2016,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7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539,341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2018</w:t>
            </w:r>
          </w:p>
        </w:tc>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151,415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2020</w:t>
            </w:r>
          </w:p>
        </w:tc>
        <w:tc>
          <w:tcPr>
            <w:tcW w:w="7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7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Borrowings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Federal funds purchased are short-term borrowings that generally mature between one and ninety days. The Company had no federal funds purchased at December 31, 2016 and 2015; however, during 2016 the Company purchased federal funds to test operational availability to access funds if needed.</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November 18, 2016, the Company entered into Amendment No. 1 to a credit agreement with a national bank to extend a revolving loan facility to the Company in the maximum principal amount of $20.0 million. The loan has an annual interest rate of 2.50% plus the one-month LIBOR rate and has a maturity date of November 19, 2017. The loan also bears a non-usage fee calculated based on the average daily principal balance of the loan outstanding during the prior fiscal quarter. The Company had no outstanding amount on December 31, 2016 and 2015; however, during 2016 the Company drew on the loan.</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distribution of securities sold under agreements to repurchase and short-term borrowings and weighted average interest rates: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398"/>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38"/>
              <w:spacing w:after="0"/>
              <w:rPr>
                <w:sz w:val="20"/>
                <w:szCs w:val="20"/>
                <w:color w:val="auto"/>
              </w:rPr>
            </w:pPr>
            <w:r>
              <w:rPr>
                <w:rFonts w:ascii="Arial" w:cs="Arial" w:eastAsia="Arial" w:hAnsi="Arial"/>
                <w:sz w:val="18"/>
                <w:szCs w:val="18"/>
                <w:color w:val="auto"/>
              </w:rPr>
              <w:t>189,157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172,972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38"/>
              <w:spacing w:after="0"/>
              <w:rPr>
                <w:sz w:val="20"/>
                <w:szCs w:val="20"/>
                <w:color w:val="auto"/>
              </w:rPr>
            </w:pPr>
            <w:r>
              <w:rPr>
                <w:rFonts w:ascii="Arial" w:cs="Arial" w:eastAsia="Arial" w:hAnsi="Arial"/>
                <w:sz w:val="18"/>
                <w:szCs w:val="18"/>
                <w:color w:val="auto"/>
              </w:rPr>
              <w:t>216,293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202,376</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181,474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179,662</w:t>
            </w:r>
          </w:p>
        </w:tc>
      </w:tr>
    </w:tbl>
    <w:p>
      <w:pPr>
        <w:sectPr>
          <w:pgSz w:w="11900" w:h="16838" w:orient="portrait"/>
          <w:cols w:equalWidth="0" w:num="1">
            <w:col w:w="11400"/>
          </w:cols>
          <w:pgMar w:left="240" w:top="121" w:right="259" w:bottom="0" w:gutter="0" w:footer="0" w:header="0"/>
        </w:sectPr>
      </w:pPr>
    </w:p>
    <w:bookmarkStart w:id="69" w:name="page70"/>
    <w:bookmarkEnd w:id="69"/>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2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62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w w:val="86"/>
              </w:rPr>
              <w:t>0.10%</w:t>
            </w:r>
          </w:p>
        </w:tc>
      </w:tr>
      <w:tr>
        <w:trPr>
          <w:trHeight w:val="216"/>
        </w:trPr>
        <w:tc>
          <w:tcPr>
            <w:tcW w:w="6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75,000</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2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620" w:type="dxa"/>
            <w:vAlign w:val="bottom"/>
          </w:tcPr>
          <w:p>
            <w:pPr>
              <w:spacing w:after="0"/>
              <w:rPr>
                <w:sz w:val="18"/>
                <w:szCs w:val="18"/>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w w:val="93"/>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236,700</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96,698</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2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w:t>
            </w:r>
          </w:p>
        </w:tc>
      </w:tr>
      <w:tr>
        <w:trPr>
          <w:trHeight w:val="216"/>
        </w:trPr>
        <w:tc>
          <w:tcPr>
            <w:tcW w:w="6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2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2,596</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2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(1)The weighted average interest rate is computed by dividing total interest for the period by the average daily balance outstanding.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(2)Includes interest and non-usage fee.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FHLB, ranging in original maturity from nineteen months to ten years, collateralized by FHLB</w:t>
            </w:r>
          </w:p>
        </w:tc>
        <w:tc>
          <w:tcPr>
            <w:tcW w:w="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residential and commercial real estate loans and FHLB stock.</w:t>
            </w:r>
          </w:p>
        </w:tc>
        <w:tc>
          <w:tcPr>
            <w:tcW w:w="36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2016, funds borrowed from the FHLB, listed above, consisted of variable-rate notes maturing through September 2024, with interest rates ranging from 0.35% to 0.54%. The weighted average rate on these long-term advances was 0.41% as of December 31, 2016. As of December 31, 2015, funds borrowed from the FHLB, listed above, consisted of variable-rate notes maturing through September 2024, with interest rates ranging from 0.10% to 0.28%. The weighted average rate on these long-term advances was 0.15% as of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Junior Subordinated Debt Owed to Unconsolidated Trusts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issues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the Company acquired similar statutory trusts maintained by Pulaski. The Company had $70.9 million and $55.0 million of junior subordinated debt owed to unconsolidated trusts at December 31, 2016 and 2015, respectively.</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The Company does not expect to exercise this right.</w:t>
      </w:r>
    </w:p>
    <w:p>
      <w:pPr>
        <w:spacing w:after="0" w:line="16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December 31, 2016, 100% of the trust preferred securities qualified as Tier 1 capital under the final rule adopted in March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Preferred Stock Under the Small Business Lending Fund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25, 2011, the Company entered into the Purchase Agreement with the Treasury, pursuant to which the Company issued and sold to the Treasury 72,664 shares of its Series C Preferred Stock, having a liquidation preference of $1,000 per share, for aggregate proceeds of $72,664,000. On December 18, 2015, the Company redeemed all of the 72,664 shares of its Series C Preferred Stock that had been issued to the Treasury pursuant to the SBLF program. The shares were redeemed at their liquidation value of $1,000 per share plus accrued and unpaid dividends to, but excluding December 18, 2015. The redemption was approved by the Company’s primary federal regulator and terminates the Company’s participation in the SBLF program. Before redemption, the Series C Preferred Stock qualified as Tier 1 capital for the Company. Non-cumulative dividends were payable quarterly on the Series C Preferred Stock, which began October 1, 2011.</w:t>
      </w:r>
    </w:p>
    <w:p>
      <w:pPr>
        <w:sectPr>
          <w:pgSz w:w="11900" w:h="16838" w:orient="portrait"/>
          <w:cols w:equalWidth="0" w:num="1">
            <w:col w:w="11420"/>
          </w:cols>
          <w:pgMar w:left="240" w:top="125" w:right="239" w:bottom="283"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3"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CPP Warrant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Company’s participation in the CPP, the Company issued to Treasury a warrant to purchase 382,555 shares of the Company’s common stock. Subsequent to the date of the Company’s participation in the CPP, it raised additional capital through a public offering of common stock and, as a result of that offering, the number of shares of common stock subject to the warrant were reduced by 50% to 191,278. On November 23, 2011 the Treasury completed an auction to sell its warrant in a private transaction. At December 31, 2016, this warrant to purchase 191,278 shares of the Company’s common stock, at an exercise price of $39.21, remained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$30.0 million on October 21, 2016. The Company expects to seek regulatory approval for additional capital distributions in future periods. Pulaski Bank had positive retained earnings and was able to pay a dividend to First Busey prior to the bank merger.</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the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financial statements. The Company, as a financial holding company, is required to be “well capitalized” in the capital categories shown in the table below. As of December 31, 2016 and 2015, the Company and Busey Bank met all capital adequacy requirements to which they were subject, including the guidelines to be considered “well capitalized.”</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 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Basel III Rule also permitted banking organizations with less than $15.0 billion in assets to retain, through a one-time election, the past treatment for accumulated other comprehensive income,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 The table below includes the 0.625% increase for 2016 in the minimum capital requirement ratios. The capital buffer requirement effectively raises the minimum required Common Equity Tier 1 Capital ratio to 7.0%,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Tier 1 Capital ratio to 8.5%, and the Total Capital ratio to 10.5% on a fully phased-in basis on January 1, 2019. As of December 31, 2016, the Company and Busey Bank were in compliance with the current phase of the Basel III Rule and management believes that the Company and Busey Bank would meet all capital adequacy requirements under the Basel III Rule on a fully phased-in basis as if such requirements had been in effect.</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left="440"/>
              <w:spacing w:after="0"/>
              <w:rPr>
                <w:sz w:val="20"/>
                <w:szCs w:val="20"/>
                <w:color w:val="auto"/>
              </w:rPr>
            </w:pPr>
            <w:r>
              <w:rPr>
                <w:rFonts w:ascii="Arial" w:cs="Arial" w:eastAsia="Arial" w:hAnsi="Arial"/>
                <w:sz w:val="14"/>
                <w:szCs w:val="14"/>
                <w:b w:val="1"/>
                <w:bCs w:val="1"/>
                <w:color w:val="auto"/>
              </w:rPr>
              <w:t>Minimum</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18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left="440"/>
              <w:spacing w:after="0"/>
              <w:rPr>
                <w:sz w:val="20"/>
                <w:szCs w:val="20"/>
                <w:color w:val="auto"/>
              </w:rPr>
            </w:pPr>
            <w:r>
              <w:rPr>
                <w:rFonts w:ascii="Arial" w:cs="Arial" w:eastAsia="Arial" w:hAnsi="Arial"/>
                <w:sz w:val="14"/>
                <w:szCs w:val="14"/>
                <w:b w:val="1"/>
                <w:bCs w:val="1"/>
                <w:color w:val="auto"/>
                <w:w w:val="98"/>
              </w:rPr>
              <w:t>Capital Buffer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2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80"/>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 of December, 2016: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80" w:type="dxa"/>
            <w:vAlign w:val="bottom"/>
            <w:gridSpan w:val="3"/>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605,988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8"/>
                <w:szCs w:val="18"/>
                <w:color w:val="auto"/>
              </w:rPr>
              <w:t>372,342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431,701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80" w:type="dxa"/>
            <w:vAlign w:val="bottom"/>
            <w:gridSpan w:val="3"/>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6"/>
              <w:spacing w:after="0"/>
              <w:rPr>
                <w:sz w:val="20"/>
                <w:szCs w:val="20"/>
                <w:color w:val="auto"/>
              </w:rPr>
            </w:pPr>
            <w:r>
              <w:rPr>
                <w:rFonts w:ascii="Arial" w:cs="Arial" w:eastAsia="Arial" w:hAnsi="Arial"/>
                <w:sz w:val="18"/>
                <w:szCs w:val="18"/>
                <w:color w:val="auto"/>
              </w:rPr>
              <w:t>550,813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40"/>
              <w:spacing w:after="0"/>
              <w:rPr>
                <w:sz w:val="20"/>
                <w:szCs w:val="20"/>
                <w:color w:val="auto"/>
              </w:rPr>
            </w:pPr>
            <w:r>
              <w:rPr>
                <w:rFonts w:ascii="Arial" w:cs="Arial" w:eastAsia="Arial" w:hAnsi="Arial"/>
                <w:sz w:val="18"/>
                <w:szCs w:val="18"/>
                <w:color w:val="auto"/>
              </w:rPr>
              <w:t>369,363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8.625%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428,247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80" w:type="dxa"/>
            <w:vAlign w:val="bottom"/>
            <w:gridSpan w:val="3"/>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557,862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40"/>
              <w:spacing w:after="0"/>
              <w:rPr>
                <w:sz w:val="20"/>
                <w:szCs w:val="20"/>
                <w:color w:val="auto"/>
              </w:rPr>
            </w:pPr>
            <w:r>
              <w:rPr>
                <w:rFonts w:ascii="Arial" w:cs="Arial" w:eastAsia="Arial" w:hAnsi="Arial"/>
                <w:sz w:val="18"/>
                <w:szCs w:val="18"/>
                <w:color w:val="auto"/>
              </w:rPr>
              <w:t>286,002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345,361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480" w:type="dxa"/>
            <w:vAlign w:val="bottom"/>
            <w:gridSpan w:val="3"/>
          </w:tcPr>
          <w:p>
            <w:pPr>
              <w:ind w:left="180"/>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6"/>
              <w:spacing w:after="0"/>
              <w:rPr>
                <w:sz w:val="20"/>
                <w:szCs w:val="20"/>
                <w:color w:val="auto"/>
              </w:rPr>
            </w:pPr>
            <w:r>
              <w:rPr>
                <w:rFonts w:ascii="Arial" w:cs="Arial" w:eastAsia="Arial" w:hAnsi="Arial"/>
                <w:sz w:val="18"/>
                <w:szCs w:val="18"/>
                <w:color w:val="auto"/>
              </w:rPr>
              <w:t>502,687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40"/>
              <w:spacing w:after="0"/>
              <w:rPr>
                <w:sz w:val="20"/>
                <w:szCs w:val="20"/>
                <w:color w:val="auto"/>
              </w:rPr>
            </w:pPr>
            <w:r>
              <w:rPr>
                <w:rFonts w:ascii="Arial" w:cs="Arial" w:eastAsia="Arial" w:hAnsi="Arial"/>
                <w:sz w:val="18"/>
                <w:szCs w:val="18"/>
                <w:color w:val="auto"/>
              </w:rPr>
              <w:t>283,714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18"/>
              <w:spacing w:after="0"/>
              <w:rPr>
                <w:sz w:val="20"/>
                <w:szCs w:val="20"/>
                <w:color w:val="auto"/>
              </w:rPr>
            </w:pPr>
            <w:r>
              <w:rPr>
                <w:rFonts w:ascii="Arial" w:cs="Arial" w:eastAsia="Arial" w:hAnsi="Arial"/>
                <w:sz w:val="18"/>
                <w:szCs w:val="18"/>
                <w:color w:val="auto"/>
              </w:rPr>
              <w:t>342,598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1" w:name="page72"/>
    <w:bookmarkEnd w:id="7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2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Common Equity Tier 1 Capital (to Risk</w:t>
            </w:r>
          </w:p>
        </w:tc>
        <w:tc>
          <w:tcPr>
            <w:tcW w:w="6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48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484,246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221,247</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280,606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502,687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11.74%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219,477</w:t>
            </w:r>
          </w:p>
        </w:tc>
        <w:tc>
          <w:tcPr>
            <w:tcW w:w="4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278,361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480" w:type="dxa"/>
            <w:vAlign w:val="bottom"/>
            <w:gridSpan w:val="9"/>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557,862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213,578</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502,687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9.45%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212,766</w:t>
            </w:r>
          </w:p>
        </w:tc>
        <w:tc>
          <w:tcPr>
            <w:tcW w:w="4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265,957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Minimum To Be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5"/>
              </w:rPr>
              <w:t>Capital Requirement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Well Capitalized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6"/>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4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480" w:type="dxa"/>
            <w:vAlign w:val="bottom"/>
            <w:gridSpan w:val="9"/>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431,689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237,404</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296,754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396,428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13.45%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235,741</w:t>
            </w:r>
          </w:p>
        </w:tc>
        <w:tc>
          <w:tcPr>
            <w:tcW w:w="4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294,676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480" w:type="dxa"/>
            <w:vAlign w:val="bottom"/>
            <w:gridSpan w:val="9"/>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394,240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178,053</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237,404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359,228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176,806</w:t>
            </w:r>
          </w:p>
        </w:tc>
        <w:tc>
          <w:tcPr>
            <w:tcW w:w="4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235,741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860" w:type="dxa"/>
            <w:vAlign w:val="bottom"/>
            <w:tcBorders>
              <w:bottom w:val="single" w:sz="8" w:color="auto"/>
            </w:tcBorders>
            <w:gridSpan w:val="6"/>
          </w:tcPr>
          <w:p>
            <w:pPr>
              <w:spacing w:after="0" w:line="176" w:lineRule="exact"/>
              <w:rPr>
                <w:sz w:val="20"/>
                <w:szCs w:val="20"/>
                <w:color w:val="auto"/>
              </w:rPr>
            </w:pPr>
            <w:r>
              <w:rPr>
                <w:rFonts w:ascii="Arial" w:cs="Arial" w:eastAsia="Arial" w:hAnsi="Arial"/>
                <w:sz w:val="18"/>
                <w:szCs w:val="18"/>
                <w:color w:val="auto"/>
                <w:w w:val="92"/>
              </w:rPr>
              <w:t>Common Equity Tier 1 Capital (to Risk</w:t>
            </w:r>
          </w:p>
        </w:tc>
        <w:tc>
          <w:tcPr>
            <w:tcW w:w="6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48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341,828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133,540</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192,890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359,228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132,604</w:t>
            </w:r>
          </w:p>
        </w:tc>
        <w:tc>
          <w:tcPr>
            <w:tcW w:w="4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191,540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480" w:type="dxa"/>
            <w:vAlign w:val="bottom"/>
            <w:gridSpan w:val="9"/>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394,240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155,653</w:t>
            </w: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13"/>
              <w:spacing w:after="0"/>
              <w:rPr>
                <w:sz w:val="20"/>
                <w:szCs w:val="20"/>
                <w:color w:val="auto"/>
              </w:rPr>
            </w:pPr>
            <w:r>
              <w:rPr>
                <w:rFonts w:ascii="Arial" w:cs="Arial" w:eastAsia="Arial" w:hAnsi="Arial"/>
                <w:sz w:val="18"/>
                <w:szCs w:val="18"/>
                <w:color w:val="auto"/>
              </w:rPr>
              <w:t>359,228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9.32%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154,145</w:t>
            </w:r>
          </w:p>
        </w:tc>
        <w:tc>
          <w:tcPr>
            <w:tcW w:w="4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192,681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80" w:type="dxa"/>
            <w:vAlign w:val="bottom"/>
            <w:gridSpan w:val="10"/>
          </w:tcPr>
          <w:p>
            <w:pPr>
              <w:spacing w:after="0"/>
              <w:rPr>
                <w:sz w:val="20"/>
                <w:szCs w:val="20"/>
                <w:color w:val="auto"/>
              </w:rPr>
            </w:pPr>
            <w:r>
              <w:rPr>
                <w:rFonts w:ascii="Arial" w:cs="Arial" w:eastAsia="Arial" w:hAnsi="Arial"/>
                <w:sz w:val="18"/>
                <w:szCs w:val="18"/>
                <w:b w:val="1"/>
                <w:bCs w:val="1"/>
                <w:color w:val="auto"/>
              </w:rPr>
              <w:t>Note 15. Income Taxes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12"/>
          </w:tcPr>
          <w:p>
            <w:pPr>
              <w:spacing w:after="0"/>
              <w:rPr>
                <w:sz w:val="20"/>
                <w:szCs w:val="20"/>
                <w:color w:val="auto"/>
              </w:rPr>
            </w:pPr>
            <w:r>
              <w:rPr>
                <w:rFonts w:ascii="Arial" w:cs="Arial" w:eastAsia="Arial" w:hAnsi="Arial"/>
                <w:sz w:val="18"/>
                <w:szCs w:val="18"/>
                <w:color w:val="auto"/>
                <w:w w:val="98"/>
              </w:rPr>
              <w:t xml:space="preserve">The components of income taxes consist of </w:t>
            </w:r>
            <w:r>
              <w:rPr>
                <w:rFonts w:ascii="Arial" w:cs="Arial" w:eastAsia="Arial" w:hAnsi="Arial"/>
                <w:sz w:val="18"/>
                <w:szCs w:val="18"/>
                <w:i w:val="1"/>
                <w:iCs w:val="1"/>
                <w:color w:val="auto"/>
                <w:w w:val="98"/>
              </w:rPr>
              <w:t>(dollars in thousands)</w:t>
            </w:r>
            <w:r>
              <w:rPr>
                <w:rFonts w:ascii="Arial" w:cs="Arial" w:eastAsia="Arial" w:hAnsi="Arial"/>
                <w:sz w:val="18"/>
                <w:szCs w:val="18"/>
                <w:color w:val="auto"/>
                <w:w w:val="98"/>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16,271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w w:val="94"/>
              </w:rPr>
              <w:t>10,452</w:t>
            </w:r>
          </w:p>
        </w:tc>
        <w:tc>
          <w:tcPr>
            <w:tcW w:w="4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12,704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7"/>
          </w:tcPr>
          <w:p>
            <w:pPr>
              <w:ind w:left="180"/>
              <w:spacing w:after="0"/>
              <w:rPr>
                <w:sz w:val="20"/>
                <w:szCs w:val="20"/>
                <w:color w:val="auto"/>
              </w:rPr>
            </w:pPr>
            <w:r>
              <w:rPr>
                <w:rFonts w:ascii="Arial" w:cs="Arial" w:eastAsia="Arial" w:hAnsi="Arial"/>
                <w:sz w:val="18"/>
                <w:szCs w:val="18"/>
                <w:color w:val="auto"/>
              </w:rPr>
              <w:t>Total income tax expense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w w:val="94"/>
              </w:rPr>
              <w:t>26,723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20,696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17,534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-1862455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-1862455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federal and state income taxes at statutory rates to the income taxes included in the statements of income is as follows:</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Pretax</w:t>
            </w:r>
          </w:p>
        </w:tc>
        <w:tc>
          <w:tcPr>
            <w:tcW w:w="16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Pretax</w:t>
            </w:r>
          </w:p>
        </w:tc>
        <w:tc>
          <w:tcPr>
            <w:tcW w:w="15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8"/>
              </w:rPr>
              <w:t>Pretax</w:t>
            </w: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16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35.0%</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Effect of:</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Tax-exempt interest, net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State income taxes, net</w:t>
            </w:r>
          </w:p>
        </w:tc>
        <w:tc>
          <w:tcPr>
            <w:tcW w:w="1640" w:type="dxa"/>
            <w:vAlign w:val="bottom"/>
            <w:gridSpan w:val="2"/>
          </w:tcPr>
          <w:p>
            <w:pPr>
              <w:jc w:val="right"/>
              <w:ind w:right="59"/>
              <w:spacing w:after="0"/>
              <w:rPr>
                <w:sz w:val="20"/>
                <w:szCs w:val="20"/>
                <w:color w:val="auto"/>
              </w:rPr>
            </w:pPr>
            <w:r>
              <w:rPr>
                <w:rFonts w:ascii="Arial" w:cs="Arial" w:eastAsia="Arial" w:hAnsi="Arial"/>
                <w:sz w:val="18"/>
                <w:szCs w:val="18"/>
                <w:color w:val="auto"/>
              </w:rPr>
              <w:t>4.3%</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on bank owned life insurance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Net deferred taxes at December 31, 2016 and 2015 in the accompanying Consolidated Balance Sheets, include the following amounts of deferred tax assets and liabilities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1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19,988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18,939</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Affordable housing partnerships and other investments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Purchase accounting adjustments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7,186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vacation</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Employee costs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r>
      <w:tr>
        <w:trPr>
          <w:trHeight w:val="210"/>
        </w:trPr>
        <w:tc>
          <w:tcPr>
            <w:tcW w:w="54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37,117</w:t>
            </w: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tcBorders>
              <w:bottom w:val="single" w:sz="8" w:color="CCEEFF"/>
            </w:tcBorders>
          </w:tcPr>
          <w:p>
            <w:pPr>
              <w:spacing w:after="0"/>
              <w:rPr>
                <w:sz w:val="18"/>
                <w:szCs w:val="18"/>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on securities available for sale</w:t>
            </w:r>
          </w:p>
        </w:tc>
        <w:tc>
          <w:tcPr>
            <w:tcW w:w="214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r>
    </w:tbl>
    <w:p>
      <w:pPr>
        <w:sectPr>
          <w:pgSz w:w="11900" w:h="16897" w:orient="portrait"/>
          <w:cols w:equalWidth="0" w:num="1">
            <w:col w:w="11460"/>
          </w:cols>
          <w:pgMar w:left="240" w:top="108" w:right="19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in premises and equipment</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Affordable housing partnerships and other investments</w:t>
            </w: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accounting adjustments</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Mortgage servicing assets</w:t>
            </w: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(1,228)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in core deposit and customer intangible assets</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Deferred loan origination costs</w:t>
            </w: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(2,765)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Net operating loss carryforward, net of valuation allowance</w:t>
            </w:r>
          </w:p>
        </w:tc>
        <w:tc>
          <w:tcPr>
            <w:tcW w:w="2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20,224</w:t>
            </w: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100" w:type="dxa"/>
            <w:vAlign w:val="bottom"/>
            <w:vMerge w:val="restart"/>
          </w:tcPr>
          <w:p>
            <w:pPr>
              <w:jc w:val="right"/>
              <w:ind w:right="1430"/>
              <w:spacing w:after="0"/>
              <w:rPr>
                <w:sz w:val="20"/>
                <w:szCs w:val="20"/>
                <w:color w:val="auto"/>
              </w:rPr>
            </w:pPr>
            <w:r>
              <w:rPr>
                <w:rFonts w:ascii="Arial" w:cs="Arial" w:eastAsia="Arial" w:hAnsi="Arial"/>
                <w:sz w:val="18"/>
                <w:szCs w:val="18"/>
                <w:color w:val="auto"/>
              </w:rPr>
              <w:t>106</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the Company had an Illinois net operating loss carryforward of $1.0 million, or approximately $13.0 million pre-tax. At</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December 31, 2015, the Company had an Illinois net operating loss carryforward of $4.3 million, or approximately $59.0 million pre-tax. This net operating loss carryforward will expire in 2022.</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2016, the Company also had a Florida net operating loss carryforward of $0.3 million, which will begin to expire in 2030. Due to the uncertainty as to whether the Company will be able to fully realize the Florida carryforward, the Company has a full valuation allowance of $0.3 million related to this net operating loss carryforward. At December 31, 2015, the Company had a Florida net operating loss carryforward of $0.6 million with a full valuation allowance.</w:t>
      </w:r>
    </w:p>
    <w:p>
      <w:pPr>
        <w:spacing w:after="0" w:line="18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addition, the Company had capital loss carryforwards of $0.4 million in relation to Pulaski at December 31, 2016, that are projected to expire prior to their utilization. Due to the uncertainty as to whether the Company will be able to fully realize the carryforwards, the Company has a full valuation allowance of $0.4 million related to these capital loss carryforwards. There was no valuation allowance related to capital loss carryforwards at December 31, 2015.</w:t>
      </w:r>
    </w:p>
    <w:p>
      <w:pPr>
        <w:jc w:val="both"/>
        <w:ind w:right="80"/>
        <w:spacing w:after="0" w:line="255" w:lineRule="auto"/>
        <w:rPr>
          <w:sz w:val="20"/>
          <w:szCs w:val="20"/>
          <w:color w:val="auto"/>
        </w:rPr>
      </w:pPr>
      <w:r>
        <w:rPr>
          <w:rFonts w:ascii="Arial" w:cs="Arial" w:eastAsia="Arial" w:hAnsi="Arial"/>
          <w:sz w:val="18"/>
          <w:szCs w:val="18"/>
          <w:color w:val="auto"/>
        </w:rPr>
        <w:t>Management believes that it is more likely than not that the other deferred tax assets included in the accompanying Consolidated Balance Sheets will be fully realized. The Company has determined that no additional valuation allowance is required for any other deferred tax assets as of December 31, 2016 and 2015, although there is no guarantee that those assets will be recognizable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Stock Ownership Plan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Prior to 2014, the First Busey Corporation Employees’ Stock Ownership Plan (“ESOP”) was available to all full-time employees who met certain age and length of service requirements. Effective in 2014, the ESOP was frozen, all shares were fully vested and there will be no new contributions under the ESOP. Dividends on allocated shares of common stock are distributed directly to the participants. All shares held by the ESOP, which were acquired prior to the issuance of FASB ASC Topic 718-40, “Employee Stock Ownership Plans” (ASC 718-40), are included in the computation of average common shares and common share equivalents. This accounting treatment is grandfathered under ASC 718-40 for shares purchased prior to December 31, 1992.</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shares held in the ESOP which were acquired prior to December 31, 1992 were allocated as of December 31, 2006. The number of shares and associated fair values were 136,840 worth $4.2 million and 144,641 worth $3.0 million at December 31, 2016 and 2015,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Shares held in the ESOP which were acquired after December 31, 1992 and associated fair values were 48,222 worth $1.5 million and 50,989 worth $1.1 million at December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Sharing Plan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All full-time employees who meet certain age and service requirements are eligible to participate in the Company’s profit-sharing plan. The contributions, if any, are determined solely by the boards of directors of the Company and its subsidiaries, and in no case may the annual contributions be greater than the amounts deductible for federal income tax purposes for that year.</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rights of the participants vest ratably over a five-year period, except for the 401(k) match portion, which vests immediately. Expenses related to the employee benefit plans are included in the statements of income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19"/>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80"/>
        </w:trPr>
        <w:tc>
          <w:tcPr>
            <w:tcW w:w="5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5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benefits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4,289</w:t>
            </w: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CEEFF"/>
          </w:tcPr>
          <w:p>
            <w:pPr>
              <w:spacing w:after="0"/>
              <w:rPr>
                <w:sz w:val="18"/>
                <w:szCs w:val="18"/>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sponsors deferred compensation plans for executive officers for deferral of compensation. While current participants in the deferred compensation plan are permitted to continue participating in the plan, it is not currently open to new participants. The deferred compensation expense reported was $0.3 million for the years ended December 31, 2016, 2015 and 2014. The deferred compensation liability was $6.8 million at December 31, 2016, $5.5 million at December 31, 2015, and $5.1 million at December 31, 2014. The 2016 deferred compensation liability includes $1.1 million related to the Pulaski acquisition which was distributed in January 2017.</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w:t>
      </w:r>
    </w:p>
    <w:p>
      <w:pPr>
        <w:sectPr>
          <w:pgSz w:w="11900" w:h="16838" w:orient="portrait"/>
          <w:cols w:equalWidth="0" w:num="1">
            <w:col w:w="11460"/>
          </w:cols>
          <w:pgMar w:left="240" w:top="125" w:right="199" w:bottom="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quarter of 2010, the Company adopted the 2010 Equity Plan, which was approved at the annual stockholders meeting on May 19, 2010. During the second quarter of 2015, the Company adopted an amendment to revise some technical terms to the 2010 Equity Plan, which was approved at the annual stockholders meeting on May 20, 2015.</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Subject to permitted adjustments for certain corporate transactions, the maximum number of shares that may be delivered to participants, or their beneficiaries, under the 2010 Equity Plan is 1,333,333 shares of First Busey common stock. To the extent that any shares of stock covered by an award (including non-vested stock awards) under the 2010 Equity Plan, or the prior plans, are not delivered for any reason, including because the award is forfeited, canceled, settled in cash or shares are withheld to satisfy tax withholding requirements, such shares will not be deemed to have been delivered for purposes of determining the maximum number of shares of stock available for delivery and will again become available for usage under the 2010 Equity Plan. If any option granted under the 2010 Equity Plan is exercised by tendering shares of stock, only the number of shares of stock issued net of the shares of stock tendered shall be counted for purposes of these limitations. Any shares covered under the terms of a prior plan award that would otherwise become available for reuse under the terms of the prior plan will become available for issuance under the 2010 Equity Plan.</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2010 Equity Plan’s effective date was May 19, 2010. The 2010 Equity Plan will continue in effect until terminated by the board of directors; provided that no awards may be granted under the 2010 Equity Plan after the ten-year anniversary of the effective date. Any awards that are outstanding after the tenth anniversary of the effective date will remain subject to the terms of the 2010 Equity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limits apply to awards under the 2010 Equity Plan:</w:t>
      </w:r>
    </w:p>
    <w:p>
      <w:pPr>
        <w:spacing w:after="0" w:line="225" w:lineRule="exact"/>
        <w:rPr>
          <w:sz w:val="20"/>
          <w:szCs w:val="20"/>
          <w:color w:val="auto"/>
        </w:rPr>
      </w:pPr>
    </w:p>
    <w:p>
      <w:pPr>
        <w:ind w:left="660" w:right="5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covered by options that are intended to be “performance-based compensation” which are granted to any one participant during any calendar year is 133,333 shares;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covered by stock awards that are intended to be “performance-based compensation” which are granted to any one participant during any calendar year is 66,667 shares;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dollar amount of cash incentive awards or cash-settled stock awards intended to be “performance-based compensation” payable to any one participant with respect to any calendar year is $1,000,000.</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December 31, 2016, the Company held 633,232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2015, the Company purchased 333,333 shares under this repurchase plan. At December 31, 2016 the Company had 333,334 shares that may yet be purchased under the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relation to the Pulaski acquisition, the Company assumed stock options that were previously issued under shareholder approved Pulaski incentive plans. At the effective time of the acquisition, each outstanding option to purchase shares of Pulaski common stock was converted automatically into a stock option exercisable for that number of shares of First Busey common stock equal to (i) the number of shares of Pulaski common stock subject to the Pulaski stock option immediately prior to the effective time multiplied by (ii) the exchange ratio (rounded down to the nearest whole share), with an exercise price per share equal to (A) the exercise price per share of Pulaski common stock of the Pulaski stock option immediately prior to the effective time divided by (B) the exchange ratio (rounded up to the nearest whole cent). Each Pulaski stock option assumed and converted continues to be subject to the same terms and conditions, as applicable immediately prior to the effective time. All Pulaski stock options are fully vested.</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summary of the status of the Company’s stock option awards for the years ended December 31, 2016, 2015, and 2014, and the changes during the years ended on those dates is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9"/>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99"/>
              <w:spacing w:after="0" w:line="119" w:lineRule="exact"/>
              <w:rPr>
                <w:sz w:val="20"/>
                <w:szCs w:val="20"/>
                <w:color w:val="auto"/>
              </w:rPr>
            </w:pPr>
            <w:r>
              <w:rPr>
                <w:rFonts w:ascii="Arial" w:cs="Arial" w:eastAsia="Arial" w:hAnsi="Arial"/>
                <w:sz w:val="13"/>
                <w:szCs w:val="13"/>
                <w:b w:val="1"/>
                <w:bCs w:val="1"/>
                <w:color w:val="auto"/>
                <w:w w:val="98"/>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99"/>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beginning of</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96,568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Converted options from Pulaski</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309,700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(145,774)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4" w:name="page75"/>
    <w:bookmarkEnd w:id="7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(50,718)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58.23</w:t>
            </w: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(72,941)</w:t>
            </w: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55.99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(53,816)</w:t>
            </w: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59.22</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96,568</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170,026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48.99</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97"/>
        </w:trPr>
        <w:tc>
          <w:tcPr>
            <w:tcW w:w="2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209,382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96,568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170,026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2016:</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ind w:left="777"/>
              <w:spacing w:after="0"/>
              <w:rPr>
                <w:sz w:val="20"/>
                <w:szCs w:val="20"/>
                <w:color w:val="auto"/>
              </w:rPr>
            </w:pPr>
            <w:r>
              <w:rPr>
                <w:rFonts w:ascii="Arial" w:cs="Arial" w:eastAsia="Arial" w:hAnsi="Arial"/>
                <w:sz w:val="14"/>
                <w:szCs w:val="14"/>
                <w:b w:val="1"/>
                <w:bCs w:val="1"/>
                <w:color w:val="auto"/>
                <w:w w:val="90"/>
              </w:rPr>
              <w:t>Options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Borders>
              <w:bottom w:val="single" w:sz="8" w:color="auto"/>
            </w:tcBorders>
            <w:gridSpan w:val="4"/>
          </w:tcPr>
          <w:p>
            <w:pPr>
              <w:jc w:val="center"/>
              <w:ind w:left="777"/>
              <w:spacing w:after="0"/>
              <w:rPr>
                <w:sz w:val="20"/>
                <w:szCs w:val="20"/>
                <w:color w:val="auto"/>
              </w:rPr>
            </w:pPr>
            <w:r>
              <w:rPr>
                <w:rFonts w:ascii="Arial" w:cs="Arial" w:eastAsia="Arial" w:hAnsi="Arial"/>
                <w:sz w:val="14"/>
                <w:szCs w:val="14"/>
                <w:b w:val="1"/>
                <w:bCs w:val="1"/>
                <w:color w:val="auto"/>
                <w:w w:val="92"/>
              </w:rPr>
              <w:t>Exercisable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Range of</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Intrinsic</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Prices</w:t>
            </w: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6.00-15.00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177,083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15.01-20.00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3,949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15.20</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20.01-22.60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22.59</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22.61-58.05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10,850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58.05</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1.76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Company did not record any stock option compensation expense during 2016, 2015 or 2014. As of December 31, 2016, the Company has no unrecognized stock option expense.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relation to the Pulaski acquisition, the Company also assumed performance based restricted stock unit awards. At the effective time of the acquisition, the number of Pulaski common shares covered by each award was fixed at the target level under Pulaski’s existing plan and automatically converted into a service-based restricted stock unit award of First Busey common stock that is equal to the number of shares of Pulaski common stock multiplied by the exchange ratio. Following the change in control, each restricted stock award will vest, without regard to any performance metrics, on the earlier to occur of September 30, 2017 or the award holders’ involuntary termination of employment for reasons other than cause or voluntary termination of employment for good reason, as specified in the award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RSUs for the years ended December 31, 2016, 2015 and 2014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8"/>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beginning of</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424,930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394,624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Converted units from Pulaski</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Reclass to DSUs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126,669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108,945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101,426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earned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(73,777)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(8,811)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(17,951)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552,610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18.45</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424,930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394,624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Dividends related to the converted units from Pulaski are accrued and will be paid in cash upon vesting. All other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issued 43,396, 59,983 and 6,206 treasury shares in conjunction with the vesting of RSUs in 2016, 2015 and 2014, respectively. The difference between the number of shares issued and the number of vested units is due to shares issued under a net share settlement option.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11, 2016, under the terms of the 2010 Equity Incentive Plan, the Company granted 126,669 RSUs to members of management. As the stock price on the grant date of July 11, 2016 was $22.44, total compensation cost to be recognized is $2.8 million. This cost will be recognized over a period of five years. Subsequent to the requisite service period, the awards will vest 100%.</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description of RSUs granted in 2015 and 2014 under the terms of the 2010 Equity Incentive Plan can be found in the Company’s Annual Reports on Form 10-K for the years ended December 31, 2015 and 2014.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 Plan</w:t>
      </w:r>
    </w:p>
    <w:p>
      <w:pPr>
        <w:sectPr>
          <w:pgSz w:w="11900" w:h="16838" w:orient="portrait"/>
          <w:cols w:equalWidth="0" w:num="1">
            <w:col w:w="11360"/>
          </w:cols>
          <w:pgMar w:left="240" w:top="125" w:right="299" w:bottom="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 summary of the changes in the Company’s DSUs for the years ended December 31, 2016, 2015 and 2014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8"/>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2"/>
        </w:trPr>
        <w:tc>
          <w:tcPr>
            <w:tcW w:w="2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at beginning of</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Reclass from RSUs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Dividend equivalents earned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1,872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1,347</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93,459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18.54</w:t>
            </w:r>
          </w:p>
        </w:tc>
        <w:tc>
          <w:tcPr>
            <w:tcW w:w="22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68,456</w:t>
            </w: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17.16</w:t>
            </w:r>
          </w:p>
        </w:tc>
        <w:tc>
          <w:tcPr>
            <w:tcW w:w="22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48,686</w:t>
            </w: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July 11, 2016, under the terms of the 2010 Equity Incentive Plan, the Company granted 15,830 DSUs to directors. As the stock price on the grant date of July 11, 2016 was $22.44, total compensation cost to be recognized is $0.4 million. The Company also granted 1,250 DSUs to a new director on July 25, 2016. As the stock price on the grant date of July 25, 2016 was $22.39, total compensation cost to be recognized is insignificant. These costs will be recognized over the requisite service period of one year from the date of grant or the next Annual Meeting of Stockholders; whichever is earlier. Further, the Company granted 5,348 DSUs to the Chairman of the Board. As the stock price on the grant date of July 11, 2016 was $22.44, total compensation cost to be recognized is $0.1 million. This cost will be recognized over a period of five years. Subsequent to the requisite service period, the awards will vest 100%.</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description of DSUs granted in 2015 and 2014 under the terms of the 2010 Equity Incentive Plan can be found in the Company’s Annual Reports on Form 10-K for the years ended December 31, 2015 and 2014.</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recognized $1.8 million, $1.4 million and $1.2 million of compensation expense related to both non-vested RSUs and DSUs for the years ended December 31, 2016, 2015 and 2014, respectively. As of December 31, 2016, there was $5.8 million of total unrecognized compensation cost related to these non-vested stock awards. This cost is expected to be recognized over a period of 3.5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Transactions with Related Parties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an analysis of the changes in loans to related parties during the year ended December 31, 2016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57,125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Addition due to change in relationship</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New loans/advances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(26,214)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unused commitments to directors and executive officers were $24.5 million at December 31, 2016.</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379"/>
              <w:spacing w:after="0"/>
              <w:rPr>
                <w:sz w:val="20"/>
                <w:szCs w:val="20"/>
                <w:color w:val="auto"/>
              </w:rPr>
            </w:pPr>
            <w:r>
              <w:rPr>
                <w:rFonts w:ascii="Arial" w:cs="Arial" w:eastAsia="Arial" w:hAnsi="Arial"/>
                <w:sz w:val="14"/>
                <w:szCs w:val="14"/>
                <w:b w:val="1"/>
                <w:bCs w:val="1"/>
                <w:color w:val="auto"/>
                <w:w w:val="99"/>
              </w:rPr>
              <w:t>December 31, 2016</w:t>
            </w:r>
          </w:p>
        </w:tc>
        <w:tc>
          <w:tcPr>
            <w:tcW w:w="3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7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gridSpan w:val="3"/>
          </w:tcPr>
          <w:p>
            <w:pPr>
              <w:jc w:val="right"/>
              <w:ind w:right="12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59"/>
              <w:spacing w:after="0"/>
              <w:rPr>
                <w:sz w:val="20"/>
                <w:szCs w:val="20"/>
                <w:color w:val="auto"/>
              </w:rPr>
            </w:pPr>
            <w:r>
              <w:rPr>
                <w:rFonts w:ascii="Arial" w:cs="Arial" w:eastAsia="Arial" w:hAnsi="Arial"/>
                <w:sz w:val="18"/>
                <w:szCs w:val="18"/>
                <w:color w:val="auto"/>
              </w:rPr>
              <w:t>875,077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618,551</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20,145</w:t>
            </w:r>
          </w:p>
        </w:tc>
        <w:tc>
          <w:tcPr>
            <w:tcW w:w="3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15,325</w:t>
            </w:r>
          </w:p>
        </w:tc>
      </w:tr>
    </w:tbl>
    <w:p>
      <w:pPr>
        <w:sectPr>
          <w:pgSz w:w="11900" w:h="16838" w:orient="portrait"/>
          <w:cols w:equalWidth="0" w:num="1">
            <w:col w:w="11420"/>
          </w:cols>
          <w:pgMar w:left="240" w:top="125" w:right="239" w:bottom="198" w:gutter="0" w:footer="0" w:header="0"/>
        </w:sectPr>
      </w:pPr>
    </w:p>
    <w:bookmarkStart w:id="76" w:name="page77"/>
    <w:bookmarkEnd w:id="76"/>
    <w:p>
      <w:pPr>
        <w:ind w:right="2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December 31, 2016 and 2015, no amounts were recorded as liabilities for the Company’s potential obligations under these guarantees.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2016, the Company was obligated under noncancelable operating leases for office space and other commitments. Rent expense under operating leases, included in net occupancy and equipment expense, was $2.7 million, $1.5 million, and $1.5 million for the years ended December 31, 2016, 2015 and 2014,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Rent commitments before considering renewal options that generally are present, were as follows at December 31, 2016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2,218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1,313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1,566</w:t>
            </w:r>
          </w:p>
        </w:tc>
      </w:tr>
      <w:tr>
        <w:trPr>
          <w:trHeight w:val="210"/>
        </w:trPr>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foreign currency forward contracts. The Pulaski acquisition impacted the Company’s activity of interest rate lock commitments and forward sales commitments, therefore, 2015 amounts are insignificant. See “</w:t>
      </w:r>
      <w:r>
        <w:rPr>
          <w:rFonts w:ascii="Arial" w:cs="Arial" w:eastAsia="Arial" w:hAnsi="Arial"/>
          <w:sz w:val="16"/>
          <w:szCs w:val="16"/>
          <w:i w:val="1"/>
          <w:iCs w:val="1"/>
          <w:color w:val="auto"/>
        </w:rPr>
        <w:t>Note 21. Fair Value Measurements</w:t>
      </w:r>
      <w:r>
        <w:rPr>
          <w:rFonts w:ascii="Arial" w:cs="Arial" w:eastAsia="Arial" w:hAnsi="Arial"/>
          <w:sz w:val="16"/>
          <w:szCs w:val="16"/>
          <w:color w:val="auto"/>
        </w:rPr>
        <w:t>” for further discussion of the fair value measurement of such derivatives.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Interest Rate Lock Commitments</w:t>
      </w:r>
      <w:r>
        <w:rPr>
          <w:rFonts w:ascii="Arial" w:cs="Arial" w:eastAsia="Arial" w:hAnsi="Arial"/>
          <w:sz w:val="16"/>
          <w:szCs w:val="16"/>
          <w:color w:val="auto"/>
        </w:rPr>
        <w:t>. At December 31, 2016, the Company had issued $149.9 million of unexpired interest rate lock commitments to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customers. Such interest rate lock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Forward Sales Commitments</w:t>
      </w:r>
      <w:r>
        <w:rPr>
          <w:rFonts w:ascii="Arial" w:cs="Arial" w:eastAsia="Arial" w:hAnsi="Arial"/>
          <w:sz w:val="16"/>
          <w:szCs w:val="16"/>
          <w:color w:val="auto"/>
        </w:rPr>
        <w:t>. At December 31, 2016, the Company had issued $400.0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values in other assets or other liabilities in the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fair values of these derivative assets and liabilities recorded in the consolidated balance sheets at December 31, 2016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3,098</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gross gains and losses on these derivative assets and liabilities recorded in non-interest income and expense in the Consolidated Statements of Income for the twelve months ended December 31,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losses</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(24,783)</w:t>
            </w:r>
          </w:p>
        </w:tc>
      </w:tr>
      <w:tr>
        <w:trPr>
          <w:trHeight w:val="21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77" w:name="page78"/>
    <w:bookmarkEnd w:id="77"/>
    <w:p>
      <w:pPr>
        <w:spacing w:after="0" w:line="4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2016, the impact of the net gain on derivative financial instruments related to interest rate lock commitments issued to residential loan customers for loans that will be held for sale and forward sales commitments to sell residential mortgage loans to loan investors was almost entirely offset by a corresponding decrease in the fair value of loans held for sale.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The Company has originated certain loan agreements that settle in non-U.S. dollar denominations. The gross balance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loans, translated into U.S. dollars, was $0.7 million at December 31, 2016. The Company enters into foreign currency forward contracts to mitigate the economic effect of fluctuations in foreign currency exchange rates on these non-U.S. dollar denominated loans. Such foreign currency forward contracts that meet the definition of derivative financial 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carried at their fair values in other assets or other liabilities in the Consolidated Financial Statements. While such forward contracts generally served as an economic hedge to certain loans, the Company did not designate them for hedge accounting treatment. Consequently, changes in fair value of the corresponding derivative financial asset or liability were recorded as either a charge or credit to current earnings during the period in which the changes occurred. The gross gains and losses on these derivative assets and liabilities recorded in non-interest income and expense in the Consolidated Statements of Income for the twelve months ended December 31, 2016 and 2015 was insignificant.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notional amount and fair values, denominated in U.S. dollars, of open foreign currency forward contracts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2016</w:t>
            </w:r>
          </w:p>
        </w:tc>
        <w:tc>
          <w:tcPr>
            <w:tcW w:w="16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Foreign currency forward contracts involve the risk of dealing with counterparties and their ability to meet contractual terms. We believe the risk of incurring losses due to nonperformance by our counterparties is manageable.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year ended December 31,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Securities Available for Sale</w:t>
      </w:r>
      <w:r>
        <w:rPr>
          <w:rFonts w:ascii="Arial" w:cs="Arial" w:eastAsia="Arial" w:hAnsi="Arial"/>
          <w:sz w:val="16"/>
          <w:szCs w:val="16"/>
          <w:color w:val="auto"/>
        </w:rPr>
        <w:t>. Securities classified as available for sale are reported at fair value utilizing level 1 and level 2 measurements. For mutual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w:t>
      </w:r>
    </w:p>
    <w:p>
      <w:pPr>
        <w:sectPr>
          <w:pgSz w:w="11900" w:h="16878" w:orient="portrait"/>
          <w:cols w:equalWidth="0" w:num="1">
            <w:col w:w="11420"/>
          </w:cols>
          <w:pgMar w:left="240" w:top="125" w:right="239" w:bottom="0" w:gutter="0" w:footer="0" w:header="0"/>
        </w:sectPr>
      </w:pPr>
    </w:p>
    <w:bookmarkStart w:id="78" w:name="page79"/>
    <w:bookmarkEnd w:id="78"/>
    <w:p>
      <w:pPr>
        <w:jc w:val="both"/>
        <w:ind w:right="240"/>
        <w:spacing w:after="0" w:line="264" w:lineRule="auto"/>
        <w:rPr>
          <w:sz w:val="20"/>
          <w:szCs w:val="20"/>
          <w:color w:val="auto"/>
        </w:rPr>
      </w:pPr>
      <w:r>
        <w:rPr>
          <w:rFonts w:ascii="Arial" w:cs="Arial" w:eastAsia="Arial" w:hAnsi="Arial"/>
          <w:sz w:val="18"/>
          <w:szCs w:val="18"/>
          <w:color w:val="auto"/>
        </w:rPr>
        <w:t>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Beginning on January 1, 2016, the Company elected to adopt the fair value option for all residential mortgage loans held for sale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such loans at their fair values with changes in fair value recognized in earnings, consistent with the provisions in ASC 820. The Company accounted for held for sale loans that were originated prior to January 1, 2016 under the lower of cost or fair value option, with any corresponding adjustments recorded as a valuation adjustment, if necessary. Such fair value adjustments are recorded as a component of mortgage revenue in the accompanying Consolidated Financial Statements. The fair value of the mortgage loans held for sale are measured using observable quoted market or contract prices or market price equivalents and are classified as level 2 in the ASC 820 fair value hierarchy.</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Derivative Assets and Derivative Liabilities. </w:t>
      </w:r>
      <w:r>
        <w:rPr>
          <w:rFonts w:ascii="Arial" w:cs="Arial" w:eastAsia="Arial" w:hAnsi="Arial"/>
          <w:sz w:val="17"/>
          <w:szCs w:val="17"/>
          <w:color w:val="auto"/>
        </w:rPr>
        <w:t>Derivative assets and derivative liabilities are reported at fair value utilizing level 2 measurements.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positive fair values are reported as assets and derivative instruments with negative fair value are reported as liabilities. The fair value of derivative assets and liabilities is determined based on prices that are obtained from a third-party. Values of derivative assets and liabilities are primarily based on observable inputs and are classified as level 2 in the ASC 820 fair value hierarchy.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The following table summarizes financial assets and financial liabilities measured at fair value on a recurring basis as of December 31, 2016 and 2015,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2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31, 2016</w:t>
            </w:r>
          </w:p>
        </w:tc>
        <w:tc>
          <w:tcPr>
            <w:tcW w:w="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74,944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79,127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154,938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302,249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143,343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5,210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256,319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Derivative financial assets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6,403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31, 2015</w:t>
            </w:r>
          </w:p>
        </w:tc>
        <w:tc>
          <w:tcPr>
            <w:tcW w:w="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132,605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307,549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148,805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2,076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ectPr>
          <w:pgSz w:w="11900" w:h="16838" w:orient="portrait"/>
          <w:cols w:equalWidth="0" w:num="1">
            <w:col w:w="11420"/>
          </w:cols>
          <w:pgMar w:left="240" w:top="125"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non-recurring basis as of December 31, 2016 and 2015,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480" w:type="dxa"/>
            <w:vAlign w:val="bottom"/>
          </w:tcPr>
          <w:p>
            <w:pPr>
              <w:spacing w:after="0"/>
              <w:rPr>
                <w:sz w:val="14"/>
                <w:szCs w:val="14"/>
                <w:color w:val="auto"/>
              </w:rPr>
            </w:pPr>
          </w:p>
        </w:tc>
        <w:tc>
          <w:tcPr>
            <w:tcW w:w="1200" w:type="dxa"/>
            <w:vAlign w:val="bottom"/>
          </w:tcPr>
          <w:p>
            <w:pPr>
              <w:jc w:val="right"/>
              <w:ind w:right="81"/>
              <w:spacing w:after="0"/>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2016</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3"/>
              </w:rPr>
              <w:t>3,885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3"/>
              </w:rPr>
              <w:t>6,138</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for which the Company has utilized level 3 inputs to determine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960" w:type="dxa"/>
            <w:vAlign w:val="bottom"/>
            <w:gridSpan w:val="4"/>
          </w:tcPr>
          <w:p>
            <w:pPr>
              <w:jc w:val="center"/>
              <w:ind w:right="1760"/>
              <w:spacing w:after="0"/>
              <w:rPr>
                <w:sz w:val="20"/>
                <w:szCs w:val="20"/>
                <w:color w:val="auto"/>
              </w:rPr>
            </w:pPr>
            <w:r>
              <w:rPr>
                <w:rFonts w:ascii="Arial" w:cs="Arial" w:eastAsia="Arial" w:hAnsi="Arial"/>
                <w:sz w:val="14"/>
                <w:szCs w:val="14"/>
                <w:b w:val="1"/>
                <w:bCs w:val="1"/>
                <w:color w:val="auto"/>
                <w:w w:val="94"/>
              </w:rPr>
              <w:t>Quantitative Information about Level 3 Fair Value Measurements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557"/>
              <w:spacing w:after="0" w:line="119" w:lineRule="exact"/>
              <w:rPr>
                <w:sz w:val="20"/>
                <w:szCs w:val="20"/>
                <w:color w:val="auto"/>
              </w:rPr>
            </w:pPr>
            <w:r>
              <w:rPr>
                <w:rFonts w:ascii="Arial" w:cs="Arial" w:eastAsia="Arial" w:hAnsi="Arial"/>
                <w:sz w:val="13"/>
                <w:szCs w:val="13"/>
                <w:b w:val="1"/>
                <w:bCs w:val="1"/>
                <w:color w:val="auto"/>
              </w:rPr>
              <w:t>Fair Value</w:t>
            </w:r>
          </w:p>
        </w:tc>
        <w:tc>
          <w:tcPr>
            <w:tcW w:w="154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Valuation</w:t>
            </w:r>
          </w:p>
        </w:tc>
        <w:tc>
          <w:tcPr>
            <w:tcW w:w="2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800" w:type="dxa"/>
            <w:vAlign w:val="bottom"/>
            <w:tcBorders>
              <w:top w:val="single" w:sz="8" w:color="auto"/>
            </w:tcBorders>
          </w:tcPr>
          <w:p>
            <w:pPr>
              <w:jc w:val="center"/>
              <w:ind w:left="77"/>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97"/>
              <w:spacing w:after="0"/>
              <w:rPr>
                <w:sz w:val="20"/>
                <w:szCs w:val="20"/>
                <w:color w:val="auto"/>
              </w:rPr>
            </w:pPr>
            <w:r>
              <w:rPr>
                <w:rFonts w:ascii="Arial" w:cs="Arial" w:eastAsia="Arial" w:hAnsi="Arial"/>
                <w:sz w:val="14"/>
                <w:szCs w:val="14"/>
                <w:b w:val="1"/>
                <w:bCs w:val="1"/>
                <w:color w:val="auto"/>
              </w:rPr>
              <w:t>Estimate</w:t>
            </w:r>
          </w:p>
        </w:tc>
        <w:tc>
          <w:tcPr>
            <w:tcW w:w="154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Techniques</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jc w:val="center"/>
              <w:ind w:right="29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2016</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77"/>
              <w:spacing w:after="0" w:line="201" w:lineRule="exact"/>
              <w:rPr>
                <w:sz w:val="20"/>
                <w:szCs w:val="20"/>
                <w:color w:val="auto"/>
              </w:rPr>
            </w:pPr>
            <w:r>
              <w:rPr>
                <w:rFonts w:ascii="Arial" w:cs="Arial" w:eastAsia="Arial" w:hAnsi="Arial"/>
                <w:sz w:val="18"/>
                <w:szCs w:val="18"/>
                <w:color w:val="auto"/>
              </w:rPr>
              <w:t>3,885</w:t>
            </w:r>
          </w:p>
        </w:tc>
        <w:tc>
          <w:tcPr>
            <w:tcW w:w="1540" w:type="dxa"/>
            <w:vAlign w:val="bottom"/>
          </w:tcPr>
          <w:p>
            <w:pPr>
              <w:jc w:val="center"/>
              <w:ind w:right="55"/>
              <w:spacing w:after="0" w:line="201" w:lineRule="exact"/>
              <w:rPr>
                <w:sz w:val="20"/>
                <w:szCs w:val="20"/>
                <w:color w:val="auto"/>
              </w:rPr>
            </w:pPr>
            <w:r>
              <w:rPr>
                <w:rFonts w:ascii="Arial" w:cs="Arial" w:eastAsia="Arial" w:hAnsi="Arial"/>
                <w:sz w:val="18"/>
                <w:szCs w:val="18"/>
                <w:color w:val="auto"/>
                <w:w w:val="92"/>
              </w:rPr>
              <w:t>Appraisal of</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0"/>
              </w:rPr>
              <w:t>Appraisal adjustments</w:t>
            </w:r>
          </w:p>
        </w:tc>
        <w:tc>
          <w:tcPr>
            <w:tcW w:w="29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-19.2% to -100.0% (-38.4)%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jc w:val="center"/>
              <w:ind w:right="55"/>
              <w:spacing w:after="0"/>
              <w:rPr>
                <w:sz w:val="20"/>
                <w:szCs w:val="20"/>
                <w:color w:val="auto"/>
              </w:rPr>
            </w:pPr>
            <w:r>
              <w:rPr>
                <w:rFonts w:ascii="Arial" w:cs="Arial" w:eastAsia="Arial" w:hAnsi="Arial"/>
                <w:sz w:val="18"/>
                <w:szCs w:val="18"/>
                <w:color w:val="auto"/>
                <w:w w:val="94"/>
              </w:rPr>
              <w:t>collateral</w:t>
            </w:r>
          </w:p>
        </w:tc>
        <w:tc>
          <w:tcPr>
            <w:tcW w:w="2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7"/>
              <w:spacing w:after="0" w:line="201"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right="55"/>
              <w:spacing w:after="0" w:line="201" w:lineRule="exact"/>
              <w:rPr>
                <w:sz w:val="20"/>
                <w:szCs w:val="20"/>
                <w:color w:val="auto"/>
              </w:rPr>
            </w:pPr>
            <w:r>
              <w:rPr>
                <w:rFonts w:ascii="Arial" w:cs="Arial" w:eastAsia="Arial" w:hAnsi="Arial"/>
                <w:sz w:val="18"/>
                <w:szCs w:val="18"/>
                <w:color w:val="auto"/>
                <w:w w:val="92"/>
              </w:rPr>
              <w:t>Appraisal of</w:t>
            </w:r>
          </w:p>
        </w:tc>
        <w:tc>
          <w:tcPr>
            <w:tcW w:w="2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Appraisal adjustments</w:t>
            </w:r>
          </w:p>
        </w:tc>
        <w:tc>
          <w:tcPr>
            <w:tcW w:w="2800" w:type="dxa"/>
            <w:vAlign w:val="bottom"/>
            <w:shd w:val="clear" w:color="auto" w:fill="CCEEFF"/>
          </w:tcPr>
          <w:p>
            <w:pPr>
              <w:jc w:val="center"/>
              <w:ind w:left="77"/>
              <w:spacing w:after="0" w:line="201" w:lineRule="exact"/>
              <w:rPr>
                <w:sz w:val="20"/>
                <w:szCs w:val="20"/>
                <w:color w:val="auto"/>
              </w:rPr>
            </w:pPr>
            <w:r>
              <w:rPr>
                <w:rFonts w:ascii="Arial" w:cs="Arial" w:eastAsia="Arial" w:hAnsi="Arial"/>
                <w:sz w:val="18"/>
                <w:szCs w:val="18"/>
                <w:color w:val="auto"/>
                <w:w w:val="92"/>
              </w:rPr>
              <w:t>-100.0% (-100.0)%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4"/>
              </w:rPr>
              <w:t>collateral</w:t>
            </w:r>
          </w:p>
        </w:tc>
        <w:tc>
          <w:tcPr>
            <w:tcW w:w="25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77"/>
              <w:spacing w:after="0" w:line="201" w:lineRule="exact"/>
              <w:rPr>
                <w:sz w:val="20"/>
                <w:szCs w:val="20"/>
                <w:color w:val="auto"/>
              </w:rPr>
            </w:pPr>
            <w:r>
              <w:rPr>
                <w:rFonts w:ascii="Arial" w:cs="Arial" w:eastAsia="Arial" w:hAnsi="Arial"/>
                <w:sz w:val="18"/>
                <w:szCs w:val="18"/>
                <w:color w:val="auto"/>
              </w:rPr>
              <w:t>6,138</w:t>
            </w:r>
          </w:p>
        </w:tc>
        <w:tc>
          <w:tcPr>
            <w:tcW w:w="1540" w:type="dxa"/>
            <w:vAlign w:val="bottom"/>
          </w:tcPr>
          <w:p>
            <w:pPr>
              <w:jc w:val="center"/>
              <w:ind w:right="55"/>
              <w:spacing w:after="0" w:line="201" w:lineRule="exact"/>
              <w:rPr>
                <w:sz w:val="20"/>
                <w:szCs w:val="20"/>
                <w:color w:val="auto"/>
              </w:rPr>
            </w:pPr>
            <w:r>
              <w:rPr>
                <w:rFonts w:ascii="Arial" w:cs="Arial" w:eastAsia="Arial" w:hAnsi="Arial"/>
                <w:sz w:val="18"/>
                <w:szCs w:val="18"/>
                <w:color w:val="auto"/>
                <w:w w:val="92"/>
              </w:rPr>
              <w:t>Appraisal of</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0"/>
              </w:rPr>
              <w:t>Appraisal adjustments</w:t>
            </w:r>
          </w:p>
        </w:tc>
        <w:tc>
          <w:tcPr>
            <w:tcW w:w="29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-4.3% to -100.0% (-30.9)%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jc w:val="center"/>
              <w:ind w:right="55"/>
              <w:spacing w:after="0"/>
              <w:rPr>
                <w:sz w:val="20"/>
                <w:szCs w:val="20"/>
                <w:color w:val="auto"/>
              </w:rPr>
            </w:pPr>
            <w:r>
              <w:rPr>
                <w:rFonts w:ascii="Arial" w:cs="Arial" w:eastAsia="Arial" w:hAnsi="Arial"/>
                <w:sz w:val="18"/>
                <w:szCs w:val="18"/>
                <w:color w:val="auto"/>
                <w:w w:val="94"/>
              </w:rPr>
              <w:t>collateral</w:t>
            </w:r>
          </w:p>
        </w:tc>
        <w:tc>
          <w:tcPr>
            <w:tcW w:w="2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7"/>
              <w:spacing w:after="0" w:line="201"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right="55"/>
              <w:spacing w:after="0" w:line="201" w:lineRule="exact"/>
              <w:rPr>
                <w:sz w:val="20"/>
                <w:szCs w:val="20"/>
                <w:color w:val="auto"/>
              </w:rPr>
            </w:pPr>
            <w:r>
              <w:rPr>
                <w:rFonts w:ascii="Arial" w:cs="Arial" w:eastAsia="Arial" w:hAnsi="Arial"/>
                <w:sz w:val="18"/>
                <w:szCs w:val="18"/>
                <w:color w:val="auto"/>
                <w:w w:val="92"/>
              </w:rPr>
              <w:t>Appraisal of</w:t>
            </w:r>
          </w:p>
        </w:tc>
        <w:tc>
          <w:tcPr>
            <w:tcW w:w="2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Appraisal adjustments</w:t>
            </w:r>
          </w:p>
        </w:tc>
        <w:tc>
          <w:tcPr>
            <w:tcW w:w="2800" w:type="dxa"/>
            <w:vAlign w:val="bottom"/>
            <w:shd w:val="clear" w:color="auto" w:fill="CCEEFF"/>
          </w:tcPr>
          <w:p>
            <w:pPr>
              <w:jc w:val="center"/>
              <w:ind w:left="77"/>
              <w:spacing w:after="0" w:line="201" w:lineRule="exact"/>
              <w:rPr>
                <w:sz w:val="20"/>
                <w:szCs w:val="20"/>
                <w:color w:val="auto"/>
              </w:rPr>
            </w:pPr>
            <w:r>
              <w:rPr>
                <w:rFonts w:ascii="Arial" w:cs="Arial" w:eastAsia="Arial" w:hAnsi="Arial"/>
                <w:sz w:val="18"/>
                <w:szCs w:val="18"/>
                <w:color w:val="auto"/>
                <w:w w:val="92"/>
              </w:rPr>
              <w:t>-100.0% (-100.0)%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4"/>
              </w:rPr>
              <w:t>collateral</w:t>
            </w:r>
          </w:p>
        </w:tc>
        <w:tc>
          <w:tcPr>
            <w:tcW w:w="25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FASB ASC Topic 825 requires disclosure of the fair value of financial assets and financial liabilities, including those financial assets and financial liabilities that are not measured and reported at fair value on a recurring basis or non-recurring basis. The methodologies for estimating the fair value of financial assets and financial liabilities that are measured at fair value on a recurring or non-recurring basis are discussed above. The carrying value for cash and due from banks and federal funds sold approximates fair value and due to the short-term maturity is classified as level 1. The carrying value approximates fair value for accrued interest receivable and is classified as level 2. The methodologies for other financial assets and financial liabilities are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held to maturity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Fair value measurements for securities held to maturity are from an independent pricing service. The independent pricing service evaluations are based on market data. Securities held to maturity are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portfolio loans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performing portfolio loans consist of variable rate, hybrid rate and fixed rate loans. For variable rate loans that reprice frequently with no significant change in credit risk, fair values are based on carrying amount. The fair value of hybrid rate and fixed rate loans are estimated by discounting the future cash flows using the current rates at which similar loans would be made to borrowers with similar credit ratings and for the same remaining maturities and are classified as level 3. Fair value of impaired loans is discussed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mortgage servicing rights is estimated by discounting the future cash flows and classified as level 3 in the ASC 820 fair value hierarchy.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 and securities sold under agreements to repurchase</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fair value of demand deposits, savings accounts, interest-bearing transaction accounts, and certain money market deposits is defined as the amount payable on demand at the reporting date. The fair value of fixed-maturity certificates of deposit is estimated using a discounted cash flow calculation that</w:t>
      </w:r>
    </w:p>
    <w:p>
      <w:pPr>
        <w:sectPr>
          <w:pgSz w:w="11900" w:h="16838" w:orient="portrait"/>
          <w:cols w:equalWidth="0" w:num="1">
            <w:col w:w="11420"/>
          </w:cols>
          <w:pgMar w:left="240" w:top="341" w:right="239" w:bottom="0" w:gutter="0" w:footer="0" w:header="0"/>
        </w:sectPr>
      </w:pPr>
    </w:p>
    <w:bookmarkStart w:id="80" w:name="page81"/>
    <w:bookmarkEnd w:id="80"/>
    <w:p>
      <w:pPr>
        <w:spacing w:after="0" w:line="342" w:lineRule="auto"/>
        <w:rPr>
          <w:sz w:val="20"/>
          <w:szCs w:val="20"/>
          <w:color w:val="auto"/>
        </w:rPr>
      </w:pPr>
      <w:r>
        <w:rPr>
          <w:rFonts w:ascii="Arial" w:cs="Arial" w:eastAsia="Arial" w:hAnsi="Arial"/>
          <w:sz w:val="16"/>
          <w:szCs w:val="16"/>
          <w:color w:val="auto"/>
        </w:rPr>
        <w:t>applies interest rates currently offered for deposits of similar remaining maturities. The carrying amounts reported in the balance sheet for securities sold under agreements to repurchase approximate those liabilities’ fair values. Deposits and securities sold under agreements to repurchase are classified as level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fair value of short-term borrowings, which includes advances from the FHLB, is determined by discounting the future cash flows of existing advances using rates currently available on advances from the FHLB having similar characteristics and is classified as level 2 in the ASC 820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Rates currently available to the Company for debt with similar terms and remaining maturities are used to estimate fair value of existing debt and are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Junior subordinated debt owed to unconsolidated trusts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variable rate instruments, fair values are based on carrying values and are classified as level 2.</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2016</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jc w:val="center"/>
              <w:ind w:right="37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Level 1 inputs: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166,097</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319,280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Federal funds sold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47,820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47,683</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49,832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15,562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15,562</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12,122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Net portfolio loans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3,831,105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3,841,760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2,580,252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2,583,458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Level 2 inputs: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4,374,298</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4,368,891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189,157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189,157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70,868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(2)Effective January 1, 2016, measured at fair value on a recurring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Other assets and liabilities of the Company that are not defined as financial instruments are not included in the above disclosures, such as property and equipment. Also, nonfinancial instruments typically not recognized in financial statements nevertheless may have value but are not included in the above disclosures. These include, among other items, the estimated earning potential of core deposit accounts, the earnings potential of loan servicing rights, the earnings potential of the trust operations, customer goodwill and similar items.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Liability for Loans Sold</w:t>
      </w:r>
    </w:p>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(collectively “repurchase”)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7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balance sheet. Loans repurchased with deteriorated credit quality at the date of repurchase are accounted for under ASC Topic 310-30.</w:t>
      </w:r>
    </w:p>
    <w:p>
      <w:pPr>
        <w:sectPr>
          <w:pgSz w:w="11900" w:h="16838" w:orient="portrait"/>
          <w:cols w:equalWidth="0" w:num="1">
            <w:col w:w="11420"/>
          </w:cols>
          <w:pgMar w:left="240" w:top="125" w:right="239" w:bottom="0" w:gutter="0" w:footer="0" w:header="0"/>
        </w:sectPr>
      </w:pPr>
    </w:p>
    <w:bookmarkStart w:id="81" w:name="page82"/>
    <w:bookmarkEnd w:id="81"/>
    <w:p>
      <w:pPr>
        <w:spacing w:after="0" w:line="5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liability for loans sold of $2.2 million at December 31, 2016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Operating Segments and Related Information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branch network in downstate Illinois, St. Louis, Missouri metropolitan area, southwest Florida and through its branch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 Effective for the year ended December 31, 2015, the Company realigned its operating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The Company accounts for intersegment revenue and transfers at current market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Goodwill</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Total Assets</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Banking</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5,369,669</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8,992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32,379</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(5,229)</w:t>
            </w:r>
          </w:p>
        </w:tc>
        <w:tc>
          <w:tcPr>
            <w:tcW w:w="3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Banking</w:t>
            </w:r>
          </w:p>
        </w:tc>
        <w:tc>
          <w:tcPr>
            <w:tcW w:w="3240" w:type="dxa"/>
            <w:vAlign w:val="bottom"/>
            <w:tcBorders>
              <w:top w:val="single" w:sz="8" w:color="CCEEFF"/>
            </w:tcBorders>
            <w:gridSpan w:val="4"/>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156,374</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112,712</w:t>
            </w: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102,410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net interest income</w:t>
            </w:r>
          </w:p>
        </w:tc>
        <w:tc>
          <w:tcPr>
            <w:tcW w:w="3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154,660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111,815</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101,576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41,816</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30,933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11,332</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3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rPr>
              <w:t>Banking</w:t>
            </w:r>
          </w:p>
        </w:tc>
        <w:tc>
          <w:tcPr>
            <w:tcW w:w="312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117,293</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86,672</w:t>
            </w: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82,167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16,003</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147,862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115,305</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75,347</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55,374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2,859</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(9,216)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(6,452)</w:t>
            </w:r>
          </w:p>
        </w:tc>
        <w:tc>
          <w:tcPr>
            <w:tcW w:w="3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800" w:type="dxa"/>
            <w:vAlign w:val="bottom"/>
            <w:tcBorders>
              <w:bottom w:val="single" w:sz="8" w:color="CCEEFF"/>
            </w:tcBorders>
            <w:gridSpan w:val="5"/>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Banking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48,691</w:t>
            </w:r>
          </w:p>
        </w:tc>
        <w:tc>
          <w:tcPr>
            <w:tcW w:w="80" w:type="dxa"/>
            <w:vAlign w:val="bottom"/>
          </w:tcPr>
          <w:p>
            <w:pPr>
              <w:spacing w:after="0"/>
              <w:rPr>
                <w:sz w:val="18"/>
                <w:szCs w:val="18"/>
                <w:color w:val="auto"/>
              </w:rPr>
            </w:pPr>
          </w:p>
        </w:tc>
        <w:tc>
          <w:tcPr>
            <w:tcW w:w="52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36,026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4,721</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6"/>
          </w:tcPr>
          <w:p>
            <w:pPr>
              <w:ind w:left="360"/>
              <w:spacing w:after="0"/>
              <w:rPr>
                <w:sz w:val="20"/>
                <w:szCs w:val="20"/>
                <w:color w:val="auto"/>
              </w:rPr>
            </w:pPr>
            <w:r>
              <w:rPr>
                <w:rFonts w:ascii="Arial" w:cs="Arial" w:eastAsia="Arial" w:hAnsi="Arial"/>
                <w:sz w:val="18"/>
                <w:szCs w:val="18"/>
                <w:color w:val="auto"/>
              </w:rPr>
              <w:t>Total net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39,006</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82" w:name="page83"/>
    <w:bookmarkEnd w:id="8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4368165</wp:posOffset>
            </wp:positionH>
            <wp:positionV relativeFrom="page">
              <wp:posOffset>88900</wp:posOffset>
            </wp:positionV>
            <wp:extent cx="29673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6735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Parent Company Only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data for First Busey Corporation is presented below.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due from subsidiary banks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27,507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602,197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381,992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Non-bank</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25,017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672,195</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434,977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debentures owed to unconsolidated trusts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70,868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594,314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373,186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jc w:val="center"/>
              <w:ind w:left="4690"/>
              <w:spacing w:after="0"/>
              <w:rPr>
                <w:sz w:val="20"/>
                <w:szCs w:val="20"/>
                <w:color w:val="auto"/>
              </w:rPr>
            </w:pPr>
            <w:r>
              <w:rPr>
                <w:rFonts w:ascii="Arial" w:cs="Arial" w:eastAsia="Arial" w:hAnsi="Arial"/>
                <w:sz w:val="18"/>
                <w:szCs w:val="18"/>
                <w:color w:val="auto"/>
                <w:w w:val="86"/>
              </w:rPr>
              <w:t>121</w:t>
            </w: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20" w:type="dxa"/>
            <w:vAlign w:val="bottom"/>
            <w:gridSpan w:val="2"/>
          </w:tcPr>
          <w:p>
            <w:pPr>
              <w:jc w:val="center"/>
              <w:ind w:left="2570"/>
              <w:spacing w:after="0"/>
              <w:rPr>
                <w:sz w:val="20"/>
                <w:szCs w:val="20"/>
                <w:color w:val="auto"/>
              </w:rPr>
            </w:pPr>
            <w:r>
              <w:rPr>
                <w:rFonts w:ascii="Arial" w:cs="Arial" w:eastAsia="Arial" w:hAnsi="Arial"/>
                <w:sz w:val="18"/>
                <w:szCs w:val="18"/>
                <w:color w:val="auto"/>
                <w:w w:val="94"/>
              </w:rPr>
              <w:t>STATEMENTS OF INCOME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4"/>
              </w:rPr>
              <w:t>Years Ended December 31,</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Dividends from subsidiaries: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Pulaski Bank before bank merger</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8,700</w:t>
            </w: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60"/>
              <w:spacing w:after="0"/>
              <w:rPr>
                <w:sz w:val="20"/>
                <w:szCs w:val="20"/>
                <w:color w:val="auto"/>
              </w:rPr>
            </w:pPr>
            <w:r>
              <w:rPr>
                <w:rFonts w:ascii="Arial" w:cs="Arial" w:eastAsia="Arial" w:hAnsi="Arial"/>
                <w:sz w:val="18"/>
                <w:szCs w:val="18"/>
                <w:color w:val="auto"/>
              </w:rPr>
              <w:t>Non-bank</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dividend income</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5,633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operating income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18,364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Salaries, wages and employee benefits</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8,879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7,658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Operating expense</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3,203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expense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14,881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ind w:left="540"/>
              <w:spacing w:after="0" w:line="198" w:lineRule="exact"/>
              <w:rPr>
                <w:sz w:val="20"/>
                <w:szCs w:val="20"/>
                <w:color w:val="auto"/>
              </w:rPr>
            </w:pPr>
            <w:r>
              <w:rPr>
                <w:rFonts w:ascii="Arial" w:cs="Arial" w:eastAsia="Arial" w:hAnsi="Arial"/>
                <w:sz w:val="18"/>
                <w:szCs w:val="18"/>
                <w:b w:val="1"/>
                <w:bCs w:val="1"/>
                <w:color w:val="auto"/>
                <w:w w:val="93"/>
              </w:rPr>
              <w:t>Income (loss) before income tax benefit and distributions (in excess of) less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than net income of subsidiaries</w:t>
            </w: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ind w:left="540"/>
              <w:spacing w:after="0" w:line="198" w:lineRule="exact"/>
              <w:rPr>
                <w:sz w:val="20"/>
                <w:szCs w:val="20"/>
                <w:color w:val="auto"/>
              </w:rPr>
            </w:pPr>
            <w:r>
              <w:rPr>
                <w:rFonts w:ascii="Arial" w:cs="Arial" w:eastAsia="Arial" w:hAnsi="Arial"/>
                <w:sz w:val="18"/>
                <w:szCs w:val="18"/>
                <w:b w:val="1"/>
                <w:bCs w:val="1"/>
                <w:color w:val="auto"/>
                <w:w w:val="98"/>
              </w:rPr>
              <w:t>Income (loss) before distributions less than (in excess of) net income of</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subsidiaries</w:t>
            </w: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4,550</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less than (in excess of) net income of subsidiaries: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41,980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37,878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Non-bank</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49,694</w:t>
            </w: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Borders>
              <w:top w:val="single" w:sz="8" w:color="CCEEFF"/>
              <w:bottom w:val="single" w:sz="8" w:color="CCEEFF"/>
            </w:tcBorders>
            <w:gridSpan w:val="2"/>
            <w:vMerge w:val="restart"/>
          </w:tcPr>
          <w:p>
            <w:pPr>
              <w:jc w:val="center"/>
              <w:ind w:left="4670"/>
              <w:spacing w:after="0"/>
              <w:rPr>
                <w:sz w:val="20"/>
                <w:szCs w:val="20"/>
                <w:color w:val="auto"/>
              </w:rPr>
            </w:pPr>
            <w:r>
              <w:rPr>
                <w:rFonts w:ascii="Arial" w:cs="Arial" w:eastAsia="Arial" w:hAnsi="Arial"/>
                <w:sz w:val="18"/>
                <w:szCs w:val="18"/>
                <w:color w:val="auto"/>
                <w:w w:val="86"/>
              </w:rPr>
              <w:t>122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continue"/>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-5252085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-5252085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60" w:orient="portrait"/>
          <w:cols w:equalWidth="0" w:num="1">
            <w:col w:w="11460"/>
          </w:cols>
          <w:pgMar w:left="240" w:top="355" w:right="199" w:bottom="0" w:gutter="0" w:footer="0" w:header="0"/>
        </w:sectPr>
      </w:pPr>
    </w:p>
    <w:bookmarkStart w:id="83" w:name="page84"/>
    <w:bookmarkEnd w:id="83"/>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49,694</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39,006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less than net income of subsidiaries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40"/>
              <w:spacing w:after="0"/>
              <w:rPr>
                <w:sz w:val="20"/>
                <w:szCs w:val="20"/>
                <w:color w:val="auto"/>
              </w:rPr>
            </w:pPr>
            <w:r>
              <w:rPr>
                <w:rFonts w:ascii="Arial" w:cs="Arial" w:eastAsia="Arial" w:hAnsi="Arial"/>
                <w:sz w:val="18"/>
                <w:szCs w:val="18"/>
                <w:color w:val="auto"/>
              </w:rPr>
              <w:t>Decrease (increase) in other assets</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other liabilities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securities classified available for sale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cash received (outlay) for business acquisition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(33,759)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charter amendment with subsidiary bank</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Redemption of SBLF preferred stock</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(72,664)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of shares surrendered upon vesting of restricted stock units to cover tax</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(22,748)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costs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Cash payment for fractional shares related to reverse stock split</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900"/>
              <w:spacing w:after="0"/>
              <w:rPr>
                <w:sz w:val="20"/>
                <w:szCs w:val="20"/>
                <w:color w:val="auto"/>
              </w:rPr>
            </w:pPr>
            <w:r>
              <w:rPr>
                <w:rFonts w:ascii="Arial" w:cs="Arial" w:eastAsia="Arial" w:hAnsi="Arial"/>
                <w:sz w:val="18"/>
                <w:szCs w:val="18"/>
                <w:b w:val="1"/>
                <w:bCs w:val="1"/>
                <w:color w:val="auto"/>
              </w:rPr>
              <w:t>Net increase (decrease) in cash and due from subsidiary banks</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(70,750)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ending of period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continue"/>
          </w:tcPr>
          <w:p>
            <w:pPr>
              <w:spacing w:after="0"/>
              <w:rPr>
                <w:sz w:val="24"/>
                <w:szCs w:val="24"/>
                <w:color w:val="auto"/>
              </w:rPr>
            </w:pPr>
          </w:p>
        </w:tc>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Unaudited Interim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reflects summarized unaudited quarterly data for the periods described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4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3,057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2,586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1,950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19,001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20,745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39,415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36,348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8,089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6,698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4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1,535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1,559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15,889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28,363</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27,950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28,445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30,547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Income before income taxes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16,551</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16,034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15,529</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11,588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5,868</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5,408</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5,593</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0.36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First Busey Corporation and State of Incorporation/Organization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Bank – Illinois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Wealth Management, Inc.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II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III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IV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Pulaski Financial Statutory Trust I – Connecticut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Pulaski Financial Statutory Trust II – Delaware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Indirect: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Trust Company, Inc. - Illinois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Capital Management, Inc.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IV,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IX,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Resources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FirsTech, Inc.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XVI,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XVII,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XVIII,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Priority Property Holdings, LLC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Pulaski Service Corporation - Missouri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333-167683, 333-145097 and 333-79217) on Forms S-8 and the Registration Statements (No. 333-199442, 333-158358 and 333-209066) on Forms S-3 of First Busey Corporation of our reports, dated February 28, 2017 relating to our audits of the Consolidated Financial Statements and internal control over financial reporting, which appear in this Annual Report on Form 10-K of First Busey Corporation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ind w:left="340" w:right="240" w:hanging="332"/>
        <w:spacing w:after="0" w:line="264" w:lineRule="auto"/>
        <w:tabs>
          <w:tab w:leader="none" w:pos="3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40" w:right="200" w:hanging="332"/>
        <w:spacing w:after="0" w:line="308" w:lineRule="auto"/>
        <w:tabs>
          <w:tab w:leader="none" w:pos="3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288"/>
        <w:spacing w:after="0" w:line="264" w:lineRule="auto"/>
        <w:tabs>
          <w:tab w:leader="none" w:pos="6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620" w:right="100" w:hanging="288"/>
        <w:spacing w:after="0" w:line="264"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440" w:hanging="288"/>
        <w:spacing w:after="0" w:line="342" w:lineRule="auto"/>
        <w:tabs>
          <w:tab w:leader="none" w:pos="62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jc w:val="both"/>
        <w:ind w:left="620" w:right="480" w:hanging="288"/>
        <w:spacing w:after="0" w:line="264"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ind w:left="340" w:right="240" w:hanging="332"/>
        <w:spacing w:after="0" w:line="264" w:lineRule="auto"/>
        <w:tabs>
          <w:tab w:leader="none" w:pos="3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40" w:right="200" w:hanging="332"/>
        <w:spacing w:after="0" w:line="308" w:lineRule="auto"/>
        <w:tabs>
          <w:tab w:leader="none" w:pos="3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60" w:right="400" w:hanging="328"/>
        <w:spacing w:after="0" w:line="342" w:lineRule="auto"/>
        <w:tabs>
          <w:tab w:leader="none" w:pos="66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jc w:val="both"/>
        <w:ind w:left="660" w:right="440" w:hanging="328"/>
        <w:spacing w:after="0" w:line="264" w:lineRule="auto"/>
        <w:tabs>
          <w:tab w:leader="none" w:pos="6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Annual Report of First Busey Corporation on Form 10-K for the year ended December 31, 2016,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Annual Report of First Busey Corporation on Form 10-K for the year ended December 31, 2016,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2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Roman"/>
      <w:start w:val="3"/>
    </w:lvl>
  </w:abstractNum>
  <w:abstractNum w:abstractNumId="6">
    <w:nsid w:val="1BEFD79F"/>
    <w:multiLevelType w:val="hybridMultilevel"/>
    <w:lvl w:ilvl="0">
      <w:lvlJc w:val="left"/>
      <w:lvlText w:val="(%1)"/>
      <w:numFmt w:val="lowerRoman"/>
      <w:start w:val="7"/>
    </w:lvl>
  </w:abstractNum>
  <w:abstractNum w:abstractNumId="7">
    <w:nsid w:val="41A7C4C9"/>
    <w:multiLevelType w:val="hybridMultilevel"/>
    <w:lvl w:ilvl="0">
      <w:lvlJc w:val="left"/>
      <w:lvlText w:val="(%1)"/>
      <w:numFmt w:val="lowerRoman"/>
      <w:start w:val="9"/>
    </w:lvl>
  </w:abstractNum>
  <w:abstractNum w:abstractNumId="8">
    <w:nsid w:val="6B68079A"/>
    <w:multiLevelType w:val="hybridMultilevel"/>
    <w:lvl w:ilvl="0">
      <w:lvlJc w:val="left"/>
      <w:lvlText w:val="(%1)"/>
      <w:numFmt w:val="lowerRoman"/>
      <w:start w:val="3"/>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Roman"/>
      <w:start w:val="3"/>
    </w:lvl>
  </w:abstractNum>
  <w:abstractNum w:abstractNumId="15">
    <w:nsid w:val="257130A3"/>
    <w:multiLevelType w:val="hybridMultilevel"/>
    <w:lvl w:ilvl="0">
      <w:lvlJc w:val="left"/>
      <w:lvlText w:val="(%1)"/>
      <w:numFmt w:val="lowerRoman"/>
      <w:start w:val="3"/>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2020-01-16T10:53:54Z</dcterms:created>
  <dcterms:modified xsi:type="dcterms:W3CDTF">2020-01-16T10:53:54Z</dcterms:modified>
</cp:coreProperties>
</file>