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25, 2022</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First Busey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78"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0-15950</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37-1078406</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720" w:space="720"/>
            <w:col w:w="3160"/>
          </w:cols>
          <w:pgMar w:left="320" w:top="778"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 University Ave.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Champaign, Illinois 61820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(217) 365-4544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78" w:right="339" w:bottom="1440" w:gutter="0" w:footer="0" w:header="0"/>
          <w:type w:val="continuous"/>
        </w:sectPr>
      </w:pPr>
    </w:p>
    <w:p>
      <w:pPr>
        <w:spacing w:after="0" w:line="23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1020" w:hanging="33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1020" w:hanging="33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1020" w:hanging="33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1020" w:hanging="33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060" w:type="dxa"/>
            <w:vAlign w:val="bottom"/>
            <w:tcBorders>
              <w:top w:val="single" w:sz="8" w:color="auto"/>
              <w:left w:val="single" w:sz="8" w:color="auto"/>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spacing w:after="0"/>
              <w:rPr>
                <w:sz w:val="18"/>
                <w:szCs w:val="18"/>
                <w:color w:val="auto"/>
              </w:rPr>
            </w:pPr>
          </w:p>
        </w:tc>
        <w:tc>
          <w:tcPr>
            <w:tcW w:w="4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61"/>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6"/>
        </w:trPr>
        <w:tc>
          <w:tcPr>
            <w:tcW w:w="40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Common Stock, $0.001 par value</w:t>
            </w:r>
          </w:p>
        </w:tc>
        <w:tc>
          <w:tcPr>
            <w:tcW w:w="26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BUSE</w:t>
            </w:r>
          </w:p>
        </w:tc>
        <w:tc>
          <w:tcPr>
            <w:tcW w:w="45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 230.405 of this chapter) or Rule 12b- 2 of the Securities Exchange Act of 1934 (§ 240.12b-2 of this chapter).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25, 2022, First Busey Corporation (the “Company”) issued a press release announcing the pricing of an underwritten public offering of $100.0 million aggregate principal amount of its 5.000% Fixed-to-Floating Rate Subordinated Notes due 2032 (the “Notes”). A copy of the press release is furnished herewith as Exhibit 99.1 and incorporated herein by reference.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information in Item 7.01 of this Current Report on Form 8-K and Exhibit 99.1 attached hereto is being “furnished” and will not, except to the extent required by applicable law or regulation, be deemed “filed” by the Company for purposes of Section 18 of the Securities Exchange Act of 1934, as amended (the “Exchange Act”), or otherwise subject to the liabilities of that section, nor will any of such information or exhibit be deemed incorporated by reference into any filing under the Securities Act of 1933, as amended, or the Exchange Act.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connection with the offer and sale of the Notes, the Company and Busey Bank (the “Bank”) entered into an Underwriting Agreement (the “Underwriting Agreement”) with Piper Sandler &amp; Co. and U.S. Bancorp Investments, Inc., as representatives of the several underwriters named therein, which contains customary representations and warranties by the Company and the Bank, and customary covenants and indemnification provisions. The foregoing description of the Underwriting Agreement is qualified in its entirety by reference to the complete terms and conditions of the Underwriting Agreement, a copy of which is filed herewith as Exhibit 1.1 and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1140" w:right="20" w:hanging="564"/>
        <w:spacing w:after="0" w:line="277" w:lineRule="auto"/>
        <w:tabs>
          <w:tab w:leader="none" w:pos="112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Underwriting Agreement, dated May 25, 2022, between the Company, the Bank and Piper Sandler &amp; Co. and U.S. Bancorp</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Investments, Inc.</w:t>
        </w:r>
      </w:hyperlink>
    </w:p>
    <w:p>
      <w:pPr>
        <w:spacing w:after="0" w:line="170" w:lineRule="exact"/>
        <w:rPr>
          <w:rFonts w:ascii="Arial" w:cs="Arial" w:eastAsia="Arial" w:hAnsi="Arial"/>
          <w:sz w:val="18"/>
          <w:szCs w:val="18"/>
          <w:u w:val="single" w:color="auto"/>
          <w:color w:val="0000EE"/>
        </w:rPr>
      </w:pPr>
    </w:p>
    <w:p>
      <w:pPr>
        <w:ind w:left="540"/>
        <w:spacing w:after="0"/>
        <w:tabs>
          <w:tab w:leader="none" w:pos="1120" w:val="left"/>
        </w:tabs>
        <w:rPr>
          <w:rFonts w:ascii="Arial" w:cs="Arial" w:eastAsia="Arial" w:hAnsi="Arial"/>
          <w:sz w:val="16"/>
          <w:szCs w:val="16"/>
          <w:u w:val="single" w:color="auto"/>
          <w:color w:val="0000EE"/>
        </w:rPr>
      </w:pPr>
      <w:hyperlink w:anchor="page52">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2">
        <w:r>
          <w:rPr>
            <w:rFonts w:ascii="Arial" w:cs="Arial" w:eastAsia="Arial" w:hAnsi="Arial"/>
            <w:sz w:val="16"/>
            <w:szCs w:val="16"/>
            <w:u w:val="single" w:color="auto"/>
            <w:color w:val="0000EE"/>
          </w:rPr>
          <w:t>Pricing Press Release dated May 25, 2022</w:t>
        </w:r>
      </w:hyperlink>
    </w:p>
    <w:p>
      <w:pPr>
        <w:spacing w:after="0" w:line="225" w:lineRule="exact"/>
        <w:rPr>
          <w:sz w:val="20"/>
          <w:szCs w:val="20"/>
          <w:color w:val="auto"/>
        </w:rPr>
      </w:pPr>
    </w:p>
    <w:p>
      <w:pPr>
        <w:ind w:left="5580" w:right="4320" w:hanging="5025"/>
        <w:spacing w:after="0" w:line="778"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May 27, 2022</w:t>
      </w:r>
      <w:r>
        <w:rPr>
          <w:sz w:val="20"/>
          <w:szCs w:val="20"/>
          <w:color w:val="auto"/>
        </w:rPr>
        <w:tab/>
      </w:r>
      <w:r>
        <w:rPr>
          <w:rFonts w:ascii="Arial" w:cs="Arial" w:eastAsia="Arial" w:hAnsi="Arial"/>
          <w:sz w:val="16"/>
          <w:szCs w:val="16"/>
          <w:b w:val="1"/>
          <w:bCs w:val="1"/>
          <w:color w:val="auto"/>
        </w:rPr>
        <w:t>First Busey Corporation</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Jeffrey D. Jones</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 Million Aggregate Principal Amount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 Fixed-to-Floating Rate Subordinated Notes due 2032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U.S. Bancorp Investments, Inc.</w:t>
      </w:r>
    </w:p>
    <w:p>
      <w:pPr>
        <w:spacing w:after="0" w:line="202" w:lineRule="auto"/>
        <w:rPr>
          <w:sz w:val="20"/>
          <w:szCs w:val="20"/>
          <w:color w:val="auto"/>
        </w:rPr>
      </w:pPr>
      <w:r>
        <w:rPr>
          <w:rFonts w:ascii="Arial" w:cs="Arial" w:eastAsia="Arial" w:hAnsi="Arial"/>
          <w:sz w:val="18"/>
          <w:szCs w:val="18"/>
          <w:color w:val="auto"/>
        </w:rPr>
        <w:t>214 N. Tryon St.,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First Busey Corporation,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proposes to issue and sell to the several underwriters named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(the “</w:t>
      </w:r>
      <w:r>
        <w:rPr>
          <w:rFonts w:ascii="Arial" w:cs="Arial" w:eastAsia="Arial" w:hAnsi="Arial"/>
          <w:sz w:val="17"/>
          <w:szCs w:val="17"/>
          <w:b w:val="1"/>
          <w:bCs w:val="1"/>
          <w:color w:val="auto"/>
        </w:rPr>
        <w:t>Underwriters</w:t>
      </w:r>
      <w:r>
        <w:rPr>
          <w:rFonts w:ascii="Arial" w:cs="Arial" w:eastAsia="Arial" w:hAnsi="Arial"/>
          <w:sz w:val="17"/>
          <w:szCs w:val="17"/>
          <w:color w:val="auto"/>
        </w:rPr>
        <w:t>” or “</w:t>
      </w:r>
      <w:r>
        <w:rPr>
          <w:rFonts w:ascii="Arial" w:cs="Arial" w:eastAsia="Arial" w:hAnsi="Arial"/>
          <w:sz w:val="17"/>
          <w:szCs w:val="17"/>
          <w:b w:val="1"/>
          <w:bCs w:val="1"/>
          <w:color w:val="auto"/>
        </w:rPr>
        <w:t>you</w:t>
      </w:r>
      <w:r>
        <w:rPr>
          <w:rFonts w:ascii="Arial" w:cs="Arial" w:eastAsia="Arial" w:hAnsi="Arial"/>
          <w:sz w:val="17"/>
          <w:szCs w:val="17"/>
          <w:color w:val="auto"/>
        </w:rPr>
        <w:t>”) $100.0 million aggregate principal amount of its 5.000% Fixed-to-Floating Rate Subordinated Notes due 2032 (the “</w:t>
      </w:r>
      <w:r>
        <w:rPr>
          <w:rFonts w:ascii="Arial" w:cs="Arial" w:eastAsia="Arial" w:hAnsi="Arial"/>
          <w:sz w:val="17"/>
          <w:szCs w:val="17"/>
          <w:b w:val="1"/>
          <w:bCs w:val="1"/>
          <w:color w:val="auto"/>
        </w:rPr>
        <w:t>Securities</w:t>
      </w:r>
      <w:r>
        <w:rPr>
          <w:rFonts w:ascii="Arial" w:cs="Arial" w:eastAsia="Arial" w:hAnsi="Arial"/>
          <w:sz w:val="17"/>
          <w:szCs w:val="17"/>
          <w:color w:val="auto"/>
        </w:rPr>
        <w:t>”). Piper Sandler &amp; Co. (“</w:t>
      </w:r>
      <w:r>
        <w:rPr>
          <w:rFonts w:ascii="Arial" w:cs="Arial" w:eastAsia="Arial" w:hAnsi="Arial"/>
          <w:sz w:val="17"/>
          <w:szCs w:val="17"/>
          <w:b w:val="1"/>
          <w:bCs w:val="1"/>
          <w:color w:val="auto"/>
        </w:rPr>
        <w:t>Piper</w:t>
      </w:r>
      <w:r>
        <w:rPr>
          <w:rFonts w:ascii="Arial" w:cs="Arial" w:eastAsia="Arial" w:hAnsi="Arial"/>
          <w:sz w:val="17"/>
          <w:szCs w:val="17"/>
          <w:color w:val="auto"/>
        </w:rPr>
        <w:t>”) and U.S. Bancorp Investments, Inc. (“</w:t>
      </w:r>
      <w:r>
        <w:rPr>
          <w:rFonts w:ascii="Arial" w:cs="Arial" w:eastAsia="Arial" w:hAnsi="Arial"/>
          <w:sz w:val="17"/>
          <w:szCs w:val="17"/>
          <w:b w:val="1"/>
          <w:bCs w:val="1"/>
          <w:color w:val="auto"/>
        </w:rPr>
        <w:t>U.S. Bancorp</w:t>
      </w:r>
      <w:r>
        <w:rPr>
          <w:rFonts w:ascii="Arial" w:cs="Arial" w:eastAsia="Arial" w:hAnsi="Arial"/>
          <w:sz w:val="17"/>
          <w:szCs w:val="17"/>
          <w:color w:val="auto"/>
        </w:rPr>
        <w:t>”) have agreed to act as representatives of the several Underwriters (in such capacity, each, a “</w:t>
      </w:r>
      <w:r>
        <w:rPr>
          <w:rFonts w:ascii="Arial" w:cs="Arial" w:eastAsia="Arial" w:hAnsi="Arial"/>
          <w:sz w:val="17"/>
          <w:szCs w:val="17"/>
          <w:b w:val="1"/>
          <w:bCs w:val="1"/>
          <w:color w:val="auto"/>
        </w:rPr>
        <w:t>Representative</w:t>
      </w:r>
      <w:r>
        <w:rPr>
          <w:rFonts w:ascii="Arial" w:cs="Arial" w:eastAsia="Arial" w:hAnsi="Arial"/>
          <w:sz w:val="17"/>
          <w:szCs w:val="17"/>
          <w:color w:val="auto"/>
        </w:rPr>
        <w:t>” and collectively, the “</w:t>
      </w:r>
      <w:r>
        <w:rPr>
          <w:rFonts w:ascii="Arial" w:cs="Arial" w:eastAsia="Arial" w:hAnsi="Arial"/>
          <w:sz w:val="17"/>
          <w:szCs w:val="17"/>
          <w:b w:val="1"/>
          <w:bCs w:val="1"/>
          <w:color w:val="auto"/>
        </w:rPr>
        <w:t>Representatives</w:t>
      </w:r>
      <w:r>
        <w:rPr>
          <w:rFonts w:ascii="Arial" w:cs="Arial" w:eastAsia="Arial" w:hAnsi="Arial"/>
          <w:sz w:val="17"/>
          <w:szCs w:val="17"/>
          <w:color w:val="auto"/>
        </w:rPr>
        <w:t>”) in connection with the offering and sale of the Securities. The Securities are to be issued pursuant to an Indenture between the Company, as issuer, and U.S. Bank Trust Company, National Association (as successor in interest to U.S. Bank National Association), as the trustee (the “</w:t>
      </w:r>
      <w:r>
        <w:rPr>
          <w:rFonts w:ascii="Arial" w:cs="Arial" w:eastAsia="Arial" w:hAnsi="Arial"/>
          <w:sz w:val="17"/>
          <w:szCs w:val="17"/>
          <w:b w:val="1"/>
          <w:bCs w:val="1"/>
          <w:color w:val="auto"/>
        </w:rPr>
        <w:t>Trustee</w:t>
      </w:r>
      <w:r>
        <w:rPr>
          <w:rFonts w:ascii="Arial" w:cs="Arial" w:eastAsia="Arial" w:hAnsi="Arial"/>
          <w:sz w:val="17"/>
          <w:szCs w:val="17"/>
          <w:color w:val="auto"/>
        </w:rPr>
        <w:t>”), dated as of May 25, 2017 (“</w:t>
      </w:r>
      <w:r>
        <w:rPr>
          <w:rFonts w:ascii="Arial" w:cs="Arial" w:eastAsia="Arial" w:hAnsi="Arial"/>
          <w:sz w:val="17"/>
          <w:szCs w:val="17"/>
          <w:b w:val="1"/>
          <w:bCs w:val="1"/>
          <w:color w:val="auto"/>
        </w:rPr>
        <w:t>Base Indenture</w:t>
      </w:r>
      <w:r>
        <w:rPr>
          <w:rFonts w:ascii="Arial" w:cs="Arial" w:eastAsia="Arial" w:hAnsi="Arial"/>
          <w:sz w:val="17"/>
          <w:szCs w:val="17"/>
          <w:color w:val="auto"/>
        </w:rPr>
        <w:t>”), as amended and supplemented by a fourth supplemental indenture between the Company and the Trustee, dated as of June 2, 2022 (“</w:t>
      </w:r>
      <w:r>
        <w:rPr>
          <w:rFonts w:ascii="Arial" w:cs="Arial" w:eastAsia="Arial" w:hAnsi="Arial"/>
          <w:sz w:val="17"/>
          <w:szCs w:val="17"/>
          <w:b w:val="1"/>
          <w:bCs w:val="1"/>
          <w:color w:val="auto"/>
        </w:rPr>
        <w:t>Fourth 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firstLine="648"/>
        <w:spacing w:after="0" w:line="285" w:lineRule="auto"/>
        <w:rPr>
          <w:sz w:val="20"/>
          <w:szCs w:val="20"/>
          <w:color w:val="auto"/>
        </w:rPr>
      </w:pPr>
      <w:r>
        <w:rPr>
          <w:rFonts w:ascii="Arial" w:cs="Arial" w:eastAsia="Arial" w:hAnsi="Arial"/>
          <w:sz w:val="16"/>
          <w:szCs w:val="16"/>
          <w:color w:val="auto"/>
        </w:rPr>
        <w:t>The Company has prepared and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shelf registration statement on Form S-3 (File No. 333-249028), including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to be used in connection with the public offering and sale of the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all documents incorporated or deemed to be incorporated by reference therein and any information deemed to be a part thereof at the time of effectiveness pursuant to Rule 430B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preliminary prospectus supplement, dated May 25, 2022, describing the Securities and the offering thereof (the “</w:t>
      </w:r>
      <w:r>
        <w:rPr>
          <w:rFonts w:ascii="Arial" w:cs="Arial" w:eastAsia="Arial" w:hAnsi="Arial"/>
          <w:sz w:val="16"/>
          <w:szCs w:val="16"/>
          <w:b w:val="1"/>
          <w:bCs w:val="1"/>
          <w:color w:val="auto"/>
        </w:rPr>
        <w:t>Preliminary Prospectus Supplement</w:t>
      </w:r>
      <w:r>
        <w:rPr>
          <w:rFonts w:ascii="Arial" w:cs="Arial" w:eastAsia="Arial" w:hAnsi="Arial"/>
          <w:sz w:val="16"/>
          <w:szCs w:val="16"/>
          <w:color w:val="auto"/>
        </w:rPr>
        <w:t>”), together with the Base Prospectus, is called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and the Preliminary Prospectus and any other prospectus supplement to the Base Prospectus in preliminary form that describes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offering thereof and is used prior to the filing of the Prospectus (as defined below), together with the Base Prospectus, is called a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As used herein,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mean the final prospectus supplement to the Base Prospectus that describes the Securities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thereof (the “</w:t>
      </w:r>
      <w:r>
        <w:rPr>
          <w:rFonts w:ascii="Arial" w:cs="Arial" w:eastAsia="Arial" w:hAnsi="Arial"/>
          <w:sz w:val="16"/>
          <w:szCs w:val="16"/>
          <w:b w:val="1"/>
          <w:bCs w:val="1"/>
          <w:color w:val="auto"/>
        </w:rPr>
        <w:t>Final Prospectus Supplement</w:t>
      </w:r>
      <w:r>
        <w:rPr>
          <w:rFonts w:ascii="Arial" w:cs="Arial" w:eastAsia="Arial" w:hAnsi="Arial"/>
          <w:sz w:val="16"/>
          <w:szCs w:val="16"/>
          <w:color w:val="auto"/>
        </w:rPr>
        <w:t>”), together with the Base Prospectus, in the form first used by the Underwriters to confirm sales of the Securities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is 4:30 p.m. (New York City time) on May 25, 2022. As used herein,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xml:space="preserve">” means the Preliminary Prospectus, as amended or supplemented immediately prior to the Applicable Time, together with the free writing prospectuses, if any, and other documents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means a “road show” (as defined in Rule 433 under the Securities Act) relating to the offering of the Securities contemplated hereby that is a “written communication” (as defined in Rule 405 under the Securities Act). This Agreement, the Indenture and the Securities are collectively referred to herein as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and the transactions contemplated hereby and thereby are collectively referred to herein as the “</w:t>
      </w:r>
      <w:r>
        <w:rPr>
          <w:rFonts w:ascii="Arial" w:cs="Arial" w:eastAsia="Arial" w:hAnsi="Arial"/>
          <w:sz w:val="16"/>
          <w:szCs w:val="16"/>
          <w:b w:val="1"/>
          <w:bCs w:val="1"/>
          <w:color w:val="auto"/>
        </w:rPr>
        <w:t>Transactions</w:t>
      </w:r>
      <w:r>
        <w:rPr>
          <w:rFonts w:ascii="Arial" w:cs="Arial" w:eastAsia="Arial" w:hAnsi="Arial"/>
          <w:sz w:val="16"/>
          <w:szCs w:val="16"/>
          <w:color w:val="auto"/>
        </w:rPr>
        <w:t>.”</w:t>
      </w:r>
    </w:p>
    <w:p>
      <w:pPr>
        <w:spacing w:after="0" w:line="3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Arial" w:cs="Arial" w:eastAsia="Arial" w:hAnsi="Arial"/>
          <w:sz w:val="17"/>
          <w:szCs w:val="17"/>
          <w:b w:val="1"/>
          <w:bCs w:val="1"/>
          <w:color w:val="auto"/>
        </w:rPr>
        <w:t>Exchange Act</w:t>
      </w:r>
      <w:r>
        <w:rPr>
          <w:rFonts w:ascii="Arial" w:cs="Arial" w:eastAsia="Arial" w:hAnsi="Arial"/>
          <w:sz w:val="17"/>
          <w:szCs w:val="17"/>
          <w:color w:val="auto"/>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and (ii) the Prospectus shall be deemed to include any “</w:t>
      </w:r>
      <w:r>
        <w:rPr>
          <w:rFonts w:ascii="Arial" w:cs="Arial" w:eastAsia="Arial" w:hAnsi="Arial"/>
          <w:sz w:val="17"/>
          <w:szCs w:val="17"/>
          <w:b w:val="1"/>
          <w:bCs w:val="1"/>
          <w:color w:val="auto"/>
        </w:rPr>
        <w:t>electronic Prospectus</w:t>
      </w:r>
      <w:r>
        <w:rPr>
          <w:rFonts w:ascii="Arial" w:cs="Arial" w:eastAsia="Arial" w:hAnsi="Arial"/>
          <w:sz w:val="17"/>
          <w:szCs w:val="17"/>
          <w:color w:val="auto"/>
        </w:rPr>
        <w:t>” provided for use in connection with the offering of the Securities as contemplated by Section 4(l) of this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7"/>
          <w:szCs w:val="17"/>
          <w:color w:val="auto"/>
        </w:rPr>
        <w:t>The Company and Busey Bank (the “</w:t>
      </w:r>
      <w:r>
        <w:rPr>
          <w:rFonts w:ascii="Arial" w:cs="Arial" w:eastAsia="Arial" w:hAnsi="Arial"/>
          <w:sz w:val="17"/>
          <w:szCs w:val="17"/>
          <w:b w:val="1"/>
          <w:bCs w:val="1"/>
          <w:color w:val="auto"/>
        </w:rPr>
        <w:t>Principal Banking Subsidiary</w:t>
      </w:r>
      <w:r>
        <w:rPr>
          <w:rFonts w:ascii="Arial" w:cs="Arial" w:eastAsia="Arial" w:hAnsi="Arial"/>
          <w:sz w:val="17"/>
          <w:szCs w:val="17"/>
          <w:color w:val="auto"/>
        </w:rPr>
        <w:t>”) hereby confirm their agreements with the Underwriters as follows:</w:t>
      </w:r>
    </w:p>
    <w:p>
      <w:pPr>
        <w:spacing w:after="0" w:line="237"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Representations and Warranties of the Company.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hereby represents, warrants and covenants to each Underwriter, as of the date of this Agreement and as of the Closing Date (as hereinafter defined), as follows:</w:t>
      </w:r>
    </w:p>
    <w:p>
      <w:pPr>
        <w:spacing w:after="0" w:line="166" w:lineRule="exact"/>
        <w:rPr>
          <w:sz w:val="20"/>
          <w:szCs w:val="20"/>
          <w:color w:val="auto"/>
        </w:rPr>
      </w:pPr>
    </w:p>
    <w:p>
      <w:pPr>
        <w:jc w:val="both"/>
        <w:ind w:left="660" w:firstLine="644"/>
        <w:spacing w:after="0" w:line="283" w:lineRule="auto"/>
        <w:tabs>
          <w:tab w:leader="none" w:pos="176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Registration Requirements</w:t>
      </w:r>
      <w:r>
        <w:rPr>
          <w:rFonts w:ascii="Arial" w:cs="Arial" w:eastAsia="Arial" w:hAnsi="Arial"/>
          <w:sz w:val="16"/>
          <w:szCs w:val="16"/>
          <w:color w:val="auto"/>
        </w:rPr>
        <w:t>. The Registration Statement has become effective under the Securities Act.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At the time the Company’s Annual Report on Form 10-K for the year ended December 31, 2021 (the “</w:t>
      </w:r>
      <w:r>
        <w:rPr>
          <w:rFonts w:ascii="Arial" w:cs="Arial" w:eastAsia="Arial" w:hAnsi="Arial"/>
          <w:sz w:val="16"/>
          <w:szCs w:val="16"/>
          <w:b w:val="1"/>
          <w:bCs w:val="1"/>
          <w:color w:val="auto"/>
        </w:rPr>
        <w:t>Annual Report</w:t>
      </w:r>
      <w:r>
        <w:rPr>
          <w:rFonts w:ascii="Arial" w:cs="Arial" w:eastAsia="Arial" w:hAnsi="Arial"/>
          <w:sz w:val="16"/>
          <w:szCs w:val="16"/>
          <w:color w:val="auto"/>
        </w:rPr>
        <w:t>”) was filed with the Commission, or, if later, at the time the Registration Statement was originally filed with the Commission, as well as at the time the Company or any person acting on its behalf (within the meaning, for this clause only, of Rule 163(c) under the Securities Act) made any offer relating to the Securities in reliance on the exemption of Rule 163 under the Securities Act, the Company was a “</w:t>
      </w:r>
      <w:r>
        <w:rPr>
          <w:rFonts w:ascii="Arial" w:cs="Arial" w:eastAsia="Arial" w:hAnsi="Arial"/>
          <w:sz w:val="16"/>
          <w:szCs w:val="16"/>
          <w:b w:val="1"/>
          <w:bCs w:val="1"/>
          <w:color w:val="auto"/>
        </w:rPr>
        <w:t>well-known seasoned issuer</w:t>
      </w:r>
      <w:r>
        <w:rPr>
          <w:rFonts w:ascii="Arial" w:cs="Arial" w:eastAsia="Arial" w:hAnsi="Arial"/>
          <w:sz w:val="16"/>
          <w:szCs w:val="16"/>
          <w:color w:val="auto"/>
        </w:rPr>
        <w:t>” as defined in Rule 405 under the Securities Act. The Registration Statement is an “</w:t>
      </w:r>
      <w:r>
        <w:rPr>
          <w:rFonts w:ascii="Arial" w:cs="Arial" w:eastAsia="Arial" w:hAnsi="Arial"/>
          <w:sz w:val="16"/>
          <w:szCs w:val="16"/>
          <w:b w:val="1"/>
          <w:bCs w:val="1"/>
          <w:color w:val="auto"/>
        </w:rPr>
        <w:t>automatic shelf registration statement</w:t>
      </w:r>
      <w:r>
        <w:rPr>
          <w:rFonts w:ascii="Arial" w:cs="Arial" w:eastAsia="Arial" w:hAnsi="Arial"/>
          <w:sz w:val="16"/>
          <w:szCs w:val="16"/>
          <w:color w:val="auto"/>
        </w:rPr>
        <w:t>,” as defined in Rule 405 under the Securities Act, and became effective upon the filing thereof under the Securities Act on September 24, 2020. The Company has not received from the Commission any notice pursuant to Rule 401(g)(2) under the Securities Act objecting to the Company’s use of the automatic shelf registration form. The Company meets the requirements for use of Form S-3 under the Securities Act specified in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Conduct Rule 5110(b)</w:t>
      </w:r>
    </w:p>
    <w:p>
      <w:pPr>
        <w:spacing w:after="0" w:line="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(7)(C)(i).</w:t>
      </w:r>
    </w:p>
    <w:p>
      <w:pPr>
        <w:spacing w:after="0" w:line="206" w:lineRule="exact"/>
        <w:rPr>
          <w:rFonts w:ascii="Arial" w:cs="Arial" w:eastAsia="Arial" w:hAnsi="Arial"/>
          <w:sz w:val="16"/>
          <w:szCs w:val="16"/>
          <w:b w:val="1"/>
          <w:bCs w:val="1"/>
          <w:color w:val="auto"/>
        </w:rPr>
      </w:pPr>
    </w:p>
    <w:p>
      <w:pPr>
        <w:jc w:val="both"/>
        <w:ind w:left="660" w:firstLine="644"/>
        <w:spacing w:after="0" w:line="269" w:lineRule="auto"/>
        <w:tabs>
          <w:tab w:leader="none" w:pos="1775"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w:t>
      </w:r>
      <w:r>
        <w:rPr>
          <w:rFonts w:ascii="Arial" w:cs="Arial" w:eastAsia="Arial" w:hAnsi="Arial"/>
          <w:sz w:val="17"/>
          <w:szCs w:val="17"/>
          <w:color w:val="auto"/>
        </w:rPr>
        <w:t>. Each preliminary prospectus and the Prospectus when filed complied in all material respects with the Securities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was identical (except as may be permitted by Regulation S-T under the Securities Act) to the copy thereof delivered to the Underwriters for use in connection with the offer and sale of the Securities. The documents incorporated by reference in the Registration Statement, the Time of Sale Prospectus or the Prospectus, when they were filed with the Commission, as of the date hereof and on the Closing Date, conformed and will conform in all material respects to the requirements of the Exchange Act. Each of the Registration Statement and any post-effective amendment thereto, at the time it became or becomes effective, complied and will comply in all material respects with the Securities Act and the Trust Indenture Act of 1939, as amended, and the rules and regulations of the Commission thereunder (collectively, the “</w:t>
      </w:r>
      <w:r>
        <w:rPr>
          <w:rFonts w:ascii="Arial" w:cs="Arial" w:eastAsia="Arial" w:hAnsi="Arial"/>
          <w:sz w:val="17"/>
          <w:szCs w:val="17"/>
          <w:b w:val="1"/>
          <w:bCs w:val="1"/>
          <w:color w:val="auto"/>
        </w:rPr>
        <w:t>Trust Indenture Act</w:t>
      </w:r>
      <w:r>
        <w:rPr>
          <w:rFonts w:ascii="Arial" w:cs="Arial" w:eastAsia="Arial" w:hAnsi="Arial"/>
          <w:sz w:val="17"/>
          <w:szCs w:val="17"/>
          <w:color w:val="auto"/>
        </w:rPr>
        <w:t>”) and did not and will not contain any untrue statement of a material fact or omit to state a material fact required to be stated therein or necessary to make the statements therein not misleading. As of the Applicable Time, the Time of Sale Prospectus did not, and at the Closing Date, will not, contain any untrue statement of a material fact or omit to state a material fact necessary to make the statements therein, in the light of the circumstances under which they were made, not misleading.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90" w:lineRule="auto"/>
        <w:rPr>
          <w:sz w:val="20"/>
          <w:szCs w:val="20"/>
          <w:color w:val="auto"/>
        </w:rPr>
      </w:pPr>
      <w:r>
        <w:rPr>
          <w:rFonts w:ascii="Arial" w:cs="Arial" w:eastAsia="Arial" w:hAnsi="Arial"/>
          <w:sz w:val="16"/>
          <w:szCs w:val="16"/>
          <w:color w:val="auto"/>
        </w:rPr>
        <w:t>The Prospectus, as of its date, did not, and at the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Underwriters expressly for use therein, it being understood and agreed that such information consists only of the information described in Section 10(b) below. There are no contracts, off-balance sheet transactions or other documents required to be described in the Time of Sale Prospectus or the Prospectus or to be filed as an exhibit to the Registration Statement which have not been described or filed as required.</w:t>
      </w:r>
    </w:p>
    <w:p>
      <w:pPr>
        <w:spacing w:after="0" w:line="161" w:lineRule="exact"/>
        <w:rPr>
          <w:sz w:val="20"/>
          <w:szCs w:val="20"/>
          <w:color w:val="auto"/>
        </w:rPr>
      </w:pPr>
    </w:p>
    <w:p>
      <w:pPr>
        <w:jc w:val="both"/>
        <w:ind w:firstLine="644"/>
        <w:spacing w:after="0" w:line="286" w:lineRule="auto"/>
        <w:tabs>
          <w:tab w:leader="none" w:pos="109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Free Writing Prospectuses; Road Show</w:t>
      </w:r>
      <w:r>
        <w:rPr>
          <w:rFonts w:ascii="Arial" w:cs="Arial" w:eastAsia="Arial" w:hAnsi="Arial"/>
          <w:sz w:val="16"/>
          <w:szCs w:val="16"/>
          <w:color w:val="auto"/>
        </w:rPr>
        <w:t>. As of the determination date referenced in Rule 164(h) under the Securities Act,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was not, is not or will not be (as applicable) an “ineligible issuer” in connection with the offering of the Securities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Securities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and other documents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70" w:lineRule="exact"/>
        <w:rPr>
          <w:rFonts w:ascii="Arial" w:cs="Arial" w:eastAsia="Arial" w:hAnsi="Arial"/>
          <w:sz w:val="16"/>
          <w:szCs w:val="16"/>
          <w:b w:val="1"/>
          <w:bCs w:val="1"/>
          <w:color w:val="auto"/>
        </w:rPr>
      </w:pPr>
    </w:p>
    <w:p>
      <w:pPr>
        <w:jc w:val="both"/>
        <w:ind w:firstLine="644"/>
        <w:spacing w:after="0" w:line="261" w:lineRule="auto"/>
        <w:tabs>
          <w:tab w:leader="none" w:pos="11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Offering Material by the Company</w:t>
      </w:r>
      <w:r>
        <w:rPr>
          <w:rFonts w:ascii="Arial" w:cs="Arial" w:eastAsia="Arial" w:hAnsi="Arial"/>
          <w:sz w:val="18"/>
          <w:szCs w:val="18"/>
          <w:color w:val="auto"/>
        </w:rPr>
        <w:t>. Prior to the completion of the Underwriters’ distribution of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has not distributed and will not distribute any offering material in connection with the offering and sale of the Securities other than the Registration Statement, the Time of Sale Prospectus, the Prospectus or any free writing prospectus reviewed and consented to by the Representatives, if any, and other documents identified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 w:name="page8"/>
    <w:bookmarkEnd w:id="7"/>
    <w:p>
      <w:pPr>
        <w:jc w:val="both"/>
        <w:ind w:left="-460" w:firstLine="644"/>
        <w:spacing w:after="0" w:line="255" w:lineRule="auto"/>
        <w:tabs>
          <w:tab w:leader="none" w:pos="63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Underwriting Agreement</w:t>
      </w:r>
      <w:r>
        <w:rPr>
          <w:rFonts w:ascii="Arial" w:cs="Arial" w:eastAsia="Arial" w:hAnsi="Arial"/>
          <w:sz w:val="18"/>
          <w:szCs w:val="18"/>
          <w:color w:val="auto"/>
        </w:rPr>
        <w:t>. This Agreement has been duly authorized, executed and delivered by the Company and when duly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the Representatives on behalf of the Underwriters, will constitute the valid and legally binding agreement of the Company, enforceable in accordance with its terms, subject to applicable bankruptcy, insolvency, fraudulent transfer, reorganization, moratorium and similar laws of general applicability relating to, or affecting, the rights of creditors of corporations or commercial banks, including laws relating to conservatorship and receivership of insured depository institutions, and to general equity principles, and except as rights to indemnity or contribution, including but not limited to, indemnification provisions set forth in this Agreement, may be limited by federal or state securities law or the public policy underlying such laws.</w:t>
      </w:r>
    </w:p>
    <w:p>
      <w:pPr>
        <w:spacing w:after="0" w:line="188" w:lineRule="exact"/>
        <w:rPr>
          <w:rFonts w:ascii="Arial" w:cs="Arial" w:eastAsia="Arial" w:hAnsi="Arial"/>
          <w:sz w:val="18"/>
          <w:szCs w:val="18"/>
          <w:b w:val="1"/>
          <w:bCs w:val="1"/>
          <w:color w:val="auto"/>
        </w:rPr>
      </w:pPr>
    </w:p>
    <w:p>
      <w:pPr>
        <w:jc w:val="both"/>
        <w:ind w:left="-460" w:firstLine="644"/>
        <w:spacing w:after="0" w:line="268" w:lineRule="auto"/>
        <w:tabs>
          <w:tab w:leader="none" w:pos="638"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Authorization, Execution, and Delivery of the Securities and the Indenture</w:t>
      </w:r>
      <w:r>
        <w:rPr>
          <w:rFonts w:ascii="Arial" w:cs="Arial" w:eastAsia="Arial" w:hAnsi="Arial"/>
          <w:sz w:val="17"/>
          <w:szCs w:val="17"/>
          <w:color w:val="auto"/>
        </w:rPr>
        <w:t>. The Securities have been duly authorized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when duly completed, executed, authenticated, issued and delivered against payment of the consideration therefor in accordance with the provisions of the Indenture and this Agreement, will be duly and validly issued, fully paid and nonassessable and constitute the valid and legally binding obligations of the Company, enforceable in accordance with their terms, subject to applicable bankruptcy, insolvency, fraudulent transfer, reorganization, moratorium and similar laws of general applicability relating to, or affecting, the rights of creditors of corporations or commercial banks, including laws relating to conservatorship and receivership of insured depository institutions, and to general equity principles, rights of first refusal or other similar rights, and entitled to the benefits of the Indenture. The Securities and the Indenture conform in all material respects to the summary descriptions thereof in the Registration Statement, the Time of Sale Prospectus and the Prospectus and such summary descriptions conform to the rights set forth in and applicable to the instruments defining the same and the Indenture is qualified under, and will conform in all material respects to the requirements of, the Trust Indenture Act. The Indenture has been duly authorized, executed and delivered by the Company and constitute valid and legally binding obligations of the Company, enforceable in accordance with their terms, subject to applicable bankruptcy, insolvency, fraudulent transfer, reorganization, moratorium and similar laws of general applicability relating to, or affecting, the rights of creditors of corporations or commercial banks, including laws relating to conservatorship and receivership of insured depository institutions, and to general equity principles, rights of first refusal or other similar rights, and except as rights to indemnity or contribution may be limited by federal or state securities law or the public policy underlying such laws. The Indenture has been duly qualified under the Trust Indenture Act.</w:t>
      </w:r>
    </w:p>
    <w:p>
      <w:pPr>
        <w:spacing w:after="0" w:line="179" w:lineRule="exact"/>
        <w:rPr>
          <w:rFonts w:ascii="Arial" w:cs="Arial" w:eastAsia="Arial" w:hAnsi="Arial"/>
          <w:sz w:val="17"/>
          <w:szCs w:val="17"/>
          <w:b w:val="1"/>
          <w:bCs w:val="1"/>
          <w:color w:val="auto"/>
        </w:rPr>
      </w:pPr>
    </w:p>
    <w:p>
      <w:pPr>
        <w:ind w:left="-460" w:right="20" w:firstLine="644"/>
        <w:spacing w:after="0" w:line="312" w:lineRule="auto"/>
        <w:tabs>
          <w:tab w:leader="none" w:pos="64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No Applicable Registration or Other Similar Rights</w:t>
      </w:r>
      <w:r>
        <w:rPr>
          <w:rFonts w:ascii="Arial" w:cs="Arial" w:eastAsia="Arial" w:hAnsi="Arial"/>
          <w:sz w:val="17"/>
          <w:szCs w:val="17"/>
          <w:color w:val="auto"/>
        </w:rPr>
        <w:t>. There are no persons with registration or other similar rights to have any</w:t>
      </w:r>
      <w:r>
        <w:rPr>
          <w:rFonts w:ascii="Arial" w:cs="Arial" w:eastAsia="Arial" w:hAnsi="Arial"/>
          <w:sz w:val="17"/>
          <w:szCs w:val="17"/>
          <w:b w:val="1"/>
          <w:bCs w:val="1"/>
          <w:color w:val="auto"/>
        </w:rPr>
        <w:t xml:space="preserve"> </w:t>
      </w:r>
      <w:r>
        <w:rPr>
          <w:rFonts w:ascii="Arial" w:cs="Arial" w:eastAsia="Arial" w:hAnsi="Arial"/>
          <w:sz w:val="17"/>
          <w:szCs w:val="17"/>
          <w:color w:val="auto"/>
        </w:rPr>
        <w:t>equity or debt securities registered for sale under the Registration Statement or included in the offering contemplated by this Agreement.</w:t>
      </w:r>
    </w:p>
    <w:p>
      <w:pPr>
        <w:spacing w:after="0" w:line="139" w:lineRule="exact"/>
        <w:rPr>
          <w:rFonts w:ascii="Arial" w:cs="Arial" w:eastAsia="Arial" w:hAnsi="Arial"/>
          <w:sz w:val="17"/>
          <w:szCs w:val="17"/>
          <w:b w:val="1"/>
          <w:bCs w:val="1"/>
          <w:color w:val="auto"/>
        </w:rPr>
      </w:pPr>
    </w:p>
    <w:p>
      <w:pPr>
        <w:jc w:val="both"/>
        <w:ind w:left="-460" w:firstLine="644"/>
        <w:spacing w:after="0" w:line="258" w:lineRule="auto"/>
        <w:tabs>
          <w:tab w:leader="none" w:pos="65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Prohibition on Dividends. </w:t>
      </w:r>
      <w:r>
        <w:rPr>
          <w:rFonts w:ascii="Arial" w:cs="Arial" w:eastAsia="Arial" w:hAnsi="Arial"/>
          <w:sz w:val="18"/>
          <w:szCs w:val="18"/>
          <w:color w:val="auto"/>
        </w:rPr>
        <w:t>No subsidiary of the Company is currently prohibited, directly or indirectly, from paying any</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to the Company, from making any other distribution on such subsidiary’s capital stock or other ownership interests, from repaying to the Company any loans or advances to such subsidiary from the Company or from transferring any of such subsidiary’s property or assets to the Company or any other subsidiary of the Company, except as proscribed by applicable laws, rules and regulations, which are generally described in the Registration Statement, the Time of Sale Prospectus and the Prospectus.</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jc w:val="both"/>
        <w:ind w:left="-460" w:firstLine="644"/>
        <w:spacing w:after="0" w:line="286" w:lineRule="auto"/>
        <w:tabs>
          <w:tab w:leader="none" w:pos="628"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No Material Adverse Change</w:t>
      </w:r>
      <w:r>
        <w:rPr>
          <w:rFonts w:ascii="Arial" w:cs="Arial" w:eastAsia="Arial" w:hAnsi="Arial"/>
          <w:sz w:val="16"/>
          <w:szCs w:val="16"/>
          <w:color w:val="auto"/>
        </w:rPr>
        <w:t>. Except as otherwise disclosed in the Registration Statement, the Time of Sale Prospectus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subsequent to the respective dates as of which information is given in the Registration Statement, the Time of Sale Prospectus and the Prospectus: (i) there has been no material adverse change, or any development that would reasonably be expected to result in a material adverse change, in the condition, financial or otherwise, or in the earnings, business, properties, stockholders’ equity, consolidated results of operations, assets, liabilities or prospects, whether or not arising from transactions in the ordinary course of business, of the Company and its subsidiaries, considered as one entity (any such change being referred to herein as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xml:space="preserve">”); (ii) the Company and its subsidiaries, considered as one entity, have not incurred any material liability or obligation, indirect, direct or contingent including without limitation any losses or interference with its business from fire, explosion, flood, tornados, earthquakes, accident, natural disaster or other calamity, whether or not covered by insurance, or from any strike, labor dispute or court or governmental action, order or decree, that are material, individually or in the aggregate, to the Company and its subsidiaries, considered as one entity, or has entered into any material transactions not in the ordinary course of business; and (iii) there has not been any material decrease in the capital stock or any material increase in any long-term indebtedness of the Company or its subsidiaries and there has been no dividend or distribution of any kind declared, paid or made by the Company (other than regular quarterly cash dividends paid by the Company to its stockholders consistent with past practice) </w:t>
      </w:r>
      <w:r>
        <w:rPr>
          <w:rFonts w:ascii="Arial" w:cs="Arial" w:eastAsia="Arial" w:hAnsi="Arial"/>
          <w:sz w:val="16"/>
          <w:szCs w:val="16"/>
          <w:i w:val="1"/>
          <w:iCs w:val="1"/>
          <w:color w:val="auto"/>
        </w:rPr>
        <w:t>except for</w:t>
      </w:r>
      <w:r>
        <w:rPr>
          <w:rFonts w:ascii="Arial" w:cs="Arial" w:eastAsia="Arial" w:hAnsi="Arial"/>
          <w:sz w:val="16"/>
          <w:szCs w:val="16"/>
          <w:color w:val="auto"/>
        </w:rPr>
        <w:t xml:space="preserve"> dividends paid to the Company or its subsidiaries by any of the Company’s subsidiaries on any class of capital stock or any repurchase or redemption by the Company or any of its subsidiaries of any class of capital stock.</w:t>
      </w:r>
    </w:p>
    <w:p>
      <w:pPr>
        <w:spacing w:after="0" w:line="167" w:lineRule="exact"/>
        <w:rPr>
          <w:rFonts w:ascii="Arial" w:cs="Arial" w:eastAsia="Arial" w:hAnsi="Arial"/>
          <w:sz w:val="16"/>
          <w:szCs w:val="16"/>
          <w:b w:val="1"/>
          <w:bCs w:val="1"/>
          <w:color w:val="auto"/>
        </w:rPr>
      </w:pPr>
    </w:p>
    <w:p>
      <w:pPr>
        <w:jc w:val="both"/>
        <w:ind w:left="-460" w:firstLine="644"/>
        <w:spacing w:after="0" w:line="273" w:lineRule="auto"/>
        <w:tabs>
          <w:tab w:leader="none" w:pos="638"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Independent Accountants of the Company</w:t>
      </w:r>
      <w:r>
        <w:rPr>
          <w:rFonts w:ascii="Arial" w:cs="Arial" w:eastAsia="Arial" w:hAnsi="Arial"/>
          <w:sz w:val="17"/>
          <w:szCs w:val="17"/>
          <w:color w:val="auto"/>
        </w:rPr>
        <w:t>. RSM US LLP, which has expressed its opinion with respect to the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(which term as used in this Agreement includes the related notes thereto) of the Company and its subsidiaries incorporated by reference in the Registration Statement, the Time of Sale Prospectus and the Prospectus, is (i) an independent registered public accounting firm as required by the Securities Act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and (ii) a registered public accounting firm as defined by the PCAOB whose registration has not been suspended or revoked and who has not requested such registration to be withdrawn. With respect to the Company, RSM US LLP is not and has not been in violation of the auditor independence requirements of the Sarbanes-Oxley Act and the related rules and regulations of the Commission.</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jc w:val="both"/>
        <w:ind w:left="-460" w:firstLine="644"/>
        <w:spacing w:after="0" w:line="285" w:lineRule="auto"/>
        <w:tabs>
          <w:tab w:leader="none" w:pos="65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 of the Company</w:t>
      </w:r>
      <w:r>
        <w:rPr>
          <w:rFonts w:ascii="Arial" w:cs="Arial" w:eastAsia="Arial" w:hAnsi="Arial"/>
          <w:sz w:val="16"/>
          <w:szCs w:val="16"/>
          <w:color w:val="auto"/>
        </w:rPr>
        <w:t>. The financial statements, together with the supporting schedules, if any,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subsidiaries incorporated by reference in the Registration Statement, the Time of Sale Prospectus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as applied in the United States on a consistent basis throughout the periods involved, except as may be expressly stated in the related notes thereto. The interactive data in eXtensible Business Reporting Language incorporated by reference in the Registration Statement, the Time of Sale Prospectus and the Prospectus fairly presents in all material respects the information called for and has been prepared in accordance with the Commission’s rules and guidelines applicable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 “Capitalization” fairly presents the information set forth therein on a basis consistent with that of the audited financial statements contained in the Registration Statement, the Time of Sale Prospectus and the Prospectus. All disclosures contained in the Registration Statement, any preliminary prospectus, the Prospectus and any free writing prospectus that constitute non-GAAP financial measures (as defined by the rules and regulations under the Securities Act and the Exchange Act) comply, in all material respects,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incorporated by reference in the Registration Statement, the Time of Sale Prospectus and the Prospectus.</w:t>
      </w:r>
    </w:p>
    <w:p>
      <w:pPr>
        <w:spacing w:after="0" w:line="171" w:lineRule="exact"/>
        <w:rPr>
          <w:rFonts w:ascii="Arial" w:cs="Arial" w:eastAsia="Arial" w:hAnsi="Arial"/>
          <w:sz w:val="16"/>
          <w:szCs w:val="16"/>
          <w:b w:val="1"/>
          <w:bCs w:val="1"/>
          <w:color w:val="auto"/>
        </w:rPr>
      </w:pPr>
    </w:p>
    <w:p>
      <w:pPr>
        <w:jc w:val="both"/>
        <w:ind w:left="-460" w:firstLine="644"/>
        <w:spacing w:after="0" w:line="258" w:lineRule="auto"/>
        <w:tabs>
          <w:tab w:leader="none" w:pos="62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No Undisclosed Off-Balance Sheet Arrangements</w:t>
      </w:r>
      <w:r>
        <w:rPr>
          <w:rFonts w:ascii="Arial" w:cs="Arial" w:eastAsia="Arial" w:hAnsi="Arial"/>
          <w:sz w:val="18"/>
          <w:szCs w:val="18"/>
          <w:color w:val="auto"/>
        </w:rPr>
        <w:t>. Except as described in each of the Registration Statement, the Time of Sale</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and the Prospectus, there are no material off-balance sheet transactions, arrangements, obligations (including contingent obligations) or any other relationships with unconsolidated entities or other persons, which have a material current, or may have a material future, effect on the Company’s financial condition, results of operations, liquidity, capital expenditures, capital position or resources, or significant components of revenues or expenses.</w:t>
      </w:r>
    </w:p>
    <w:p>
      <w:pPr>
        <w:spacing w:after="0" w:line="183" w:lineRule="exact"/>
        <w:rPr>
          <w:rFonts w:ascii="Arial" w:cs="Arial" w:eastAsia="Arial" w:hAnsi="Arial"/>
          <w:sz w:val="18"/>
          <w:szCs w:val="18"/>
          <w:b w:val="1"/>
          <w:bCs w:val="1"/>
          <w:color w:val="auto"/>
        </w:rPr>
      </w:pPr>
    </w:p>
    <w:p>
      <w:pPr>
        <w:jc w:val="both"/>
        <w:ind w:left="-460" w:firstLine="644"/>
        <w:spacing w:after="0" w:line="286" w:lineRule="auto"/>
        <w:tabs>
          <w:tab w:leader="none" w:pos="68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Company’s Accounting System</w:t>
      </w:r>
      <w:r>
        <w:rPr>
          <w:rFonts w:ascii="Arial" w:cs="Arial" w:eastAsia="Arial" w:hAnsi="Arial"/>
          <w:sz w:val="16"/>
          <w:szCs w:val="16"/>
          <w:color w:val="auto"/>
        </w:rPr>
        <w:t>. The Company and each of its subsidiaries make and keep accurate books and records and</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incorporated by reference in the Registration Statement, the Time of Sale Prospectus and the Prospectus fairly presents the information called for in all material respects and is prepared in accordance with the Commission’s rules and guidelines applicable thereto. The Company and each of its subsidiaries maintain a system of internal control over financial reporting (as such term is defined in Rule 13a-15(f) under the Exchange Act), that has been designed by, or under the supervision of, its principal executive and financial officer,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jc w:val="both"/>
        <w:ind w:left="-460" w:firstLine="644"/>
        <w:spacing w:after="0" w:line="287" w:lineRule="auto"/>
        <w:tabs>
          <w:tab w:leader="none" w:pos="65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Controls and Procedures; Deficiencies in or Changes to Internal Control Over Financial Reporting</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has been (A) no significant deficiencies or material weakness in the internal control over financial reporting (whether or not remediated) of the Company or any of its subsidiaries of which the Company or the Company’s Board of Directors is aware, (B) no fraud, whether or not material, that involves management or other employees who have a significant role in the internal control over financial reporting of the Company or any of its subsidiaries, (C) no change in the Company’s internal control over financial reporting that has materially affected, or is reasonably likely to materially affect, the Company’s internal control over financial reporting, or (D) no material violation of or failure to comply in all material respects with United States federal securities laws.</w:t>
      </w:r>
    </w:p>
    <w:p>
      <w:pPr>
        <w:spacing w:after="0" w:line="167" w:lineRule="exact"/>
        <w:rPr>
          <w:rFonts w:ascii="Arial" w:cs="Arial" w:eastAsia="Arial" w:hAnsi="Arial"/>
          <w:sz w:val="16"/>
          <w:szCs w:val="16"/>
          <w:b w:val="1"/>
          <w:bCs w:val="1"/>
          <w:color w:val="auto"/>
        </w:rPr>
      </w:pPr>
    </w:p>
    <w:p>
      <w:pPr>
        <w:jc w:val="both"/>
        <w:ind w:left="-460" w:firstLine="644"/>
        <w:spacing w:after="0" w:line="272" w:lineRule="auto"/>
        <w:tabs>
          <w:tab w:leader="none" w:pos="645"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Incorporation and Good Standing of the Company</w:t>
      </w:r>
      <w:r>
        <w:rPr>
          <w:rFonts w:ascii="Arial" w:cs="Arial" w:eastAsia="Arial" w:hAnsi="Arial"/>
          <w:sz w:val="17"/>
          <w:szCs w:val="17"/>
          <w:color w:val="auto"/>
        </w:rPr>
        <w:t>. The Company has been duly incorporated and is validly existing as a</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in good standing under the laws of the jurisdiction of its incorporation, is duly registered as a bank holding company that has elected to be a financial holding company under the Bank Holding Company Act of 1956, as amended, and has the corporate power and authority to own, lease and operate its properties and to conduct its business as described in the Registration Statement, the Time of Sale Prospectus and the Prospectus and to enter into and perform its obligations under the Transaction Documents. The Company is duly qualified as a foreign corporation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(as defined below).</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jc w:val="both"/>
        <w:ind w:left="-460" w:firstLine="644"/>
        <w:spacing w:after="0" w:line="286" w:lineRule="auto"/>
        <w:tabs>
          <w:tab w:leader="none" w:pos="65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Subsidiaries</w:t>
      </w:r>
      <w:r>
        <w:rPr>
          <w:rFonts w:ascii="Arial" w:cs="Arial" w:eastAsia="Arial" w:hAnsi="Arial"/>
          <w:sz w:val="16"/>
          <w:szCs w:val="16"/>
          <w:color w:val="auto"/>
        </w:rPr>
        <w:t>. Each of the Company’s “</w:t>
      </w:r>
      <w:r>
        <w:rPr>
          <w:rFonts w:ascii="Arial" w:cs="Arial" w:eastAsia="Arial" w:hAnsi="Arial"/>
          <w:sz w:val="16"/>
          <w:szCs w:val="16"/>
          <w:b w:val="1"/>
          <w:bCs w:val="1"/>
          <w:color w:val="auto"/>
        </w:rPr>
        <w:t>significant subsidiaries</w:t>
      </w:r>
      <w:r>
        <w:rPr>
          <w:rFonts w:ascii="Arial" w:cs="Arial" w:eastAsia="Arial" w:hAnsi="Arial"/>
          <w:sz w:val="16"/>
          <w:szCs w:val="16"/>
          <w:color w:val="auto"/>
        </w:rPr>
        <w:t>” (for purposes of this Agreement, as defined in Rule 405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has been duly incorporated or organized, as the case may be, and is validly existing as a corporation, partnership, limited liability company, statutory trust or other entity,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significant subsidiaries is duly qualified as a foreign corporation, partnership, limited liability company, statutory trust or other entity, as applicable,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individually or in the aggregate, to have a material adverse effect on the condition (financial or other), earnings, business, properties, operations, assets or liabilities of the Company and its subsidiaries, considered as one entity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All of the issued and outstanding capital stock or other equity or ownership interests of each of the Company’s significant subsidiaries have been duly authorized and validly issued, are fully paid and nonassessable and are owned by the Company, directly or through subsidiaries, free and clear of any security interest, mortgage, pledge, lien, encumbrance or adverse claim. The Company does not own or control, directly or indirectly, any corporation, association or other entity other than the subsidiaries listed in Exhibit 21 to the Company’s Annual Report on Form 10-K for the fiscal year ended December 31, 2021 (other than any corporations, associations or other entities that, in the aggregate, do not constitute a “significant subsidiary” as defined in Rule 1-02 of Regulation S-X). Busey Capital Management, Inc. is an investment advisor duly registered with the Commission pursuant to the Investment Advisers Act of 1940, as amended.</w:t>
      </w:r>
    </w:p>
    <w:p>
      <w:pPr>
        <w:spacing w:after="0" w:line="164" w:lineRule="exact"/>
        <w:rPr>
          <w:rFonts w:ascii="Arial" w:cs="Arial" w:eastAsia="Arial" w:hAnsi="Arial"/>
          <w:sz w:val="16"/>
          <w:szCs w:val="16"/>
          <w:b w:val="1"/>
          <w:bCs w:val="1"/>
          <w:color w:val="auto"/>
        </w:rPr>
      </w:pPr>
    </w:p>
    <w:p>
      <w:pPr>
        <w:jc w:val="both"/>
        <w:ind w:left="-460" w:firstLine="644"/>
        <w:spacing w:after="0" w:line="256"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Other Capital Stock Matters</w:t>
      </w:r>
      <w:r>
        <w:rPr>
          <w:rFonts w:ascii="Arial" w:cs="Arial" w:eastAsia="Arial" w:hAnsi="Arial"/>
          <w:sz w:val="18"/>
          <w:szCs w:val="18"/>
          <w:color w:val="auto"/>
        </w:rPr>
        <w:t>. The authorized, issued and outstanding capital stock of the Company is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All of the issued and outstanding shares of capital stock of the Company have been duly authorized and validly issued, are fully paid and nonassessable and have been issued in compliance with all federal and state securities laws.</w:t>
      </w:r>
    </w:p>
    <w:p>
      <w:pPr>
        <w:spacing w:after="0" w:line="200" w:lineRule="exact"/>
        <w:rPr>
          <w:sz w:val="20"/>
          <w:szCs w:val="20"/>
          <w:color w:val="auto"/>
        </w:rPr>
      </w:pPr>
    </w:p>
    <w:p>
      <w:pPr>
        <w:spacing w:after="0" w:line="2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p>
      <w:pPr>
        <w:jc w:val="both"/>
        <w:ind w:left="-460" w:firstLine="644"/>
        <w:spacing w:after="0" w:line="284" w:lineRule="auto"/>
        <w:tabs>
          <w:tab w:leader="none" w:pos="635"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Non-Contravention of Existing Instruments; No Further Authorizations or Approvals Required</w:t>
      </w:r>
      <w:r>
        <w:rPr>
          <w:rFonts w:ascii="Arial" w:cs="Arial" w:eastAsia="Arial" w:hAnsi="Arial"/>
          <w:sz w:val="16"/>
          <w:szCs w:val="16"/>
          <w:color w:val="auto"/>
        </w:rPr>
        <w:t>. Neither the Company nor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significant subsidiaries is in violation of its charter or by-laws, partnership agreement or operating agreement or similar organizational documents, as applicable, or is in default (or, with the giving of notice or lapse of time, would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significant subsidiaries is a party or by which it or any of them may be bound, or to which any of their respective 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would not reasonably be expected, individually or in the aggregate, to have a Material Adverse Effect. The Company’s execution, delivery and performance of each of the Transaction Documents and the consummation of the Transactions and the issuance and sale of the Securities (including the use of proceeds from the sale of the Securities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significant subsidiary, (ii) will not conflict with or constitute a breach of, or Default or a Debt Repayment Triggering Event (as defined below) under, or result in the creation or imposition of any lien, charge or encumbrance upon any property or assets of the Company or any of its significant subsidiaries pursuant to, or require the consent of any other party to, any Existing Instrument, and (iii) will not result in any violation of any law, administrative regulation or administrative or court decree applicable to the Company or any of its significant subsidiaries, except in the case of clauses (ii) and (iii) such as would not reasonably be expected, individually or in the aggregate, to have a Material Adverse Effect. No consent, approval, authorization or other order of, or registration or filing with, any court or other governmental or regulatory authority or agency, is required for the Company’s execution, delivery and performance of each of the Transaction Documents and consummation of the Transactions and by the Registration Statement, the Time of Sale Prospectus and the Prospectus, except such as have been obtained or made by the Company, or received from any Regulatory Agency (as defined below) and are in full force and effect under the Securities Act and such as may be required under applicable state securities or blue sky laws or FINRA. As used herein,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significant subsidiaries.</w:t>
      </w:r>
    </w:p>
    <w:p>
      <w:pPr>
        <w:spacing w:after="0" w:line="174" w:lineRule="exact"/>
        <w:rPr>
          <w:rFonts w:ascii="Arial" w:cs="Arial" w:eastAsia="Arial" w:hAnsi="Arial"/>
          <w:sz w:val="16"/>
          <w:szCs w:val="16"/>
          <w:b w:val="1"/>
          <w:bCs w:val="1"/>
          <w:color w:val="auto"/>
        </w:rPr>
      </w:pPr>
    </w:p>
    <w:p>
      <w:pPr>
        <w:jc w:val="both"/>
        <w:ind w:left="-460" w:firstLine="644"/>
        <w:spacing w:after="0" w:line="261" w:lineRule="auto"/>
        <w:tabs>
          <w:tab w:leader="none" w:pos="62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No Acquisitions, Dispositions, or Transfers</w:t>
      </w:r>
      <w:r>
        <w:rPr>
          <w:rFonts w:ascii="Arial" w:cs="Arial" w:eastAsia="Arial" w:hAnsi="Arial"/>
          <w:sz w:val="18"/>
          <w:szCs w:val="18"/>
          <w:color w:val="auto"/>
        </w:rPr>
        <w:t>. Neither the Company nor any of its subsidiaries is a party to an agreement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or not fully binding) obligating the Company or such subsidiary to an acquisition, disposition, or other business combination, or a transfer or sale of the assets (as a going concern) or capital stock of the Company or any such subsidiary, which transaction would be material to the Company and its subsidiaries taken as a whole.</w:t>
      </w:r>
    </w:p>
    <w:p>
      <w:pPr>
        <w:spacing w:after="0" w:line="179" w:lineRule="exact"/>
        <w:rPr>
          <w:rFonts w:ascii="Arial" w:cs="Arial" w:eastAsia="Arial" w:hAnsi="Arial"/>
          <w:sz w:val="18"/>
          <w:szCs w:val="18"/>
          <w:b w:val="1"/>
          <w:bCs w:val="1"/>
          <w:color w:val="auto"/>
        </w:rPr>
      </w:pPr>
    </w:p>
    <w:p>
      <w:pPr>
        <w:jc w:val="both"/>
        <w:ind w:left="-460" w:firstLine="644"/>
        <w:spacing w:after="0" w:line="266" w:lineRule="auto"/>
        <w:tabs>
          <w:tab w:leader="none" w:pos="63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w:t>
      </w:r>
      <w:r>
        <w:rPr>
          <w:rFonts w:ascii="Arial" w:cs="Arial" w:eastAsia="Arial" w:hAnsi="Arial"/>
          <w:sz w:val="18"/>
          <w:szCs w:val="18"/>
          <w:color w:val="auto"/>
        </w:rPr>
        <w:t>. The Company and its subsidiaries have been and are in compliance with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except where failure to be so in compliance would not reasonably be expected, individually or in the aggregate, to have a Material Adverse Effect.</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460" w:firstLine="644"/>
        <w:spacing w:after="0" w:line="270" w:lineRule="auto"/>
        <w:tabs>
          <w:tab w:leader="none" w:pos="655"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No Material Actions or Proceedings</w:t>
      </w:r>
      <w:r>
        <w:rPr>
          <w:rFonts w:ascii="Arial" w:cs="Arial" w:eastAsia="Arial" w:hAnsi="Arial"/>
          <w:sz w:val="17"/>
          <w:szCs w:val="17"/>
          <w:color w:val="auto"/>
        </w:rPr>
        <w:t>. Except as otherwise disclosed in the Registration Statement, the Time of Sale Prospectus</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Prospectus, there is no action, suit, proceeding, inquiry or investigation brought by or before any governmental entity or Regulatory Agency (as defined below) now pending or, to the knowledge of the Company, threatened, against or affecting the Company or any of its subsidiaries, which would reasonably be expected, individually or in the aggregate, to have a Material Adverse Effect or materially and adversely affect the consummation of the Transactions, or the performance by the Company of its obligations under the Transaction Documents;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would not be reasonably expected to have a Material Adverse Effect.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176" w:lineRule="exact"/>
        <w:rPr>
          <w:rFonts w:ascii="Arial" w:cs="Arial" w:eastAsia="Arial" w:hAnsi="Arial"/>
          <w:sz w:val="17"/>
          <w:szCs w:val="17"/>
          <w:b w:val="1"/>
          <w:bCs w:val="1"/>
          <w:color w:val="auto"/>
        </w:rPr>
      </w:pPr>
    </w:p>
    <w:p>
      <w:pPr>
        <w:jc w:val="both"/>
        <w:ind w:left="-460" w:firstLine="644"/>
        <w:spacing w:after="0" w:line="288" w:lineRule="auto"/>
        <w:tabs>
          <w:tab w:leader="none" w:pos="667"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Absence of Enforcement Actions</w:t>
      </w:r>
      <w:r>
        <w:rPr>
          <w:rFonts w:ascii="Arial" w:cs="Arial" w:eastAsia="Arial" w:hAnsi="Arial"/>
          <w:sz w:val="16"/>
          <w:szCs w:val="16"/>
          <w:color w:val="auto"/>
        </w:rPr>
        <w:t>. Neither the Company nor any of its subsidiaries is subject or is party to, or has received any</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that any of them may become subject or party to any suspension or cease-and-desist order, agreement, consent agreement, memorandum of understanding or other regulatory enforcement action, proceeding or order with or by, or is a party to any commitment letter or similar undertaking to, or is subject to any directive by, or has been a recipient of any supervisory letter from, or has adopted any board resolutions at the request of, any Regulatory Agency (as defined below) that currently relates to or restricts in any material respect the conduct of their business or that in any manner relates to their capital adequacy, credit policies or management (each, a “</w:t>
      </w:r>
      <w:r>
        <w:rPr>
          <w:rFonts w:ascii="Arial" w:cs="Arial" w:eastAsia="Arial" w:hAnsi="Arial"/>
          <w:sz w:val="16"/>
          <w:szCs w:val="16"/>
          <w:b w:val="1"/>
          <w:bCs w:val="1"/>
          <w:color w:val="auto"/>
        </w:rPr>
        <w:t>Regulatory Agreement</w:t>
      </w:r>
      <w:r>
        <w:rPr>
          <w:rFonts w:ascii="Arial" w:cs="Arial" w:eastAsia="Arial" w:hAnsi="Arial"/>
          <w:sz w:val="16"/>
          <w:szCs w:val="16"/>
          <w:color w:val="auto"/>
        </w:rPr>
        <w:t>”), nor has the Company or any of its subsidiaries been advised by any Regulatory Agency that it is considering issuing or requesting any such Regulatory Agreement or that any such Regulatory Agreement is pending or threatened. As used herein, the term “</w:t>
      </w:r>
      <w:r>
        <w:rPr>
          <w:rFonts w:ascii="Arial" w:cs="Arial" w:eastAsia="Arial" w:hAnsi="Arial"/>
          <w:sz w:val="16"/>
          <w:szCs w:val="16"/>
          <w:b w:val="1"/>
          <w:bCs w:val="1"/>
          <w:color w:val="auto"/>
        </w:rPr>
        <w:t>Regulatory Agency</w:t>
      </w:r>
      <w:r>
        <w:rPr>
          <w:rFonts w:ascii="Arial" w:cs="Arial" w:eastAsia="Arial" w:hAnsi="Arial"/>
          <w:sz w:val="16"/>
          <w:szCs w:val="16"/>
          <w:color w:val="auto"/>
        </w:rPr>
        <w:t>” means any governmental entity having supervisory or regulatory authority with respect to the Company or any of its subsidiaries, including, but not limited to, any federal or state securities or banking authorities or agency charged with the supervision or regulation of depositary institutions or holding companies of depositary institutions, or engaged in the insurance of depositary institution deposits.</w:t>
      </w:r>
    </w:p>
    <w:p>
      <w:pPr>
        <w:spacing w:after="0" w:line="163" w:lineRule="exact"/>
        <w:rPr>
          <w:rFonts w:ascii="Arial" w:cs="Arial" w:eastAsia="Arial" w:hAnsi="Arial"/>
          <w:sz w:val="16"/>
          <w:szCs w:val="16"/>
          <w:b w:val="1"/>
          <w:bCs w:val="1"/>
          <w:color w:val="auto"/>
        </w:rPr>
      </w:pPr>
    </w:p>
    <w:p>
      <w:pPr>
        <w:jc w:val="both"/>
        <w:ind w:left="-460" w:firstLine="644"/>
        <w:spacing w:after="0" w:line="271" w:lineRule="auto"/>
        <w:tabs>
          <w:tab w:leader="none" w:pos="685"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Intellectual Property Rights</w:t>
      </w:r>
      <w:r>
        <w:rPr>
          <w:rFonts w:ascii="Arial" w:cs="Arial" w:eastAsia="Arial" w:hAnsi="Arial"/>
          <w:sz w:val="17"/>
          <w:szCs w:val="17"/>
          <w:color w:val="auto"/>
        </w:rPr>
        <w:t>. Each of the Company and its subsidiaries owns or possesses all necessary and adequate patents,</w:t>
      </w:r>
      <w:r>
        <w:rPr>
          <w:rFonts w:ascii="Arial" w:cs="Arial" w:eastAsia="Arial" w:hAnsi="Arial"/>
          <w:sz w:val="17"/>
          <w:szCs w:val="17"/>
          <w:b w:val="1"/>
          <w:bCs w:val="1"/>
          <w:color w:val="auto"/>
        </w:rPr>
        <w:t xml:space="preserve"> </w:t>
      </w:r>
      <w:r>
        <w:rPr>
          <w:rFonts w:ascii="Arial" w:cs="Arial" w:eastAsia="Arial" w:hAnsi="Arial"/>
          <w:sz w:val="17"/>
          <w:szCs w:val="17"/>
          <w:color w:val="auto"/>
        </w:rPr>
        <w:t>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7"/>
          <w:szCs w:val="17"/>
          <w:b w:val="1"/>
          <w:bCs w:val="1"/>
          <w:color w:val="auto"/>
        </w:rPr>
        <w:t>Intellectual</w:t>
      </w:r>
      <w:r>
        <w:rPr>
          <w:rFonts w:ascii="Arial" w:cs="Arial" w:eastAsia="Arial" w:hAnsi="Arial"/>
          <w:sz w:val="17"/>
          <w:szCs w:val="17"/>
          <w:color w:val="auto"/>
        </w:rPr>
        <w:t xml:space="preserve"> </w:t>
      </w:r>
      <w:r>
        <w:rPr>
          <w:rFonts w:ascii="Arial" w:cs="Arial" w:eastAsia="Arial" w:hAnsi="Arial"/>
          <w:sz w:val="17"/>
          <w:szCs w:val="17"/>
          <w:b w:val="1"/>
          <w:bCs w:val="1"/>
          <w:color w:val="auto"/>
        </w:rPr>
        <w:t>Property</w:t>
      </w:r>
      <w:r>
        <w:rPr>
          <w:rFonts w:ascii="Arial" w:cs="Arial" w:eastAsia="Arial" w:hAnsi="Arial"/>
          <w:sz w:val="17"/>
          <w:szCs w:val="17"/>
          <w:color w:val="auto"/>
        </w:rPr>
        <w:t>”) presently employed by it in connection with the business now operated by it or necessary in order to conduct such business, and none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or any of its subsidiaries has received any notice or is otherwise aware of any infringement of or conflict with asserted rights of others with respect to any Intellectual Property or any facts or circumstances which would render any Intellectual Property invalid or inadequate to protect the interest of the Company or any of its subsidiaries therein, except where the failure to possess such Intellectual Property or where such infringement or conflict (if the subject of any unfavorable decision, ruling or finding) or invalidity or inadequacy, individually or in the aggregate, would not be reasonably expected to have a Material Adverse Effect.</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jc w:val="both"/>
        <w:ind w:left="-460" w:firstLine="644"/>
        <w:spacing w:after="0" w:line="286" w:lineRule="auto"/>
        <w:tabs>
          <w:tab w:leader="none" w:pos="645"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All Necessary Permits, etc</w:t>
      </w:r>
      <w:r>
        <w:rPr>
          <w:rFonts w:ascii="Arial" w:cs="Arial" w:eastAsia="Arial" w:hAnsi="Arial"/>
          <w:sz w:val="16"/>
          <w:szCs w:val="16"/>
          <w:color w:val="auto"/>
        </w:rPr>
        <w:t>. The Company and its subsidiaries possess such valid and current certificates, authorizations or permits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state, federal or foreign regulatory agencies or bodies to conduct their respective businesses, including, without limitation, any such permits necessary to conduct insurance, broker-dealer, mortgage origination and servicing (or sub-servicing, as applicable) and banking business, as currently conducted and as described in the Registration Statement, the Time of Sale Prospectus or the Prospectus (“</w:t>
      </w:r>
      <w:r>
        <w:rPr>
          <w:rFonts w:ascii="Arial" w:cs="Arial" w:eastAsia="Arial" w:hAnsi="Arial"/>
          <w:sz w:val="16"/>
          <w:szCs w:val="16"/>
          <w:b w:val="1"/>
          <w:bCs w:val="1"/>
          <w:color w:val="auto"/>
        </w:rPr>
        <w:t>Permits</w:t>
      </w:r>
      <w:r>
        <w:rPr>
          <w:rFonts w:ascii="Arial" w:cs="Arial" w:eastAsia="Arial" w:hAnsi="Arial"/>
          <w:sz w:val="16"/>
          <w:szCs w:val="16"/>
          <w:color w:val="auto"/>
        </w:rPr>
        <w:t>”), except for such certificates, authorizations or permits whose failure to obtain would not be reasonably expected to, individually or in the aggregate, have a Material Adverse Effect. Neither the Company nor any of its subsidiaries is in violation of, or in default under, any of the Permits (except for such violations or defaults that would not be reasonably expected to, individually or in the aggregate, have a Material Adverse Effect) or has received any notice of proceedings relating to the revocation or modification of, or non-compliance with, any such certificate, authorization or permit that, if determined adversely to the Company or any of its subsidiaries, would reasonably be expected to, individually or in the aggregate, have a Material Adverse Effect. Neither the Company nor any of its subsidiaries has failed to file with or submit to applicable regulatory authorities any statement, report, information or form required by any applicable law, rule, regulation or order, except where the failure to be so in compliance would not be reasonably expected to, individually or in the aggregate, have a Material Adverse Effect; all such filings and submissions were in material compliance with applicable laws, rules, regulations and orders when filed or submitted; and no deficiencies have been asserted by any Regulatory Agency with respect to any such filings or submissions, except for such deficiencies that would not be reasonably expected to, individually or in the aggregate, have a Material Adverse Effect.</w:t>
      </w:r>
    </w:p>
    <w:p>
      <w:pPr>
        <w:spacing w:after="0" w:line="167" w:lineRule="exact"/>
        <w:rPr>
          <w:rFonts w:ascii="Arial" w:cs="Arial" w:eastAsia="Arial" w:hAnsi="Arial"/>
          <w:sz w:val="16"/>
          <w:szCs w:val="16"/>
          <w:b w:val="1"/>
          <w:bCs w:val="1"/>
          <w:color w:val="auto"/>
        </w:rPr>
      </w:pPr>
    </w:p>
    <w:p>
      <w:pPr>
        <w:jc w:val="both"/>
        <w:ind w:left="-460" w:firstLine="644"/>
        <w:spacing w:after="0" w:line="271" w:lineRule="auto"/>
        <w:tabs>
          <w:tab w:leader="none" w:pos="645"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Title to Properties</w:t>
      </w:r>
      <w:r>
        <w:rPr>
          <w:rFonts w:ascii="Arial" w:cs="Arial" w:eastAsia="Arial" w:hAnsi="Arial"/>
          <w:sz w:val="17"/>
          <w:szCs w:val="17"/>
          <w:color w:val="auto"/>
        </w:rPr>
        <w:t>. The Company and its significant subsidiaries have good and marketable title to all of the real and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and other assets reflected as owned in the financial statements referred to in Section 1(k) above (or elsewhere in the Registration Statement, the Time of Sale Prospectus or the Prospectus), in each case free and clear of any security interests, mortgages, liens, encumbrances, equities, adverse claims and other defects except (i) for any properties or assets the absence of good and marketable title to which would not be reasonably expected to, individually or in the aggregate, result in a Material Adverse Effect or (ii) as otherwise disclosed in the Registration Statement, the Time of Sale Prospectus or the Prospectus. The real property, improvements, equipment and personal property held under lease by the Company or any of its significant subsidiaries are held under valid and enforceable leases, with such exceptions as are not material and do not materially interfere with the use made or proposed to be made of such real property, improvements, equipment or personal property by the Company or such significant subsidiary.</w:t>
      </w:r>
    </w:p>
    <w:p>
      <w:pPr>
        <w:spacing w:after="0" w:line="173" w:lineRule="exact"/>
        <w:rPr>
          <w:rFonts w:ascii="Arial" w:cs="Arial" w:eastAsia="Arial" w:hAnsi="Arial"/>
          <w:sz w:val="17"/>
          <w:szCs w:val="17"/>
          <w:b w:val="1"/>
          <w:bCs w:val="1"/>
          <w:color w:val="auto"/>
        </w:rPr>
      </w:pPr>
    </w:p>
    <w:p>
      <w:pPr>
        <w:jc w:val="both"/>
        <w:ind w:left="-460" w:firstLine="644"/>
        <w:spacing w:after="0" w:line="271" w:lineRule="auto"/>
        <w:tabs>
          <w:tab w:leader="none" w:pos="635"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Tax Law Compliance</w:t>
      </w:r>
      <w:r>
        <w:rPr>
          <w:rFonts w:ascii="Arial" w:cs="Arial" w:eastAsia="Arial" w:hAnsi="Arial"/>
          <w:sz w:val="17"/>
          <w:szCs w:val="17"/>
          <w:color w:val="auto"/>
        </w:rPr>
        <w:t>. The Company and its subsidiaries have filed all federal, state and foreign income and franchise tax returns,</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returns, and similar reports that are required to be filed or have properly requested extensions thereof (except in any case in which the failure so to file would not be reasonably expected to, individually or in the aggregate, cause a Material Adverse Effect), and all such returns and reports are true, correct, and complete in all material respects. The Company and its subsidiaries have paid in full all taxes required to be paid by any of them and, if due and payable, any related or similar assessment, fine or penalty with respect to taxes levied against any of them except as may be being contested in good faith and by appropriate proceedings or would not be reasonably expected to, individually or in the aggregate, cause a Material Adverse Effect. The Company has made adequate charges, accruals and reserves in the applicable financial statements referred to in Section 1(k) above in respect of all federal, state and foreign income and franchise taxes for all periods as to which the tax liability of the Company or any of its subsidiaries has not been finally determined.</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jc w:val="both"/>
        <w:ind w:left="4" w:firstLine="644"/>
        <w:spacing w:after="0" w:line="286" w:lineRule="auto"/>
        <w:tabs>
          <w:tab w:leader="none" w:pos="1154" w:val="left"/>
        </w:tabs>
        <w:numPr>
          <w:ilvl w:val="1"/>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Each of the Company and its subsidiaries is insured by recognized, financially sound and reputable institutions with</w:t>
      </w:r>
      <w:r>
        <w:rPr>
          <w:rFonts w:ascii="Arial" w:cs="Arial" w:eastAsia="Arial" w:hAnsi="Arial"/>
          <w:sz w:val="16"/>
          <w:szCs w:val="16"/>
          <w:b w:val="1"/>
          <w:bCs w:val="1"/>
          <w:color w:val="auto"/>
        </w:rPr>
        <w:t xml:space="preserve"> </w:t>
      </w:r>
      <w:r>
        <w:rPr>
          <w:rFonts w:ascii="Arial" w:cs="Arial" w:eastAsia="Arial" w:hAnsi="Arial"/>
          <w:sz w:val="16"/>
          <w:szCs w:val="16"/>
          <w:color w:val="auto"/>
        </w:rPr>
        <w:t>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natural disasters, including but not limited to floods, earthquakes and tornados. The Company has no reason to believe that it or any of its subsidiaries will not be able (i) to renew its existing insurance coverage as and when such policies expire or</w:t>
      </w:r>
    </w:p>
    <w:p>
      <w:pPr>
        <w:spacing w:after="0" w:line="2" w:lineRule="exact"/>
        <w:rPr>
          <w:rFonts w:ascii="Arial" w:cs="Arial" w:eastAsia="Arial" w:hAnsi="Arial"/>
          <w:sz w:val="16"/>
          <w:szCs w:val="16"/>
          <w:b w:val="1"/>
          <w:bCs w:val="1"/>
          <w:color w:val="auto"/>
        </w:rPr>
      </w:pPr>
    </w:p>
    <w:p>
      <w:pPr>
        <w:ind w:left="4" w:right="20" w:hanging="4"/>
        <w:spacing w:after="0" w:line="290" w:lineRule="auto"/>
        <w:tabs>
          <w:tab w:leader="none" w:pos="27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obtain comparable coverage from similar institutions as may be necessary or appropriate to conduct its business as now conducted. Neither the Company nor any of its subsidiaries has been denied any insurance coverage which it has sought or for which it has applied.</w:t>
      </w:r>
    </w:p>
    <w:p>
      <w:pPr>
        <w:spacing w:after="0" w:line="157" w:lineRule="exact"/>
        <w:rPr>
          <w:rFonts w:ascii="Arial" w:cs="Arial" w:eastAsia="Arial" w:hAnsi="Arial"/>
          <w:sz w:val="17"/>
          <w:szCs w:val="17"/>
          <w:color w:val="auto"/>
        </w:rPr>
      </w:pPr>
    </w:p>
    <w:p>
      <w:pPr>
        <w:jc w:val="both"/>
        <w:ind w:left="4" w:firstLine="644"/>
        <w:spacing w:after="0" w:line="284" w:lineRule="auto"/>
        <w:tabs>
          <w:tab w:leader="none" w:pos="1174" w:val="left"/>
        </w:tabs>
        <w:numPr>
          <w:ilvl w:val="1"/>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Environmental Laws</w:t>
      </w:r>
      <w:r>
        <w:rPr>
          <w:rFonts w:ascii="Arial" w:cs="Arial" w:eastAsia="Arial" w:hAnsi="Arial"/>
          <w:sz w:val="16"/>
          <w:szCs w:val="16"/>
          <w:color w:val="auto"/>
        </w:rPr>
        <w:t>. Except as would not reasonably be expected, individually or in the aggregate, to have a</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Adverse 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its subsidiaries have all permits, authorizations and approvals required under any applicable Environmental Laws and are each in compliance with their requirements;</w:t>
      </w:r>
    </w:p>
    <w:p>
      <w:pPr>
        <w:spacing w:after="0" w:line="2" w:lineRule="exact"/>
        <w:rPr>
          <w:rFonts w:ascii="Arial" w:cs="Arial" w:eastAsia="Arial" w:hAnsi="Arial"/>
          <w:sz w:val="16"/>
          <w:szCs w:val="16"/>
          <w:b w:val="1"/>
          <w:bCs w:val="1"/>
          <w:color w:val="auto"/>
        </w:rPr>
      </w:pPr>
    </w:p>
    <w:p>
      <w:pPr>
        <w:jc w:val="both"/>
        <w:ind w:left="4" w:hanging="4"/>
        <w:spacing w:after="0" w:line="253" w:lineRule="auto"/>
        <w:tabs>
          <w:tab w:leader="none" w:pos="3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no pending or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200" w:lineRule="exact"/>
        <w:rPr>
          <w:sz w:val="20"/>
          <w:szCs w:val="20"/>
          <w:color w:val="auto"/>
        </w:rPr>
      </w:pPr>
    </w:p>
    <w:p>
      <w:pPr>
        <w:spacing w:after="0" w:line="20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 w:name="page17"/>
    <w:bookmarkEnd w:id="16"/>
    <w:p>
      <w:pPr>
        <w:jc w:val="both"/>
        <w:ind w:left="-460" w:firstLine="644"/>
        <w:spacing w:after="0" w:line="286" w:lineRule="auto"/>
        <w:tabs>
          <w:tab w:leader="none" w:pos="67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ERISA Compliance</w:t>
      </w:r>
      <w:r>
        <w:rPr>
          <w:rFonts w:ascii="Arial" w:cs="Arial" w:eastAsia="Arial" w:hAnsi="Arial"/>
          <w:sz w:val="16"/>
          <w:szCs w:val="16"/>
          <w:color w:val="auto"/>
        </w:rPr>
        <w:t>. The Company and its subsidiaries and any “</w:t>
      </w:r>
      <w:r>
        <w:rPr>
          <w:rFonts w:ascii="Arial" w:cs="Arial" w:eastAsia="Arial" w:hAnsi="Arial"/>
          <w:sz w:val="16"/>
          <w:szCs w:val="16"/>
          <w:b w:val="1"/>
          <w:bCs w:val="1"/>
          <w:color w:val="auto"/>
        </w:rPr>
        <w:t>employee benefit plan</w:t>
      </w:r>
      <w:r>
        <w:rPr>
          <w:rFonts w:ascii="Arial" w:cs="Arial" w:eastAsia="Arial" w:hAnsi="Arial"/>
          <w:sz w:val="16"/>
          <w:szCs w:val="16"/>
          <w:color w:val="auto"/>
        </w:rPr>
        <w:t>” (as defined under the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Income 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established or maintained by the Company, its subsidiaries or their “ERISA Affiliates” (as defined below) are in compliance in all material respects with ERISA. “</w:t>
      </w:r>
      <w:r>
        <w:rPr>
          <w:rFonts w:ascii="Arial" w:cs="Arial" w:eastAsia="Arial" w:hAnsi="Arial"/>
          <w:sz w:val="16"/>
          <w:szCs w:val="16"/>
          <w:b w:val="1"/>
          <w:bCs w:val="1"/>
          <w:color w:val="auto"/>
        </w:rPr>
        <w:t>ERISA Affiliate</w:t>
      </w:r>
      <w:r>
        <w:rPr>
          <w:rFonts w:ascii="Arial" w:cs="Arial" w:eastAsia="Arial" w:hAnsi="Arial"/>
          <w:sz w:val="16"/>
          <w:szCs w:val="16"/>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of which the Company or such subsidiary is a member. No “</w:t>
      </w:r>
      <w:r>
        <w:rPr>
          <w:rFonts w:ascii="Arial" w:cs="Arial" w:eastAsia="Arial" w:hAnsi="Arial"/>
          <w:sz w:val="16"/>
          <w:szCs w:val="16"/>
          <w:b w:val="1"/>
          <w:bCs w:val="1"/>
          <w:color w:val="auto"/>
        </w:rPr>
        <w:t>reportable event</w:t>
      </w:r>
      <w:r>
        <w:rPr>
          <w:rFonts w:ascii="Arial" w:cs="Arial" w:eastAsia="Arial" w:hAnsi="Arial"/>
          <w:sz w:val="16"/>
          <w:szCs w:val="16"/>
          <w:color w:val="auto"/>
        </w:rPr>
        <w:t>” (as defined under ERISA) has occurred or is reasonably expected to occur with respect to any “employee benefit plan” established or maintained by the Company, its subsidiaries or any of their ERISA Affiliates for which the Company would have any liability that would reasonably be expected to have a Material Adverse Effect.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in each case except as would not be reasonably expected to have a Material Adverse Effect. Each employee benefit plan established or maintained by the Company, its subsidiaries or any of their ERISA Affiliates for which the Company could have any liability that would reasonably be expected to have a Material Adverse Effect that is intended to be qualified under Section 401(a) of the Code is so qualified in all material respects and nothing has occurred, whether by action or failure to act, which would cause the loss of such qualification.</w:t>
      </w:r>
    </w:p>
    <w:p>
      <w:pPr>
        <w:spacing w:after="0" w:line="164" w:lineRule="exact"/>
        <w:rPr>
          <w:rFonts w:ascii="Arial" w:cs="Arial" w:eastAsia="Arial" w:hAnsi="Arial"/>
          <w:sz w:val="16"/>
          <w:szCs w:val="16"/>
          <w:b w:val="1"/>
          <w:bCs w:val="1"/>
          <w:color w:val="auto"/>
        </w:rPr>
      </w:pPr>
    </w:p>
    <w:p>
      <w:pPr>
        <w:jc w:val="both"/>
        <w:ind w:left="-460" w:firstLine="644"/>
        <w:spacing w:after="0" w:line="261" w:lineRule="auto"/>
        <w:tabs>
          <w:tab w:leader="none" w:pos="71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Not an “Investment Company.” </w:t>
      </w:r>
      <w:r>
        <w:rPr>
          <w:rFonts w:ascii="Arial" w:cs="Arial" w:eastAsia="Arial" w:hAnsi="Arial"/>
          <w:sz w:val="18"/>
          <w:szCs w:val="18"/>
          <w:color w:val="auto"/>
        </w:rPr>
        <w:t>The Company is not, and will not be, either after receipt of payment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79" w:lineRule="exact"/>
        <w:rPr>
          <w:rFonts w:ascii="Arial" w:cs="Arial" w:eastAsia="Arial" w:hAnsi="Arial"/>
          <w:sz w:val="18"/>
          <w:szCs w:val="18"/>
          <w:b w:val="1"/>
          <w:bCs w:val="1"/>
          <w:color w:val="auto"/>
        </w:rPr>
      </w:pPr>
    </w:p>
    <w:p>
      <w:pPr>
        <w:jc w:val="both"/>
        <w:ind w:left="-460" w:firstLine="644"/>
        <w:spacing w:after="0" w:line="266" w:lineRule="auto"/>
        <w:tabs>
          <w:tab w:leader="none" w:pos="67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No Price Stabilization or Manipulation</w:t>
      </w:r>
      <w:r>
        <w:rPr>
          <w:rFonts w:ascii="Arial" w:cs="Arial" w:eastAsia="Arial" w:hAnsi="Arial"/>
          <w:sz w:val="18"/>
          <w:szCs w:val="18"/>
          <w:color w:val="auto"/>
        </w:rPr>
        <w:t>. Neither the Company nor any of its subsidiaries has taken, directly or indirectly,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designed to or that might cause or result in stabilization or manipulation of the price of the Securities, whether to facilitate the sale or resale of the Securities or otherwise.</w:t>
      </w:r>
    </w:p>
    <w:p>
      <w:pPr>
        <w:spacing w:after="0" w:line="175" w:lineRule="exact"/>
        <w:rPr>
          <w:rFonts w:ascii="Arial" w:cs="Arial" w:eastAsia="Arial" w:hAnsi="Arial"/>
          <w:sz w:val="18"/>
          <w:szCs w:val="18"/>
          <w:b w:val="1"/>
          <w:bCs w:val="1"/>
          <w:color w:val="auto"/>
        </w:rPr>
      </w:pPr>
    </w:p>
    <w:p>
      <w:pPr>
        <w:jc w:val="both"/>
        <w:ind w:left="-460" w:firstLine="644"/>
        <w:spacing w:after="0" w:line="266" w:lineRule="auto"/>
        <w:tabs>
          <w:tab w:leader="none" w:pos="67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r>
        <w:rPr>
          <w:rFonts w:ascii="Arial" w:cs="Arial" w:eastAsia="Arial" w:hAnsi="Arial"/>
          <w:sz w:val="18"/>
          <w:szCs w:val="18"/>
          <w:color w:val="auto"/>
        </w:rPr>
        <w:t>. There are no business relationships or related-person transactions involving the Company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or any other person required to be described in the Registration Statement, the Time of Sale Prospectus or the Prospectus that have not been described as required.</w:t>
      </w:r>
    </w:p>
    <w:p>
      <w:pPr>
        <w:spacing w:after="0" w:line="175" w:lineRule="exact"/>
        <w:rPr>
          <w:rFonts w:ascii="Arial" w:cs="Arial" w:eastAsia="Arial" w:hAnsi="Arial"/>
          <w:sz w:val="18"/>
          <w:szCs w:val="18"/>
          <w:b w:val="1"/>
          <w:bCs w:val="1"/>
          <w:color w:val="auto"/>
        </w:rPr>
      </w:pPr>
    </w:p>
    <w:p>
      <w:pPr>
        <w:ind w:left="680" w:hanging="496"/>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left="-460" w:firstLine="644"/>
        <w:spacing w:after="0" w:line="347" w:lineRule="auto"/>
        <w:tabs>
          <w:tab w:leader="none" w:pos="71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Sarbanes-Oxley Act</w:t>
      </w:r>
      <w:r>
        <w:rPr>
          <w:rFonts w:ascii="Arial" w:cs="Arial" w:eastAsia="Arial" w:hAnsi="Arial"/>
          <w:sz w:val="16"/>
          <w:szCs w:val="16"/>
          <w:color w:val="auto"/>
        </w:rPr>
        <w:t>. The Company, its subsidiaries and the Company’s Board of Directors and officers are in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Sarbanes-Oxley Act and the rules and regulations of the Commission thereunder in all material respects, in each case to the extent applicable.</w:t>
      </w:r>
    </w:p>
    <w:p>
      <w:pPr>
        <w:spacing w:after="0" w:line="3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 w:name="page18"/>
    <w:bookmarkEnd w:id="17"/>
    <w:p>
      <w:pPr>
        <w:jc w:val="both"/>
        <w:ind w:left="-460" w:firstLine="644"/>
        <w:spacing w:after="0" w:line="314" w:lineRule="auto"/>
        <w:tabs>
          <w:tab w:leader="none" w:pos="655"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Statistical and Market-Related Data</w:t>
      </w:r>
      <w:r>
        <w:rPr>
          <w:rFonts w:ascii="Arial" w:cs="Arial" w:eastAsia="Arial" w:hAnsi="Arial"/>
          <w:sz w:val="16"/>
          <w:szCs w:val="16"/>
          <w:color w:val="auto"/>
        </w:rPr>
        <w:t>. All statistical, demographic and market-related data included in the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Time of Sale Prospectus or the Prospectus are based on or derived from sources that the Company believes, after reasonable inquiry, to be reliable and accurate. To the extent required, the Company has obtained the written consent to the use of such data from such sources.</w:t>
      </w:r>
    </w:p>
    <w:p>
      <w:pPr>
        <w:spacing w:after="0" w:line="141" w:lineRule="exact"/>
        <w:rPr>
          <w:rFonts w:ascii="Arial" w:cs="Arial" w:eastAsia="Arial" w:hAnsi="Arial"/>
          <w:sz w:val="16"/>
          <w:szCs w:val="16"/>
          <w:b w:val="1"/>
          <w:bCs w:val="1"/>
          <w:color w:val="auto"/>
        </w:rPr>
      </w:pPr>
    </w:p>
    <w:p>
      <w:pPr>
        <w:jc w:val="both"/>
        <w:ind w:left="-460" w:firstLine="644"/>
        <w:spacing w:after="0" w:line="261" w:lineRule="auto"/>
        <w:tabs>
          <w:tab w:leader="none" w:pos="67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No Unlawful Contributions or Other Payments</w:t>
      </w:r>
      <w:r>
        <w:rPr>
          <w:rFonts w:ascii="Arial" w:cs="Arial" w:eastAsia="Arial" w:hAnsi="Arial"/>
          <w:sz w:val="18"/>
          <w:szCs w:val="18"/>
          <w:color w:val="auto"/>
        </w:rPr>
        <w:t>. Neither the Company nor any of its subsidiaries nor, to the best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79" w:lineRule="exact"/>
        <w:rPr>
          <w:rFonts w:ascii="Arial" w:cs="Arial" w:eastAsia="Arial" w:hAnsi="Arial"/>
          <w:sz w:val="18"/>
          <w:szCs w:val="18"/>
          <w:b w:val="1"/>
          <w:bCs w:val="1"/>
          <w:color w:val="auto"/>
        </w:rPr>
      </w:pPr>
    </w:p>
    <w:p>
      <w:pPr>
        <w:jc w:val="both"/>
        <w:ind w:left="-460" w:firstLine="644"/>
        <w:spacing w:after="0" w:line="287" w:lineRule="auto"/>
        <w:tabs>
          <w:tab w:leader="none" w:pos="688"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Neither the Company nor any of its subsidiaries nor, to the knowledge of the Company, any</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or officer, employee, agent, affiliate (as such term is defined in Rule 501(b) of the Securities Act) or other person acting on behalf of the Company or any of its subsidiaries has, in the course of its actions for, or on behalf of, the Company or any of its subsidiaries,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payment or benefit. The Company and its subsidiaries have instituted, and maintain and enforce, policies and procedures designed to promote and ensure compliance with all applicable anti-bribery and anti-corruption laws.</w:t>
      </w:r>
    </w:p>
    <w:p>
      <w:pPr>
        <w:spacing w:after="0" w:line="163" w:lineRule="exact"/>
        <w:rPr>
          <w:rFonts w:ascii="Arial" w:cs="Arial" w:eastAsia="Arial" w:hAnsi="Arial"/>
          <w:sz w:val="16"/>
          <w:szCs w:val="16"/>
          <w:b w:val="1"/>
          <w:bCs w:val="1"/>
          <w:color w:val="auto"/>
        </w:rPr>
      </w:pPr>
    </w:p>
    <w:p>
      <w:pPr>
        <w:jc w:val="both"/>
        <w:ind w:left="-460" w:firstLine="644"/>
        <w:spacing w:after="0" w:line="273" w:lineRule="auto"/>
        <w:tabs>
          <w:tab w:leader="none" w:pos="655"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Money Laundering Laws</w:t>
      </w:r>
      <w:r>
        <w:rPr>
          <w:rFonts w:ascii="Arial" w:cs="Arial" w:eastAsia="Arial" w:hAnsi="Arial"/>
          <w:sz w:val="17"/>
          <w:szCs w:val="17"/>
          <w:color w:val="auto"/>
        </w:rPr>
        <w:t>. The operations of the Company and its subsidiaries are and have been conducted at all times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in all material respects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applicable rules, regulations or guidelines issued, administered or enforced by any governmental or regulatory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or regulatory agency, authority or body or any arbitrator involving the Company or any of its subsidiaries with respect to the Money Laundering Laws is pending or, to the knowledge of the Company, threatened.</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left="-460" w:firstLine="644"/>
        <w:spacing w:after="0" w:line="286" w:lineRule="auto"/>
        <w:tabs>
          <w:tab w:leader="none" w:pos="765"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OFAC</w:t>
      </w:r>
      <w:r>
        <w:rPr>
          <w:rFonts w:ascii="Arial" w:cs="Arial" w:eastAsia="Arial" w:hAnsi="Arial"/>
          <w:sz w:val="16"/>
          <w:szCs w:val="16"/>
          <w:color w:val="auto"/>
        </w:rPr>
        <w:t>. Neither the Company nor any of its subsidiaries, nor, to the knowledge of the Company, after due inquiry, any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or officers, employees, agents, or affiliates (as such term is defined in Rule 501(b) of the Securities Act)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or the U.S. Department of State and including, without limitation, the designation as a “specially designated national” or “blocked person”), the United Nations Security Council, the European Union, Her Majesty’s Treasury (“</w:t>
      </w:r>
      <w:r>
        <w:rPr>
          <w:rFonts w:ascii="Arial" w:cs="Arial" w:eastAsia="Arial" w:hAnsi="Arial"/>
          <w:sz w:val="16"/>
          <w:szCs w:val="16"/>
          <w:b w:val="1"/>
          <w:bCs w:val="1"/>
          <w:color w:val="auto"/>
        </w:rPr>
        <w:t>HMT</w:t>
      </w:r>
      <w:r>
        <w:rPr>
          <w:rFonts w:ascii="Arial" w:cs="Arial" w:eastAsia="Arial" w:hAnsi="Arial"/>
          <w:sz w:val="16"/>
          <w:szCs w:val="16"/>
          <w:color w:val="auto"/>
        </w:rPr>
        <w:t>”), or other applicable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subject or the target of Sanctions (each, a “</w:t>
      </w:r>
      <w:r>
        <w:rPr>
          <w:rFonts w:ascii="Arial" w:cs="Arial" w:eastAsia="Arial" w:hAnsi="Arial"/>
          <w:sz w:val="16"/>
          <w:szCs w:val="16"/>
          <w:b w:val="1"/>
          <w:bCs w:val="1"/>
          <w:color w:val="auto"/>
        </w:rPr>
        <w:t>Sanctioned Country</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70" w:lineRule="exact"/>
        <w:rPr>
          <w:rFonts w:ascii="Arial" w:cs="Arial" w:eastAsia="Arial" w:hAnsi="Arial"/>
          <w:sz w:val="16"/>
          <w:szCs w:val="16"/>
          <w:b w:val="1"/>
          <w:bCs w:val="1"/>
          <w:color w:val="auto"/>
        </w:rPr>
      </w:pPr>
    </w:p>
    <w:p>
      <w:pPr>
        <w:ind w:left="-460" w:firstLine="644"/>
        <w:spacing w:after="0" w:line="282" w:lineRule="auto"/>
        <w:tabs>
          <w:tab w:leader="none" w:pos="68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Except pursuant to this Agreement, there is no broker, finder or other party that is entitled to receive from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any brokerage or finder’s fee or other fee or commission as a result of any transactions contemplated by this Agreement.</w:t>
      </w:r>
    </w:p>
    <w:p>
      <w:pPr>
        <w:spacing w:after="0" w:line="161" w:lineRule="exact"/>
        <w:rPr>
          <w:rFonts w:ascii="Arial" w:cs="Arial" w:eastAsia="Arial" w:hAnsi="Arial"/>
          <w:sz w:val="18"/>
          <w:szCs w:val="18"/>
          <w:b w:val="1"/>
          <w:bCs w:val="1"/>
          <w:color w:val="auto"/>
        </w:rPr>
      </w:pPr>
    </w:p>
    <w:p>
      <w:pPr>
        <w:jc w:val="both"/>
        <w:ind w:left="-460" w:firstLine="644"/>
        <w:spacing w:after="0" w:line="274" w:lineRule="auto"/>
        <w:tabs>
          <w:tab w:leader="none" w:pos="69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Forward-Looking Statements</w:t>
      </w:r>
      <w:r>
        <w:rPr>
          <w:rFonts w:ascii="Arial" w:cs="Arial" w:eastAsia="Arial" w:hAnsi="Arial"/>
          <w:sz w:val="17"/>
          <w:szCs w:val="17"/>
          <w:color w:val="auto"/>
        </w:rPr>
        <w:t>. Each financial or operational projection or other “</w:t>
      </w:r>
      <w:r>
        <w:rPr>
          <w:rFonts w:ascii="Arial" w:cs="Arial" w:eastAsia="Arial" w:hAnsi="Arial"/>
          <w:sz w:val="17"/>
          <w:szCs w:val="17"/>
          <w:b w:val="1"/>
          <w:bCs w:val="1"/>
          <w:color w:val="auto"/>
        </w:rPr>
        <w:t>forward-looking statement</w:t>
      </w:r>
      <w:r>
        <w:rPr>
          <w:rFonts w:ascii="Arial" w:cs="Arial" w:eastAsia="Arial" w:hAnsi="Arial"/>
          <w:sz w:val="17"/>
          <w:szCs w:val="17"/>
          <w:color w:val="auto"/>
        </w:rPr>
        <w:t>” (as defined by</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27A 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73" w:lineRule="exact"/>
        <w:rPr>
          <w:rFonts w:ascii="Arial" w:cs="Arial" w:eastAsia="Arial" w:hAnsi="Arial"/>
          <w:sz w:val="17"/>
          <w:szCs w:val="17"/>
          <w:b w:val="1"/>
          <w:bCs w:val="1"/>
          <w:color w:val="auto"/>
        </w:rPr>
      </w:pPr>
    </w:p>
    <w:p>
      <w:pPr>
        <w:jc w:val="both"/>
        <w:ind w:left="-460" w:firstLine="644"/>
        <w:spacing w:after="0" w:line="256" w:lineRule="auto"/>
        <w:tabs>
          <w:tab w:leader="none" w:pos="71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Bank Regulatory Matters</w:t>
      </w:r>
      <w:r>
        <w:rPr>
          <w:rFonts w:ascii="Arial" w:cs="Arial" w:eastAsia="Arial" w:hAnsi="Arial"/>
          <w:sz w:val="18"/>
          <w:szCs w:val="18"/>
          <w:color w:val="auto"/>
        </w:rPr>
        <w:t>. The Company and each subsidiary has been and is in compliance with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of (including, without limitation, all applicable regulations and orders of, or agreements with), the Board of Governors of the Federal Reserve System (“</w:t>
      </w:r>
      <w:r>
        <w:rPr>
          <w:rFonts w:ascii="Arial" w:cs="Arial" w:eastAsia="Arial" w:hAnsi="Arial"/>
          <w:sz w:val="18"/>
          <w:szCs w:val="18"/>
          <w:b w:val="1"/>
          <w:bCs w:val="1"/>
          <w:color w:val="auto"/>
        </w:rPr>
        <w:t>Federal Reserve</w:t>
      </w:r>
      <w:r>
        <w:rPr>
          <w:rFonts w:ascii="Arial" w:cs="Arial" w:eastAsia="Arial" w:hAnsi="Arial"/>
          <w:sz w:val="18"/>
          <w:szCs w:val="18"/>
          <w:color w:val="auto"/>
        </w:rPr>
        <w:t>”), the Federal Deposit Insurance Corporation (“</w:t>
      </w:r>
      <w:r>
        <w:rPr>
          <w:rFonts w:ascii="Arial" w:cs="Arial" w:eastAsia="Arial" w:hAnsi="Arial"/>
          <w:sz w:val="18"/>
          <w:szCs w:val="18"/>
          <w:b w:val="1"/>
          <w:bCs w:val="1"/>
          <w:color w:val="auto"/>
        </w:rPr>
        <w:t>FDIC</w:t>
      </w:r>
      <w:r>
        <w:rPr>
          <w:rFonts w:ascii="Arial" w:cs="Arial" w:eastAsia="Arial" w:hAnsi="Arial"/>
          <w:sz w:val="18"/>
          <w:szCs w:val="18"/>
          <w:color w:val="auto"/>
        </w:rPr>
        <w:t>”), the Illinois Department of Financial and Professional Regulation - Division of Banking (“</w:t>
      </w:r>
      <w:r>
        <w:rPr>
          <w:rFonts w:ascii="Arial" w:cs="Arial" w:eastAsia="Arial" w:hAnsi="Arial"/>
          <w:sz w:val="18"/>
          <w:szCs w:val="18"/>
          <w:b w:val="1"/>
          <w:bCs w:val="1"/>
          <w:color w:val="auto"/>
        </w:rPr>
        <w:t>IDFPR</w:t>
      </w:r>
      <w:r>
        <w:rPr>
          <w:rFonts w:ascii="Arial" w:cs="Arial" w:eastAsia="Arial" w:hAnsi="Arial"/>
          <w:sz w:val="18"/>
          <w:szCs w:val="18"/>
          <w:color w:val="auto"/>
        </w:rPr>
        <w:t>”), and any other federal or state bank regulatory authority with jurisdiction over the Company or its subsidiaries (collectively, the “</w:t>
      </w:r>
      <w:r>
        <w:rPr>
          <w:rFonts w:ascii="Arial" w:cs="Arial" w:eastAsia="Arial" w:hAnsi="Arial"/>
          <w:sz w:val="18"/>
          <w:szCs w:val="18"/>
          <w:b w:val="1"/>
          <w:bCs w:val="1"/>
          <w:color w:val="auto"/>
        </w:rPr>
        <w:t>Bank Regulatory Authorities</w:t>
      </w:r>
      <w:r>
        <w:rPr>
          <w:rFonts w:ascii="Arial" w:cs="Arial" w:eastAsia="Arial" w:hAnsi="Arial"/>
          <w:sz w:val="18"/>
          <w:szCs w:val="18"/>
          <w:color w:val="auto"/>
        </w:rPr>
        <w:t>”), except where failure to be so in compliance would not reasonably be expected to, individually or in the aggregate, have a Material Adverse Effect.</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 w:name="page20"/>
    <w:bookmarkEnd w:id="19"/>
    <w:p>
      <w:pPr>
        <w:jc w:val="both"/>
        <w:ind w:left="660" w:right="20" w:firstLine="644"/>
        <w:spacing w:after="0" w:line="261" w:lineRule="auto"/>
        <w:tabs>
          <w:tab w:leader="none" w:pos="183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Community Reinvestment Act</w:t>
      </w:r>
      <w:r>
        <w:rPr>
          <w:rFonts w:ascii="Arial" w:cs="Arial" w:eastAsia="Arial" w:hAnsi="Arial"/>
          <w:sz w:val="18"/>
          <w:szCs w:val="18"/>
          <w:color w:val="auto"/>
        </w:rPr>
        <w:t>. The Company and the Principal Banking Subsidiary have no knowledge of any facts and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and have no reason to believe that any facts or circumstances exist, that would cause the Principal Banking Subsidiary to be deemed not to be in satisfactory compliance with the Community Reinvestment Act (“</w:t>
      </w:r>
      <w:r>
        <w:rPr>
          <w:rFonts w:ascii="Arial" w:cs="Arial" w:eastAsia="Arial" w:hAnsi="Arial"/>
          <w:sz w:val="18"/>
          <w:szCs w:val="18"/>
          <w:b w:val="1"/>
          <w:bCs w:val="1"/>
          <w:color w:val="auto"/>
        </w:rPr>
        <w:t>CRA</w:t>
      </w:r>
      <w:r>
        <w:rPr>
          <w:rFonts w:ascii="Arial" w:cs="Arial" w:eastAsia="Arial" w:hAnsi="Arial"/>
          <w:sz w:val="18"/>
          <w:szCs w:val="18"/>
          <w:color w:val="auto"/>
        </w:rPr>
        <w:t>”) and the regulations promulgated thereunder or to be assigned a CRA rating by federal or state banking regulators of lower than “satisfactory.”</w:t>
      </w:r>
    </w:p>
    <w:p>
      <w:pPr>
        <w:spacing w:after="0" w:line="179" w:lineRule="exact"/>
        <w:rPr>
          <w:rFonts w:ascii="Arial" w:cs="Arial" w:eastAsia="Arial" w:hAnsi="Arial"/>
          <w:sz w:val="18"/>
          <w:szCs w:val="18"/>
          <w:b w:val="1"/>
          <w:bCs w:val="1"/>
          <w:color w:val="auto"/>
        </w:rPr>
      </w:pPr>
    </w:p>
    <w:p>
      <w:pPr>
        <w:jc w:val="both"/>
        <w:ind w:left="660" w:firstLine="644"/>
        <w:spacing w:after="0" w:line="266" w:lineRule="auto"/>
        <w:tabs>
          <w:tab w:leader="none" w:pos="179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FDIC</w:t>
      </w:r>
      <w:r>
        <w:rPr>
          <w:rFonts w:ascii="Arial" w:cs="Arial" w:eastAsia="Arial" w:hAnsi="Arial"/>
          <w:sz w:val="18"/>
          <w:szCs w:val="18"/>
          <w:color w:val="auto"/>
        </w:rPr>
        <w:t>. The deposit accounts of the Principal Banking Subsidiary are insured by the FDIC up to the legal maximum, the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Banking Subsidiary has paid all premiums and assessments required by the FDIC and the regulations thereunder, and no proceeding for the termination or revocation of such insurance is pending or, to the knowledge of the Company, threatened.</w:t>
      </w:r>
    </w:p>
    <w:p>
      <w:pPr>
        <w:spacing w:after="0" w:line="175" w:lineRule="exact"/>
        <w:rPr>
          <w:rFonts w:ascii="Arial" w:cs="Arial" w:eastAsia="Arial" w:hAnsi="Arial"/>
          <w:sz w:val="18"/>
          <w:szCs w:val="18"/>
          <w:b w:val="1"/>
          <w:bCs w:val="1"/>
          <w:color w:val="auto"/>
        </w:rPr>
      </w:pPr>
    </w:p>
    <w:p>
      <w:pPr>
        <w:jc w:val="both"/>
        <w:ind w:left="660" w:firstLine="644"/>
        <w:spacing w:after="0" w:line="269" w:lineRule="auto"/>
        <w:tabs>
          <w:tab w:leader="none" w:pos="177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IT Systems</w:t>
      </w:r>
      <w:r>
        <w:rPr>
          <w:rFonts w:ascii="Arial" w:cs="Arial" w:eastAsia="Arial" w:hAnsi="Arial"/>
          <w:sz w:val="17"/>
          <w:szCs w:val="17"/>
          <w:color w:val="auto"/>
        </w:rPr>
        <w:t>. (i) The Company is not aware of any security breach or other compromise relating to the Company’s or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information technology and computer systems, networks, hardware, software, data and databases (including the data and information of their respective customers, employees, suppliers, vendors and any third party data maintained by or on behalf of them), equipment or technology (collectively, “</w:t>
      </w:r>
      <w:r>
        <w:rPr>
          <w:rFonts w:ascii="Arial" w:cs="Arial" w:eastAsia="Arial" w:hAnsi="Arial"/>
          <w:sz w:val="17"/>
          <w:szCs w:val="17"/>
          <w:b w:val="1"/>
          <w:bCs w:val="1"/>
          <w:color w:val="auto"/>
        </w:rPr>
        <w:t>IT Systems and Data</w:t>
      </w:r>
      <w:r>
        <w:rPr>
          <w:rFonts w:ascii="Arial" w:cs="Arial" w:eastAsia="Arial" w:hAnsi="Arial"/>
          <w:sz w:val="17"/>
          <w:szCs w:val="17"/>
          <w:color w:val="auto"/>
        </w:rPr>
        <w:t>”) except that have been remedied without material cost or liability; (ii) neither the Company nor its subsidiaries have been notified of, and have no knowledge of any event or condition that would reasonably be expected to result in, any material security breach or other material compromise to their IT Systems and Data; and (iii)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judgments, orders, rules and regulations of any court or arbitrator or governmental or regulatory authority and internal policies relating to the privacy and security of IT Systems and Data and to the reasonable protection of such IT Systems and Data from unauthorized use, access, misappropriation or modification.</w:t>
      </w:r>
    </w:p>
    <w:p>
      <w:pPr>
        <w:spacing w:after="0" w:line="178" w:lineRule="exact"/>
        <w:rPr>
          <w:rFonts w:ascii="Arial" w:cs="Arial" w:eastAsia="Arial" w:hAnsi="Arial"/>
          <w:sz w:val="17"/>
          <w:szCs w:val="17"/>
          <w:b w:val="1"/>
          <w:bCs w:val="1"/>
          <w:color w:val="auto"/>
        </w:rPr>
      </w:pPr>
    </w:p>
    <w:p>
      <w:pPr>
        <w:jc w:val="both"/>
        <w:ind w:left="660" w:firstLine="644"/>
        <w:spacing w:after="0" w:line="287" w:lineRule="auto"/>
        <w:tabs>
          <w:tab w:leader="none" w:pos="1795"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Absence of Further Requirements</w:t>
      </w:r>
      <w:r>
        <w:rPr>
          <w:rFonts w:ascii="Arial" w:cs="Arial" w:eastAsia="Arial" w:hAnsi="Arial"/>
          <w:sz w:val="16"/>
          <w:szCs w:val="16"/>
          <w:color w:val="auto"/>
        </w:rPr>
        <w:t>. No filing with, or authorization, approval, consent, license, order, registration, qualification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decree of, any Regulatory Agency is necessary or required for the performance by the Company of its obligations under this Agreement, in connection with the offering, issuance or sale of the Securities or the consummation of the transactions contemplated in this Agreement, except as have been already obtained or as may be required under the Securities Act, the securities laws of any state or non-U.S. jurisdiction or the rules of</w:t>
      </w:r>
    </w:p>
    <w:p>
      <w:pPr>
        <w:spacing w:after="0" w:line="2"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FINRA.</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of the Company or any of its subsidiaries and delivered to the Underwriters or to counsel for the Underwriters in connection with the offering, or the purchase and sale, of the Securities shall be deemed a representation and warranty by the Company to the Underwriters as to the matters covered thereby.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86"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 The Company acknowledges that the Underwriters and, for purposes of the opinions to be delivered pursuant to Section 7 hereof, counsel to the Company and counsel to the Underwriters, will rely upon the accuracy and truthfulness of the foregoing representations and hereby consents to such reliance.</w:t>
      </w:r>
    </w:p>
    <w:p>
      <w:pPr>
        <w:spacing w:after="0" w:line="161"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Representations and Warranties of the Principal Banking Subsidiary</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Principal Banking Subsidiary hereby represents and warrants to the Underwriters as of the date of this Agreement and as of the Closing Date, as follows:</w:t>
      </w:r>
    </w:p>
    <w:p>
      <w:pPr>
        <w:spacing w:after="0" w:line="166" w:lineRule="exact"/>
        <w:rPr>
          <w:sz w:val="20"/>
          <w:szCs w:val="20"/>
          <w:color w:val="auto"/>
        </w:rPr>
      </w:pPr>
    </w:p>
    <w:p>
      <w:pPr>
        <w:jc w:val="both"/>
        <w:ind w:left="660" w:firstLine="644"/>
        <w:spacing w:after="0" w:line="288" w:lineRule="auto"/>
        <w:tabs>
          <w:tab w:leader="none" w:pos="176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Incorporation and Good Standing of the Principal Banking Subsidiary</w:t>
      </w:r>
      <w:r>
        <w:rPr>
          <w:rFonts w:ascii="Arial" w:cs="Arial" w:eastAsia="Arial" w:hAnsi="Arial"/>
          <w:sz w:val="16"/>
          <w:szCs w:val="16"/>
          <w:color w:val="auto"/>
        </w:rPr>
        <w:t>. The Principal Banking Subsidiary has been duly</w:t>
      </w:r>
      <w:r>
        <w:rPr>
          <w:rFonts w:ascii="Arial" w:cs="Arial" w:eastAsia="Arial" w:hAnsi="Arial"/>
          <w:sz w:val="16"/>
          <w:szCs w:val="16"/>
          <w:b w:val="1"/>
          <w:bCs w:val="1"/>
          <w:color w:val="auto"/>
        </w:rPr>
        <w:t xml:space="preserve"> </w:t>
      </w:r>
      <w:r>
        <w:rPr>
          <w:rFonts w:ascii="Arial" w:cs="Arial" w:eastAsia="Arial" w:hAnsi="Arial"/>
          <w:sz w:val="16"/>
          <w:szCs w:val="16"/>
          <w:color w:val="auto"/>
        </w:rPr>
        <w:t>organized and is validly existing as a state chartered bank regulated by the IDFPR and the FDIC, is in good standing under the laws of the State of Illinois and its charter is in full force and effect; the Principal Banking Subsidiary has corporate power and authority to own, lease and operate its properties and conduct its business as described in the Registration Statement, the Time of Sale Prospectus and the Prospectus; all of the issued and outstanding capital stock of the Principal Banking Subsidiary has been duly authorized and validly issued and is fully paid and non-assessable; and 100% of the capital stock of the Principal Banking Subsidiary is owned directly by the Company, free and clear of any mortgage, pledge, lien, encumbrance, claim or equity. There are no outstanding rights, warrants or options to acquire or instruments convertible into or exchangeable for any capital stock or equity securities of the Principal Banking Subsidiary. The Principal Banking Subsidiary is the only depository institution subsidiary of the Company and the Principal Banking Subsidiary is a member in good standing of the Federal Home Loan Bank System. The Principal Banking Subsidiary is “</w:t>
      </w:r>
      <w:r>
        <w:rPr>
          <w:rFonts w:ascii="Arial" w:cs="Arial" w:eastAsia="Arial" w:hAnsi="Arial"/>
          <w:sz w:val="16"/>
          <w:szCs w:val="16"/>
          <w:b w:val="1"/>
          <w:bCs w:val="1"/>
          <w:color w:val="auto"/>
        </w:rPr>
        <w:t>well capitalized</w:t>
      </w:r>
      <w:r>
        <w:rPr>
          <w:rFonts w:ascii="Arial" w:cs="Arial" w:eastAsia="Arial" w:hAnsi="Arial"/>
          <w:sz w:val="16"/>
          <w:szCs w:val="16"/>
          <w:color w:val="auto"/>
        </w:rPr>
        <w:t>” (as that term is defined at 12 C.F.R. 6.4(b)(1)) and neither the Company nor the Principal Banking Subsidiary has been informed by any Bank Regulatory Authority that its status as “well-capitalized” will change within one year.</w:t>
      </w:r>
    </w:p>
    <w:p>
      <w:pPr>
        <w:spacing w:after="0" w:line="163" w:lineRule="exact"/>
        <w:rPr>
          <w:rFonts w:ascii="Arial" w:cs="Arial" w:eastAsia="Arial" w:hAnsi="Arial"/>
          <w:sz w:val="16"/>
          <w:szCs w:val="16"/>
          <w:b w:val="1"/>
          <w:bCs w:val="1"/>
          <w:color w:val="auto"/>
        </w:rPr>
      </w:pPr>
    </w:p>
    <w:p>
      <w:pPr>
        <w:jc w:val="both"/>
        <w:ind w:left="660" w:firstLine="644"/>
        <w:spacing w:after="0" w:line="255" w:lineRule="auto"/>
        <w:tabs>
          <w:tab w:leader="none" w:pos="177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The Underwriting Agreement</w:t>
      </w:r>
      <w:r>
        <w:rPr>
          <w:rFonts w:ascii="Arial" w:cs="Arial" w:eastAsia="Arial" w:hAnsi="Arial"/>
          <w:sz w:val="18"/>
          <w:szCs w:val="18"/>
          <w:color w:val="auto"/>
        </w:rPr>
        <w:t>. This Agreement has been duly authorized, executed and delivered by the Principal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and, when duly executed by the Underwriters, will constitute the valid and legally binding agreement of the Principal Banking Subsidiary, enforceable in accordance with its terms, subject to applicable bankruptcy, insolvency, fraudulent transfer, reorganization, moratorium and similar laws of general applicability relating to, or affecting, the rights of creditors of corporations or commercial banks, including laws relating to conservatorship and receivership of insured depository institutions, and to general equity principles, and except as rights to indemnity or contribution, including but not limited to, indemnification provisions set forth in this Agreement, may be limited by federal or state securities law or the public policy underlying such laws.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left="-460" w:firstLine="644"/>
        <w:spacing w:after="0" w:line="255" w:lineRule="auto"/>
        <w:tabs>
          <w:tab w:leader="none" w:pos="63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Non-Contravention of Constituent Documents</w:t>
      </w:r>
      <w:r>
        <w:rPr>
          <w:rFonts w:ascii="Arial" w:cs="Arial" w:eastAsia="Arial" w:hAnsi="Arial"/>
          <w:sz w:val="18"/>
          <w:szCs w:val="18"/>
          <w:color w:val="auto"/>
        </w:rPr>
        <w:t>. Neither the Principal Banking Subsidiary nor any of its subsidiaries is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its charter or by-laws, partnership agreement or operating agreement or similar organizational documents, as applicable, or is in Default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Principal Banking Subsidiary or any of its subsidiaries is a party or by which it or any of them may be bound, or to which any of their respective properties or assets are subject, except for such Defaults as would not reasonably be expected, individually or in the aggregate, to have a Material Adverse Effect.</w:t>
      </w:r>
    </w:p>
    <w:p>
      <w:pPr>
        <w:spacing w:after="0" w:line="188" w:lineRule="exact"/>
        <w:rPr>
          <w:rFonts w:ascii="Arial" w:cs="Arial" w:eastAsia="Arial" w:hAnsi="Arial"/>
          <w:sz w:val="18"/>
          <w:szCs w:val="18"/>
          <w:b w:val="1"/>
          <w:bCs w:val="1"/>
          <w:color w:val="auto"/>
        </w:rPr>
      </w:pPr>
    </w:p>
    <w:p>
      <w:pPr>
        <w:ind w:left="-460" w:firstLine="644"/>
        <w:spacing w:after="0" w:line="282" w:lineRule="auto"/>
        <w:tabs>
          <w:tab w:leader="none" w:pos="65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Banking Subsidiary not an “Investment Company.” </w:t>
      </w:r>
      <w:r>
        <w:rPr>
          <w:rFonts w:ascii="Arial" w:cs="Arial" w:eastAsia="Arial" w:hAnsi="Arial"/>
          <w:sz w:val="18"/>
          <w:szCs w:val="18"/>
          <w:color w:val="auto"/>
        </w:rPr>
        <w:t>The Principal Banking Subsidiary is not, and will not be after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Transactions, required to register as an “investment company” under the Investment Company Act.</w:t>
      </w:r>
    </w:p>
    <w:p>
      <w:pPr>
        <w:spacing w:after="0" w:line="161" w:lineRule="exact"/>
        <w:rPr>
          <w:rFonts w:ascii="Arial" w:cs="Arial" w:eastAsia="Arial" w:hAnsi="Arial"/>
          <w:sz w:val="18"/>
          <w:szCs w:val="18"/>
          <w:b w:val="1"/>
          <w:bCs w:val="1"/>
          <w:color w:val="auto"/>
        </w:rPr>
      </w:pPr>
    </w:p>
    <w:p>
      <w:pPr>
        <w:jc w:val="both"/>
        <w:ind w:left="-460" w:firstLine="644"/>
        <w:spacing w:after="0" w:line="261" w:lineRule="auto"/>
        <w:tabs>
          <w:tab w:leader="none" w:pos="63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Banking Laws</w:t>
      </w:r>
      <w:r>
        <w:rPr>
          <w:rFonts w:ascii="Arial" w:cs="Arial" w:eastAsia="Arial" w:hAnsi="Arial"/>
          <w:sz w:val="18"/>
          <w:szCs w:val="18"/>
          <w:color w:val="auto"/>
        </w:rPr>
        <w:t>. The Principal Banking Subsidiary and each subsidiary of the Principal Banking Subsidiary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and is in compliance with all applicable laws, rules and regulations of (including, without limitation, all applicable regulations and orders of, or agreements with), the IDFPR, the FDIC, and any other Bank Regulatory Authorities, except where failure to be so in compliance would not reasonably be expected, individually or in the aggregate, to have a Material Adverse Effect.</w:t>
      </w:r>
    </w:p>
    <w:p>
      <w:pPr>
        <w:spacing w:after="0" w:line="179" w:lineRule="exact"/>
        <w:rPr>
          <w:rFonts w:ascii="Arial" w:cs="Arial" w:eastAsia="Arial" w:hAnsi="Arial"/>
          <w:sz w:val="18"/>
          <w:szCs w:val="18"/>
          <w:b w:val="1"/>
          <w:bCs w:val="1"/>
          <w:color w:val="auto"/>
        </w:rPr>
      </w:pPr>
    </w:p>
    <w:p>
      <w:pPr>
        <w:jc w:val="both"/>
        <w:ind w:left="-460" w:firstLine="644"/>
        <w:spacing w:after="0" w:line="314" w:lineRule="auto"/>
        <w:tabs>
          <w:tab w:leader="none" w:pos="638"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FDIC</w:t>
      </w:r>
      <w:r>
        <w:rPr>
          <w:rFonts w:ascii="Arial" w:cs="Arial" w:eastAsia="Arial" w:hAnsi="Arial"/>
          <w:sz w:val="16"/>
          <w:szCs w:val="16"/>
          <w:color w:val="auto"/>
        </w:rPr>
        <w:t>. The deposit accounts of the Principal Banking Subsidiary are insured by the FDIC up to the legal maximum,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Banking Subsidiary has paid all premiums and assessments required by the FDIC and the regulations thereunder, and no proceeding for the termination or revocation of such insurance is pending or, to the knowledge of the Principal Banking Subsidiary, threatened.</w:t>
      </w:r>
    </w:p>
    <w:p>
      <w:pPr>
        <w:spacing w:after="0" w:line="141" w:lineRule="exact"/>
        <w:rPr>
          <w:rFonts w:ascii="Arial" w:cs="Arial" w:eastAsia="Arial" w:hAnsi="Arial"/>
          <w:sz w:val="16"/>
          <w:szCs w:val="16"/>
          <w:b w:val="1"/>
          <w:bCs w:val="1"/>
          <w:color w:val="auto"/>
        </w:rPr>
      </w:pPr>
    </w:p>
    <w:p>
      <w:pPr>
        <w:jc w:val="both"/>
        <w:ind w:left="-460" w:firstLine="644"/>
        <w:spacing w:after="0" w:line="269" w:lineRule="auto"/>
        <w:tabs>
          <w:tab w:leader="none" w:pos="645"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Privacy Laws</w:t>
      </w:r>
      <w:r>
        <w:rPr>
          <w:rFonts w:ascii="Arial" w:cs="Arial" w:eastAsia="Arial" w:hAnsi="Arial"/>
          <w:sz w:val="17"/>
          <w:szCs w:val="17"/>
          <w:color w:val="auto"/>
        </w:rPr>
        <w:t>. The Principal Banking Subsidiary (i) complies in all material respects with the Privacy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(as defined below) that apply to any given set of personal information collected by the Principal Banking Subsidiary from Individuals (as defined below), (ii) complies in all material respects with all applicable federal, state, local and foreign laws and regulations regarding the collection, retention, use, transfer or disclosure of personal information, and (iii) takes reasonable measures as are customary in the business in which the Principal Banking Subsidiary and its subsidiaries are engaged to protect and maintain the confidential nature of the personal information provided to the Principal Banking Subsidiary by Individuals in accordance with the terms of the applicable Privacy Statements. To the Company’s knowledge, no material claim or controversy has arisen or been threatened regarding the Privacy Statements or the implementation thereof. As used herein, “</w:t>
      </w:r>
      <w:r>
        <w:rPr>
          <w:rFonts w:ascii="Arial" w:cs="Arial" w:eastAsia="Arial" w:hAnsi="Arial"/>
          <w:sz w:val="17"/>
          <w:szCs w:val="17"/>
          <w:b w:val="1"/>
          <w:bCs w:val="1"/>
          <w:color w:val="auto"/>
        </w:rPr>
        <w:t>Privacy Statements</w:t>
      </w:r>
      <w:r>
        <w:rPr>
          <w:rFonts w:ascii="Arial" w:cs="Arial" w:eastAsia="Arial" w:hAnsi="Arial"/>
          <w:sz w:val="17"/>
          <w:szCs w:val="17"/>
          <w:color w:val="auto"/>
        </w:rPr>
        <w:t>” means, collectively, any and all of the Principal Banking Subsidiary’s privacy statements and policies published on websites or products or otherwise made available by the Principal Banking Subsidiary regarding the collection, retention, use and distribution of the personal information of an individual, including, without limitation, from visitors or users of any websites or products of the Principal Banking Subsidiary (“</w:t>
      </w:r>
      <w:r>
        <w:rPr>
          <w:rFonts w:ascii="Arial" w:cs="Arial" w:eastAsia="Arial" w:hAnsi="Arial"/>
          <w:sz w:val="17"/>
          <w:szCs w:val="17"/>
          <w:b w:val="1"/>
          <w:bCs w:val="1"/>
          <w:color w:val="auto"/>
        </w:rPr>
        <w:t>Individuals</w:t>
      </w:r>
      <w:r>
        <w:rPr>
          <w:rFonts w:ascii="Arial" w:cs="Arial" w:eastAsia="Arial" w:hAnsi="Arial"/>
          <w:sz w:val="17"/>
          <w:szCs w:val="17"/>
          <w:color w:val="auto"/>
        </w:rPr>
        <w:t>”).</w:t>
      </w:r>
    </w:p>
    <w:p>
      <w:pPr>
        <w:spacing w:after="0" w:line="200" w:lineRule="exact"/>
        <w:rPr>
          <w:sz w:val="20"/>
          <w:szCs w:val="20"/>
          <w:color w:val="auto"/>
        </w:rPr>
      </w:pPr>
    </w:p>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 w:name="page23"/>
    <w:bookmarkEnd w:id="22"/>
    <w:p>
      <w:pPr>
        <w:jc w:val="both"/>
        <w:ind w:left="660" w:firstLine="644"/>
        <w:spacing w:after="0" w:line="284" w:lineRule="auto"/>
        <w:tabs>
          <w:tab w:leader="none" w:pos="1775"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Mortgage Operations</w:t>
      </w:r>
      <w:r>
        <w:rPr>
          <w:rFonts w:ascii="Arial" w:cs="Arial" w:eastAsia="Arial" w:hAnsi="Arial"/>
          <w:sz w:val="16"/>
          <w:szCs w:val="16"/>
          <w:color w:val="auto"/>
        </w:rPr>
        <w:t>. Except as has not had and would not reasonably be expected to result in a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Effect: (i) the Principal Banking Subsidiary has complied with, and all documentation in connection with the origination, processing, underwriting and credit approval of any mortgage loan originated, purchased or serviced by the Principal Banking Subsidiary satisfied, (A) all applicable federal, state and local laws, rules and regulations with respect to the origination, insuring, purchase, sale, pooling, servicing, subservicing, or filing of claims in connection with mortgage loans, including all laws relating to real estate settlement procedures, consumer credit protection, truth in lending laws, usury limitations, fair housing, transfers of servicing, collection practices, equal credit opportunity and adjustable rate mortgages, (B) the responsibilities and obligations relating to mortgage loans set forth in any agreement between the Principal Banking Subsidiary and any Agency, Loan Investor or Insurer (each as defined herein), (C) the applicable rules, regulations, guidelines, handbooks and other requirements of any Agency, Loan Investor or Insurer and (D) the terms and provisions of any mortgage or other collateral documents and other loan documents with respect to each mortgage loan; and (ii) No Agency, Loan Investor or Insurer has (A) claimed in writing that the Principal Banking Subsidiary or any of its subsidiaries has violated or has not complied with the applicable underwriting standards with respect to mortgage loans sold by the Principal Banking Subsidiary or any of its subsidiaries to a Loan Investor or Agency, or with respect to any sale of mortgage servicing rights to a Loan Investor, (B) imposed in writing restrictions on the activities (including commitment authority) of the Principal Banking Subsidiary or any of its subsidiaries or (C) indicated in writing to the Principal Banking Subsidiary or any of its subsidiaries that it has terminated or intends to terminate its relationship with the Principal Banking Subsidiary or any of its subsidiaries for poor performance, poor loan quality or concern with respect to the Principal Banking Subsidiary’s or any of its subsidiaries’ compliance with laws. For purposes hereof (X) “</w:t>
      </w:r>
      <w:r>
        <w:rPr>
          <w:rFonts w:ascii="Arial" w:cs="Arial" w:eastAsia="Arial" w:hAnsi="Arial"/>
          <w:sz w:val="16"/>
          <w:szCs w:val="16"/>
          <w:b w:val="1"/>
          <w:bCs w:val="1"/>
          <w:color w:val="auto"/>
        </w:rPr>
        <w:t>Agency</w:t>
      </w:r>
      <w:r>
        <w:rPr>
          <w:rFonts w:ascii="Arial" w:cs="Arial" w:eastAsia="Arial" w:hAnsi="Arial"/>
          <w:sz w:val="16"/>
          <w:szCs w:val="16"/>
          <w:color w:val="auto"/>
        </w:rPr>
        <w:t>” means the Federal Housing Administration, the Federal Home Loan Mortgage Corporation, the Farmers Home Administration (now known as Rural Housing and Community Development Services), the Federal National Mortgage Association, the United States Department of Veterans’ Affairs, the Rural Housing Service of the U.S. Department of Agriculture or any other federal or state agency with authority to (1) determine any investment, origination, lending or servicing requirements with regard to mortgage loans originated, purchased or serviced by the Company, the Principal Banking Subsidiary or any of their subsidiaries or (2) originate, purchase, or service mortgage loans, or otherwise promote mortgage lending, including state and local housing finance authorities; (Y) “</w:t>
      </w:r>
      <w:r>
        <w:rPr>
          <w:rFonts w:ascii="Arial" w:cs="Arial" w:eastAsia="Arial" w:hAnsi="Arial"/>
          <w:sz w:val="16"/>
          <w:szCs w:val="16"/>
          <w:b w:val="1"/>
          <w:bCs w:val="1"/>
          <w:color w:val="auto"/>
        </w:rPr>
        <w:t>Loan Investor</w:t>
      </w:r>
      <w:r>
        <w:rPr>
          <w:rFonts w:ascii="Arial" w:cs="Arial" w:eastAsia="Arial" w:hAnsi="Arial"/>
          <w:sz w:val="16"/>
          <w:szCs w:val="16"/>
          <w:color w:val="auto"/>
        </w:rPr>
        <w:t>” means any person (including an Agency) having a beneficial interest in any mortgage loan originated, purchased or serviced by the Company, the Principal Banking Subsidiary or any of their subsidiaries or a security backed by or representing an interest in any such mortgage loan; and (X) “</w:t>
      </w:r>
      <w:r>
        <w:rPr>
          <w:rFonts w:ascii="Arial" w:cs="Arial" w:eastAsia="Arial" w:hAnsi="Arial"/>
          <w:sz w:val="16"/>
          <w:szCs w:val="16"/>
          <w:b w:val="1"/>
          <w:bCs w:val="1"/>
          <w:color w:val="auto"/>
        </w:rPr>
        <w:t>Insurer</w:t>
      </w:r>
      <w:r>
        <w:rPr>
          <w:rFonts w:ascii="Arial" w:cs="Arial" w:eastAsia="Arial" w:hAnsi="Arial"/>
          <w:sz w:val="16"/>
          <w:szCs w:val="16"/>
          <w:color w:val="auto"/>
        </w:rPr>
        <w:t>” means a person who insures or guarantees for the benefit of the mortgagee all or any portion of the risk of loss upon borrower default on any of the mortgage loans originated, purchased or serviced by the Company, the Principal Banking Subsidiary or any of their subsidiaries, including the Federal Housing Administration, the United States Department of Veterans’ Affairs, the Rural Housing Service of the U.S. Department of Agriculture and any private mortgage insurer, and providers of hazard, title or other insurance with respect to such mortgage loans or the related collateral.</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of the Principal Banking Subsidiary or any of its subsidiaries and delivered to the Underwriters or to counsel for the Underwriters in connection with the offering, or the purchase and sale, of the Securities shall be deemed a representation and warranty by the Principal Banking Subsidiary to the Underwriters as to the matters covered thereby.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311" w:lineRule="auto"/>
        <w:rPr>
          <w:sz w:val="20"/>
          <w:szCs w:val="20"/>
          <w:color w:val="auto"/>
        </w:rPr>
      </w:pPr>
      <w:r>
        <w:rPr>
          <w:rFonts w:ascii="Arial" w:cs="Arial" w:eastAsia="Arial" w:hAnsi="Arial"/>
          <w:sz w:val="16"/>
          <w:szCs w:val="16"/>
          <w:color w:val="auto"/>
        </w:rPr>
        <w:t>The Principal Banking Subsidiary has a reasonable basis for making each of the representations set forth in this Section 2. The Principal Banking Subsidiary acknowledges that the Underwriters and, for purposes of the opinions to be delivered pursuant to Section 7 hereof, counsel to the Company and counsel to the Underwriters, will rely upon the accuracy and truthfulness of the foregoing representations and hereby consents to such reliance.</w:t>
      </w:r>
    </w:p>
    <w:p>
      <w:pPr>
        <w:spacing w:after="0" w:line="14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Purchase, Sale and Delivery of the Securities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8" w:lineRule="auto"/>
        <w:tabs>
          <w:tab w:leader="none" w:pos="176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The Securities</w:t>
      </w:r>
      <w:r>
        <w:rPr>
          <w:rFonts w:ascii="Arial" w:cs="Arial" w:eastAsia="Arial" w:hAnsi="Arial"/>
          <w:sz w:val="18"/>
          <w:szCs w:val="18"/>
          <w:color w:val="auto"/>
        </w:rPr>
        <w:t>. Upon the terms herein set forth, the Company agrees to issue and sell to the several Underwriters $100.0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aggregate principal amount of the Securities. On the basis of the representations, warranties and agreements herein contained, and upon the terms but subject to the conditions herein set forth, the Underwriters agree, severally and not jointly, to purchase from the Company, the principal amount of the Securities set forth opposite their names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 a purchase price equal to 98.5% of the principal amount thereof, plus accrued interest, if any, from June 2, 2022 to the Closing Date.</w:t>
      </w:r>
    </w:p>
    <w:p>
      <w:pPr>
        <w:spacing w:after="0" w:line="183" w:lineRule="exact"/>
        <w:rPr>
          <w:rFonts w:ascii="Arial" w:cs="Arial" w:eastAsia="Arial" w:hAnsi="Arial"/>
          <w:sz w:val="18"/>
          <w:szCs w:val="18"/>
          <w:b w:val="1"/>
          <w:bCs w:val="1"/>
          <w:color w:val="auto"/>
        </w:rPr>
      </w:pPr>
    </w:p>
    <w:p>
      <w:pPr>
        <w:jc w:val="both"/>
        <w:ind w:left="660" w:firstLine="644"/>
        <w:spacing w:after="0" w:line="291" w:lineRule="auto"/>
        <w:tabs>
          <w:tab w:leader="none" w:pos="1775"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Closing Date</w:t>
      </w:r>
      <w:r>
        <w:rPr>
          <w:rFonts w:ascii="Arial" w:cs="Arial" w:eastAsia="Arial" w:hAnsi="Arial"/>
          <w:sz w:val="16"/>
          <w:szCs w:val="16"/>
          <w:color w:val="auto"/>
        </w:rPr>
        <w:t>. Delivery of the Securities to be purchased by the Underwriters by electronic book entry through the facilities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to the account specified by the Representatives, on behalf of the Underwriters, and payment therefor shall be made via the offices of Barack Ferrazzano Kirschbaum &amp; Nagelberg LLP (or such other place as may be agreed to by the Company and the Representatives) at 9:00 a.m. New York City time, on June 2, 2022, or such other time and date not later than 1:30 p.m. New York City time, on June 2, 2022, as the Representatives shall designate by notice to the Company (the time and date of such closing are called the “</w:t>
      </w:r>
      <w:r>
        <w:rPr>
          <w:rFonts w:ascii="Arial" w:cs="Arial" w:eastAsia="Arial" w:hAnsi="Arial"/>
          <w:sz w:val="16"/>
          <w:szCs w:val="16"/>
          <w:b w:val="1"/>
          <w:bCs w:val="1"/>
          <w:color w:val="auto"/>
        </w:rPr>
        <w:t>Closing Date</w:t>
      </w:r>
      <w:r>
        <w:rPr>
          <w:rFonts w:ascii="Arial" w:cs="Arial" w:eastAsia="Arial" w:hAnsi="Arial"/>
          <w:sz w:val="16"/>
          <w:szCs w:val="16"/>
          <w:color w:val="auto"/>
        </w:rPr>
        <w:t>”). The Company hereby acknowledges that circumstances under which the Representatives may provide notice to postpone the Closing Date as originally scheduled include, but are not limited to, any determination by the Company or the Representatives to recirculate to the public copies of an amended or supplemented Prospectus, or a delay as contemplated by the provisions of Section 12.</w:t>
      </w:r>
    </w:p>
    <w:p>
      <w:pPr>
        <w:spacing w:after="0" w:line="159" w:lineRule="exact"/>
        <w:rPr>
          <w:rFonts w:ascii="Arial" w:cs="Arial" w:eastAsia="Arial" w:hAnsi="Arial"/>
          <w:sz w:val="16"/>
          <w:szCs w:val="16"/>
          <w:b w:val="1"/>
          <w:bCs w:val="1"/>
          <w:color w:val="auto"/>
        </w:rPr>
      </w:pPr>
    </w:p>
    <w:p>
      <w:pPr>
        <w:jc w:val="both"/>
        <w:ind w:left="660" w:firstLine="644"/>
        <w:spacing w:after="0" w:line="261" w:lineRule="auto"/>
        <w:tabs>
          <w:tab w:leader="none" w:pos="175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Public Offering of the Securities</w:t>
      </w:r>
      <w:r>
        <w:rPr>
          <w:rFonts w:ascii="Arial" w:cs="Arial" w:eastAsia="Arial" w:hAnsi="Arial"/>
          <w:sz w:val="18"/>
          <w:szCs w:val="18"/>
          <w:color w:val="auto"/>
        </w:rPr>
        <w:t>. The Underwriters hereby advise the Company that they intend to offer for sale to the public,</w:t>
      </w:r>
      <w:r>
        <w:rPr>
          <w:rFonts w:ascii="Arial" w:cs="Arial" w:eastAsia="Arial" w:hAnsi="Arial"/>
          <w:sz w:val="18"/>
          <w:szCs w:val="18"/>
          <w:b w:val="1"/>
          <w:bCs w:val="1"/>
          <w:color w:val="auto"/>
        </w:rPr>
        <w:t xml:space="preserve"> </w:t>
      </w:r>
      <w:r>
        <w:rPr>
          <w:rFonts w:ascii="Arial" w:cs="Arial" w:eastAsia="Arial" w:hAnsi="Arial"/>
          <w:sz w:val="18"/>
          <w:szCs w:val="18"/>
          <w:color w:val="auto"/>
        </w:rPr>
        <w:t>initially on the terms set forth in the Registration Statement, the Time of Sale Prospectus and the Prospectus, their respective portions of the aggregate principal amount of the Securities as soon after this Agreement has been executed as the Representatives, in their sole judgment, has determined is advisable and practicable.</w:t>
      </w:r>
    </w:p>
    <w:p>
      <w:pPr>
        <w:spacing w:after="0" w:line="179" w:lineRule="exact"/>
        <w:rPr>
          <w:rFonts w:ascii="Arial" w:cs="Arial" w:eastAsia="Arial" w:hAnsi="Arial"/>
          <w:sz w:val="18"/>
          <w:szCs w:val="18"/>
          <w:b w:val="1"/>
          <w:bCs w:val="1"/>
          <w:color w:val="auto"/>
        </w:rPr>
      </w:pPr>
    </w:p>
    <w:p>
      <w:pPr>
        <w:jc w:val="both"/>
        <w:ind w:left="660" w:firstLine="644"/>
        <w:spacing w:after="0" w:line="273" w:lineRule="auto"/>
        <w:tabs>
          <w:tab w:leader="none" w:pos="1775"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Payment for the Securities</w:t>
      </w:r>
      <w:r>
        <w:rPr>
          <w:rFonts w:ascii="Arial" w:cs="Arial" w:eastAsia="Arial" w:hAnsi="Arial"/>
          <w:sz w:val="17"/>
          <w:szCs w:val="17"/>
          <w:color w:val="auto"/>
        </w:rPr>
        <w:t>. Payment for the Securities shall be made at the Closing Date by wire transfer of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funds to the order of the Company. It is understood that the Representatives have been authorized, for their own accounts and the accounts of the several Underwriters, to accept delivery of and receipt for, and make payment of the purchase price for, the Securities the Underwriters have agreed to purchase. Each of Piper and U.S. Bancorp, individually and not as Representative of the Underwriters, may (but shall not be obligated to) make payment for any Securities to be purchased by any Underwriter whose funds shall not have been received by the Representatives by the Closing Date, as the case may be, for the account of such Underwriter, but any such payment shall not relieve such Underwriter from any of its obligations under this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4"/>
        <w:spacing w:after="0" w:line="256" w:lineRule="auto"/>
        <w:tabs>
          <w:tab w:leader="none" w:pos="109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the Securities</w:t>
      </w:r>
      <w:r>
        <w:rPr>
          <w:rFonts w:ascii="Arial" w:cs="Arial" w:eastAsia="Arial" w:hAnsi="Arial"/>
          <w:sz w:val="18"/>
          <w:szCs w:val="18"/>
          <w:color w:val="auto"/>
        </w:rPr>
        <w:t>. The Company shall deliver, or cause to be delivered, by electronic book entry through the facilities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DTC, to the account specified by the Representatives, the Securities at the Closing Date, against release of a wire transfer of immediately available funds for the amount of the purchase price therefor. The global certificate for the Securities shall be registered in the name of Cede &amp; Co., or such other nominee as may be designated by DTC at least two full business days prior to the Closing Date at a location in New York City as the Representatives may designate. Time shall be of the essence, and delivery at the time and place specified in this Agreement is a further condition to the obligations of the Underwriters.</w:t>
      </w:r>
    </w:p>
    <w:p>
      <w:pPr>
        <w:spacing w:after="0" w:line="1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Additional Covenants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further covenants and agrees with each Underwriter as follows:</w:t>
      </w:r>
    </w:p>
    <w:p>
      <w:pPr>
        <w:spacing w:after="0" w:line="221" w:lineRule="exact"/>
        <w:rPr>
          <w:sz w:val="20"/>
          <w:szCs w:val="20"/>
          <w:color w:val="auto"/>
        </w:rPr>
      </w:pPr>
    </w:p>
    <w:p>
      <w:pPr>
        <w:jc w:val="both"/>
        <w:ind w:firstLine="644"/>
        <w:spacing w:after="0" w:line="298" w:lineRule="auto"/>
        <w:tabs>
          <w:tab w:leader="none" w:pos="1105"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Delivery of Registration Statement, Time of Sale Prospectus and Prospectus</w:t>
      </w:r>
      <w:r>
        <w:rPr>
          <w:rFonts w:ascii="Arial" w:cs="Arial" w:eastAsia="Arial" w:hAnsi="Arial"/>
          <w:sz w:val="16"/>
          <w:szCs w:val="16"/>
          <w:color w:val="auto"/>
        </w:rPr>
        <w:t>. The Company shall furnish to you in New York</w:t>
      </w:r>
      <w:r>
        <w:rPr>
          <w:rFonts w:ascii="Arial" w:cs="Arial" w:eastAsia="Arial" w:hAnsi="Arial"/>
          <w:sz w:val="16"/>
          <w:szCs w:val="16"/>
          <w:b w:val="1"/>
          <w:bCs w:val="1"/>
          <w:color w:val="auto"/>
        </w:rPr>
        <w:t xml:space="preserve"> </w:t>
      </w:r>
      <w:r>
        <w:rPr>
          <w:rFonts w:ascii="Arial" w:cs="Arial" w:eastAsia="Arial" w:hAnsi="Arial"/>
          <w:sz w:val="16"/>
          <w:szCs w:val="16"/>
          <w:color w:val="auto"/>
        </w:rPr>
        <w:t>City, without charge, prior to 10:00 a.m. New York City time on the business day next succeeding the date of this Agreement and during the period when a prospectus relating to the Securities is required by the Securities Act to be delivered (whether physically or through compliance with Rule 172 under the Securities Act or any similar rule) in connection with sales of the Securities, as many copies of the Time of Sale Prospectus, the Prospectus and any supplements and amendments thereto or to the Registration Statement as you may reasonably request.</w:t>
      </w:r>
    </w:p>
    <w:p>
      <w:pPr>
        <w:spacing w:after="0" w:line="153" w:lineRule="exact"/>
        <w:rPr>
          <w:rFonts w:ascii="Arial" w:cs="Arial" w:eastAsia="Arial" w:hAnsi="Arial"/>
          <w:sz w:val="16"/>
          <w:szCs w:val="16"/>
          <w:b w:val="1"/>
          <w:bCs w:val="1"/>
          <w:color w:val="auto"/>
        </w:rPr>
      </w:pPr>
    </w:p>
    <w:p>
      <w:pPr>
        <w:jc w:val="both"/>
        <w:ind w:firstLine="644"/>
        <w:spacing w:after="0" w:line="269" w:lineRule="auto"/>
        <w:tabs>
          <w:tab w:leader="none" w:pos="1115"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Representatives’ Review of Proposed Amendments and Supplements</w:t>
      </w:r>
      <w:r>
        <w:rPr>
          <w:rFonts w:ascii="Arial" w:cs="Arial" w:eastAsia="Arial" w:hAnsi="Arial"/>
          <w:sz w:val="17"/>
          <w:szCs w:val="17"/>
          <w:color w:val="auto"/>
        </w:rPr>
        <w:t>. During the period when a prospectus relating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is required by the Securities Act to be delivered (whether physically or through compliance with Rule 172 under the Securities Act or any similar rule) (the “</w:t>
      </w:r>
      <w:r>
        <w:rPr>
          <w:rFonts w:ascii="Arial" w:cs="Arial" w:eastAsia="Arial" w:hAnsi="Arial"/>
          <w:sz w:val="17"/>
          <w:szCs w:val="17"/>
          <w:b w:val="1"/>
          <w:bCs w:val="1"/>
          <w:color w:val="auto"/>
        </w:rPr>
        <w:t>Prospectus Delivery Period</w:t>
      </w:r>
      <w:r>
        <w:rPr>
          <w:rFonts w:ascii="Arial" w:cs="Arial" w:eastAsia="Arial" w:hAnsi="Arial"/>
          <w:sz w:val="17"/>
          <w:szCs w:val="17"/>
          <w:color w:val="auto"/>
        </w:rPr>
        <w:t>”), the Company (i) will furnish to the Representatives for review, a reasonable period of time prior to the proposed time of filing of any proposed amendment or supplement to the Registration Statement, a copy of each such amendment or supplement and (ii) will not file any amendment or supplement to the Registration Statement (including any amendment or supplement through incorporation of any report filed under the Exchange Act) without the Representatives’ prior written consent, which consent shall not be unreasonably withheld. During the Prospectus Delivery Period,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During the Prospectus Delivery Period, the Company shall not file or use any such proposed amendment or supplement without the Representatives’ prior written consent, which consent shall not be unreasonably withheld. The Company shall file with the Commission within the applicable period specified in Rule 424(b) under the Securities Act any prospectus required to be filed pursuant to such Rule.</w:t>
      </w:r>
    </w:p>
    <w:p>
      <w:pPr>
        <w:spacing w:after="0" w:line="39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 w:name="page26"/>
    <w:bookmarkEnd w:id="25"/>
    <w:p>
      <w:pPr>
        <w:jc w:val="both"/>
        <w:ind w:left="-460" w:firstLine="644"/>
        <w:spacing w:after="0" w:line="285" w:lineRule="auto"/>
        <w:tabs>
          <w:tab w:leader="none" w:pos="635"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Free Writing Prospectuses</w:t>
      </w:r>
      <w:r>
        <w:rPr>
          <w:rFonts w:ascii="Arial" w:cs="Arial" w:eastAsia="Arial" w:hAnsi="Arial"/>
          <w:sz w:val="16"/>
          <w:szCs w:val="16"/>
          <w:color w:val="auto"/>
        </w:rPr>
        <w:t>. The Company shall furnish to the Representatives for review, a reasonable amount of time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The Company shall furnish to the Underwriters, without charge, as many copies of any free writing prospectus prepared by or on behalf of, used by or referred to by the Company as the Underwriters may reasonably request. If at any time when a prospectus is required by the Securities Act to be delivered (whether physically or through compliance with Rule 172 under the Securities Act or any similar rule) in connection with sales of the Securities (but in any event if at any time through and including the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provided, however,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w:t>
      </w:r>
    </w:p>
    <w:p>
      <w:pPr>
        <w:spacing w:after="0" w:line="171" w:lineRule="exact"/>
        <w:rPr>
          <w:rFonts w:ascii="Arial" w:cs="Arial" w:eastAsia="Arial" w:hAnsi="Arial"/>
          <w:sz w:val="16"/>
          <w:szCs w:val="16"/>
          <w:b w:val="1"/>
          <w:bCs w:val="1"/>
          <w:color w:val="auto"/>
        </w:rPr>
      </w:pPr>
    </w:p>
    <w:p>
      <w:pPr>
        <w:jc w:val="both"/>
        <w:ind w:left="-460" w:firstLine="644"/>
        <w:spacing w:after="0" w:line="289" w:lineRule="auto"/>
        <w:tabs>
          <w:tab w:leader="none" w:pos="655"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Filing of Underwriter Free Writing Prospectuses</w:t>
      </w:r>
      <w:r>
        <w:rPr>
          <w:rFonts w:ascii="Arial" w:cs="Arial" w:eastAsia="Arial" w:hAnsi="Arial"/>
          <w:sz w:val="17"/>
          <w:szCs w:val="17"/>
          <w:color w:val="auto"/>
        </w:rPr>
        <w:t>. The Company shall not take any action that would result in any Underwriter</w:t>
      </w:r>
      <w:r>
        <w:rPr>
          <w:rFonts w:ascii="Arial" w:cs="Arial" w:eastAsia="Arial" w:hAnsi="Arial"/>
          <w:sz w:val="17"/>
          <w:szCs w:val="17"/>
          <w:b w:val="1"/>
          <w:bCs w:val="1"/>
          <w:color w:val="auto"/>
        </w:rPr>
        <w:t xml:space="preserve"> </w:t>
      </w:r>
      <w:r>
        <w:rPr>
          <w:rFonts w:ascii="Arial" w:cs="Arial" w:eastAsia="Arial" w:hAnsi="Arial"/>
          <w:sz w:val="17"/>
          <w:szCs w:val="17"/>
          <w:color w:val="auto"/>
        </w:rPr>
        <w:t>or the 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3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6" w:name="page27"/>
    <w:bookmarkEnd w:id="26"/>
    <w:p>
      <w:pPr>
        <w:jc w:val="both"/>
        <w:ind w:left="4" w:firstLine="644"/>
        <w:spacing w:after="0" w:line="287" w:lineRule="auto"/>
        <w:tabs>
          <w:tab w:leader="none" w:pos="1099" w:val="left"/>
        </w:tabs>
        <w:numPr>
          <w:ilvl w:val="1"/>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and Supplements to Time of Sale Prospectus</w:t>
      </w:r>
      <w:r>
        <w:rPr>
          <w:rFonts w:ascii="Arial" w:cs="Arial" w:eastAsia="Arial" w:hAnsi="Arial"/>
          <w:sz w:val="16"/>
          <w:szCs w:val="16"/>
          <w:color w:val="auto"/>
        </w:rPr>
        <w:t>. If, during the Prospectus Delivery Period, the Time of Sale</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is being used to solicit offers to buy the 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4(b) and Section 4(c)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63" w:lineRule="exact"/>
        <w:rPr>
          <w:rFonts w:ascii="Arial" w:cs="Arial" w:eastAsia="Arial" w:hAnsi="Arial"/>
          <w:sz w:val="16"/>
          <w:szCs w:val="16"/>
          <w:b w:val="1"/>
          <w:bCs w:val="1"/>
          <w:color w:val="auto"/>
        </w:rPr>
      </w:pPr>
    </w:p>
    <w:p>
      <w:pPr>
        <w:jc w:val="both"/>
        <w:ind w:left="4" w:firstLine="644"/>
        <w:spacing w:after="0" w:line="293" w:lineRule="auto"/>
        <w:tabs>
          <w:tab w:leader="none" w:pos="1079" w:val="left"/>
        </w:tabs>
        <w:numPr>
          <w:ilvl w:val="1"/>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Certain Notifications and Required Actions</w:t>
      </w:r>
      <w:r>
        <w:rPr>
          <w:rFonts w:ascii="Arial" w:cs="Arial" w:eastAsia="Arial" w:hAnsi="Arial"/>
          <w:sz w:val="16"/>
          <w:szCs w:val="16"/>
          <w:color w:val="auto"/>
        </w:rPr>
        <w:t>. During the Prospectus Delivery Period, the Company shall promptly advise the</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in writing of: (i) the receipt of any comments of, or requests for additional or supplemental information from, the Commission;</w:t>
      </w:r>
    </w:p>
    <w:p>
      <w:pPr>
        <w:spacing w:after="0" w:line="1" w:lineRule="exact"/>
        <w:rPr>
          <w:rFonts w:ascii="Arial" w:cs="Arial" w:eastAsia="Arial" w:hAnsi="Arial"/>
          <w:sz w:val="16"/>
          <w:szCs w:val="16"/>
          <w:b w:val="1"/>
          <w:bCs w:val="1"/>
          <w:color w:val="auto"/>
        </w:rPr>
      </w:pPr>
    </w:p>
    <w:p>
      <w:pPr>
        <w:jc w:val="both"/>
        <w:ind w:left="4" w:hanging="4"/>
        <w:spacing w:after="0" w:line="286" w:lineRule="auto"/>
        <w:tabs>
          <w:tab w:leader="none" w:pos="29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If the Commission shall enter any such stop order at any time, the Company will use its reasonable efforts to obtain the lifting of such order as promptly as practicable.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spacing w:after="0" w:line="168" w:lineRule="exact"/>
        <w:rPr>
          <w:rFonts w:ascii="Arial" w:cs="Arial" w:eastAsia="Arial" w:hAnsi="Arial"/>
          <w:sz w:val="16"/>
          <w:szCs w:val="16"/>
          <w:color w:val="auto"/>
        </w:rPr>
      </w:pPr>
    </w:p>
    <w:p>
      <w:pPr>
        <w:jc w:val="both"/>
        <w:ind w:left="4" w:firstLine="644"/>
        <w:spacing w:after="0" w:line="287" w:lineRule="auto"/>
        <w:tabs>
          <w:tab w:leader="none" w:pos="1109" w:val="left"/>
        </w:tabs>
        <w:numPr>
          <w:ilvl w:val="1"/>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and Supplements to the Prospectus and Other Securities Act Matters</w:t>
      </w:r>
      <w:r>
        <w:rPr>
          <w:rFonts w:ascii="Arial" w:cs="Arial" w:eastAsia="Arial" w:hAnsi="Arial"/>
          <w:sz w:val="16"/>
          <w:szCs w:val="16"/>
          <w:color w:val="auto"/>
        </w:rPr>
        <w:t>. During the Prospectus Delivery Period, if</w:t>
      </w:r>
      <w:r>
        <w:rPr>
          <w:rFonts w:ascii="Arial" w:cs="Arial" w:eastAsia="Arial" w:hAnsi="Arial"/>
          <w:sz w:val="16"/>
          <w:szCs w:val="16"/>
          <w:b w:val="1"/>
          <w:bCs w:val="1"/>
          <w:color w:val="auto"/>
        </w:rPr>
        <w:t xml:space="preserve"> </w:t>
      </w:r>
      <w:r>
        <w:rPr>
          <w:rFonts w:ascii="Arial" w:cs="Arial" w:eastAsia="Arial" w:hAnsi="Arial"/>
          <w:sz w:val="16"/>
          <w:szCs w:val="16"/>
          <w:color w:val="auto"/>
        </w:rPr>
        <w:t>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4(b) and Section 4(c))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4(b) or Section 4(c).</w:t>
      </w:r>
    </w:p>
    <w:p>
      <w:pPr>
        <w:spacing w:after="0" w:line="38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7" w:name="page28"/>
    <w:bookmarkEnd w:id="27"/>
    <w:p>
      <w:pPr>
        <w:jc w:val="both"/>
        <w:ind w:left="-460" w:firstLine="644"/>
        <w:spacing w:after="0" w:line="289" w:lineRule="auto"/>
        <w:tabs>
          <w:tab w:leader="none" w:pos="655"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Blue Sky Compliance</w:t>
      </w:r>
      <w:r>
        <w:rPr>
          <w:rFonts w:ascii="Arial" w:cs="Arial" w:eastAsia="Arial" w:hAnsi="Arial"/>
          <w:sz w:val="16"/>
          <w:szCs w:val="16"/>
          <w:color w:val="auto"/>
        </w:rPr>
        <w:t>. The Company shall cooperate with the Underwriters and counsel for the Underwriters to qualify or register</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Securities for sale under (or obtain exemptions from the application of) the applicable state securities or blue sky laws or the securities laws of such other jurisdictions designated by the Underwriters, and shall comply with such laws and continue such qualifications, registrations and exemptions in effect so long as required for the distribution of the Securities. The Company shall not be required to qualify as a foreign corporation or as a dealer in securities or to take any action that would subject it to general service of process in any such jurisdiction where it is not presently qualified or where it would be subject to taxation as a foreign corporation. The Company will advise the Underwriters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reasonable efforts to obtain the withdrawal thereof as promptly as practicable.</w:t>
      </w:r>
    </w:p>
    <w:p>
      <w:pPr>
        <w:spacing w:after="0" w:line="166" w:lineRule="exact"/>
        <w:rPr>
          <w:rFonts w:ascii="Arial" w:cs="Arial" w:eastAsia="Arial" w:hAnsi="Arial"/>
          <w:sz w:val="16"/>
          <w:szCs w:val="16"/>
          <w:b w:val="1"/>
          <w:bCs w:val="1"/>
          <w:color w:val="auto"/>
        </w:rPr>
      </w:pPr>
    </w:p>
    <w:p>
      <w:pPr>
        <w:ind w:left="-460" w:firstLine="644"/>
        <w:spacing w:after="0" w:line="282" w:lineRule="auto"/>
        <w:tabs>
          <w:tab w:leader="none" w:pos="628"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r>
        <w:rPr>
          <w:rFonts w:ascii="Arial" w:cs="Arial" w:eastAsia="Arial" w:hAnsi="Arial"/>
          <w:sz w:val="18"/>
          <w:szCs w:val="18"/>
          <w:color w:val="auto"/>
        </w:rPr>
        <w:t>. The Company shall apply the net proceeds from the sale of the Securities sold by it in the manner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caption “Use of Proceeds” in the Registration Statement, the Time of Sale Prospectus and the Prospectus.</w:t>
      </w:r>
    </w:p>
    <w:p>
      <w:pPr>
        <w:spacing w:after="0" w:line="161" w:lineRule="exact"/>
        <w:rPr>
          <w:rFonts w:ascii="Arial" w:cs="Arial" w:eastAsia="Arial" w:hAnsi="Arial"/>
          <w:sz w:val="18"/>
          <w:szCs w:val="18"/>
          <w:b w:val="1"/>
          <w:bCs w:val="1"/>
          <w:color w:val="auto"/>
        </w:rPr>
      </w:pPr>
    </w:p>
    <w:p>
      <w:pPr>
        <w:jc w:val="both"/>
        <w:ind w:left="-460" w:firstLine="644"/>
        <w:spacing w:after="0" w:line="277" w:lineRule="auto"/>
        <w:tabs>
          <w:tab w:leader="none" w:pos="638"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Earnings Statement</w:t>
      </w:r>
      <w:r>
        <w:rPr>
          <w:rFonts w:ascii="Arial" w:cs="Arial" w:eastAsia="Arial" w:hAnsi="Arial"/>
          <w:sz w:val="17"/>
          <w:szCs w:val="17"/>
          <w:color w:val="auto"/>
        </w:rPr>
        <w:t>. The Company will make generally available to its security holders and to the Underwriters as soon as</w:t>
      </w:r>
      <w:r>
        <w:rPr>
          <w:rFonts w:ascii="Arial" w:cs="Arial" w:eastAsia="Arial" w:hAnsi="Arial"/>
          <w:sz w:val="17"/>
          <w:szCs w:val="17"/>
          <w:b w:val="1"/>
          <w:bCs w:val="1"/>
          <w:color w:val="auto"/>
        </w:rPr>
        <w:t xml:space="preserve"> </w:t>
      </w:r>
      <w:r>
        <w:rPr>
          <w:rFonts w:ascii="Arial" w:cs="Arial" w:eastAsia="Arial" w:hAnsi="Arial"/>
          <w:sz w:val="17"/>
          <w:szCs w:val="17"/>
          <w:color w:val="auto"/>
        </w:rPr>
        <w:t>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provided, however, that the requirements of this Section 4(j) shall be satisfied to the extent that such reports, statements, communications, financial statements or other documents are available on EDGAR.</w:t>
      </w:r>
    </w:p>
    <w:p>
      <w:pPr>
        <w:spacing w:after="0" w:line="167" w:lineRule="exact"/>
        <w:rPr>
          <w:rFonts w:ascii="Arial" w:cs="Arial" w:eastAsia="Arial" w:hAnsi="Arial"/>
          <w:sz w:val="17"/>
          <w:szCs w:val="17"/>
          <w:b w:val="1"/>
          <w:bCs w:val="1"/>
          <w:color w:val="auto"/>
        </w:rPr>
      </w:pPr>
    </w:p>
    <w:p>
      <w:pPr>
        <w:jc w:val="both"/>
        <w:ind w:left="-460" w:firstLine="644"/>
        <w:spacing w:after="0" w:line="256" w:lineRule="auto"/>
        <w:tabs>
          <w:tab w:leader="none" w:pos="65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Compliance with Securities Laws</w:t>
      </w:r>
      <w:r>
        <w:rPr>
          <w:rFonts w:ascii="Arial" w:cs="Arial" w:eastAsia="Arial" w:hAnsi="Arial"/>
          <w:sz w:val="18"/>
          <w:szCs w:val="18"/>
          <w:color w:val="auto"/>
        </w:rPr>
        <w:t>. The Company will comply with the Securities Act and the Exchange Act so as to</w:t>
      </w:r>
      <w:r>
        <w:rPr>
          <w:rFonts w:ascii="Arial" w:cs="Arial" w:eastAsia="Arial" w:hAnsi="Arial"/>
          <w:sz w:val="18"/>
          <w:szCs w:val="18"/>
          <w:b w:val="1"/>
          <w:bCs w:val="1"/>
          <w:color w:val="auto"/>
        </w:rPr>
        <w:t xml:space="preserve"> </w:t>
      </w:r>
      <w:r>
        <w:rPr>
          <w:rFonts w:ascii="Arial" w:cs="Arial" w:eastAsia="Arial" w:hAnsi="Arial"/>
          <w:sz w:val="18"/>
          <w:szCs w:val="18"/>
          <w:color w:val="auto"/>
        </w:rPr>
        <w:t>permit the completion of the distribution of the Securities as contemplated by this Agreement, the Registration Statement, the Time of Sale Prospectus and the Prospectus. Without limiting the generality of the foregoing, the Company will, during the period when a prospectus relating to the Securities is required by the Securities Act to be delivered (whether physically or through compliance with Rule 172 under the Securities Act or any similar rule), file on a timely basis with the Commission and the Nasdaq Stock Market (“</w:t>
      </w:r>
      <w:r>
        <w:rPr>
          <w:rFonts w:ascii="Arial" w:cs="Arial" w:eastAsia="Arial" w:hAnsi="Arial"/>
          <w:sz w:val="18"/>
          <w:szCs w:val="18"/>
          <w:b w:val="1"/>
          <w:bCs w:val="1"/>
          <w:color w:val="auto"/>
        </w:rPr>
        <w:t>NASDAQ</w:t>
      </w:r>
      <w:r>
        <w:rPr>
          <w:rFonts w:ascii="Arial" w:cs="Arial" w:eastAsia="Arial" w:hAnsi="Arial"/>
          <w:sz w:val="18"/>
          <w:szCs w:val="18"/>
          <w:color w:val="auto"/>
        </w:rPr>
        <w:t>”) all reports and documents required to be filed under the Exchange Act.</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8" w:name="page29"/>
    <w:bookmarkEnd w:id="28"/>
    <w:p>
      <w:pPr>
        <w:jc w:val="both"/>
        <w:ind w:left="4" w:firstLine="644"/>
        <w:spacing w:after="0" w:line="269" w:lineRule="auto"/>
        <w:tabs>
          <w:tab w:leader="none" w:pos="1092" w:val="left"/>
        </w:tabs>
        <w:numPr>
          <w:ilvl w:val="1"/>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Company to Provide Copy of the Prospectus in Form That May be Downloaded from the Internet</w:t>
      </w:r>
      <w:r>
        <w:rPr>
          <w:rFonts w:ascii="Arial" w:cs="Arial" w:eastAsia="Arial" w:hAnsi="Arial"/>
          <w:sz w:val="17"/>
          <w:szCs w:val="17"/>
          <w:color w:val="auto"/>
        </w:rPr>
        <w:t>. If requested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the Company shall cause to be prepared and delivered, at its expense, within one business day from the effective date of this Agreement, to the Underwriters, an “electronic Prospectus” to be used by the Underwriters in connection with the offering and sale of the Securities. As used herein, the term “electronic Prospectus” means a form of Time of Sale Prospectus, and any amendment or supplement thereto, that meets each of the following conditions: (i) it shall be encoded in an electronic format, satisfactory to the Underwriters, that may be transmitted electronically by the Underwriters to offerees and purchasers of the Securities;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Underwriters, that will allow investors to store and have continuously ready access to the Time of Sale Prospectus at any future time, without charge to investors (other than any fee charged for subscription to the Internet as a whole and for on-line time).</w:t>
      </w:r>
    </w:p>
    <w:p>
      <w:pPr>
        <w:spacing w:after="0" w:line="181" w:lineRule="exact"/>
        <w:rPr>
          <w:rFonts w:ascii="Arial" w:cs="Arial" w:eastAsia="Arial" w:hAnsi="Arial"/>
          <w:sz w:val="17"/>
          <w:szCs w:val="17"/>
          <w:b w:val="1"/>
          <w:bCs w:val="1"/>
          <w:color w:val="auto"/>
        </w:rPr>
      </w:pPr>
    </w:p>
    <w:p>
      <w:pPr>
        <w:jc w:val="both"/>
        <w:ind w:left="4" w:firstLine="644"/>
        <w:spacing w:after="0" w:line="266" w:lineRule="auto"/>
        <w:tabs>
          <w:tab w:leader="none" w:pos="1146"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Stand Off Agreement</w:t>
      </w:r>
      <w:r>
        <w:rPr>
          <w:rFonts w:ascii="Arial" w:cs="Arial" w:eastAsia="Arial" w:hAnsi="Arial"/>
          <w:sz w:val="18"/>
          <w:szCs w:val="18"/>
          <w:color w:val="auto"/>
        </w:rPr>
        <w:t>. Between the date of this Agreement and the Closing Date, the Company and its subsidiaries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prior consent of the Underwriters, offer or sell, or enter into any agreement to sell, any debt securities (excluding deposit obligations) of the Company or its subsidiaries.</w:t>
      </w:r>
    </w:p>
    <w:p>
      <w:pPr>
        <w:spacing w:after="0" w:line="175" w:lineRule="exact"/>
        <w:rPr>
          <w:rFonts w:ascii="Arial" w:cs="Arial" w:eastAsia="Arial" w:hAnsi="Arial"/>
          <w:sz w:val="18"/>
          <w:szCs w:val="18"/>
          <w:b w:val="1"/>
          <w:bCs w:val="1"/>
          <w:color w:val="auto"/>
        </w:rPr>
      </w:pPr>
    </w:p>
    <w:p>
      <w:pPr>
        <w:ind w:left="1124" w:hanging="476"/>
        <w:spacing w:after="0"/>
        <w:tabs>
          <w:tab w:leader="none" w:pos="1124" w:val="left"/>
        </w:tabs>
        <w:numPr>
          <w:ilvl w:val="1"/>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Future Reports to the Underwriters</w:t>
      </w:r>
      <w:r>
        <w:rPr>
          <w:rFonts w:ascii="Arial" w:cs="Arial" w:eastAsia="Arial" w:hAnsi="Arial"/>
          <w:sz w:val="17"/>
          <w:szCs w:val="17"/>
          <w:color w:val="auto"/>
        </w:rPr>
        <w:t>. During the period of two years hereafter, the Company will furnish to the Underwriters:</w:t>
      </w:r>
    </w:p>
    <w:p>
      <w:pPr>
        <w:spacing w:after="0" w:line="38" w:lineRule="exact"/>
        <w:rPr>
          <w:rFonts w:ascii="Arial" w:cs="Arial" w:eastAsia="Arial" w:hAnsi="Arial"/>
          <w:sz w:val="17"/>
          <w:szCs w:val="17"/>
          <w:b w:val="1"/>
          <w:bCs w:val="1"/>
          <w:color w:val="auto"/>
        </w:rPr>
      </w:pPr>
    </w:p>
    <w:p>
      <w:pPr>
        <w:jc w:val="both"/>
        <w:ind w:left="4" w:hanging="4"/>
        <w:spacing w:after="0" w:line="288" w:lineRule="auto"/>
        <w:tabs>
          <w:tab w:leader="none" w:pos="24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and (iii) as soon as available, copies of any report or communication of the Company furnished or made available generally to holders of its capital stock; provided, however, that the requirements of this Section 4(n) shall be satisfied to the extent that such reports, statements, communications, financial statements or other documents are available on EDGAR.</w:t>
      </w:r>
    </w:p>
    <w:p>
      <w:pPr>
        <w:spacing w:after="0" w:line="164" w:lineRule="exact"/>
        <w:rPr>
          <w:rFonts w:ascii="Arial" w:cs="Arial" w:eastAsia="Arial" w:hAnsi="Arial"/>
          <w:sz w:val="16"/>
          <w:szCs w:val="16"/>
          <w:color w:val="auto"/>
        </w:rPr>
      </w:pPr>
    </w:p>
    <w:p>
      <w:pPr>
        <w:jc w:val="both"/>
        <w:ind w:left="4" w:firstLine="644"/>
        <w:spacing w:after="0" w:line="266" w:lineRule="auto"/>
        <w:tabs>
          <w:tab w:leader="none" w:pos="1109"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Limitation</w:t>
      </w:r>
      <w:r>
        <w:rPr>
          <w:rFonts w:ascii="Arial" w:cs="Arial" w:eastAsia="Arial" w:hAnsi="Arial"/>
          <w:sz w:val="18"/>
          <w:szCs w:val="18"/>
          <w:color w:val="auto"/>
        </w:rPr>
        <w:t>. The Company shall not invest or otherwise use the proceeds received by the Company from its sale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in such a manner as would require the Company or any of its subsidiaries to register as an investment company under the Investment Company Act.</w:t>
      </w:r>
    </w:p>
    <w:p>
      <w:pPr>
        <w:spacing w:after="0" w:line="175" w:lineRule="exact"/>
        <w:rPr>
          <w:rFonts w:ascii="Arial" w:cs="Arial" w:eastAsia="Arial" w:hAnsi="Arial"/>
          <w:sz w:val="18"/>
          <w:szCs w:val="18"/>
          <w:b w:val="1"/>
          <w:bCs w:val="1"/>
          <w:color w:val="auto"/>
        </w:rPr>
      </w:pPr>
    </w:p>
    <w:p>
      <w:pPr>
        <w:jc w:val="both"/>
        <w:ind w:left="4" w:firstLine="644"/>
        <w:spacing w:after="0" w:line="289" w:lineRule="auto"/>
        <w:tabs>
          <w:tab w:leader="none" w:pos="1119" w:val="left"/>
        </w:tabs>
        <w:numPr>
          <w:ilvl w:val="1"/>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No Stabilization or Manipulation</w:t>
      </w:r>
      <w:r>
        <w:rPr>
          <w:rFonts w:ascii="Arial" w:cs="Arial" w:eastAsia="Arial" w:hAnsi="Arial"/>
          <w:sz w:val="17"/>
          <w:szCs w:val="17"/>
          <w:color w:val="auto"/>
        </w:rPr>
        <w:t>. The Company will not take, and will ensure that no affiliate of the Company will take, 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or indirectly, any action designed to or that might cause or result in stabilization or manipulation of the price of the Securities or any reference security with respect to the Securities, whether to facilitate the sale or resale of the Securities or otherwise.</w:t>
      </w:r>
    </w:p>
    <w:p>
      <w:pPr>
        <w:spacing w:after="0" w:line="37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9" w:name="page30"/>
    <w:bookmarkEnd w:id="29"/>
    <w:p>
      <w:pPr>
        <w:jc w:val="both"/>
        <w:ind w:left="660" w:firstLine="644"/>
        <w:spacing w:after="0" w:line="314" w:lineRule="auto"/>
        <w:tabs>
          <w:tab w:leader="none" w:pos="177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Company to Provide Interim Financial Statements</w:t>
      </w:r>
      <w:r>
        <w:rPr>
          <w:rFonts w:ascii="Arial" w:cs="Arial" w:eastAsia="Arial" w:hAnsi="Arial"/>
          <w:sz w:val="16"/>
          <w:szCs w:val="16"/>
          <w:color w:val="auto"/>
        </w:rPr>
        <w:t>. Prior to the Closing Date, the Company will furnish the Underwriters, as</w:t>
      </w:r>
      <w:r>
        <w:rPr>
          <w:rFonts w:ascii="Arial" w:cs="Arial" w:eastAsia="Arial" w:hAnsi="Arial"/>
          <w:sz w:val="16"/>
          <w:szCs w:val="16"/>
          <w:b w:val="1"/>
          <w:bCs w:val="1"/>
          <w:color w:val="auto"/>
        </w:rPr>
        <w:t xml:space="preserve"> </w:t>
      </w:r>
      <w:r>
        <w:rPr>
          <w:rFonts w:ascii="Arial" w:cs="Arial" w:eastAsia="Arial" w:hAnsi="Arial"/>
          <w:sz w:val="16"/>
          <w:szCs w:val="16"/>
          <w:color w:val="auto"/>
        </w:rPr>
        <w:t>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41" w:lineRule="exact"/>
        <w:rPr>
          <w:rFonts w:ascii="Arial" w:cs="Arial" w:eastAsia="Arial" w:hAnsi="Arial"/>
          <w:sz w:val="16"/>
          <w:szCs w:val="16"/>
          <w:b w:val="1"/>
          <w:bCs w:val="1"/>
          <w:color w:val="auto"/>
        </w:rPr>
      </w:pPr>
    </w:p>
    <w:p>
      <w:pPr>
        <w:jc w:val="both"/>
        <w:ind w:left="660" w:firstLine="644"/>
        <w:spacing w:after="0" w:line="256" w:lineRule="auto"/>
        <w:tabs>
          <w:tab w:leader="none" w:pos="175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Final Term Sheet</w:t>
      </w:r>
      <w:r>
        <w:rPr>
          <w:rFonts w:ascii="Arial" w:cs="Arial" w:eastAsia="Arial" w:hAnsi="Arial"/>
          <w:sz w:val="18"/>
          <w:szCs w:val="18"/>
          <w:color w:val="auto"/>
        </w:rPr>
        <w:t>. The Company shall prepare a final term sheet (the “</w:t>
      </w:r>
      <w:r>
        <w:rPr>
          <w:rFonts w:ascii="Arial" w:cs="Arial" w:eastAsia="Arial" w:hAnsi="Arial"/>
          <w:sz w:val="18"/>
          <w:szCs w:val="18"/>
          <w:b w:val="1"/>
          <w:bCs w:val="1"/>
          <w:color w:val="auto"/>
        </w:rPr>
        <w:t>Final Term Sheet</w:t>
      </w:r>
      <w:r>
        <w:rPr>
          <w:rFonts w:ascii="Arial" w:cs="Arial" w:eastAsia="Arial" w:hAnsi="Arial"/>
          <w:sz w:val="18"/>
          <w:szCs w:val="18"/>
          <w:color w:val="auto"/>
        </w:rPr>
        <w:t>”) reflecting the final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Securities and the offering thereof, in the form of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 (and containing such other information as the Company and the Representatives may agree), and file such Final Term Sheet as an “issuer free writing prospectus” pursuant to Rule 433 prior to the close of business two business days after the date hereof; provided that the Company shall furnish the Underwriters with copies of such Final Term Sheet a reasonable amount of time prior to such proposed filing and will not use or file any such document to which the Representatives or counsel to the Underwriters shall reasonably object.</w:t>
      </w:r>
    </w:p>
    <w:p>
      <w:pPr>
        <w:spacing w:after="0" w:line="187" w:lineRule="exact"/>
        <w:rPr>
          <w:rFonts w:ascii="Arial" w:cs="Arial" w:eastAsia="Arial" w:hAnsi="Arial"/>
          <w:sz w:val="18"/>
          <w:szCs w:val="18"/>
          <w:b w:val="1"/>
          <w:bCs w:val="1"/>
          <w:color w:val="auto"/>
        </w:rPr>
      </w:pPr>
    </w:p>
    <w:p>
      <w:pPr>
        <w:ind w:left="660" w:firstLine="644"/>
        <w:spacing w:after="0" w:line="312" w:lineRule="auto"/>
        <w:tabs>
          <w:tab w:leader="none" w:pos="1745"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NRSRO Rating</w:t>
      </w:r>
      <w:r>
        <w:rPr>
          <w:rFonts w:ascii="Arial" w:cs="Arial" w:eastAsia="Arial" w:hAnsi="Arial"/>
          <w:sz w:val="17"/>
          <w:szCs w:val="17"/>
          <w:color w:val="auto"/>
        </w:rPr>
        <w:t>. The Company will use commercially reasonable efforts to maintain a rating by a “</w:t>
      </w:r>
      <w:r>
        <w:rPr>
          <w:rFonts w:ascii="Arial" w:cs="Arial" w:eastAsia="Arial" w:hAnsi="Arial"/>
          <w:sz w:val="17"/>
          <w:szCs w:val="17"/>
          <w:b w:val="1"/>
          <w:bCs w:val="1"/>
          <w:color w:val="auto"/>
        </w:rPr>
        <w:t>nationally recognized statistical rating organization</w:t>
      </w:r>
      <w:r>
        <w:rPr>
          <w:rFonts w:ascii="Arial" w:cs="Arial" w:eastAsia="Arial" w:hAnsi="Arial"/>
          <w:sz w:val="17"/>
          <w:szCs w:val="17"/>
          <w:color w:val="auto"/>
        </w:rPr>
        <w:t>” as defined in Section 3(a)(62) of the Exchange Act (“</w:t>
      </w:r>
      <w:r>
        <w:rPr>
          <w:rFonts w:ascii="Arial" w:cs="Arial" w:eastAsia="Arial" w:hAnsi="Arial"/>
          <w:sz w:val="17"/>
          <w:szCs w:val="17"/>
          <w:b w:val="1"/>
          <w:bCs w:val="1"/>
          <w:color w:val="auto"/>
        </w:rPr>
        <w:t>NRSRO</w:t>
      </w:r>
      <w:r>
        <w:rPr>
          <w:rFonts w:ascii="Arial" w:cs="Arial" w:eastAsia="Arial" w:hAnsi="Arial"/>
          <w:sz w:val="17"/>
          <w:szCs w:val="17"/>
          <w:color w:val="auto"/>
        </w:rPr>
        <w:t>”) while any Securities remain outstanding.</w:t>
      </w:r>
    </w:p>
    <w:p>
      <w:pPr>
        <w:spacing w:after="0" w:line="14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Payment of Expenses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Company agrees to pay all costs, fees and expenses incurred in connection with the performance of its obligations hereunder and in connection with the transactions contemplated hereby, including without limitation (i) all expenses incident to the issuance and delivery of the Securities (including any fees and expenses related to the use of book-entry notes and all printing and engraving costs), (ii) all fees and expenses of the Trustee of the Securities, (iii) all necessary issue, transfer and other stamp taxes in connection with the issuance and sale of the Securities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each of the Transaction Documents,</w:t>
      </w:r>
    </w:p>
    <w:p>
      <w:pPr>
        <w:spacing w:after="0" w:line="1" w:lineRule="exact"/>
        <w:rPr>
          <w:sz w:val="20"/>
          <w:szCs w:val="20"/>
          <w:color w:val="auto"/>
        </w:rPr>
      </w:pPr>
    </w:p>
    <w:p>
      <w:pPr>
        <w:jc w:val="both"/>
        <w:ind w:firstLine="8"/>
        <w:spacing w:after="0" w:line="266" w:lineRule="auto"/>
        <w:tabs>
          <w:tab w:leader="none" w:pos="313"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filing fees, attorneys’ fees, costs and expenses incurred by the Company or reasonably incurred by the Underwriters in connection with qualifying or registering (or obtaining exemptions from the qualification or registration of) all or any part of the Securities for offer and sale under the state securities or blue sky laws, and, if requested by the Underwriters, preparing and printing a “Blue Sky Survey” or memorandum and any supplements thereto, advising the Underwriters of such qualifications, registrations and exemptions, (vii) up to $75,000 of reasonable out-of-pocket expenses of the Underwriters incurred in connection with the Transactions, upon request made from time to time, including without limitation, the legal fees, costs and expenses of Barack Ferrazzano Kirschbaum &amp; Nagelberg LLP, counsel to the Underwriters, and all marketing, syndication and travel expenses, (viii) costs, fees and expenses incurred by the Underwriters in connection with determining its compliance with the rules and regulations of FINRA related to the Underwriters’ participation in the offering and distribution of the Securities, including any related filing fees and the legal fees of, and disbursements by, counsel to the Underwriters, (ix) the fees, costs and expenses of the Company relating to investor presentations on any “road show,”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 (x) the cost of preparing and providing any CUSIP or other identification numbers for the Securities, (xi) any fees charged by rating agencies for rating the Securities, and (xii) all other fees, costs and expenses of the nature referred to in Item 14 of Part II of the Registration Statement. In the event any Underwriter incurs any such costs, fees and expenses on behalf of the Company, the Company will reimburse such Underwriter for such reasonable costs, fees and expenses whether or not the transactions contemplated hereby are consummated, except in the case that the Agreement is terminated pursuant to Section 12. Except as specifically provided in this Section 5 or in Section 8, Section 10 or Section 11 hereof, the Underwriters shall pay their own expenses.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tabs>
          <w:tab w:leader="none" w:pos="17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Covenant of the Underwriters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80"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Conditions of the Obligations of the Underwriters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respective obligations of the Underwriters hereunder to purchase and pay for the Securities as provided herein on the Closing Date, shall be subject to the accuracy of the representations and warranties on the part of the Company set forth in Section 1 hereof as of the date hereof and as of the Closing Date, as though then made, the accuracy of the representations and warranties on the part of the Principal Banking Subsidiary set forth in Section 2 hereof as of the date hereof and as of the Closing Date, as though then made, to the timely performance by the Company of its covenants and other obligations hereunder, and to each of the following additional conditions:</w:t>
      </w:r>
    </w:p>
    <w:p>
      <w:pPr>
        <w:spacing w:after="0" w:line="184" w:lineRule="exact"/>
        <w:rPr>
          <w:sz w:val="20"/>
          <w:szCs w:val="20"/>
          <w:color w:val="auto"/>
        </w:rPr>
      </w:pPr>
    </w:p>
    <w:p>
      <w:pPr>
        <w:jc w:val="both"/>
        <w:ind w:left="660" w:firstLine="644"/>
        <w:spacing w:after="0" w:line="256" w:lineRule="auto"/>
        <w:tabs>
          <w:tab w:leader="none" w:pos="176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Comfort Letters</w:t>
      </w:r>
      <w:r>
        <w:rPr>
          <w:rFonts w:ascii="Arial" w:cs="Arial" w:eastAsia="Arial" w:hAnsi="Arial"/>
          <w:sz w:val="18"/>
          <w:szCs w:val="18"/>
          <w:color w:val="auto"/>
        </w:rPr>
        <w:t>. On the date hereof, the Representatives shall have received from RSM US LLP,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the Public Company Accounting Oversight Board (United States) Auditing Standards 6101 (or any successor bulletin), with respect to the audited and unaudited financial statements and certain financial information contained in the Registration Statement, the Time of Sale Prospectus, and each free writing prospectus, if 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1120" w:hanging="476"/>
        <w:spacing w:after="0"/>
        <w:tabs>
          <w:tab w:leader="none" w:pos="11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Registration Requirements; No Stop Order; No Objection from FINRA</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640" w:firstLine="652"/>
        <w:spacing w:after="0" w:line="263" w:lineRule="auto"/>
        <w:tabs>
          <w:tab w:leader="none" w:pos="1773"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w:t>
      </w:r>
    </w:p>
    <w:p>
      <w:pPr>
        <w:spacing w:after="0" w:line="183" w:lineRule="exact"/>
        <w:rPr>
          <w:rFonts w:ascii="Arial" w:cs="Arial" w:eastAsia="Arial" w:hAnsi="Arial"/>
          <w:sz w:val="18"/>
          <w:szCs w:val="18"/>
          <w:color w:val="auto"/>
        </w:rPr>
      </w:pPr>
    </w:p>
    <w:p>
      <w:pPr>
        <w:jc w:val="both"/>
        <w:ind w:left="640" w:firstLine="652"/>
        <w:spacing w:after="0" w:line="263" w:lineRule="auto"/>
        <w:tabs>
          <w:tab w:leader="none" w:pos="18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post-effective amendment to the Registration Statement shall be in effect, and no proceedings for such purpose shall have been instituted or threatened by the Commission; and</w:t>
      </w:r>
    </w:p>
    <w:p>
      <w:pPr>
        <w:spacing w:after="0" w:line="183" w:lineRule="exact"/>
        <w:rPr>
          <w:rFonts w:ascii="Arial" w:cs="Arial" w:eastAsia="Arial" w:hAnsi="Arial"/>
          <w:sz w:val="18"/>
          <w:szCs w:val="18"/>
          <w:color w:val="auto"/>
        </w:rPr>
      </w:pPr>
    </w:p>
    <w:p>
      <w:pPr>
        <w:ind w:left="640" w:right="20" w:firstLine="652"/>
        <w:spacing w:after="0" w:line="277" w:lineRule="auto"/>
        <w:tabs>
          <w:tab w:leader="none" w:pos="1828"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a filing has been made with FINRA, FINRA shall have raised no objection to the fairness and reasonableness of the underwriting terms and arrangements.</w:t>
      </w:r>
    </w:p>
    <w:p>
      <w:pPr>
        <w:spacing w:after="0" w:line="166" w:lineRule="exact"/>
        <w:rPr>
          <w:rFonts w:ascii="Arial" w:cs="Arial" w:eastAsia="Arial" w:hAnsi="Arial"/>
          <w:sz w:val="18"/>
          <w:szCs w:val="18"/>
          <w:color w:val="auto"/>
        </w:rPr>
      </w:pPr>
    </w:p>
    <w:p>
      <w:pPr>
        <w:ind w:firstLine="644"/>
        <w:spacing w:after="0" w:line="282" w:lineRule="auto"/>
        <w:tabs>
          <w:tab w:leader="none" w:pos="109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No Material Adverse Change or Ratings Agency Change</w:t>
      </w:r>
      <w:r>
        <w:rPr>
          <w:rFonts w:ascii="Arial" w:cs="Arial" w:eastAsia="Arial" w:hAnsi="Arial"/>
          <w:sz w:val="18"/>
          <w:szCs w:val="18"/>
          <w:color w:val="auto"/>
        </w:rPr>
        <w:t>. For the period from and after the date of this Agreement and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and including the Closing Date:</w:t>
      </w:r>
    </w:p>
    <w:p>
      <w:pPr>
        <w:spacing w:after="0" w:line="165" w:lineRule="exact"/>
        <w:rPr>
          <w:rFonts w:ascii="Arial" w:cs="Arial" w:eastAsia="Arial" w:hAnsi="Arial"/>
          <w:sz w:val="18"/>
          <w:szCs w:val="18"/>
          <w:b w:val="1"/>
          <w:bCs w:val="1"/>
          <w:color w:val="auto"/>
        </w:rPr>
      </w:pPr>
    </w:p>
    <w:p>
      <w:pPr>
        <w:ind w:left="1780" w:hanging="488"/>
        <w:spacing w:after="0"/>
        <w:tabs>
          <w:tab w:leader="none" w:pos="17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judgment of the Representatives, there shall not have occurred any Material Adverse Change;</w:t>
      </w:r>
    </w:p>
    <w:p>
      <w:pPr>
        <w:spacing w:after="0" w:line="225" w:lineRule="exact"/>
        <w:rPr>
          <w:rFonts w:ascii="Arial" w:cs="Arial" w:eastAsia="Arial" w:hAnsi="Arial"/>
          <w:sz w:val="18"/>
          <w:szCs w:val="18"/>
          <w:color w:val="auto"/>
        </w:rPr>
      </w:pPr>
    </w:p>
    <w:p>
      <w:pPr>
        <w:jc w:val="both"/>
        <w:ind w:left="640" w:right="20" w:firstLine="652"/>
        <w:spacing w:after="0" w:line="263" w:lineRule="auto"/>
        <w:tabs>
          <w:tab w:leader="none" w:pos="18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NRSRO; and</w:t>
      </w:r>
    </w:p>
    <w:p>
      <w:pPr>
        <w:spacing w:after="0" w:line="183" w:lineRule="exact"/>
        <w:rPr>
          <w:rFonts w:ascii="Arial" w:cs="Arial" w:eastAsia="Arial" w:hAnsi="Arial"/>
          <w:sz w:val="18"/>
          <w:szCs w:val="18"/>
          <w:color w:val="auto"/>
        </w:rPr>
      </w:pPr>
    </w:p>
    <w:p>
      <w:pPr>
        <w:ind w:left="640" w:firstLine="652"/>
        <w:spacing w:after="0" w:line="277" w:lineRule="auto"/>
        <w:tabs>
          <w:tab w:leader="none" w:pos="182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Registration Statement, the Time of Sale Prospectus and the Prospectus shall not be subject to any proceeding by any federal bank or securities regulatory authority.</w:t>
      </w:r>
    </w:p>
    <w:p>
      <w:pPr>
        <w:spacing w:after="0" w:line="166" w:lineRule="exact"/>
        <w:rPr>
          <w:rFonts w:ascii="Arial" w:cs="Arial" w:eastAsia="Arial" w:hAnsi="Arial"/>
          <w:sz w:val="18"/>
          <w:szCs w:val="18"/>
          <w:color w:val="auto"/>
        </w:rPr>
      </w:pPr>
    </w:p>
    <w:p>
      <w:pPr>
        <w:ind w:left="1120" w:hanging="476"/>
        <w:spacing w:after="0"/>
        <w:tabs>
          <w:tab w:leader="none" w:pos="112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Opinion and Negative Assurance Letter of Counsel for the Company</w:t>
      </w:r>
      <w:r>
        <w:rPr>
          <w:rFonts w:ascii="Arial" w:cs="Arial" w:eastAsia="Arial" w:hAnsi="Arial"/>
          <w:sz w:val="17"/>
          <w:szCs w:val="17"/>
          <w:color w:val="auto"/>
        </w:rPr>
        <w:t>. On the Closing Date, the Underwriters shall have</w:t>
      </w:r>
    </w:p>
    <w:p>
      <w:pPr>
        <w:spacing w:after="0" w:line="38" w:lineRule="exact"/>
        <w:rPr>
          <w:rFonts w:ascii="Arial" w:cs="Arial" w:eastAsia="Arial" w:hAnsi="Arial"/>
          <w:sz w:val="17"/>
          <w:szCs w:val="17"/>
          <w:b w:val="1"/>
          <w:bCs w:val="1"/>
          <w:color w:val="auto"/>
        </w:rPr>
      </w:pPr>
    </w:p>
    <w:p>
      <w:pPr>
        <w:jc w:val="both"/>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received: (i) the opinion and negative assurance letter of Vedder Price P.C., special counsel for the Company, and (ii) the opinion of Armstrong Teasdale LLP, special Nevada counsel to the Company, as to certain matters under Nevada law, each dated as of such date, in form and substance reasonably satisfactory to the Representatives.</w:t>
      </w:r>
    </w:p>
    <w:p>
      <w:pPr>
        <w:spacing w:after="0" w:line="185" w:lineRule="exact"/>
        <w:rPr>
          <w:rFonts w:ascii="Arial" w:cs="Arial" w:eastAsia="Arial" w:hAnsi="Arial"/>
          <w:sz w:val="17"/>
          <w:szCs w:val="17"/>
          <w:b w:val="1"/>
          <w:bCs w:val="1"/>
          <w:color w:val="auto"/>
        </w:rPr>
      </w:pPr>
    </w:p>
    <w:p>
      <w:pPr>
        <w:jc w:val="both"/>
        <w:ind w:firstLine="644"/>
        <w:spacing w:after="0" w:line="289" w:lineRule="auto"/>
        <w:tabs>
          <w:tab w:leader="none" w:pos="1095"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Opinion and Negative Assurance Letter of Counsel for the Underwriters</w:t>
      </w:r>
      <w:r>
        <w:rPr>
          <w:rFonts w:ascii="Arial" w:cs="Arial" w:eastAsia="Arial" w:hAnsi="Arial"/>
          <w:sz w:val="17"/>
          <w:szCs w:val="17"/>
          <w:color w:val="auto"/>
        </w:rPr>
        <w:t>. On the Closing Date, the Underwriters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the opinion and negative assurance letter of Barack Ferrazzano Kirschbaum &amp; Nagelberg LLP, counsel for the Underwriters in connection with the offer and sale of the Securities, in form and substance satisfactory to the Underwriters, dated as of such date.</w:t>
      </w:r>
    </w:p>
    <w:p>
      <w:pPr>
        <w:spacing w:after="0" w:line="37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 w:name="page33"/>
    <w:bookmarkEnd w:id="32"/>
    <w:p>
      <w:pPr>
        <w:jc w:val="both"/>
        <w:ind w:left="4" w:firstLine="644"/>
        <w:spacing w:after="0" w:line="293" w:lineRule="auto"/>
        <w:tabs>
          <w:tab w:leader="none" w:pos="1102"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Officers’ Certificate</w:t>
      </w:r>
      <w:r>
        <w:rPr>
          <w:rFonts w:ascii="Arial" w:cs="Arial" w:eastAsia="Arial" w:hAnsi="Arial"/>
          <w:sz w:val="16"/>
          <w:szCs w:val="16"/>
          <w:color w:val="auto"/>
        </w:rPr>
        <w:t>. On the Closing Date, the Underwriters shall have received a certificate executed by the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the Company and the Chief Financial Officer of the Company, dated as of such date, to the effect set forth in Section 7(b)</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and further to the effect that:</w:t>
      </w:r>
    </w:p>
    <w:p>
      <w:pPr>
        <w:spacing w:after="0" w:line="210" w:lineRule="exact"/>
        <w:rPr>
          <w:rFonts w:ascii="Arial" w:cs="Arial" w:eastAsia="Arial" w:hAnsi="Arial"/>
          <w:sz w:val="18"/>
          <w:szCs w:val="18"/>
          <w:color w:val="auto"/>
        </w:rPr>
      </w:pPr>
    </w:p>
    <w:p>
      <w:pPr>
        <w:ind w:left="644" w:firstLine="652"/>
        <w:spacing w:after="0" w:line="277" w:lineRule="auto"/>
        <w:tabs>
          <w:tab w:leader="none" w:pos="1777" w:val="left"/>
        </w:tabs>
        <w:numPr>
          <w:ilvl w:val="2"/>
          <w:numId w:val="37"/>
        </w:numPr>
        <w:rPr>
          <w:rFonts w:ascii="Arial" w:cs="Arial" w:eastAsia="Arial" w:hAnsi="Arial"/>
          <w:sz w:val="18"/>
          <w:szCs w:val="18"/>
          <w:color w:val="auto"/>
        </w:rPr>
      </w:pPr>
      <w:r>
        <w:rPr>
          <w:rFonts w:ascii="Arial" w:cs="Arial" w:eastAsia="Arial" w:hAnsi="Arial"/>
          <w:sz w:val="18"/>
          <w:szCs w:val="18"/>
          <w:color w:val="auto"/>
        </w:rPr>
        <w:t>for the period from and including the date of this Agreement through and including such date, there has not occurred any Material Adverse Change;</w:t>
      </w:r>
    </w:p>
    <w:p>
      <w:pPr>
        <w:spacing w:after="0" w:line="170" w:lineRule="exact"/>
        <w:rPr>
          <w:rFonts w:ascii="Arial" w:cs="Arial" w:eastAsia="Arial" w:hAnsi="Arial"/>
          <w:sz w:val="18"/>
          <w:szCs w:val="18"/>
          <w:color w:val="auto"/>
        </w:rPr>
      </w:pPr>
    </w:p>
    <w:p>
      <w:pPr>
        <w:ind w:left="644" w:firstLine="652"/>
        <w:spacing w:after="0" w:line="277" w:lineRule="auto"/>
        <w:tabs>
          <w:tab w:leader="none" w:pos="1804"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left="644" w:firstLine="652"/>
        <w:spacing w:after="0" w:line="277" w:lineRule="auto"/>
        <w:tabs>
          <w:tab w:leader="none" w:pos="1832"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66" w:lineRule="exact"/>
        <w:rPr>
          <w:rFonts w:ascii="Arial" w:cs="Arial" w:eastAsia="Arial" w:hAnsi="Arial"/>
          <w:sz w:val="18"/>
          <w:szCs w:val="18"/>
          <w:color w:val="auto"/>
        </w:rPr>
      </w:pPr>
    </w:p>
    <w:p>
      <w:pPr>
        <w:jc w:val="both"/>
        <w:ind w:left="4" w:firstLine="644"/>
        <w:spacing w:after="0" w:line="303" w:lineRule="auto"/>
        <w:tabs>
          <w:tab w:leader="none" w:pos="1109"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Chief Financial Officer’s Certificate</w:t>
      </w:r>
      <w:r>
        <w:rPr>
          <w:rFonts w:ascii="Arial" w:cs="Arial" w:eastAsia="Arial" w:hAnsi="Arial"/>
          <w:sz w:val="16"/>
          <w:szCs w:val="16"/>
          <w:color w:val="auto"/>
        </w:rPr>
        <w:t>. On the date hereof and the Closing Date, the Underwriters shall have received a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executed by the Chief Financial Officer of the Company, dated the date hereof and the Closing Date, respectively, with respect to certain financial data contained in the Registration Statement, the Time of Sale Prospectus or the Prospectus, providing “management comfort” with respect to such information, in form and substance satisfactory to the Representatives, dated the date hereof and the Closing Date, respectively.</w:t>
      </w:r>
    </w:p>
    <w:p>
      <w:pPr>
        <w:spacing w:after="0" w:line="150" w:lineRule="exact"/>
        <w:rPr>
          <w:rFonts w:ascii="Arial" w:cs="Arial" w:eastAsia="Arial" w:hAnsi="Arial"/>
          <w:sz w:val="16"/>
          <w:szCs w:val="16"/>
          <w:b w:val="1"/>
          <w:bCs w:val="1"/>
          <w:color w:val="auto"/>
        </w:rPr>
      </w:pPr>
    </w:p>
    <w:p>
      <w:pPr>
        <w:jc w:val="both"/>
        <w:ind w:left="4" w:firstLine="644"/>
        <w:spacing w:after="0" w:line="293" w:lineRule="auto"/>
        <w:tabs>
          <w:tab w:leader="none" w:pos="1119"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Bring-down Comfort Letter</w:t>
      </w:r>
      <w:r>
        <w:rPr>
          <w:rFonts w:ascii="Arial" w:cs="Arial" w:eastAsia="Arial" w:hAnsi="Arial"/>
          <w:sz w:val="16"/>
          <w:szCs w:val="16"/>
          <w:color w:val="auto"/>
        </w:rPr>
        <w:t>. On the Closing Date, the Underwriters shall have received from RSM US LLP,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public accountants for the Company, a letter dated such date, in form and substance satisfactory to the Underwriters, which letter shall:</w:t>
      </w:r>
    </w:p>
    <w:p>
      <w:pPr>
        <w:spacing w:after="0" w:line="1" w:lineRule="exact"/>
        <w:rPr>
          <w:rFonts w:ascii="Arial" w:cs="Arial" w:eastAsia="Arial" w:hAnsi="Arial"/>
          <w:sz w:val="16"/>
          <w:szCs w:val="16"/>
          <w:b w:val="1"/>
          <w:bCs w:val="1"/>
          <w:color w:val="auto"/>
        </w:rPr>
      </w:pPr>
    </w:p>
    <w:p>
      <w:pPr>
        <w:jc w:val="both"/>
        <w:ind w:left="4" w:hanging="4"/>
        <w:spacing w:after="0" w:line="255" w:lineRule="auto"/>
        <w:tabs>
          <w:tab w:leader="none" w:pos="229"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reaffirm the statements made in the letter furnished pursuant to Section 7(a), except that the specified date referred to therein for the carrying out of procedures shall be no more than three business days prior to the Closing Date; and (ii) cover certain financial information contained in the Prospectus.</w:t>
      </w:r>
    </w:p>
    <w:p>
      <w:pPr>
        <w:spacing w:after="0" w:line="185" w:lineRule="exact"/>
        <w:rPr>
          <w:rFonts w:ascii="Arial" w:cs="Arial" w:eastAsia="Arial" w:hAnsi="Arial"/>
          <w:sz w:val="18"/>
          <w:szCs w:val="18"/>
          <w:color w:val="auto"/>
        </w:rPr>
      </w:pPr>
    </w:p>
    <w:p>
      <w:pPr>
        <w:ind w:left="1084" w:hanging="436"/>
        <w:spacing w:after="0"/>
        <w:tabs>
          <w:tab w:leader="none" w:pos="1084"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Ratings</w:t>
      </w:r>
      <w:r>
        <w:rPr>
          <w:rFonts w:ascii="Arial" w:cs="Arial" w:eastAsia="Arial" w:hAnsi="Arial"/>
          <w:sz w:val="18"/>
          <w:szCs w:val="18"/>
          <w:color w:val="auto"/>
        </w:rPr>
        <w:t>. The Securities shall have been rated investment grade by Kroll Bond Rating Agency, Inc.</w:t>
      </w:r>
    </w:p>
    <w:p>
      <w:pPr>
        <w:spacing w:after="0" w:line="225" w:lineRule="exact"/>
        <w:rPr>
          <w:rFonts w:ascii="Arial" w:cs="Arial" w:eastAsia="Arial" w:hAnsi="Arial"/>
          <w:sz w:val="18"/>
          <w:szCs w:val="18"/>
          <w:b w:val="1"/>
          <w:bCs w:val="1"/>
          <w:color w:val="auto"/>
        </w:rPr>
      </w:pPr>
    </w:p>
    <w:p>
      <w:pPr>
        <w:jc w:val="both"/>
        <w:ind w:left="4" w:firstLine="644"/>
        <w:spacing w:after="0" w:line="298" w:lineRule="auto"/>
        <w:tabs>
          <w:tab w:leader="none" w:pos="1102" w:val="left"/>
        </w:tabs>
        <w:numPr>
          <w:ilvl w:val="1"/>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Documents</w:t>
      </w:r>
      <w:r>
        <w:rPr>
          <w:rFonts w:ascii="Arial" w:cs="Arial" w:eastAsia="Arial" w:hAnsi="Arial"/>
          <w:sz w:val="16"/>
          <w:szCs w:val="16"/>
          <w:color w:val="auto"/>
        </w:rPr>
        <w:t>. On or before the Closing Date, the Underwriters and counsel for the Underwriters shall have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such information, documents and opinions as they may reasonably request for the purposes of enabling them to pass upon the issuance and sale of the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Securities as contemplated herein shall be satisfactory in form and substance to the Underwriters and counsel for the Underwriters.</w:t>
      </w:r>
    </w:p>
    <w:p>
      <w:pPr>
        <w:spacing w:after="0" w:line="153" w:lineRule="exact"/>
        <w:rPr>
          <w:rFonts w:ascii="Arial" w:cs="Arial" w:eastAsia="Arial" w:hAnsi="Arial"/>
          <w:sz w:val="16"/>
          <w:szCs w:val="16"/>
          <w:b w:val="1"/>
          <w:bCs w:val="1"/>
          <w:color w:val="auto"/>
        </w:rPr>
      </w:pPr>
    </w:p>
    <w:p>
      <w:pPr>
        <w:ind w:left="4" w:firstLine="644"/>
        <w:spacing w:after="0" w:line="282" w:lineRule="auto"/>
        <w:tabs>
          <w:tab w:leader="none" w:pos="1119"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The Indenture shall have been executed and delivered by each party thereto and an executed copy thereof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provided to the Underwriters.</w:t>
      </w:r>
    </w:p>
    <w:p>
      <w:pPr>
        <w:spacing w:after="0" w:line="161" w:lineRule="exact"/>
        <w:rPr>
          <w:rFonts w:ascii="Arial" w:cs="Arial" w:eastAsia="Arial" w:hAnsi="Arial"/>
          <w:sz w:val="18"/>
          <w:szCs w:val="18"/>
          <w:b w:val="1"/>
          <w:bCs w:val="1"/>
          <w:color w:val="auto"/>
        </w:rPr>
      </w:pPr>
    </w:p>
    <w:p>
      <w:pPr>
        <w:ind w:left="1084" w:hanging="436"/>
        <w:spacing w:after="0"/>
        <w:tabs>
          <w:tab w:leader="none" w:pos="1084"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DTC</w:t>
      </w:r>
      <w:r>
        <w:rPr>
          <w:rFonts w:ascii="Arial" w:cs="Arial" w:eastAsia="Arial" w:hAnsi="Arial"/>
          <w:sz w:val="18"/>
          <w:szCs w:val="18"/>
          <w:color w:val="auto"/>
        </w:rPr>
        <w:t>. The Securities shall be eligible for clearance and settlement through DTC.</w:t>
      </w:r>
    </w:p>
    <w:p>
      <w:pPr>
        <w:spacing w:after="0" w:line="200" w:lineRule="exact"/>
        <w:rPr>
          <w:sz w:val="20"/>
          <w:szCs w:val="20"/>
          <w:color w:val="auto"/>
        </w:rPr>
      </w:pPr>
    </w:p>
    <w:p>
      <w:pPr>
        <w:spacing w:after="0" w:line="24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If any condition specified in this Section 7 is not satisfied when and as required to be satisfied, this Agreement may be terminated by the Underwriters by notice from the Underwriters to the Company at any time on or prior to the Closing Date, which termination shall be without liability on the part of any party to any other party, except that Section 5, Section 8, Section 10 and Section 11 shall at all times be effective and shall survive such termination.</w:t>
      </w:r>
    </w:p>
    <w:p>
      <w:pPr>
        <w:spacing w:after="0" w:line="18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Reimbursement of Underwriters’ Expenses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this Agreement is terminated by the Underwriters pursuant to Section 7 or Section 13, or if the sale to the Underwriters of the Securities on the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documented out-of-pocket expenses that shall have been reasonably incurred by the Representatives and the Underwriters in connection with the proposed purchase and the offering and sale of the Securities, including, but not limited to, fees and disbursements of counsel, printing expenses, travel expenses, postage, facsimile and telephone charges, subject to the provisions of Section 5.</w:t>
      </w:r>
    </w:p>
    <w:p>
      <w:pPr>
        <w:spacing w:after="0" w:line="16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Effectiveness of this Agreement</w:t>
      </w:r>
      <w:r>
        <w:rPr>
          <w:rFonts w:ascii="Arial" w:cs="Arial" w:eastAsia="Arial" w:hAnsi="Arial"/>
          <w:sz w:val="15"/>
          <w:szCs w:val="15"/>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shall become effective upon the execution and delivery hereof by the parties hereto.</w:t>
      </w:r>
    </w:p>
    <w:p>
      <w:pPr>
        <w:spacing w:after="0" w:line="22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4" w:lineRule="auto"/>
        <w:tabs>
          <w:tab w:leader="none" w:pos="1765"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of the Underwriters</w:t>
      </w:r>
      <w:r>
        <w:rPr>
          <w:rFonts w:ascii="Arial" w:cs="Arial" w:eastAsia="Arial" w:hAnsi="Arial"/>
          <w:sz w:val="16"/>
          <w:szCs w:val="16"/>
          <w:color w:val="auto"/>
        </w:rPr>
        <w:t>. The Company and the Principal Banking Subsidiary, jointly and severally, agree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 and hold harmless each Underwriter, their respective affiliates, directors, officers, employees, partners and agents, and each person, if any, who controls each Underwriter within the meaning of the Securities Act or the Exchange Act (a “</w:t>
      </w:r>
      <w:r>
        <w:rPr>
          <w:rFonts w:ascii="Arial" w:cs="Arial" w:eastAsia="Arial" w:hAnsi="Arial"/>
          <w:sz w:val="16"/>
          <w:szCs w:val="16"/>
          <w:b w:val="1"/>
          <w:bCs w:val="1"/>
          <w:color w:val="auto"/>
        </w:rPr>
        <w:t>controlling person</w:t>
      </w:r>
      <w:r>
        <w:rPr>
          <w:rFonts w:ascii="Arial" w:cs="Arial" w:eastAsia="Arial" w:hAnsi="Arial"/>
          <w:sz w:val="16"/>
          <w:szCs w:val="16"/>
          <w:color w:val="auto"/>
        </w:rPr>
        <w:t>”) against any loss, claim, damage, liability or expense, as incurred, to which such Underwriters or such affiliate, director, officer, employee, partner, agent or controlling person may become subject, under the Securities Act, the Exchange Act, or any federal or state statutory law or regulation, or the laws or regulations of foreign jurisdictions where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materials provided to investors by, or with the approval of, the Company in connection with the marketing of the offering of the Securities, including any roadshow or written investor presentations provided to investors by the Company (whether in person or electronically) (“</w:t>
      </w:r>
      <w:r>
        <w:rPr>
          <w:rFonts w:ascii="Arial" w:cs="Arial" w:eastAsia="Arial" w:hAnsi="Arial"/>
          <w:sz w:val="16"/>
          <w:szCs w:val="16"/>
          <w:b w:val="1"/>
          <w:bCs w:val="1"/>
          <w:color w:val="auto"/>
        </w:rPr>
        <w:t>marketing material</w:t>
      </w:r>
      <w:r>
        <w:rPr>
          <w:rFonts w:ascii="Arial" w:cs="Arial" w:eastAsia="Arial" w:hAnsi="Arial"/>
          <w:sz w:val="16"/>
          <w:szCs w:val="16"/>
          <w:color w:val="auto"/>
        </w:rPr>
        <w:t>”), or the Prospectus (or any amendment or supplement to the foregoing), or the omission or alleged omission to state therein a material fact necessary in order to make the statements, in the light of the circumstances under which they were made, not misleading; and to reimburse such Underwriter and each such affiliate, director, officer, employee, agent, partner and controlling person for any and all expenses (including the fees and disbursements of counsel) as such expenses are reasonably incurred by such Underwriter or such affiliate, director, officer, employee, agent, partner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or the Prospectus (or any amendment or supplement thereto), it being understood and agreed that such information only consists of the information described in Section 10(b) below; and provided further, that the Principal Banking Subsidiary shall not be liable in any such case to the extent such indemnification, or contribution pursuant to Section 11 of this Agreement, is found to constitute a covered transaction pursuant to Section 23A of the Federal Reserve Act, as amended. The indemnity agreement set forth in this Section 10(a) shall be in addition to any liabilities that the Company may otherwise have.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left="-460" w:firstLine="644"/>
        <w:spacing w:after="0" w:line="284" w:lineRule="auto"/>
        <w:tabs>
          <w:tab w:leader="none" w:pos="655"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of the Company, its Directors and Officers</w:t>
      </w:r>
      <w:r>
        <w:rPr>
          <w:rFonts w:ascii="Arial" w:cs="Arial" w:eastAsia="Arial" w:hAnsi="Arial"/>
          <w:sz w:val="16"/>
          <w:szCs w:val="16"/>
          <w:color w:val="auto"/>
        </w:rPr>
        <w:t>. Each Underwriter agrees, severally and not jointly, to indemnify</w:t>
      </w:r>
      <w:r>
        <w:rPr>
          <w:rFonts w:ascii="Arial" w:cs="Arial" w:eastAsia="Arial" w:hAnsi="Arial"/>
          <w:sz w:val="16"/>
          <w:szCs w:val="16"/>
          <w:b w:val="1"/>
          <w:bCs w:val="1"/>
          <w:color w:val="auto"/>
        </w:rPr>
        <w:t xml:space="preserve"> </w:t>
      </w:r>
      <w:r>
        <w:rPr>
          <w:rFonts w:ascii="Arial" w:cs="Arial" w:eastAsia="Arial" w:hAnsi="Arial"/>
          <w:sz w:val="16"/>
          <w:szCs w:val="16"/>
          <w:color w:val="auto"/>
        </w:rPr>
        <w:t>and hold harmless the Company and the Principal Banking Subsidiary, their affiliates, directors, employees, partners and agents and each controlling person of the Company and the Principal Banking Subsidiary, if any, against any loss, claim, damage, liability or expense, as incurred, to which the Company or the Principal Banking Subsidiary,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and the Principal Banking Subsidiary and each such director, officer and controlling person for any and all expenses (including the fees and disbursements of counsel) as such expenses are reasonably incurred by the Company and the Principal Banking Subsidiary or such director, officer or controlling person in connection with investigating, defending, settling, compromising or paying any such loss, claim, damage, liability, expense or action. The Company and the Principal Banking Subsidiary hereby acknowledge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 of the Securities Act, or the Prospectus (or any amendment or supplement to the foregoing) are the statements set forth in the second paragraph in the section entitled “Underwriting–Discounts” and the third sentence in the section entitled “Underwriting– No Public Trading Market” in the Preliminary Prospectus Supplement and the Final Prospectus Supplement. The indemnity agreement set forth in this Section 10(b) shall be in addition to any liabilities that each Underwriter may otherwise have.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5" w:name="page36"/>
    <w:bookmarkEnd w:id="35"/>
    <w:p>
      <w:pPr>
        <w:jc w:val="both"/>
        <w:ind w:left="4" w:firstLine="644"/>
        <w:spacing w:after="0" w:line="283" w:lineRule="auto"/>
        <w:tabs>
          <w:tab w:leader="none" w:pos="1099"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Notifications and Other Indemnification Procedures</w:t>
      </w:r>
      <w:r>
        <w:rPr>
          <w:rFonts w:ascii="Arial" w:cs="Arial" w:eastAsia="Arial" w:hAnsi="Arial"/>
          <w:sz w:val="16"/>
          <w:szCs w:val="16"/>
          <w:color w:val="auto"/>
        </w:rPr>
        <w:t>. Promptly after receipt by an indemnified party under this Section 10 of</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the commencement of any action, such indemnified party will, if a claim in respect thereof is to be made against an indemnifying party under this Section 10,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10 for any legal or other expenses subsequently incurred by such indemnified party in connection with the defense thereof unless</w:t>
      </w:r>
    </w:p>
    <w:p>
      <w:pPr>
        <w:spacing w:after="0" w:line="2" w:lineRule="exact"/>
        <w:rPr>
          <w:rFonts w:ascii="Arial" w:cs="Arial" w:eastAsia="Arial" w:hAnsi="Arial"/>
          <w:sz w:val="16"/>
          <w:szCs w:val="16"/>
          <w:b w:val="1"/>
          <w:bCs w:val="1"/>
          <w:color w:val="auto"/>
        </w:rPr>
      </w:pPr>
    </w:p>
    <w:p>
      <w:pPr>
        <w:jc w:val="both"/>
        <w:ind w:left="4" w:hanging="4"/>
        <w:spacing w:after="0" w:line="251" w:lineRule="auto"/>
        <w:tabs>
          <w:tab w:leader="none" w:pos="2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10(a) above) or by the Company (in the case of counsel for the indemnified parties referred to in Section 10(b)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reasonably incurred.</w:t>
      </w:r>
    </w:p>
    <w:p>
      <w:pPr>
        <w:spacing w:after="0" w:line="200" w:lineRule="exact"/>
        <w:rPr>
          <w:sz w:val="20"/>
          <w:szCs w:val="20"/>
          <w:color w:val="auto"/>
        </w:rPr>
      </w:pPr>
    </w:p>
    <w:p>
      <w:pPr>
        <w:spacing w:after="0" w:line="21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6" w:name="page37"/>
    <w:bookmarkEnd w:id="36"/>
    <w:p>
      <w:pPr>
        <w:jc w:val="both"/>
        <w:ind w:left="660" w:firstLine="644"/>
        <w:spacing w:after="0" w:line="287" w:lineRule="auto"/>
        <w:tabs>
          <w:tab w:leader="none" w:pos="1775"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Settlements</w:t>
      </w:r>
      <w:r>
        <w:rPr>
          <w:rFonts w:ascii="Arial" w:cs="Arial" w:eastAsia="Arial" w:hAnsi="Arial"/>
          <w:sz w:val="16"/>
          <w:szCs w:val="16"/>
          <w:color w:val="auto"/>
        </w:rPr>
        <w:t>. The indemnifying party under this Section 10 shall not be liable for any settlement of any proceeding effected</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10(c)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6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Contribution</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If the indemnification provided for in Section 10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and the Principal Banking Subsidiary, on the one hand, and the Underwriters, on the other hand, from the offering of the Securities pursuant to this Agreement or (ii) if the allocation provided by clause (i) above is not permitted by applicable law, in such proportion as is appropriate to reflect not only the relative benefits referred to in clause (i) above but also the relative fault of the Company and the Principal Banking Subsidiary, on the one hand, and the Underwriters, on the other hand, in connection with the statements or omissions which resulted in such losses, claims, damages, liabilities or expenses, as well as any other relevant equitable considerations. The relative benefits received by the Company and the Principal Banking Subsidiary, on the one hand, and the Underwriters, on the other hand, in connection with the offering of the Securities pursuant to this Agreement shall be deemed to be in the same respective proportions as the total proceeds from the offering of the Securities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Securities as set forth on such cover. The relative fault of the Company and the Principal Banking Subsidiary,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and the Principal Banking Subsidiary, on the one hand, or the Underwriters, on the other hand (it being understood and agreed that such information supplied by the Underwriters only consists of the information described in Section 10(b) above), and the parties’ relative intent, knowledge, access to information and opportunity to correct or prevent such statement or omission.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7" w:lineRule="auto"/>
        <w:rPr>
          <w:sz w:val="20"/>
          <w:szCs w:val="20"/>
          <w:color w:val="auto"/>
        </w:rPr>
      </w:pPr>
      <w:r>
        <w:rPr>
          <w:rFonts w:ascii="Arial" w:cs="Arial" w:eastAsia="Arial" w:hAnsi="Arial"/>
          <w:sz w:val="18"/>
          <w:szCs w:val="18"/>
          <w:color w:val="auto"/>
        </w:rPr>
        <w:t>The amount paid or payable by a party as a result of the losses, claims, damages, liabilities and expenses referred to above shall be deemed to include, subject to the limitations set forth in Section 10(c), any legal or other fees or expenses reasonably incurred by such party in connection with investigating or defending any action or claim. The provisions set forth in Section 10(c) with respect to notice of commencement of any action shall apply if a claim for contribution is to be made under this Section 10; provided, however, that no additional notice shall be required with respect to any action for which notice has been given under Section 10(c) for purposes of indemnification.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the Principal Banking Subsidiary and the Underwriters agree that it would not be just and equitable if contribution pursuant to this Section 11 were determined by pro rata allocation or by any other method of allocation which does not take account of the equitable considerations referred to in this Section 11.</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Notwithstanding the provisions of this Section 11, no Underwriter shall be required to contribute any amount in excess of the underwriting discounts and commissions received by such Underwriter in connection with the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11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11, each affiliate, director, officer, employee, partner and agent of an Underwriter and each controlling person, if any, who controls an Underwriter, shall have the same rights to contribution as such Underwriter, and each director of the Company, each officer of the Company who signed the Registration Statement, and each controlling person, if any, of the Company, shall have the same rights to contribution as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Default of One or More of the Several Underwriters.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If, on the Closing Date, any one or more of the several Underwriters shall fail or refuse to purchase Securities that it or they have agreed to purchase hereunder on such date, and the aggregate principal amount of the Securities which such defaulting Underwriter or Underwriters agreed but failed or refused to purchase does not exceed 10% of the aggregate principal amount of the Securities to be purchased on such date, the Representatives may make arrangements satisfactory to the Company for the purchase of such Securities by other persons, including any of the Underwriters, but if no such arrangements are made by such date, the other Underwriters shall be obligated, severally and not jointly, in the proportions that the principal amount of Securities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principal amount of Securities set forth opposite the names of all such non-defaulting Underwriters, or in such other proportions as may be specified by the Representatives with the consent of the non-defaulting Underwriters, to purchase the Securities which such defaulting Underwriter or Underwriters agreed but failed or refused to purchase on such date. If, on the Closing Date, any one or more of the Underwriters shall fail or refuse to purchase the Securities and the aggregate principal amount of Securities with respect to which such default occurs exceeds 10% of the aggregate principal amount of Securities to be purchased on such date, and arrangements satisfactory to the Representatives and the Company for the purchase of such Securities are not made within 48 hours after such default, and unless the Closing Date is postponed pursuant to this Section 12, this Agreement shall terminate without liability of any party to any other party except that the provisions of Section 5, Section 8, Section 10 and Section 11 shall at all times be effective and shall survive such termination. In any such case either the Representatives or the Company shall have the right to postpone the Closing Date, but in no event for longer than seven days in order that the required changes, if any, to the Registration Statement and the Prospectus or any other documents or arrangements may be effected.</w:t>
      </w:r>
    </w:p>
    <w:p>
      <w:pPr>
        <w:spacing w:after="0" w:line="1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12. Any action taken under this Section 12 shall not relieve any defaulting Underwriter from liability in respect of any default of such Underwriter under this Agreement.</w:t>
      </w:r>
    </w:p>
    <w:p>
      <w:pPr>
        <w:spacing w:after="0" w:line="17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Termination of this Agreement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The Underwriters may terminate this Agreement, by notice to the Company, at any time at or prior to the Closing Date if, in the reasonable judgement of the Representatives, since the time of execution of this Agreement or since the respective dates as of which information is given in the Registration Statement, Time of Sale Prospectus or the Prospectus, (i) there has occurred any Material Adverse Effect, (ii) there has occurred any material adverse change in the financial markets in the United States, any outbreak of hostilities or escalation thereof or any other calamity or crisis, including a widespread outbreak of epidemic illnesses (including the novel coronavirus COVID-19 to the extent that there is a material worsening of such pandemic that actually occurs after the date hereof in the markets in which the Company operates) or any change or development involving a prospective change in national political, financial or economic conditions, in each case the effect of which is such as to make it, in the judgment of the Representatives, impracticable or inadvisable to proceed with the completion of the offering of the Securities on the terms and in the manner contemplated in the Registration Statement, the Prospectus and the Time of Sale Prospectus or to enforce contracts for the sale of the Securities, (iii) trading or quotation in any securities of the Company has been suspended or limited by the Commission or by NASDAQ, or if trading generally on the New York Stock Exchange (“</w:t>
      </w:r>
      <w:r>
        <w:rPr>
          <w:rFonts w:ascii="Arial" w:cs="Arial" w:eastAsia="Arial" w:hAnsi="Arial"/>
          <w:sz w:val="16"/>
          <w:szCs w:val="16"/>
          <w:b w:val="1"/>
          <w:bCs w:val="1"/>
          <w:color w:val="auto"/>
        </w:rPr>
        <w:t>NYSE</w:t>
      </w:r>
      <w:r>
        <w:rPr>
          <w:rFonts w:ascii="Arial" w:cs="Arial" w:eastAsia="Arial" w:hAnsi="Arial"/>
          <w:sz w:val="16"/>
          <w:szCs w:val="16"/>
          <w:color w:val="auto"/>
        </w:rPr>
        <w:t>”) or NASDAQ has been suspended or limited, or minimum or maximum prices for trading have been fixed, or maximum ranges for prices have been required, by any of said exchanges or by such system or by order of the Commission, FINRA or any other governmental authority, (iv) there has occurred a downgrading in or withdrawal of the rating assigned to the Securities or any other securities of the Company by any NRSRO, or such organization has publicly announced that it has under surveillance or review, or has changed its outlook with respect to, its rating of the Securities or any other securities of the Company, or (v) a banking moratorium has been declared by the United States, New York or Illinois authorities or a material restriction on banking activities or operations by such regulatory authorities or a material disruption has occurred in commercial banking or securities settlement and clearances services in the United States. Any termination pursuant to this Section 13 shall be without liability on the part of (a) the Company to the Underwriters, except that the Company shall be obligated to reimburse the expenses of the Underwriters pursuant to Section 5 or Section 8 hereof or</w:t>
      </w:r>
    </w:p>
    <w:p>
      <w:pPr>
        <w:spacing w:after="0" w:line="11" w:lineRule="exact"/>
        <w:rPr>
          <w:sz w:val="20"/>
          <w:szCs w:val="20"/>
          <w:color w:val="auto"/>
        </w:rPr>
      </w:pPr>
    </w:p>
    <w:p>
      <w:pPr>
        <w:ind w:firstLine="8"/>
        <w:spacing w:after="0" w:line="260" w:lineRule="auto"/>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Underwriters to the Company; provided, however, that the provisions of Section 10 and Section 11 shall at all times be effective and shall survive such termination.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No Advisory or Fiduciary Relationship</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acknowledges and agrees that (a) the purchase and sale of the Securities pursuant to this Agreement, including the determination of the interest rate, terms and public offering price of the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or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78"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Representations and Indemnities to Survive Delivery</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respective partners, officers or directors or any controlling person, as the case may be, and, anything herein to the contrary notwithstanding, will survive delivery of and payment for the Securities sold hereunder and any termination of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communications hereunder shall be in writing and shall be mailed (including electronic mail), hand delivered or telecopied and confirmed to the parties hereto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Representatives:</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1251 Avenue of the Americas, 6th Floor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(212) 466-7796</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jennifer.docherty@psc.com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U.S. Bancorp Investments, Inc.</w:t>
      </w:r>
    </w:p>
    <w:p>
      <w:pPr>
        <w:ind w:left="3240"/>
        <w:spacing w:after="0" w:line="202" w:lineRule="auto"/>
        <w:rPr>
          <w:sz w:val="20"/>
          <w:szCs w:val="20"/>
          <w:color w:val="auto"/>
        </w:rPr>
      </w:pPr>
      <w:r>
        <w:rPr>
          <w:rFonts w:ascii="Arial" w:cs="Arial" w:eastAsia="Arial" w:hAnsi="Arial"/>
          <w:sz w:val="18"/>
          <w:szCs w:val="18"/>
          <w:color w:val="auto"/>
        </w:rPr>
        <w:t>214 N. Tryon St.,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Charlotte, North Carolina 28202</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(704) 335-2393</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Credit Fixed Income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Barack Ferrazzano Kirschbaum &amp; Nagelberg LLP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200 West Madison Street, Suite 3900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(312) 984-3150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robert.fleetwood@bfkn.com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Robert M. Fleetwood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First Busey Corporation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100 W. University Avenue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Champaign, Illinois 61820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(217) 351-6552</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jeff.jones@busey.com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Vedder Price P.C.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222 North LaSalle Street, Suite 2600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Chicago, Illinois 60601</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(312) 609-5005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jking@vedderprice.com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Jennifer D. King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3"/>
          <w:szCs w:val="13"/>
          <w:b w:val="1"/>
          <w:bCs w:val="1"/>
          <w:color w:val="auto"/>
        </w:rPr>
        <w:t>Successors</w:t>
      </w:r>
      <w:r>
        <w:rPr>
          <w:rFonts w:ascii="Arial" w:cs="Arial" w:eastAsia="Arial" w:hAnsi="Arial"/>
          <w:sz w:val="13"/>
          <w:szCs w:val="13"/>
          <w:color w:val="auto"/>
        </w:rPr>
        <w: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Agreement will inure to the benefit of and be binding upon the parties hereto, including any substitute Underwriters pursuant to Section 12 hereof and to the benefit of the affiliates, directors, officers, employees, agents, partners and controlling persons referred to in Section 10 and Section 11, and in each case their respective successors, and no other person will have any right or obligation hereunder. The term “successors” shall not include any purchaser of the Securities as such from any of the Underwriters merely by reason of such purchase.</w:t>
      </w:r>
    </w:p>
    <w:p>
      <w:pPr>
        <w:spacing w:after="0" w:line="167"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color w:val="auto"/>
        </w:rPr>
        <w:t>Partial Unenforceability</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4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5"/>
          <w:szCs w:val="15"/>
          <w:b w:val="1"/>
          <w:bCs w:val="1"/>
          <w:color w:val="auto"/>
        </w:rPr>
        <w:t>Recognition of the U.S. Special Resolution Regimes.</w:t>
      </w:r>
    </w:p>
    <w:p>
      <w:pPr>
        <w:spacing w:after="0" w:line="229" w:lineRule="exact"/>
        <w:rPr>
          <w:sz w:val="20"/>
          <w:szCs w:val="20"/>
          <w:color w:val="auto"/>
        </w:rPr>
      </w:pPr>
    </w:p>
    <w:p>
      <w:pPr>
        <w:jc w:val="both"/>
        <w:ind w:left="660" w:firstLine="644"/>
        <w:spacing w:after="0" w:line="259" w:lineRule="auto"/>
        <w:tabs>
          <w:tab w:leader="none" w:pos="1765"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b w:val="1"/>
          <w:bCs w:val="1"/>
          <w:color w:val="auto"/>
        </w:rPr>
      </w:pPr>
    </w:p>
    <w:p>
      <w:pPr>
        <w:jc w:val="both"/>
        <w:ind w:left="660" w:firstLine="644"/>
        <w:spacing w:after="0" w:line="259" w:lineRule="auto"/>
        <w:tabs>
          <w:tab w:leader="none" w:pos="1775"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purposes of this Agreement, (A) “</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 § 1841(k); (B) “</w:t>
      </w:r>
      <w:r>
        <w:rPr>
          <w:rFonts w:ascii="Arial" w:cs="Arial" w:eastAsia="Arial" w:hAnsi="Arial"/>
          <w:sz w:val="16"/>
          <w:szCs w:val="16"/>
          <w:b w:val="1"/>
          <w:bCs w:val="1"/>
          <w:color w:val="auto"/>
        </w:rPr>
        <w:t>Covered Entity</w:t>
      </w:r>
      <w:r>
        <w:rPr>
          <w:rFonts w:ascii="Arial" w:cs="Arial" w:eastAsia="Arial" w:hAnsi="Arial"/>
          <w:sz w:val="16"/>
          <w:szCs w:val="16"/>
          <w:color w:val="auto"/>
        </w:rPr>
        <w:t>” means any of the following: (i) a “</w:t>
      </w:r>
      <w:r>
        <w:rPr>
          <w:rFonts w:ascii="Arial" w:cs="Arial" w:eastAsia="Arial" w:hAnsi="Arial"/>
          <w:sz w:val="16"/>
          <w:szCs w:val="16"/>
          <w:b w:val="1"/>
          <w:bCs w:val="1"/>
          <w:color w:val="auto"/>
        </w:rPr>
        <w:t>covered entity</w:t>
      </w:r>
      <w:r>
        <w:rPr>
          <w:rFonts w:ascii="Arial" w:cs="Arial" w:eastAsia="Arial" w:hAnsi="Arial"/>
          <w:sz w:val="16"/>
          <w:szCs w:val="16"/>
          <w:color w:val="auto"/>
        </w:rPr>
        <w:t>” as that term is defined in, and interpreted in accordance with, 12 C.F.R. § 252.82(b); (ii) a “</w:t>
      </w:r>
      <w:r>
        <w:rPr>
          <w:rFonts w:ascii="Arial" w:cs="Arial" w:eastAsia="Arial" w:hAnsi="Arial"/>
          <w:sz w:val="16"/>
          <w:szCs w:val="16"/>
          <w:b w:val="1"/>
          <w:bCs w:val="1"/>
          <w:color w:val="auto"/>
        </w:rPr>
        <w:t>covered bank</w:t>
      </w:r>
      <w:r>
        <w:rPr>
          <w:rFonts w:ascii="Arial" w:cs="Arial" w:eastAsia="Arial" w:hAnsi="Arial"/>
          <w:sz w:val="16"/>
          <w:szCs w:val="16"/>
          <w:color w:val="auto"/>
        </w:rPr>
        <w:t>” as that term is defined in, and interpreted in accordance with, 12 C.F.R. § 47.3(b); or</w:t>
      </w:r>
    </w:p>
    <w:p>
      <w:pPr>
        <w:spacing w:after="0" w:line="2" w:lineRule="exact"/>
        <w:rPr>
          <w:sz w:val="20"/>
          <w:szCs w:val="20"/>
          <w:color w:val="auto"/>
        </w:rPr>
      </w:pPr>
    </w:p>
    <w:p>
      <w:pPr>
        <w:jc w:val="both"/>
        <w:ind w:firstLine="8"/>
        <w:spacing w:after="0" w:line="253" w:lineRule="auto"/>
        <w:tabs>
          <w:tab w:leader="none" w:pos="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covered FSI</w:t>
      </w:r>
      <w:r>
        <w:rPr>
          <w:rFonts w:ascii="Arial" w:cs="Arial" w:eastAsia="Arial" w:hAnsi="Arial"/>
          <w:sz w:val="18"/>
          <w:szCs w:val="18"/>
          <w:color w:val="auto"/>
        </w:rPr>
        <w:t>” as that term is defined in, and interpreted in accordance with, 12 C.F.R. § 382.2(b); (C) “</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 (D) “</w:t>
      </w:r>
      <w:r>
        <w:rPr>
          <w:rFonts w:ascii="Arial" w:cs="Arial" w:eastAsia="Arial" w:hAnsi="Arial"/>
          <w:sz w:val="18"/>
          <w:szCs w:val="18"/>
          <w:b w:val="1"/>
          <w:bCs w:val="1"/>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6"/>
          <w:szCs w:val="16"/>
          <w:b w:val="1"/>
          <w:bCs w:val="1"/>
          <w:color w:val="auto"/>
        </w:rPr>
        <w:t>Governing Law Provisions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5"/>
          <w:szCs w:val="15"/>
          <w:b w:val="1"/>
          <w:bCs w:val="1"/>
          <w:color w:val="auto"/>
        </w:rPr>
        <w:t>General Provisions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10 and the contribution provisions of Section 11, and is fully informed regarding said provisions. Each of the parties hereto further acknowledges that the provisions of Section 10 and Section 11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3" w:lineRule="auto"/>
        <w:rPr>
          <w:sz w:val="20"/>
          <w:szCs w:val="20"/>
          <w:color w:val="auto"/>
        </w:rPr>
      </w:pPr>
      <w:r>
        <w:rPr>
          <w:rFonts w:ascii="Arial" w:cs="Arial" w:eastAsia="Arial" w:hAnsi="Arial"/>
          <w:sz w:val="18"/>
          <w:szCs w:val="18"/>
          <w:color w:val="auto"/>
        </w:rPr>
        <w:t>If the foregoing is in accordance with your understanding of our agreement, kindly sign and return to the Company and the Principal Banking Subsidiary the enclosed copies hereof, whereupon this instrument, along with all counterparts hereof, shall become a binding agreement in accordance with its terms.</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FIRST BUSEY CORPORATION</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Name:</w:t>
        <w:tab/>
        <w:t>Jeffrey D. Jones</w:t>
      </w:r>
    </w:p>
    <w:p>
      <w:pPr>
        <w:spacing w:after="0" w:line="9" w:lineRule="exact"/>
        <w:rPr>
          <w:sz w:val="20"/>
          <w:szCs w:val="20"/>
          <w:color w:val="auto"/>
        </w:rPr>
      </w:pPr>
    </w:p>
    <w:p>
      <w:pPr>
        <w:ind w:left="5640"/>
        <w:spacing w:after="0"/>
        <w:tabs>
          <w:tab w:leader="none" w:pos="6240"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BUSEY BANK</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Name:</w:t>
        <w:tab/>
        <w:t>Jeffrey D. Jones</w:t>
      </w:r>
    </w:p>
    <w:p>
      <w:pPr>
        <w:spacing w:after="0" w:line="9" w:lineRule="exact"/>
        <w:rPr>
          <w:sz w:val="20"/>
          <w:szCs w:val="20"/>
          <w:color w:val="auto"/>
        </w:rPr>
      </w:pPr>
    </w:p>
    <w:p>
      <w:pPr>
        <w:ind w:left="5640"/>
        <w:spacing w:after="0"/>
        <w:tabs>
          <w:tab w:leader="none" w:pos="624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6"/>
          <w:szCs w:val="16"/>
          <w:color w:val="auto"/>
        </w:rPr>
        <w:t>The foregoing Underwriting Agreement is hereby confirmed and accepted by the Underwriters in New York, New York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PIPER SANDLER &amp; CO.</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Jennifer Docherty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Jennifer Docherty</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U.S. BANCORP INVESTMENTS,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Julie Brendel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Julie Brendel</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Acting individually and as Representatives of the several Underwriters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named in 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9280" w:type="dxa"/>
            <w:vAlign w:val="bottom"/>
          </w:tcPr>
          <w:p>
            <w:pPr>
              <w:ind w:left="5040"/>
              <w:spacing w:after="0"/>
              <w:rPr>
                <w:sz w:val="20"/>
                <w:szCs w:val="20"/>
                <w:color w:val="auto"/>
              </w:rPr>
            </w:pPr>
            <w:r>
              <w:rPr>
                <w:rFonts w:ascii="Arial" w:cs="Arial" w:eastAsia="Arial" w:hAnsi="Arial"/>
                <w:sz w:val="18"/>
                <w:szCs w:val="18"/>
                <w:b w:val="1"/>
                <w:bCs w:val="1"/>
                <w:color w:val="auto"/>
              </w:rPr>
              <w:t>SCHEDULE A</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Principal Amount of</w:t>
            </w:r>
          </w:p>
        </w:tc>
      </w:tr>
      <w:tr>
        <w:trPr>
          <w:trHeight w:val="216"/>
        </w:trPr>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Notes</w:t>
            </w:r>
          </w:p>
        </w:tc>
      </w:tr>
      <w:tr>
        <w:trPr>
          <w:trHeight w:val="234"/>
        </w:trPr>
        <w:tc>
          <w:tcPr>
            <w:tcW w:w="9280" w:type="dxa"/>
            <w:vAlign w:val="bottom"/>
          </w:tcPr>
          <w:p>
            <w:pPr>
              <w:ind w:left="4120"/>
              <w:spacing w:after="0"/>
              <w:rPr>
                <w:sz w:val="20"/>
                <w:szCs w:val="20"/>
                <w:color w:val="auto"/>
              </w:rPr>
            </w:pPr>
            <w:r>
              <w:rPr>
                <w:rFonts w:ascii="Arial" w:cs="Arial" w:eastAsia="Arial" w:hAnsi="Arial"/>
                <w:sz w:val="18"/>
                <w:szCs w:val="18"/>
                <w:b w:val="1"/>
                <w:bCs w:val="1"/>
                <w:color w:val="auto"/>
              </w:rPr>
              <w:t>Underwriters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 be Purchased</w:t>
            </w:r>
          </w:p>
        </w:tc>
      </w:tr>
      <w:tr>
        <w:trPr>
          <w:trHeight w:val="209"/>
        </w:trPr>
        <w:tc>
          <w:tcPr>
            <w:tcW w:w="92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Piper Sandler &amp; Co.</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280" w:type="dxa"/>
            <w:vAlign w:val="bottom"/>
          </w:tcPr>
          <w:p>
            <w:pPr>
              <w:ind w:left="120"/>
              <w:spacing w:after="0"/>
              <w:rPr>
                <w:sz w:val="20"/>
                <w:szCs w:val="20"/>
                <w:color w:val="auto"/>
              </w:rPr>
            </w:pPr>
            <w:r>
              <w:rPr>
                <w:rFonts w:ascii="Arial" w:cs="Arial" w:eastAsia="Arial" w:hAnsi="Arial"/>
                <w:sz w:val="18"/>
                <w:szCs w:val="18"/>
                <w:color w:val="auto"/>
              </w:rPr>
              <w:t>U.S. Bancorp Investments, Inc.</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37,500,000</w:t>
            </w:r>
          </w:p>
        </w:tc>
      </w:tr>
      <w:tr>
        <w:trPr>
          <w:trHeight w:val="223"/>
        </w:trPr>
        <w:tc>
          <w:tcPr>
            <w:tcW w:w="9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ind w:right="-1100"/>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right"/>
        <w:ind w:right="3499"/>
        <w:spacing w:after="0"/>
        <w:rPr>
          <w:sz w:val="20"/>
          <w:szCs w:val="20"/>
          <w:color w:val="auto"/>
        </w:rPr>
      </w:pPr>
      <w:r>
        <w:rPr>
          <w:rFonts w:ascii="Arial" w:cs="Arial" w:eastAsia="Arial" w:hAnsi="Arial"/>
          <w:sz w:val="18"/>
          <w:szCs w:val="18"/>
          <w:b w:val="1"/>
          <w:bCs w:val="1"/>
          <w:u w:val="single" w:color="auto"/>
          <w:color w:val="auto"/>
        </w:rPr>
        <w:t>Free Writing Prospectuses</w:t>
      </w:r>
    </w:p>
    <w:p>
      <w:pPr>
        <w:spacing w:after="0" w:line="229"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Pricing Term Sheet, dated May 25, 2022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Investor Presentation, filed with the Commission on May 25, 2022</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Schedule B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333-249028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142875</wp:posOffset>
            </wp:positionV>
            <wp:extent cx="1568450" cy="6000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6845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million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 Fixed to Floating Rate Subordinated Notes due 2032 Term Sheet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25,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relates only to First Busey Corporation’s offering (the “Offering”) of its 5.000% Fixed to Floating Rate Subordinated Notes due 2032 and should be read together with the preliminary prospectus supplement dated May 25, 2022 relating to this Offering including the documents incorporated and deemed to be incorporated by reference therein.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860" w:type="dxa"/>
            <w:vAlign w:val="bottom"/>
          </w:tcPr>
          <w:p>
            <w:pPr>
              <w:ind w:left="120"/>
              <w:spacing w:after="0"/>
              <w:rPr>
                <w:sz w:val="20"/>
                <w:szCs w:val="20"/>
                <w:color w:val="auto"/>
              </w:rPr>
            </w:pPr>
            <w:r>
              <w:rPr>
                <w:rFonts w:ascii="Arial" w:cs="Arial" w:eastAsia="Arial" w:hAnsi="Arial"/>
                <w:sz w:val="18"/>
                <w:szCs w:val="18"/>
                <w:color w:val="auto"/>
              </w:rPr>
              <w:t>First Busey Corporation (the “Company”)</w:t>
            </w:r>
          </w:p>
        </w:tc>
      </w:tr>
      <w:tr>
        <w:trPr>
          <w:trHeight w:val="432"/>
        </w:trPr>
        <w:tc>
          <w:tcPr>
            <w:tcW w:w="2380" w:type="dxa"/>
            <w:vAlign w:val="bottom"/>
          </w:tcPr>
          <w:p>
            <w:pPr>
              <w:spacing w:after="0"/>
              <w:rPr>
                <w:sz w:val="20"/>
                <w:szCs w:val="20"/>
                <w:color w:val="auto"/>
              </w:rPr>
            </w:pPr>
            <w:r>
              <w:rPr>
                <w:rFonts w:ascii="Arial" w:cs="Arial" w:eastAsia="Arial" w:hAnsi="Arial"/>
                <w:sz w:val="18"/>
                <w:szCs w:val="18"/>
                <w:b w:val="1"/>
                <w:bCs w:val="1"/>
                <w:color w:val="auto"/>
              </w:rPr>
              <w:t>Security:</w:t>
            </w:r>
          </w:p>
        </w:tc>
        <w:tc>
          <w:tcPr>
            <w:tcW w:w="8860" w:type="dxa"/>
            <w:vAlign w:val="bottom"/>
          </w:tcPr>
          <w:p>
            <w:pPr>
              <w:ind w:left="120"/>
              <w:spacing w:after="0"/>
              <w:rPr>
                <w:sz w:val="20"/>
                <w:szCs w:val="20"/>
                <w:color w:val="auto"/>
              </w:rPr>
            </w:pPr>
            <w:r>
              <w:rPr>
                <w:rFonts w:ascii="Arial" w:cs="Arial" w:eastAsia="Arial" w:hAnsi="Arial"/>
                <w:sz w:val="18"/>
                <w:szCs w:val="18"/>
                <w:color w:val="auto"/>
              </w:rPr>
              <w:t>5.000% Fixed to Floating Rate Subordinated Notes due 2032 (the “Notes”)</w:t>
            </w:r>
          </w:p>
        </w:tc>
      </w:tr>
      <w:tr>
        <w:trPr>
          <w:trHeight w:val="432"/>
        </w:trPr>
        <w:tc>
          <w:tcPr>
            <w:tcW w:w="2380" w:type="dxa"/>
            <w:vAlign w:val="bottom"/>
          </w:tcPr>
          <w:p>
            <w:pPr>
              <w:spacing w:after="0"/>
              <w:rPr>
                <w:sz w:val="20"/>
                <w:szCs w:val="20"/>
                <w:color w:val="auto"/>
              </w:rPr>
            </w:pPr>
            <w:r>
              <w:rPr>
                <w:rFonts w:ascii="Arial" w:cs="Arial" w:eastAsia="Arial" w:hAnsi="Arial"/>
                <w:sz w:val="18"/>
                <w:szCs w:val="18"/>
                <w:b w:val="1"/>
                <w:bCs w:val="1"/>
                <w:color w:val="auto"/>
                <w:w w:val="94"/>
              </w:rPr>
              <w:t>Aggregate Principal Amount:</w:t>
            </w:r>
          </w:p>
        </w:tc>
        <w:tc>
          <w:tcPr>
            <w:tcW w:w="8860" w:type="dxa"/>
            <w:vAlign w:val="bottom"/>
          </w:tcPr>
          <w:p>
            <w:pPr>
              <w:ind w:left="120"/>
              <w:spacing w:after="0"/>
              <w:rPr>
                <w:sz w:val="20"/>
                <w:szCs w:val="20"/>
                <w:color w:val="auto"/>
              </w:rPr>
            </w:pPr>
            <w:r>
              <w:rPr>
                <w:rFonts w:ascii="Arial" w:cs="Arial" w:eastAsia="Arial" w:hAnsi="Arial"/>
                <w:sz w:val="18"/>
                <w:szCs w:val="18"/>
                <w:color w:val="auto"/>
              </w:rPr>
              <w:t>$100,000,000</w:t>
            </w:r>
          </w:p>
        </w:tc>
      </w:tr>
      <w:tr>
        <w:trPr>
          <w:trHeight w:val="432"/>
        </w:trPr>
        <w:tc>
          <w:tcPr>
            <w:tcW w:w="2380" w:type="dxa"/>
            <w:vAlign w:val="bottom"/>
          </w:tcPr>
          <w:p>
            <w:pPr>
              <w:spacing w:after="0"/>
              <w:rPr>
                <w:sz w:val="20"/>
                <w:szCs w:val="20"/>
                <w:color w:val="auto"/>
              </w:rPr>
            </w:pPr>
            <w:r>
              <w:rPr>
                <w:rFonts w:ascii="Arial" w:cs="Arial" w:eastAsia="Arial" w:hAnsi="Arial"/>
                <w:sz w:val="18"/>
                <w:szCs w:val="18"/>
                <w:b w:val="1"/>
                <w:bCs w:val="1"/>
                <w:color w:val="auto"/>
              </w:rPr>
              <w:t>Ratings:</w:t>
            </w:r>
          </w:p>
        </w:tc>
        <w:tc>
          <w:tcPr>
            <w:tcW w:w="8860" w:type="dxa"/>
            <w:vAlign w:val="bottom"/>
          </w:tcPr>
          <w:p>
            <w:pPr>
              <w:ind w:left="120"/>
              <w:spacing w:after="0"/>
              <w:rPr>
                <w:sz w:val="20"/>
                <w:szCs w:val="20"/>
                <w:color w:val="auto"/>
              </w:rPr>
            </w:pPr>
            <w:r>
              <w:rPr>
                <w:rFonts w:ascii="Arial" w:cs="Arial" w:eastAsia="Arial" w:hAnsi="Arial"/>
                <w:sz w:val="18"/>
                <w:szCs w:val="18"/>
                <w:color w:val="auto"/>
              </w:rPr>
              <w:t>BBB by Kroll Bond Rating Agency, Inc.</w:t>
            </w:r>
          </w:p>
        </w:tc>
      </w:tr>
      <w:tr>
        <w:trPr>
          <w:trHeight w:val="418"/>
        </w:trPr>
        <w:tc>
          <w:tcPr>
            <w:tcW w:w="2380" w:type="dxa"/>
            <w:vAlign w:val="bottom"/>
          </w:tcPr>
          <w:p>
            <w:pPr>
              <w:spacing w:after="0"/>
              <w:rPr>
                <w:sz w:val="24"/>
                <w:szCs w:val="24"/>
                <w:color w:val="auto"/>
              </w:rPr>
            </w:pPr>
          </w:p>
        </w:tc>
        <w:tc>
          <w:tcPr>
            <w:tcW w:w="8860" w:type="dxa"/>
            <w:vAlign w:val="bottom"/>
          </w:tcPr>
          <w:p>
            <w:pPr>
              <w:ind w:left="120"/>
              <w:spacing w:after="0"/>
              <w:rPr>
                <w:sz w:val="20"/>
                <w:szCs w:val="20"/>
                <w:color w:val="auto"/>
              </w:rPr>
            </w:pPr>
            <w:r>
              <w:rPr>
                <w:rFonts w:ascii="Arial" w:cs="Arial" w:eastAsia="Arial" w:hAnsi="Arial"/>
                <w:sz w:val="18"/>
                <w:szCs w:val="18"/>
                <w:color w:val="auto"/>
                <w:w w:val="92"/>
              </w:rPr>
              <w:t>A rating is not a recommendation to buy, sell or hold securities. Ratings may be subject to revision or withdrawal at any</w:t>
            </w:r>
          </w:p>
        </w:tc>
      </w:tr>
      <w:tr>
        <w:trPr>
          <w:trHeight w:val="230"/>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Arial" w:cs="Arial" w:eastAsia="Arial" w:hAnsi="Arial"/>
                <w:sz w:val="18"/>
                <w:szCs w:val="18"/>
                <w:color w:val="auto"/>
              </w:rPr>
              <w:t>time by the assigning rating organization. Each rating should be evaluated independently of any other rating.</w:t>
            </w:r>
          </w:p>
        </w:tc>
      </w:tr>
      <w:tr>
        <w:trPr>
          <w:trHeight w:val="432"/>
        </w:trPr>
        <w:tc>
          <w:tcPr>
            <w:tcW w:w="238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8860" w:type="dxa"/>
            <w:vAlign w:val="bottom"/>
          </w:tcPr>
          <w:p>
            <w:pPr>
              <w:ind w:left="120"/>
              <w:spacing w:after="0"/>
              <w:rPr>
                <w:sz w:val="20"/>
                <w:szCs w:val="20"/>
                <w:color w:val="auto"/>
              </w:rPr>
            </w:pPr>
            <w:r>
              <w:rPr>
                <w:rFonts w:ascii="Arial" w:cs="Arial" w:eastAsia="Arial" w:hAnsi="Arial"/>
                <w:sz w:val="18"/>
                <w:szCs w:val="18"/>
                <w:color w:val="auto"/>
              </w:rPr>
              <w:t>May 25, 2022</w:t>
            </w:r>
          </w:p>
        </w:tc>
      </w:tr>
      <w:tr>
        <w:trPr>
          <w:trHeight w:val="432"/>
        </w:trPr>
        <w:tc>
          <w:tcPr>
            <w:tcW w:w="238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8860" w:type="dxa"/>
            <w:vAlign w:val="bottom"/>
          </w:tcPr>
          <w:p>
            <w:pPr>
              <w:ind w:left="120"/>
              <w:spacing w:after="0"/>
              <w:rPr>
                <w:sz w:val="20"/>
                <w:szCs w:val="20"/>
                <w:color w:val="auto"/>
              </w:rPr>
            </w:pPr>
            <w:r>
              <w:rPr>
                <w:rFonts w:ascii="Arial" w:cs="Arial" w:eastAsia="Arial" w:hAnsi="Arial"/>
                <w:sz w:val="18"/>
                <w:szCs w:val="18"/>
                <w:color w:val="auto"/>
              </w:rPr>
              <w:t>June 2, 2022 (T+5)</w:t>
            </w:r>
          </w:p>
        </w:tc>
      </w:tr>
      <w:tr>
        <w:trPr>
          <w:trHeight w:val="414"/>
        </w:trPr>
        <w:tc>
          <w:tcPr>
            <w:tcW w:w="2380" w:type="dxa"/>
            <w:vAlign w:val="bottom"/>
          </w:tcPr>
          <w:p>
            <w:pPr>
              <w:spacing w:after="0"/>
              <w:rPr>
                <w:sz w:val="20"/>
                <w:szCs w:val="20"/>
                <w:color w:val="auto"/>
              </w:rPr>
            </w:pPr>
            <w:r>
              <w:rPr>
                <w:rFonts w:ascii="Arial" w:cs="Arial" w:eastAsia="Arial" w:hAnsi="Arial"/>
                <w:sz w:val="18"/>
                <w:szCs w:val="18"/>
                <w:b w:val="1"/>
                <w:bCs w:val="1"/>
                <w:color w:val="auto"/>
              </w:rPr>
              <w:t>Final Maturity Date (if not</w:t>
            </w:r>
          </w:p>
        </w:tc>
        <w:tc>
          <w:tcPr>
            <w:tcW w:w="8860" w:type="dxa"/>
            <w:vAlign w:val="bottom"/>
          </w:tcPr>
          <w:p>
            <w:pPr>
              <w:ind w:left="120"/>
              <w:spacing w:after="0"/>
              <w:rPr>
                <w:sz w:val="20"/>
                <w:szCs w:val="20"/>
                <w:color w:val="auto"/>
              </w:rPr>
            </w:pPr>
            <w:r>
              <w:rPr>
                <w:rFonts w:ascii="Arial" w:cs="Arial" w:eastAsia="Arial" w:hAnsi="Arial"/>
                <w:sz w:val="18"/>
                <w:szCs w:val="18"/>
                <w:color w:val="auto"/>
              </w:rPr>
              <w:t>June 15, 2032</w:t>
            </w:r>
          </w:p>
        </w:tc>
      </w:tr>
      <w:tr>
        <w:trPr>
          <w:trHeight w:val="234"/>
        </w:trPr>
        <w:tc>
          <w:tcPr>
            <w:tcW w:w="2380" w:type="dxa"/>
            <w:vAlign w:val="bottom"/>
          </w:tcPr>
          <w:p>
            <w:pPr>
              <w:spacing w:after="0"/>
              <w:rPr>
                <w:sz w:val="20"/>
                <w:szCs w:val="20"/>
                <w:color w:val="auto"/>
              </w:rPr>
            </w:pPr>
            <w:r>
              <w:rPr>
                <w:rFonts w:ascii="Arial" w:cs="Arial" w:eastAsia="Arial" w:hAnsi="Arial"/>
                <w:sz w:val="18"/>
                <w:szCs w:val="18"/>
                <w:b w:val="1"/>
                <w:bCs w:val="1"/>
                <w:color w:val="auto"/>
              </w:rPr>
              <w:t>previously redeemed):</w:t>
            </w:r>
          </w:p>
        </w:tc>
        <w:tc>
          <w:tcPr>
            <w:tcW w:w="8860" w:type="dxa"/>
            <w:vAlign w:val="bottom"/>
          </w:tcPr>
          <w:p>
            <w:pPr>
              <w:spacing w:after="0"/>
              <w:rPr>
                <w:sz w:val="20"/>
                <w:szCs w:val="20"/>
                <w:color w:val="auto"/>
              </w:rPr>
            </w:pPr>
          </w:p>
        </w:tc>
      </w:tr>
      <w:tr>
        <w:trPr>
          <w:trHeight w:val="418"/>
        </w:trPr>
        <w:tc>
          <w:tcPr>
            <w:tcW w:w="2380" w:type="dxa"/>
            <w:vAlign w:val="bottom"/>
          </w:tcPr>
          <w:p>
            <w:pPr>
              <w:spacing w:after="0"/>
              <w:rPr>
                <w:sz w:val="20"/>
                <w:szCs w:val="20"/>
                <w:color w:val="auto"/>
              </w:rPr>
            </w:pPr>
            <w:r>
              <w:rPr>
                <w:rFonts w:ascii="Arial" w:cs="Arial" w:eastAsia="Arial" w:hAnsi="Arial"/>
                <w:sz w:val="18"/>
                <w:szCs w:val="18"/>
                <w:b w:val="1"/>
                <w:bCs w:val="1"/>
                <w:color w:val="auto"/>
              </w:rPr>
              <w:t>Coupon:</w:t>
            </w:r>
          </w:p>
        </w:tc>
        <w:tc>
          <w:tcPr>
            <w:tcW w:w="8860" w:type="dxa"/>
            <w:vAlign w:val="bottom"/>
          </w:tcPr>
          <w:p>
            <w:pPr>
              <w:ind w:left="120"/>
              <w:spacing w:after="0"/>
              <w:rPr>
                <w:sz w:val="20"/>
                <w:szCs w:val="20"/>
                <w:color w:val="auto"/>
              </w:rPr>
            </w:pPr>
            <w:r>
              <w:rPr>
                <w:rFonts w:ascii="Arial" w:cs="Arial" w:eastAsia="Arial" w:hAnsi="Arial"/>
                <w:sz w:val="18"/>
                <w:szCs w:val="18"/>
                <w:color w:val="auto"/>
                <w:w w:val="93"/>
              </w:rPr>
              <w:t>From and including the Settlement Date to, but excluding, June 15, 2027, or the date of earlier redemption (the “Fixed</w:t>
            </w:r>
          </w:p>
        </w:tc>
      </w:tr>
      <w:tr>
        <w:trPr>
          <w:trHeight w:val="216"/>
        </w:trPr>
        <w:tc>
          <w:tcPr>
            <w:tcW w:w="2380" w:type="dxa"/>
            <w:vAlign w:val="bottom"/>
          </w:tcPr>
          <w:p>
            <w:pPr>
              <w:spacing w:after="0"/>
              <w:rPr>
                <w:sz w:val="18"/>
                <w:szCs w:val="18"/>
                <w:color w:val="auto"/>
              </w:rPr>
            </w:pPr>
          </w:p>
        </w:tc>
        <w:tc>
          <w:tcPr>
            <w:tcW w:w="8860" w:type="dxa"/>
            <w:vAlign w:val="bottom"/>
          </w:tcPr>
          <w:p>
            <w:pPr>
              <w:ind w:left="120"/>
              <w:spacing w:after="0"/>
              <w:rPr>
                <w:sz w:val="20"/>
                <w:szCs w:val="20"/>
                <w:color w:val="auto"/>
              </w:rPr>
            </w:pPr>
            <w:r>
              <w:rPr>
                <w:rFonts w:ascii="Arial" w:cs="Arial" w:eastAsia="Arial" w:hAnsi="Arial"/>
                <w:sz w:val="18"/>
                <w:szCs w:val="18"/>
                <w:color w:val="auto"/>
                <w:w w:val="91"/>
              </w:rPr>
              <w:t>Rate Period”), the Notes will bear interest at an initial rate of 5.000% per annum, payable semiannually in arrears. From</w:t>
            </w:r>
          </w:p>
        </w:tc>
      </w:tr>
      <w:tr>
        <w:trPr>
          <w:trHeight w:val="216"/>
        </w:trPr>
        <w:tc>
          <w:tcPr>
            <w:tcW w:w="2380" w:type="dxa"/>
            <w:vAlign w:val="bottom"/>
          </w:tcPr>
          <w:p>
            <w:pPr>
              <w:spacing w:after="0"/>
              <w:rPr>
                <w:sz w:val="18"/>
                <w:szCs w:val="18"/>
                <w:color w:val="auto"/>
              </w:rPr>
            </w:pPr>
          </w:p>
        </w:tc>
        <w:tc>
          <w:tcPr>
            <w:tcW w:w="8860" w:type="dxa"/>
            <w:vAlign w:val="bottom"/>
          </w:tcPr>
          <w:p>
            <w:pPr>
              <w:ind w:left="120"/>
              <w:spacing w:after="0"/>
              <w:rPr>
                <w:sz w:val="20"/>
                <w:szCs w:val="20"/>
                <w:color w:val="auto"/>
              </w:rPr>
            </w:pPr>
            <w:r>
              <w:rPr>
                <w:rFonts w:ascii="Arial" w:cs="Arial" w:eastAsia="Arial" w:hAnsi="Arial"/>
                <w:sz w:val="18"/>
                <w:szCs w:val="18"/>
                <w:color w:val="auto"/>
                <w:w w:val="94"/>
              </w:rPr>
              <w:t>and including June 15, 2027 to, but excluding, the Final Maturity Date or the date of earlier redemption (the “Floating</w:t>
            </w:r>
          </w:p>
        </w:tc>
      </w:tr>
      <w:tr>
        <w:trPr>
          <w:trHeight w:val="216"/>
        </w:trPr>
        <w:tc>
          <w:tcPr>
            <w:tcW w:w="2380" w:type="dxa"/>
            <w:vAlign w:val="bottom"/>
          </w:tcPr>
          <w:p>
            <w:pPr>
              <w:spacing w:after="0"/>
              <w:rPr>
                <w:sz w:val="18"/>
                <w:szCs w:val="18"/>
                <w:color w:val="auto"/>
              </w:rPr>
            </w:pPr>
          </w:p>
        </w:tc>
        <w:tc>
          <w:tcPr>
            <w:tcW w:w="8860" w:type="dxa"/>
            <w:vAlign w:val="bottom"/>
          </w:tcPr>
          <w:p>
            <w:pPr>
              <w:ind w:left="120"/>
              <w:spacing w:after="0"/>
              <w:rPr>
                <w:sz w:val="20"/>
                <w:szCs w:val="20"/>
                <w:color w:val="auto"/>
              </w:rPr>
            </w:pPr>
            <w:r>
              <w:rPr>
                <w:rFonts w:ascii="Arial" w:cs="Arial" w:eastAsia="Arial" w:hAnsi="Arial"/>
                <w:sz w:val="18"/>
                <w:szCs w:val="18"/>
                <w:color w:val="auto"/>
                <w:w w:val="90"/>
              </w:rPr>
              <w:t>Rate Period”), the Notes will bear interest at a floating rate per annum equal to the Benchmark rate (which is expected to</w:t>
            </w:r>
          </w:p>
        </w:tc>
      </w:tr>
      <w:tr>
        <w:trPr>
          <w:trHeight w:val="216"/>
        </w:trPr>
        <w:tc>
          <w:tcPr>
            <w:tcW w:w="2380" w:type="dxa"/>
            <w:vAlign w:val="bottom"/>
          </w:tcPr>
          <w:p>
            <w:pPr>
              <w:spacing w:after="0"/>
              <w:rPr>
                <w:sz w:val="18"/>
                <w:szCs w:val="18"/>
                <w:color w:val="auto"/>
              </w:rPr>
            </w:pPr>
          </w:p>
        </w:tc>
        <w:tc>
          <w:tcPr>
            <w:tcW w:w="8860" w:type="dxa"/>
            <w:vAlign w:val="bottom"/>
          </w:tcPr>
          <w:p>
            <w:pPr>
              <w:ind w:left="120"/>
              <w:spacing w:after="0"/>
              <w:rPr>
                <w:sz w:val="20"/>
                <w:szCs w:val="20"/>
                <w:color w:val="auto"/>
              </w:rPr>
            </w:pPr>
            <w:r>
              <w:rPr>
                <w:rFonts w:ascii="Arial" w:cs="Arial" w:eastAsia="Arial" w:hAnsi="Arial"/>
                <w:sz w:val="18"/>
                <w:szCs w:val="18"/>
                <w:color w:val="auto"/>
                <w:w w:val="93"/>
              </w:rPr>
              <w:t>be Three-Month Term SOFR) (each as defined in the prospectus supplement under “Description of the Subordinated</w:t>
            </w:r>
          </w:p>
        </w:tc>
      </w:tr>
      <w:tr>
        <w:trPr>
          <w:trHeight w:val="216"/>
        </w:trPr>
        <w:tc>
          <w:tcPr>
            <w:tcW w:w="2380" w:type="dxa"/>
            <w:vAlign w:val="bottom"/>
          </w:tcPr>
          <w:p>
            <w:pPr>
              <w:spacing w:after="0"/>
              <w:rPr>
                <w:sz w:val="18"/>
                <w:szCs w:val="18"/>
                <w:color w:val="auto"/>
              </w:rPr>
            </w:pPr>
          </w:p>
        </w:tc>
        <w:tc>
          <w:tcPr>
            <w:tcW w:w="8860" w:type="dxa"/>
            <w:vAlign w:val="bottom"/>
          </w:tcPr>
          <w:p>
            <w:pPr>
              <w:ind w:left="120"/>
              <w:spacing w:after="0"/>
              <w:rPr>
                <w:sz w:val="20"/>
                <w:szCs w:val="20"/>
                <w:color w:val="auto"/>
              </w:rPr>
            </w:pPr>
            <w:r>
              <w:rPr>
                <w:rFonts w:ascii="Arial" w:cs="Arial" w:eastAsia="Arial" w:hAnsi="Arial"/>
                <w:sz w:val="18"/>
                <w:szCs w:val="18"/>
                <w:color w:val="auto"/>
                <w:w w:val="92"/>
              </w:rPr>
              <w:t>Notes — Payment of Principal and Interest”), plus a spread of 252 basis points for each quarterly interest period during</w:t>
            </w:r>
          </w:p>
        </w:tc>
      </w:tr>
      <w:tr>
        <w:trPr>
          <w:trHeight w:val="216"/>
        </w:trPr>
        <w:tc>
          <w:tcPr>
            <w:tcW w:w="2380" w:type="dxa"/>
            <w:vAlign w:val="bottom"/>
          </w:tcPr>
          <w:p>
            <w:pPr>
              <w:spacing w:after="0"/>
              <w:rPr>
                <w:sz w:val="18"/>
                <w:szCs w:val="18"/>
                <w:color w:val="auto"/>
              </w:rPr>
            </w:pPr>
          </w:p>
        </w:tc>
        <w:tc>
          <w:tcPr>
            <w:tcW w:w="8860" w:type="dxa"/>
            <w:vAlign w:val="bottom"/>
          </w:tcPr>
          <w:p>
            <w:pPr>
              <w:ind w:left="120"/>
              <w:spacing w:after="0"/>
              <w:rPr>
                <w:sz w:val="20"/>
                <w:szCs w:val="20"/>
                <w:color w:val="auto"/>
              </w:rPr>
            </w:pPr>
            <w:r>
              <w:rPr>
                <w:rFonts w:ascii="Arial" w:cs="Arial" w:eastAsia="Arial" w:hAnsi="Arial"/>
                <w:sz w:val="18"/>
                <w:szCs w:val="18"/>
                <w:color w:val="auto"/>
                <w:w w:val="90"/>
              </w:rPr>
              <w:t>the Floating Rate Period, payable quarterly in arrears; provided, however, that if the Benchmark rate is less than zero per</w:t>
            </w:r>
          </w:p>
        </w:tc>
      </w:tr>
      <w:tr>
        <w:trPr>
          <w:trHeight w:val="230"/>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Arial" w:cs="Arial" w:eastAsia="Arial" w:hAnsi="Arial"/>
                <w:sz w:val="18"/>
                <w:szCs w:val="18"/>
                <w:color w:val="auto"/>
              </w:rPr>
              <w:t>annum, the Benchmark rate shall be deemed to be zero.</w:t>
            </w:r>
          </w:p>
        </w:tc>
      </w:tr>
      <w:tr>
        <w:trPr>
          <w:trHeight w:val="648"/>
        </w:trPr>
        <w:tc>
          <w:tcPr>
            <w:tcW w:w="23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Schedule C – Page 1</w:t>
            </w:r>
          </w:p>
        </w:tc>
      </w:tr>
    </w:tbl>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Interest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 Count Convention: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Proceeds to Issuer (after underwriter’s discount, but before expenses):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Arial" w:cs="Arial" w:eastAsia="Arial" w:hAnsi="Arial"/>
          <w:sz w:val="18"/>
          <w:szCs w:val="18"/>
          <w:color w:val="auto"/>
        </w:rPr>
        <w:t>Fixed Rate Period: June 15 and December 15 of each year, commencing December 15, 2022. The last interest payment date for the Fixed Rate Period will be June 15, 2027.</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Floating Rate Period: March 15, June 15, September 15 and December 15 of each year, commencing on September 15, 2027.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15th calendar day immediately preceding the applicable Interest Payment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Fixed Rate Period: 30/360.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Floating Rate Period: 360-day year and the actual number of days elapsed.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at its option, beginning on June 15, 2027 and on each Interest Payment Date thereafter, redeem the Notes, in whole or in part, from time to time, subject to obtaining the prior approval of the Federal Reserve to the extent such approval is then required under applicable laws and regulations, at a redemption price equal to 100% of the principal amount of the Notes being redeemed plus accrued and unpaid interest thereon to, but excluding, the date of redemption.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may redeem the Notes, in whole but not in part, at any time, including prior to June 15, 2027, subject to obtaining the prior approval of the Federal Reserve to the extent such approval is then required under the capital adequacy rules of the Federal Reserve, if (i) a change or prospective change in law occurs that could prevent the Company from deducting interest payable on the Notes for U.S. federal income tax purposes, (ii) a subsequent event occurs that could preclude the Notes from being recognized as Tier 2 Capital for regulatory capital purposes, or (iii) the Company is required to register as an investment company under the Investment Company Act of 1940, as amended, in each case, at a redemption price equal to 100% of the principal amount of the Notes plus any accrued and unpaid interest thereon to, but excluding, the date of redemption.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$1,000 minimum denominations and $1,000 integral multiples thereof.</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intends to use the net proceeds from this offering for general corporate purposes, which may include, without limitation, providing capital to support its growth organically or through strategic acquisitions, repaying indebtedness, financing investments, capital expenditures, repurchasing shares of common stock and for investments in Busey Bank as regulatory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1.50% of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$98,500,000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general unsecured, subordinated obligations of the Company and:</w:t>
      </w:r>
    </w:p>
    <w:p>
      <w:pPr>
        <w:spacing w:after="0" w:line="23" w:lineRule="exact"/>
        <w:rPr>
          <w:sz w:val="20"/>
          <w:szCs w:val="20"/>
          <w:color w:val="auto"/>
        </w:rPr>
      </w:pPr>
    </w:p>
    <w:p>
      <w:pPr>
        <w:ind w:left="640" w:hanging="324"/>
        <w:spacing w:after="0" w:line="290" w:lineRule="auto"/>
        <w:tabs>
          <w:tab w:leader="none" w:pos="537"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will rank junior in right of payment and upon the Company’s liquidation to any of the Company’s existing and all future senior indebtedness (as defined in the indenture pursuant to which the Notes will be issued and described under “Description of the Subordinated Notes - Ranking” in the preliminary prospectus supplement); including the $40.0 million aggregate principal amount of its 3.75% Senior Notes due May 25, 2022 (which will be paid off at maturity prior to the closing date of this offering) and the $51.0 million aggregate amount of indebtedness outstanding through the Company’s credit facility with U.S. Bank National Association;</w:t>
      </w: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Schedule C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120" w:space="380"/>
            <w:col w:w="8740"/>
          </w:cols>
          <w:pgMar w:left="320" w:top="904" w:right="339" w:bottom="1440" w:gutter="0" w:footer="0" w:header="0"/>
        </w:sectPr>
      </w:pPr>
    </w:p>
    <w:bookmarkStart w:id="49" w:name="page50"/>
    <w:bookmarkEnd w:id="49"/>
    <w:p>
      <w:pPr>
        <w:jc w:val="both"/>
        <w:ind w:left="3140" w:hanging="323"/>
        <w:spacing w:after="0" w:line="253" w:lineRule="auto"/>
        <w:rPr>
          <w:sz w:val="20"/>
          <w:szCs w:val="20"/>
          <w:color w:val="auto"/>
        </w:rPr>
      </w:pPr>
      <w:r>
        <w:rPr>
          <w:rFonts w:ascii="Arial" w:cs="Arial" w:eastAsia="Arial" w:hAnsi="Arial"/>
          <w:sz w:val="18"/>
          <w:szCs w:val="18"/>
          <w:color w:val="auto"/>
        </w:rPr>
        <w:t>● will rank equal in right of payment and upon the Company’s liquidation with any of the Company’s existing and all of its future indebtedness the terms of which provide that such indebtedness ranks equally with the Notes, including the $60.0 million aggregate principal amount of its Fixed-to-Floating Rate Subordinated Notes due May 25, 2027 and the $125.0 million aggregate principal amount of its Fixed-to-Floating Rate Subordinated Notes due June 1, 2030;</w:t>
      </w:r>
    </w:p>
    <w:p>
      <w:pPr>
        <w:spacing w:after="0" w:line="3" w:lineRule="exact"/>
        <w:rPr>
          <w:sz w:val="20"/>
          <w:szCs w:val="20"/>
          <w:color w:val="auto"/>
        </w:rPr>
      </w:pPr>
    </w:p>
    <w:p>
      <w:pPr>
        <w:jc w:val="both"/>
        <w:ind w:left="3140" w:hanging="323"/>
        <w:spacing w:after="0" w:line="250" w:lineRule="auto"/>
        <w:rPr>
          <w:sz w:val="20"/>
          <w:szCs w:val="20"/>
          <w:color w:val="auto"/>
        </w:rPr>
      </w:pPr>
      <w:r>
        <w:rPr>
          <w:rFonts w:ascii="Arial" w:cs="Arial" w:eastAsia="Arial" w:hAnsi="Arial"/>
          <w:sz w:val="18"/>
          <w:szCs w:val="18"/>
          <w:color w:val="auto"/>
        </w:rPr>
        <w:t>● will rank senior in right of payment and upon the Company’s liquidation to any of its existing and all of its future indebtedness the terms of which provide that such indebtedness ranks junior in right of payment to indebtedness such as the Notes, including the $71.7 million aggregate principal amount of the Company’s junior subordinated debentures; and</w:t>
      </w:r>
    </w:p>
    <w:p>
      <w:pPr>
        <w:sectPr>
          <w:pgSz w:w="11900" w:h="16838" w:orient="portrait"/>
          <w:cols w:equalWidth="0" w:num="1">
            <w:col w:w="11240"/>
          </w:cols>
          <w:pgMar w:left="320" w:top="908" w:right="339" w:bottom="1440" w:gutter="0" w:footer="0" w:header="0"/>
        </w:sectPr>
      </w:pPr>
    </w:p>
    <w:p>
      <w:pPr>
        <w:spacing w:after="0" w:line="2"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hanging="88"/>
        <w:spacing w:after="0" w:line="273" w:lineRule="auto"/>
        <w:rPr>
          <w:sz w:val="20"/>
          <w:szCs w:val="20"/>
          <w:color w:val="auto"/>
        </w:rPr>
      </w:pPr>
      <w:r>
        <w:rPr>
          <w:rFonts w:ascii="Arial" w:cs="Arial" w:eastAsia="Arial" w:hAnsi="Arial"/>
          <w:sz w:val="17"/>
          <w:szCs w:val="17"/>
          <w:color w:val="auto"/>
        </w:rPr>
        <w:t>will be effectively subordinated to the Company’s future secured indebtedness to the extent of the value of the collateral securing such indebtedness, and structurally subordinated to the existing and future indebtedness of the Company’s subsidiaries, including without limitation depositors of Busey Bank, liabilities to general creditors and liabilities arising in the ordinary course of business or otherwise.</w:t>
      </w:r>
    </w:p>
    <w:p>
      <w:pPr>
        <w:spacing w:after="0" w:line="176" w:lineRule="exact"/>
        <w:rPr>
          <w:sz w:val="20"/>
          <w:szCs w:val="20"/>
          <w:color w:val="auto"/>
        </w:rPr>
      </w:pPr>
    </w:p>
    <w:p>
      <w:pPr>
        <w:sectPr>
          <w:pgSz w:w="11900" w:h="16838" w:orient="portrait"/>
          <w:cols w:equalWidth="0" w:num="2">
            <w:col w:w="2920" w:space="220"/>
            <w:col w:w="8100"/>
          </w:cols>
          <w:pgMar w:left="320" w:top="908" w:right="339" w:bottom="1440" w:gutter="0" w:footer="0" w:header="0"/>
          <w:type w:val="continuous"/>
        </w:sectPr>
      </w:pPr>
    </w:p>
    <w:p>
      <w:pPr>
        <w:jc w:val="both"/>
        <w:ind w:left="3140"/>
        <w:spacing w:after="0" w:line="263" w:lineRule="auto"/>
        <w:rPr>
          <w:sz w:val="20"/>
          <w:szCs w:val="20"/>
          <w:color w:val="auto"/>
        </w:rPr>
      </w:pPr>
      <w:r>
        <w:rPr>
          <w:rFonts w:ascii="Arial" w:cs="Arial" w:eastAsia="Arial" w:hAnsi="Arial"/>
          <w:sz w:val="18"/>
          <w:szCs w:val="18"/>
          <w:color w:val="auto"/>
        </w:rPr>
        <w:t>As of March 31, 2022, Busey Bank and the Company’s other subsidiaries had outstanding indebtedness, total deposits and other liabilities of approximately $11.0 billion, excluding intercompany liabilities, to which the Notes will be structurally subordinated.</w:t>
      </w:r>
    </w:p>
    <w:p>
      <w:pPr>
        <w:sectPr>
          <w:pgSz w:w="11900" w:h="16838" w:orient="portrait"/>
          <w:cols w:equalWidth="0" w:num="1">
            <w:col w:w="11240"/>
          </w:cols>
          <w:pgMar w:left="320" w:top="908" w:right="33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CUSIP/ISIN: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319383 AE5 / US19383AE54</w:t>
      </w:r>
    </w:p>
    <w:p>
      <w:pPr>
        <w:spacing w:after="0" w:line="218" w:lineRule="exact"/>
        <w:rPr>
          <w:sz w:val="20"/>
          <w:szCs w:val="20"/>
          <w:color w:val="auto"/>
        </w:rPr>
      </w:pPr>
    </w:p>
    <w:p>
      <w:pPr>
        <w:sectPr>
          <w:pgSz w:w="11900" w:h="16838" w:orient="portrait"/>
          <w:cols w:equalWidth="0" w:num="2">
            <w:col w:w="1780" w:space="720"/>
            <w:col w:w="8740"/>
          </w:cols>
          <w:pgMar w:left="320" w:top="908"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Bookrunners: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Piper Sandler &amp; Co., U.S. Bancorp Investments, Inc.</w:t>
      </w:r>
    </w:p>
    <w:p>
      <w:pPr>
        <w:spacing w:after="0" w:line="200" w:lineRule="exact"/>
        <w:rPr>
          <w:sz w:val="20"/>
          <w:szCs w:val="20"/>
          <w:color w:val="auto"/>
        </w:rPr>
      </w:pPr>
    </w:p>
    <w:p>
      <w:pPr>
        <w:sectPr>
          <w:pgSz w:w="11900" w:h="16838" w:orient="portrait"/>
          <w:cols w:equalWidth="0" w:num="2">
            <w:col w:w="1780" w:space="720"/>
            <w:col w:w="8740"/>
          </w:cols>
          <w:pgMar w:left="320" w:top="908" w:right="339" w:bottom="1440" w:gutter="0" w:footer="0" w:header="0"/>
          <w:type w:val="continuous"/>
        </w:sectPr>
      </w:pPr>
    </w:p>
    <w:p>
      <w:pPr>
        <w:spacing w:after="0" w:line="26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The Issuer has filed a shelf registration statement (File No. 333-249028) (including a base prospectus) and a related preliminary prospectus supplement dated May 25, 2022 (the “Preliminary Prospectus Supplement”) with the Securities and Exchange Commission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SEC’s website at www.sec.gov. Alternatively, the Issuer, any underwriter or any dealer participating in the Offering will arrange to send you the prospectus and the related Preliminary Prospectus Supplement if you request it by emailing Piper Sandler &amp; Co. at </w:t>
      </w:r>
      <w:r>
        <w:rPr>
          <w:rFonts w:ascii="Arial" w:cs="Arial" w:eastAsia="Arial" w:hAnsi="Arial"/>
          <w:sz w:val="16"/>
          <w:szCs w:val="16"/>
          <w:b w:val="1"/>
          <w:bCs w:val="1"/>
          <w:u w:val="single" w:color="auto"/>
          <w:color w:val="auto"/>
        </w:rPr>
        <w:t>fsg-dcm@psc.com</w:t>
      </w:r>
      <w:r>
        <w:rPr>
          <w:rFonts w:ascii="Arial" w:cs="Arial" w:eastAsia="Arial" w:hAnsi="Arial"/>
          <w:sz w:val="16"/>
          <w:szCs w:val="16"/>
          <w:b w:val="1"/>
          <w:bCs w:val="1"/>
          <w:color w:val="auto"/>
        </w:rPr>
        <w:t xml:space="preserve"> or by calling U.S. Bancorp Investments, Inc. at 1-877-558-2607.</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color w:val="auto"/>
        </w:rPr>
        <w:t>We expect that delivery of the Notes will be made against payment for the Notes on or about Settlement Date indicated above, which will be the 5</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business day following the trade date of May 25, 2022 (this settlement cycle being referred to as “T+5”). Under Rule 15c6-1 of the Securities Exchange Act of 1934, as amended, trades in the secondary market generally will be required to settle in two business days, unless the parties to any such trade expressly agree otherwise. Accordingly, purchasers who wish to trade the Notes on any date prior to the second business day preceding the Settlement Date will be required, by virtue of the fact that the notes will initially settle in 5 business days (T+5), to specify alternative settlement arrangements to prevent a failed settlement and should consult their own investment advisor.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50" w:name="page51"/>
    <w:bookmarkEnd w:id="50"/>
    <w:p>
      <w:pPr>
        <w:jc w:val="both"/>
        <w:spacing w:after="0" w:line="298" w:lineRule="auto"/>
        <w:rPr>
          <w:sz w:val="20"/>
          <w:szCs w:val="20"/>
          <w:color w:val="auto"/>
        </w:rPr>
      </w:pPr>
      <w:r>
        <w:rPr>
          <w:rFonts w:ascii="Arial" w:cs="Arial" w:eastAsia="Arial" w:hAnsi="Arial"/>
          <w:sz w:val="16"/>
          <w:szCs w:val="16"/>
          <w:b w:val="1"/>
          <w:bCs w:val="1"/>
          <w:color w:val="auto"/>
        </w:rPr>
        <w:t>This Pricing Term Sheet is qualified in its entirety by reference to the Preliminary Prospectus Supplement. The information in this Pricing Term Sheet supplements the Preliminary Prospectus Supplement and supersedes the information in the Preliminary Prospectus Supplement to the extent it is inconsistent with the information in the Preliminary Prospectus Supplement. Other information (including other financial information) presented in the Preliminary Prospectus Supplement is deemed to have changed to the extent affected by the information contained herein. Capitalized terms used in this Pricing Term Sheet but not defined have the meanings given them in the Preliminary Prospectus Supplement.</w:t>
      </w:r>
    </w:p>
    <w:p>
      <w:pPr>
        <w:spacing w:after="0" w:line="15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C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25, 2022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First Busey Corporation Announces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Pricing of Subordinated Notes Offering</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Champaign, IL </w:t>
      </w:r>
      <w:r>
        <w:rPr>
          <w:rFonts w:ascii="Arial" w:cs="Arial" w:eastAsia="Arial" w:hAnsi="Arial"/>
          <w:sz w:val="18"/>
          <w:szCs w:val="18"/>
          <w:color w:val="auto"/>
        </w:rPr>
        <w:t>– First Busey Corporation (NASDAQ: BUSE) (the “Company”), the holding company for Busey Bank (the “Bank”), today announced the</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of its public offering of $100.0 million aggregate principal amount of 5.000% Fixed-to-Floating Rate Subordinated Notes due 2032 (the “Notes”). The price to the public for the Notes was 100% of the principal amount of the Notes. Interest on the Notes will accrue at a rate equal to (i) 5.000% per annum from the original issue date to, but excluding, June 15, 2027, payable semiannually in arrears, and (ii) a floating rate per annum equal to a benchmark rate, which is expected to be Three-Month Term SOFR (as defined in the Notes), plus a spread of 252 basis points from and including, June 15, 2027, payable quarterly in arrears. The Notes are intended to qualify as Tier 2 capital for regulatory purposes. This offering is expected to close on June 2, 2022, subject to the satisfaction of customary closing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 and U.S. Bancorp Investments, Inc. are acting as joint book-running managers for the offering.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estimates that the net proceeds of the offering will be approximately $98.5 million, after deducting underwriting discounts, and before expenses payable by the Company. The Company intends to use the proceeds for general corporate purposes, which may include, without limitation, providing capital to support its growth organically or through strategic acquisitions, repaying indebtedness, financing investments, capital expenditures, repurchasing shares of its common stock and for investments in the Bank as regulatory capital.</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offering is being made only by means of a prospectus supplement and accompanying base prospectus. The Company has filed a registration statement (File No. 333-249028) and a preliminary prospectus supplement to the prospectus contained in the registration statement with the U.S. Securities and Exchange Commission (“SEC”) for the Notes to which this communication relates and will file a final prospectus supplement relating to the Notes.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Prospective investors should read the prospectus supplement and accompanying prospectus and other documents the Company has filed or will file with the SEC for more complete information about the Company and the offering. Copies of these documents, when available, can be obtained for free by visiting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or may be obtained by calling Piper Sandler &amp; Co. toll-free at 1-866-805-4128 or U.S. Bancorp Investments, Inc. at 1-877-558-2607.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Profile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Company is a $12.57 billion financial holding company headquartered in Champaign, Illinois.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a wholly-owned bank subsidiary of the Company, had total assets of $12.54 billion as of March 31, 2022, and is headquartered in Champaign, Illinois. The Bank currently has 46 banking centers serving Illinois, eight banking centers serving Missouri, three banking centers serving southwest Florida, and one banking center in Indianapolis, Indiana.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jc w:val="both"/>
        <w:spacing w:after="0" w:line="269" w:lineRule="auto"/>
        <w:rPr>
          <w:sz w:val="20"/>
          <w:szCs w:val="20"/>
          <w:color w:val="auto"/>
        </w:rPr>
      </w:pPr>
      <w:r>
        <w:rPr>
          <w:rFonts w:ascii="Arial" w:cs="Arial" w:eastAsia="Arial" w:hAnsi="Arial"/>
          <w:sz w:val="17"/>
          <w:szCs w:val="17"/>
          <w:color w:val="auto"/>
        </w:rPr>
        <w:t>The Bank’s wholly-owned subsidiary, FirsTech, Inc. (“FirsTech”) is a payments platform specializing in the evolving financial technology needs of small and medium-sized businesses, highly regulated enterprise industries, and financial institutions. With associates across the United States, FirsTech provides comprehensive and innovative payment technology solutions that enable businesses to connect with their customers in a multitude of ways on a single, highly configurable, secure platform. Fast, secure payment modes include, but are not limited to, text-based payments; electronic payments concentration delivered to Automated Clearing House networks; internet voice recognition (IVR); credit cards; in-store payments for customers at retail pay agents; direct debit services; and lockbox remittance processing for customers to make payments by mail. Once these payments are processed through integration with our customers’ financial systems, FirsTech provides its customers with reconciliation and settlement services to ensure payment confirmation. Additionally, FirsTech provides consulting and technology services through its Professional Services Division, assisting clients in identifying and implementing payment technologies to meet their evolving needs. FirsTech launched its innovative BaaS platform at the beginning of 2022, helping community banks and their commercial customers build modernized payment solutions, which include online payment technologies and automated file transfers. More information about FirsTech can be found at firstechpayments.com.</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the Bank’s Wealth Management division, the Bank provides asset management, investment, and fiduciary services to individuals, businesses, and foundations. As of March 31, 2022, assets under care were $12.33 billion.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has been named among America’s Best Banks for 2022, a first-ever recognition by Forbes magazine. Ranked 52nd overall, Busey was the top-ranked bank headquartered in Illinois; only three other Illinois-based banks were included on the list. We are honored to be consistently recognized nationally and locally for our engaged culture of integrity and commitment to community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Company, visit busey.com.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Category: Financial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Source: First Busey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217-365-4130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Ted Rosinus, EVP Investor Relations &amp; Corporate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847-832-0392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 About This Release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press release shall not constitute an offer to sell or a solicitation of an offer to buy the Notes, nor shall there be any sale of the Notes in any state or other jurisdiction in which such offer, solicitation or sale would be unlawful prior to registration or qualification under the securities laws of any such state or jurisdiction. Any offering of the Notes is being made only by means of a written prospectus meeting the requirements of Section 10 of the Securities Act of 1933, as amended. The Notes being offered have not been approved or disapproved by any regulatory authority, nor has any such authority passed upon the accuracy or adequacy of either the prospectus supplement or the shelf registration statement or prospectus relating thereto.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Special Note Concerning 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made in this press release,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the Company.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 expressions. Additionally, all statements in this press release, including forward-looking statements, speak only as of the date they are made, and the Company undertakes no obligation to update any statement in light of new information or future events. A number of factors, many of which are beyond the Company’s ability to control or predict, could cause actual results to differ materially from those in the Company’s forward-looking statements. These factors include, among others, the following: (i) the strength of the local, state, national, and international economy (including effects of inflationary pressures and supply chain constraints); (ii) the economic impact of any future terrorist threats or attacks, widespread disease or pandemics (including the COVID-19 pandemic), or other adverse external events that could cause economic deterioration or instability in credit markets (including Russia’s invasion of Ukraine); (iii) changes in state and federal laws, regulations, and governmental policies concerning the Company’s general business; (iv) changes in accounting policies and practices; (v) changes in interest rates and prepayment rates of the Company’s assets (including the impact of the LIBOR phase-out); (vi) increased competition in the financial services sector and the inability to attract new customers; (vii) changes in technology and the ability to develop and maintain secure and reliable electronic systems; (viii) the loss of key executives or associates; (ix) changes in consumer spending; (x) unexpected results of current and/or future acquisitions, which may include failure to realize the anticipated benefits of any acquisition and the possibility that transaction costs may be greater than anticipated; (xi) unexpected outcomes of existing or new litigation involving the Company;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the Company and its business, including additional factors that could materially affect its financial results, is included in the Company’s filings with the SEC.</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04"/>
    </w:lvl>
  </w:abstractNum>
  <w:abstractNum w:abstractNumId="2">
    <w:nsid w:val="4353D0CD"/>
    <w:multiLevelType w:val="hybridMultilevel"/>
    <w:lvl w:ilvl="0">
      <w:lvlJc w:val="left"/>
      <w:lvlText w:val="(%1)"/>
      <w:numFmt w:val="lowerLetter"/>
      <w:start w:val="1"/>
    </w:lvl>
  </w:abstractNum>
  <w:abstractNum w:abstractNumId="3">
    <w:nsid w:val="B03E0C6"/>
    <w:multiLevelType w:val="hybridMultilevel"/>
    <w:lvl w:ilvl="0">
      <w:lvlJc w:val="left"/>
      <w:lvlText w:val="(%1)"/>
      <w:numFmt w:val="lowerLetter"/>
      <w:start w:val="3"/>
    </w:lvl>
  </w:abstractNum>
  <w:abstractNum w:abstractNumId="4">
    <w:nsid w:val="189A769B"/>
    <w:multiLevelType w:val="hybridMultilevel"/>
    <w:lvl w:ilvl="0">
      <w:lvlJc w:val="left"/>
      <w:lvlText w:val="(%1)"/>
      <w:numFmt w:val="lowerLetter"/>
      <w:start w:val="5"/>
    </w:lvl>
  </w:abstractNum>
  <w:abstractNum w:abstractNumId="5">
    <w:nsid w:val="54E49EB4"/>
    <w:multiLevelType w:val="hybridMultilevel"/>
    <w:lvl w:ilvl="0">
      <w:lvlJc w:val="left"/>
      <w:lvlText w:val="(%1)"/>
      <w:numFmt w:val="lowerLetter"/>
      <w:start w:val="9"/>
    </w:lvl>
  </w:abstractNum>
  <w:abstractNum w:abstractNumId="6">
    <w:nsid w:val="71F32454"/>
    <w:multiLevelType w:val="hybridMultilevel"/>
    <w:lvl w:ilvl="0">
      <w:lvlJc w:val="left"/>
      <w:lvlText w:val="(%1)"/>
      <w:numFmt w:val="lowerLetter"/>
      <w:start w:val="11"/>
    </w:lvl>
  </w:abstractNum>
  <w:abstractNum w:abstractNumId="7">
    <w:nsid w:val="2CA88611"/>
    <w:multiLevelType w:val="hybridMultilevel"/>
    <w:lvl w:ilvl="0">
      <w:lvlJc w:val="left"/>
      <w:lvlText w:val="(%1)"/>
      <w:numFmt w:val="lowerLetter"/>
      <w:start w:val="14"/>
    </w:lvl>
  </w:abstractNum>
  <w:abstractNum w:abstractNumId="8">
    <w:nsid w:val="836C40E"/>
    <w:multiLevelType w:val="hybridMultilevel"/>
    <w:lvl w:ilvl="0">
      <w:lvlJc w:val="left"/>
      <w:lvlText w:val="(%1)"/>
      <w:numFmt w:val="lowerLetter"/>
      <w:start w:val="16"/>
    </w:lvl>
  </w:abstractNum>
  <w:abstractNum w:abstractNumId="9">
    <w:nsid w:val="2901D82"/>
    <w:multiLevelType w:val="hybridMultilevel"/>
    <w:lvl w:ilvl="0">
      <w:lvlJc w:val="left"/>
      <w:lvlText w:val="(%1)"/>
      <w:numFmt w:val="lowerLetter"/>
      <w:start w:val="18"/>
    </w:lvl>
  </w:abstractNum>
  <w:abstractNum w:abstractNumId="10">
    <w:nsid w:val="3A95F874"/>
    <w:multiLevelType w:val="hybridMultilevel"/>
    <w:lvl w:ilvl="0">
      <w:lvlJc w:val="left"/>
      <w:lvlText w:val="(%1)"/>
      <w:numFmt w:val="lowerLetter"/>
      <w:start w:val="21"/>
    </w:lvl>
  </w:abstractNum>
  <w:abstractNum w:abstractNumId="11">
    <w:nsid w:val="8138641"/>
    <w:multiLevelType w:val="hybridMultilevel"/>
    <w:lvl w:ilvl="0">
      <w:lvlJc w:val="left"/>
      <w:lvlText w:val="(%1)"/>
      <w:numFmt w:val="lowerLetter"/>
      <w:start w:val="24"/>
    </w:lvl>
  </w:abstractNum>
  <w:abstractNum w:abstractNumId="12">
    <w:nsid w:val="1E7FF521"/>
    <w:multiLevelType w:val="hybridMultilevel"/>
    <w:lvl w:ilvl="0">
      <w:lvlJc w:val="left"/>
      <w:lvlText w:val="%1"/>
      <w:numFmt w:val="lowerLetter"/>
      <w:start w:val="1"/>
    </w:lvl>
    <w:lvl w:ilvl="1">
      <w:lvlJc w:val="left"/>
      <w:lvlText w:val="(%2)"/>
      <w:numFmt w:val="lowerLetter"/>
      <w:start w:val="27"/>
    </w:lvl>
  </w:abstractNum>
  <w:abstractNum w:abstractNumId="13">
    <w:nsid w:val="7C3DBD3D"/>
    <w:multiLevelType w:val="hybridMultilevel"/>
    <w:lvl w:ilvl="0">
      <w:lvlJc w:val="left"/>
      <w:lvlText w:val="(%1)"/>
      <w:numFmt w:val="lowerLetter"/>
      <w:start w:val="35"/>
    </w:lvl>
    <w:lvl w:ilvl="1">
      <w:lvlJc w:val="left"/>
      <w:lvlText w:val="(%2)"/>
      <w:numFmt w:val="lowerLetter"/>
      <w:start w:val="28"/>
    </w:lvl>
  </w:abstractNum>
  <w:abstractNum w:abstractNumId="14">
    <w:nsid w:val="737B8DDC"/>
    <w:multiLevelType w:val="hybridMultilevel"/>
    <w:lvl w:ilvl="0">
      <w:lvlJc w:val="left"/>
      <w:lvlText w:val="(%1)"/>
      <w:numFmt w:val="lowerLetter"/>
      <w:start w:val="61"/>
    </w:lvl>
    <w:lvl w:ilvl="1">
      <w:lvlJc w:val="left"/>
      <w:lvlText w:val="%2"/>
      <w:numFmt w:val="lowerLetter"/>
      <w:start w:val="1"/>
    </w:lvl>
  </w:abstractNum>
  <w:abstractNum w:abstractNumId="15">
    <w:nsid w:val="6CEAF087"/>
    <w:multiLevelType w:val="hybridMultilevel"/>
    <w:lvl w:ilvl="0">
      <w:lvlJc w:val="left"/>
      <w:lvlText w:val="(%1)"/>
      <w:numFmt w:val="lowerLetter"/>
      <w:start w:val="29"/>
    </w:lvl>
  </w:abstractNum>
  <w:abstractNum w:abstractNumId="16">
    <w:nsid w:val="22221A70"/>
    <w:multiLevelType w:val="hybridMultilevel"/>
    <w:lvl w:ilvl="0">
      <w:lvlJc w:val="left"/>
      <w:lvlText w:val="(%1)"/>
      <w:numFmt w:val="lowerLetter"/>
      <w:start w:val="35"/>
    </w:lvl>
  </w:abstractNum>
  <w:abstractNum w:abstractNumId="17">
    <w:nsid w:val="4516DDE9"/>
    <w:multiLevelType w:val="hybridMultilevel"/>
    <w:lvl w:ilvl="0">
      <w:lvlJc w:val="left"/>
      <w:lvlText w:val="(%1)"/>
      <w:numFmt w:val="lowerLetter"/>
      <w:start w:val="39"/>
    </w:lvl>
  </w:abstractNum>
  <w:abstractNum w:abstractNumId="18">
    <w:nsid w:val="3006C83E"/>
    <w:multiLevelType w:val="hybridMultilevel"/>
    <w:lvl w:ilvl="0">
      <w:lvlJc w:val="left"/>
      <w:lvlText w:val="(%1)"/>
      <w:numFmt w:val="lowerLetter"/>
      <w:start w:val="43"/>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lowerLetter"/>
      <w:start w:val="3"/>
    </w:lvl>
  </w:abstractNum>
  <w:abstractNum w:abstractNumId="21">
    <w:nsid w:val="5577F8E1"/>
    <w:multiLevelType w:val="hybridMultilevel"/>
    <w:lvl w:ilvl="0">
      <w:lvlJc w:val="left"/>
      <w:lvlText w:val="(%1)"/>
      <w:numFmt w:val="lowerLetter"/>
      <w:start w:val="8"/>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Letter"/>
      <w:start w:val="5"/>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lowerLetter"/>
      <w:start w:val="3"/>
    </w:lvl>
  </w:abstractNum>
  <w:abstractNum w:abstractNumId="26">
    <w:nsid w:val="7724C67E"/>
    <w:multiLevelType w:val="hybridMultilevel"/>
    <w:lvl w:ilvl="0">
      <w:lvlJc w:val="left"/>
      <w:lvlText w:val="%1"/>
      <w:numFmt w:val="lowerLetter"/>
      <w:start w:val="1"/>
    </w:lvl>
    <w:lvl w:ilvl="1">
      <w:lvlJc w:val="left"/>
      <w:lvlText w:val="(%2)"/>
      <w:numFmt w:val="lowerLetter"/>
      <w:start w:val="5"/>
    </w:lvl>
  </w:abstractNum>
  <w:abstractNum w:abstractNumId="27">
    <w:nsid w:val="5C482A97"/>
    <w:multiLevelType w:val="hybridMultilevel"/>
    <w:lvl w:ilvl="0">
      <w:lvlJc w:val="left"/>
      <w:lvlText w:val="(%1)"/>
      <w:numFmt w:val="lowerLetter"/>
      <w:start w:val="35"/>
    </w:lvl>
    <w:lvl w:ilvl="1">
      <w:lvlJc w:val="left"/>
      <w:lvlText w:val="(%2)"/>
      <w:numFmt w:val="lowerLetter"/>
      <w:start w:val="7"/>
    </w:lvl>
  </w:abstractNum>
  <w:abstractNum w:abstractNumId="28">
    <w:nsid w:val="2463B9EA"/>
    <w:multiLevelType w:val="hybridMultilevel"/>
    <w:lvl w:ilvl="0">
      <w:lvlJc w:val="left"/>
      <w:lvlText w:val="(%1)"/>
      <w:numFmt w:val="lowerLetter"/>
      <w:start w:val="8"/>
    </w:lvl>
  </w:abstractNum>
  <w:abstractNum w:abstractNumId="29">
    <w:nsid w:val="5E884ADC"/>
    <w:multiLevelType w:val="hybridMultilevel"/>
    <w:lvl w:ilvl="0">
      <w:lvlJc w:val="left"/>
      <w:lvlText w:val="%1"/>
      <w:numFmt w:val="lowerLetter"/>
      <w:start w:val="1"/>
    </w:lvl>
    <w:lvl w:ilvl="1">
      <w:lvlJc w:val="left"/>
      <w:lvlText w:val="(%2)"/>
      <w:numFmt w:val="lowerLetter"/>
      <w:start w:val="12"/>
    </w:lvl>
  </w:abstractNum>
  <w:abstractNum w:abstractNumId="30">
    <w:nsid w:val="51EAD36B"/>
    <w:multiLevelType w:val="hybridMultilevel"/>
    <w:lvl w:ilvl="0">
      <w:lvlJc w:val="left"/>
      <w:lvlText w:val="(%1)"/>
      <w:numFmt w:val="lowerLetter"/>
      <w:start w:val="9"/>
    </w:lvl>
    <w:lvl w:ilvl="1">
      <w:lvlJc w:val="left"/>
      <w:lvlText w:val="(%2)"/>
      <w:numFmt w:val="lowerLetter"/>
      <w:start w:val="15"/>
    </w:lvl>
  </w:abstractNum>
  <w:abstractNum w:abstractNumId="31">
    <w:nsid w:val="2D517796"/>
    <w:multiLevelType w:val="hybridMultilevel"/>
    <w:lvl w:ilvl="0">
      <w:lvlJc w:val="left"/>
      <w:lvlText w:val="(%1)"/>
      <w:numFmt w:val="lowerLetter"/>
      <w:start w:val="17"/>
    </w:lvl>
  </w:abstractNum>
  <w:abstractNum w:abstractNumId="32">
    <w:nsid w:val="580BD78F"/>
    <w:multiLevelType w:val="hybridMultilevel"/>
    <w:lvl w:ilvl="0">
      <w:lvlJc w:val="left"/>
      <w:lvlText w:val="(%1)"/>
      <w:numFmt w:val="lowerRoman"/>
      <w:start w:val="6"/>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2"/>
    </w:lvl>
    <w:lvl w:ilvl="1">
      <w:lvlJc w:val="left"/>
      <w:lvlText w:val="(%2)"/>
      <w:numFmt w:val="lowerRoman"/>
      <w:start w:val="1"/>
    </w:lvl>
  </w:abstractNum>
  <w:abstractNum w:abstractNumId="35">
    <w:nsid w:val="70A64E2A"/>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36">
    <w:nsid w:val="6A2342EC"/>
    <w:multiLevelType w:val="hybridMultilevel"/>
    <w:lvl w:ilvl="0">
      <w:lvlJc w:val="left"/>
      <w:lvlText w:val="(%1)"/>
      <w:numFmt w:val="lowerRoman"/>
      <w:start w:val="2"/>
    </w:lvl>
    <w:lvl w:ilvl="1">
      <w:lvlJc w:val="left"/>
      <w:lvlText w:val="(%2)"/>
      <w:numFmt w:val="lowerLetter"/>
      <w:start w:val="6"/>
    </w:lvl>
    <w:lvl w:ilvl="2">
      <w:lvlJc w:val="left"/>
      <w:lvlText w:val="(%3)"/>
      <w:numFmt w:val="lowerRoman"/>
      <w:start w:val="1"/>
    </w:lvl>
  </w:abstractNum>
  <w:abstractNum w:abstractNumId="37">
    <w:nsid w:val="2A487CB0"/>
    <w:multiLevelType w:val="hybridMultilevel"/>
    <w:lvl w:ilvl="0">
      <w:lvlJc w:val="left"/>
      <w:lvlText w:val="(%1)"/>
      <w:numFmt w:val="lowerRoman"/>
      <w:start w:val="1"/>
    </w:lvl>
    <w:lvl w:ilvl="1">
      <w:lvlJc w:val="left"/>
      <w:lvlText w:val="(%2)"/>
      <w:numFmt w:val="lowerLetter"/>
      <w:start w:val="9"/>
    </w:lvl>
    <w:lvl w:ilvl="2">
      <w:lvlJc w:val="left"/>
      <w:lvlText w:val="%3"/>
      <w:numFmt w:val="lowerRoman"/>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2"/>
    </w:lvl>
  </w:abstractNum>
  <w:abstractNum w:abstractNumId="40">
    <w:nsid w:val="2CD89A32"/>
    <w:multiLevelType w:val="hybridMultilevel"/>
    <w:lvl w:ilvl="0">
      <w:lvlJc w:val="left"/>
      <w:lvlText w:val="%1"/>
      <w:numFmt w:val="lowerLetter"/>
      <w:start w:val="1"/>
    </w:lvl>
    <w:lvl w:ilvl="1">
      <w:lvlJc w:val="left"/>
      <w:lvlText w:val="(%2)"/>
      <w:numFmt w:val="lowerLetter"/>
      <w:start w:val="3"/>
    </w:lvl>
  </w:abstractNum>
  <w:abstractNum w:abstractNumId="41">
    <w:nsid w:val="57E4CCAF"/>
    <w:multiLevelType w:val="hybridMultilevel"/>
    <w:lvl w:ilvl="0">
      <w:lvlJc w:val="left"/>
      <w:lvlText w:val="(%1)"/>
      <w:numFmt w:val="lowerLetter"/>
      <w:start w:val="9"/>
    </w:lvl>
    <w:lvl w:ilvl="1">
      <w:lvlJc w:val="left"/>
      <w:lvlText w:val="%2"/>
      <w:numFmt w:val="lowerLetter"/>
      <w:start w:val="1"/>
    </w:lvl>
  </w:abstractNum>
  <w:abstractNum w:abstractNumId="42">
    <w:nsid w:val="7A6D8D3C"/>
    <w:multiLevelType w:val="hybridMultilevel"/>
    <w:lvl w:ilvl="0">
      <w:lvlJc w:val="left"/>
      <w:lvlText w:val="(%1)"/>
      <w:numFmt w:val="lowerLetter"/>
      <w:start w:val="4"/>
    </w:lvl>
  </w:abstractNum>
  <w:abstractNum w:abstractNumId="43">
    <w:nsid w:val="4B588F54"/>
    <w:multiLevelType w:val="hybridMultilevel"/>
    <w:lvl w:ilvl="0">
      <w:lvlJc w:val="left"/>
      <w:lvlText w:val="(%1)"/>
      <w:numFmt w:val="lowerLetter"/>
      <w:start w:val="2"/>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Roman"/>
      <w:start w:val="3"/>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2022-05-28T07:08:38Z</dcterms:created>
  <dcterms:modified xsi:type="dcterms:W3CDTF">2022-05-28T07:08:38Z</dcterms:modified>
</cp:coreProperties>
</file>