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6/30/2015</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620" w:type="dxa"/>
        <w:tblCellMar>
          <w:top w:w="0" w:type="dxa"/>
          <w:left w:w="0" w:type="dxa"/>
          <w:bottom w:w="0" w:type="dxa"/>
          <w:right w:w="0" w:type="dxa"/>
        </w:tblCellMar>
      </w:tblPr>
      <w:tr>
        <w:trPr>
          <w:trHeight w:val="220"/>
        </w:trPr>
        <w:tc>
          <w:tcPr>
            <w:tcW w:w="39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Nevada</w:t>
            </w:r>
          </w:p>
        </w:tc>
        <w:tc>
          <w:tcPr>
            <w:tcW w:w="444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3980" w:type="dxa"/>
            <w:vAlign w:val="bottom"/>
          </w:tcPr>
          <w:p>
            <w:pPr>
              <w:jc w:val="center"/>
              <w:ind w:right="1730"/>
              <w:spacing w:after="0"/>
              <w:rPr>
                <w:sz w:val="20"/>
                <w:szCs w:val="20"/>
                <w:color w:val="auto"/>
              </w:rPr>
            </w:pPr>
            <w:r>
              <w:rPr>
                <w:rFonts w:ascii="Arial" w:cs="Arial" w:eastAsia="Arial" w:hAnsi="Arial"/>
                <w:sz w:val="18"/>
                <w:szCs w:val="18"/>
                <w:color w:val="auto"/>
                <w:w w:val="92"/>
              </w:rPr>
              <w:t>(State or other jurisdiction of</w:t>
            </w:r>
          </w:p>
        </w:tc>
        <w:tc>
          <w:tcPr>
            <w:tcW w:w="4440" w:type="dxa"/>
            <w:vAlign w:val="bottom"/>
          </w:tcPr>
          <w:p>
            <w:pPr>
              <w:jc w:val="center"/>
              <w:ind w:left="17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980" w:type="dxa"/>
            <w:vAlign w:val="bottom"/>
          </w:tcPr>
          <w:p>
            <w:pPr>
              <w:jc w:val="center"/>
              <w:ind w:right="1730"/>
              <w:spacing w:after="0"/>
              <w:rPr>
                <w:sz w:val="20"/>
                <w:szCs w:val="20"/>
                <w:color w:val="auto"/>
              </w:rPr>
            </w:pPr>
            <w:r>
              <w:rPr>
                <w:rFonts w:ascii="Arial" w:cs="Arial" w:eastAsia="Arial" w:hAnsi="Arial"/>
                <w:sz w:val="18"/>
                <w:szCs w:val="18"/>
                <w:color w:val="auto"/>
                <w:w w:val="92"/>
              </w:rPr>
              <w:t>incorporation or organization)</w:t>
            </w:r>
          </w:p>
        </w:tc>
        <w:tc>
          <w:tcPr>
            <w:tcW w:w="4440" w:type="dxa"/>
            <w:vAlign w:val="bottom"/>
          </w:tcPr>
          <w:p>
            <w:pPr>
              <w:spacing w:after="0"/>
              <w:rPr>
                <w:sz w:val="20"/>
                <w:szCs w:val="20"/>
                <w:color w:val="auto"/>
              </w:rPr>
            </w:pPr>
          </w:p>
        </w:tc>
      </w:tr>
      <w:tr>
        <w:trPr>
          <w:trHeight w:val="414"/>
        </w:trPr>
        <w:tc>
          <w:tcPr>
            <w:tcW w:w="39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100 W. University Ave.</w:t>
            </w:r>
          </w:p>
        </w:tc>
        <w:tc>
          <w:tcPr>
            <w:tcW w:w="4440" w:type="dxa"/>
            <w:vAlign w:val="bottom"/>
          </w:tcPr>
          <w:p>
            <w:pPr>
              <w:spacing w:after="0"/>
              <w:rPr>
                <w:sz w:val="24"/>
                <w:szCs w:val="24"/>
                <w:color w:val="auto"/>
              </w:rPr>
            </w:pPr>
          </w:p>
        </w:tc>
      </w:tr>
      <w:tr>
        <w:trPr>
          <w:trHeight w:val="220"/>
        </w:trPr>
        <w:tc>
          <w:tcPr>
            <w:tcW w:w="3980" w:type="dxa"/>
            <w:vAlign w:val="bottom"/>
          </w:tcPr>
          <w:p>
            <w:pPr>
              <w:jc w:val="center"/>
              <w:ind w:right="1730"/>
              <w:spacing w:after="0"/>
              <w:rPr>
                <w:sz w:val="20"/>
                <w:szCs w:val="20"/>
                <w:color w:val="auto"/>
              </w:rPr>
            </w:pPr>
            <w:r>
              <w:rPr>
                <w:rFonts w:ascii="Arial" w:cs="Arial" w:eastAsia="Arial" w:hAnsi="Arial"/>
                <w:sz w:val="18"/>
                <w:szCs w:val="18"/>
                <w:b w:val="1"/>
                <w:bCs w:val="1"/>
                <w:color w:val="auto"/>
                <w:w w:val="92"/>
              </w:rPr>
              <w:t>Champaign, Illinois</w:t>
            </w:r>
          </w:p>
        </w:tc>
        <w:tc>
          <w:tcPr>
            <w:tcW w:w="444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16"/>
        </w:trPr>
        <w:tc>
          <w:tcPr>
            <w:tcW w:w="3980" w:type="dxa"/>
            <w:vAlign w:val="bottom"/>
          </w:tcPr>
          <w:p>
            <w:pPr>
              <w:jc w:val="center"/>
              <w:ind w:right="1730"/>
              <w:spacing w:after="0"/>
              <w:rPr>
                <w:sz w:val="20"/>
                <w:szCs w:val="20"/>
                <w:color w:val="auto"/>
              </w:rPr>
            </w:pPr>
            <w:r>
              <w:rPr>
                <w:rFonts w:ascii="Arial" w:cs="Arial" w:eastAsia="Arial" w:hAnsi="Arial"/>
                <w:sz w:val="18"/>
                <w:szCs w:val="18"/>
                <w:color w:val="auto"/>
                <w:w w:val="92"/>
              </w:rPr>
              <w:t>(Address of principal</w:t>
            </w:r>
          </w:p>
        </w:tc>
        <w:tc>
          <w:tcPr>
            <w:tcW w:w="4440" w:type="dxa"/>
            <w:vAlign w:val="bottom"/>
          </w:tcPr>
          <w:p>
            <w:pPr>
              <w:jc w:val="center"/>
              <w:ind w:left="1730"/>
              <w:spacing w:after="0"/>
              <w:rPr>
                <w:sz w:val="20"/>
                <w:szCs w:val="20"/>
                <w:color w:val="auto"/>
              </w:rPr>
            </w:pPr>
            <w:r>
              <w:rPr>
                <w:rFonts w:ascii="Arial" w:cs="Arial" w:eastAsia="Arial" w:hAnsi="Arial"/>
                <w:sz w:val="18"/>
                <w:szCs w:val="18"/>
                <w:color w:val="auto"/>
                <w:w w:val="91"/>
              </w:rPr>
              <w:t>(Zip code)</w:t>
            </w:r>
          </w:p>
        </w:tc>
      </w:tr>
      <w:tr>
        <w:trPr>
          <w:trHeight w:val="230"/>
        </w:trPr>
        <w:tc>
          <w:tcPr>
            <w:tcW w:w="3980" w:type="dxa"/>
            <w:vAlign w:val="bottom"/>
          </w:tcPr>
          <w:p>
            <w:pPr>
              <w:jc w:val="center"/>
              <w:ind w:right="1730"/>
              <w:spacing w:after="0"/>
              <w:rPr>
                <w:sz w:val="20"/>
                <w:szCs w:val="20"/>
                <w:color w:val="auto"/>
              </w:rPr>
            </w:pPr>
            <w:r>
              <w:rPr>
                <w:rFonts w:ascii="Arial" w:cs="Arial" w:eastAsia="Arial" w:hAnsi="Arial"/>
                <w:sz w:val="18"/>
                <w:szCs w:val="18"/>
                <w:color w:val="auto"/>
                <w:w w:val="92"/>
              </w:rPr>
              <w:t>executive offices)</w:t>
            </w:r>
          </w:p>
        </w:tc>
        <w:tc>
          <w:tcPr>
            <w:tcW w:w="4440" w:type="dxa"/>
            <w:vAlign w:val="bottom"/>
          </w:tcPr>
          <w:p>
            <w:pPr>
              <w:spacing w:after="0"/>
              <w:rPr>
                <w:sz w:val="20"/>
                <w:szCs w:val="20"/>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40" w:top="544" w:right="199" w:bottom="0" w:gutter="0" w:footer="0" w:header="0"/>
        </w:sectPr>
      </w:pPr>
    </w:p>
    <w:p>
      <w:pPr>
        <w:spacing w:after="0" w:line="114" w:lineRule="exact"/>
        <w:rPr>
          <w:sz w:val="24"/>
          <w:szCs w:val="24"/>
          <w:color w:val="auto"/>
        </w:rPr>
      </w:pPr>
    </w:p>
    <w:p>
      <w:pPr>
        <w:ind w:right="380"/>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Accelerated filer x</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34" w:lineRule="exact"/>
        <w:rPr>
          <w:sz w:val="24"/>
          <w:szCs w:val="24"/>
          <w:color w:val="auto"/>
        </w:rPr>
      </w:pPr>
    </w:p>
    <w:p>
      <w:pPr>
        <w:sectPr>
          <w:pgSz w:w="11900" w:h="16838" w:orient="portrait"/>
          <w:cols w:equalWidth="0" w:num="3">
            <w:col w:w="2200" w:space="720"/>
            <w:col w:w="5020" w:space="720"/>
            <w:col w:w="2800"/>
          </w:cols>
          <w:pgMar w:left="240" w:top="544" w:right="199" w:bottom="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4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Class</w:t>
            </w:r>
          </w:p>
        </w:tc>
        <w:tc>
          <w:tcPr>
            <w:tcW w:w="3980" w:type="dxa"/>
            <w:vAlign w:val="bottom"/>
          </w:tcPr>
          <w:p>
            <w:pPr>
              <w:jc w:val="center"/>
              <w:ind w:left="239"/>
              <w:spacing w:after="0"/>
              <w:rPr>
                <w:sz w:val="20"/>
                <w:szCs w:val="20"/>
                <w:color w:val="auto"/>
              </w:rPr>
            </w:pPr>
            <w:r>
              <w:rPr>
                <w:rFonts w:ascii="Arial" w:cs="Arial" w:eastAsia="Arial" w:hAnsi="Arial"/>
                <w:sz w:val="14"/>
                <w:szCs w:val="14"/>
                <w:b w:val="1"/>
                <w:bCs w:val="1"/>
                <w:color w:val="auto"/>
                <w:w w:val="92"/>
              </w:rPr>
              <w:t>Outstanding at August 6, 2015</w:t>
            </w: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440" w:type="dxa"/>
            <w:vAlign w:val="bottom"/>
          </w:tcPr>
          <w:p>
            <w:pPr>
              <w:spacing w:after="0"/>
              <w:rPr>
                <w:sz w:val="19"/>
                <w:szCs w:val="19"/>
                <w:color w:val="auto"/>
              </w:rPr>
            </w:pPr>
          </w:p>
        </w:tc>
        <w:tc>
          <w:tcPr>
            <w:tcW w:w="3900" w:type="dxa"/>
            <w:vAlign w:val="bottom"/>
            <w:tcBorders>
              <w:top w:val="single" w:sz="8" w:color="auto"/>
            </w:tcBorders>
          </w:tcPr>
          <w:p>
            <w:pPr>
              <w:jc w:val="center"/>
              <w:ind w:left="239"/>
              <w:spacing w:after="0"/>
              <w:rPr>
                <w:sz w:val="20"/>
                <w:szCs w:val="20"/>
                <w:color w:val="auto"/>
              </w:rPr>
            </w:pPr>
            <w:r>
              <w:rPr>
                <w:rFonts w:ascii="Arial" w:cs="Arial" w:eastAsia="Arial" w:hAnsi="Arial"/>
                <w:sz w:val="18"/>
                <w:szCs w:val="18"/>
                <w:color w:val="auto"/>
                <w:w w:val="90"/>
              </w:rPr>
              <w:t>Common Stock, $.001 par value</w:t>
            </w:r>
          </w:p>
        </w:tc>
        <w:tc>
          <w:tcPr>
            <w:tcW w:w="660" w:type="dxa"/>
            <w:vAlign w:val="bottom"/>
          </w:tcPr>
          <w:p>
            <w:pPr>
              <w:spacing w:after="0"/>
              <w:rPr>
                <w:sz w:val="19"/>
                <w:szCs w:val="19"/>
                <w:color w:val="auto"/>
              </w:rPr>
            </w:pPr>
          </w:p>
        </w:tc>
        <w:tc>
          <w:tcPr>
            <w:tcW w:w="3980" w:type="dxa"/>
            <w:vAlign w:val="bottom"/>
            <w:tcBorders>
              <w:top w:val="single" w:sz="8" w:color="auto"/>
            </w:tcBorders>
          </w:tcPr>
          <w:p>
            <w:pPr>
              <w:jc w:val="right"/>
              <w:ind w:right="1339"/>
              <w:spacing w:after="0"/>
              <w:rPr>
                <w:sz w:val="20"/>
                <w:szCs w:val="20"/>
                <w:color w:val="auto"/>
              </w:rPr>
            </w:pPr>
            <w:r>
              <w:rPr>
                <w:rFonts w:ascii="Arial" w:cs="Arial" w:eastAsia="Arial" w:hAnsi="Arial"/>
                <w:sz w:val="18"/>
                <w:szCs w:val="18"/>
                <w:color w:val="auto"/>
              </w:rPr>
              <w:t>87,073,160</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4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144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4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2015 and December 31, 2014</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544" w:right="1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 2015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7"/>
          </w:tcPr>
          <w:p>
            <w:pPr>
              <w:jc w:val="right"/>
              <w:ind w:right="99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Cash and due from banks (interest-bearing 2015 $177,124; 2014 $243,769)</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289,385</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339,438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 at fair value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888,215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Securities held to maturity, at amortized cost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35,992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0"/>
              </w:rPr>
              <w:t>Loans (net of allowance for loan losses 2015 $47,720; 2014</w:t>
            </w:r>
          </w:p>
        </w:tc>
        <w:tc>
          <w:tcPr>
            <w:tcW w:w="3040" w:type="dxa"/>
            <w:vAlign w:val="bottom"/>
          </w:tcPr>
          <w:p>
            <w:pPr>
              <w:jc w:val="right"/>
              <w:ind w:right="2290"/>
              <w:spacing w:after="0"/>
              <w:rPr>
                <w:sz w:val="20"/>
                <w:szCs w:val="20"/>
                <w:color w:val="auto"/>
              </w:rPr>
            </w:pPr>
            <w:r>
              <w:rPr>
                <w:rFonts w:ascii="Arial" w:cs="Arial" w:eastAsia="Arial" w:hAnsi="Arial"/>
                <w:sz w:val="18"/>
                <w:szCs w:val="18"/>
                <w:color w:val="auto"/>
                <w:w w:val="90"/>
              </w:rPr>
              <w:t>$47,453)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2,443,040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2,357,837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64,834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25,510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surrender value of bank owned life insurance</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42,381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41,323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0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3,885,274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vMerge w:val="continue"/>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Deposits: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705,231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2,430,509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2,234,241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3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3,135,740</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174,352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Long-term debt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7"/>
              </w:rPr>
              <w:t>Junior subordinated debt owed to unconsolidated trusts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liabilities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27,594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3,442,686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3,231,968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Series C Preferred stock, $.001 par value, 72,664 shares authorized, issued and outstanding, $1,000.00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liquidation value per share</w:t>
            </w:r>
          </w:p>
        </w:tc>
        <w:tc>
          <w:tcPr>
            <w:tcW w:w="3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72,664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Common stock, $.001 par value, authorized 200,000,000 shares; shares issued — 88,287,132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593,789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deficit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tcPr>
          <w:p>
            <w:pPr>
              <w:jc w:val="right"/>
              <w:ind w:right="150"/>
              <w:spacing w:after="0"/>
              <w:rPr>
                <w:sz w:val="20"/>
                <w:szCs w:val="20"/>
                <w:color w:val="auto"/>
              </w:rPr>
            </w:pPr>
            <w:r>
              <w:rPr>
                <w:rFonts w:ascii="Arial" w:cs="Arial" w:eastAsia="Arial" w:hAnsi="Arial"/>
                <w:sz w:val="18"/>
                <w:szCs w:val="18"/>
                <w:color w:val="auto"/>
              </w:rPr>
              <w:t>(201,851)</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(210,384)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Total stockholders’ equity before treasury stock</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470,009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Common stock shares held in treasury at cost — 2015 1,381,951; 2014 1,426,323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tcPr>
          <w:p>
            <w:pPr>
              <w:jc w:val="right"/>
              <w:ind w:right="150"/>
              <w:spacing w:after="0"/>
              <w:rPr>
                <w:sz w:val="20"/>
                <w:szCs w:val="20"/>
                <w:color w:val="auto"/>
              </w:rPr>
            </w:pPr>
            <w:r>
              <w:rPr>
                <w:rFonts w:ascii="Arial" w:cs="Arial" w:eastAsia="Arial" w:hAnsi="Arial"/>
                <w:sz w:val="18"/>
                <w:szCs w:val="18"/>
                <w:color w:val="auto"/>
              </w:rPr>
              <w:t>(27,421)</w:t>
            </w: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(28,233)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442,588</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04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3,885,274</w:t>
            </w: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86,905,181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86,860,809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40" w:type="dxa"/>
            <w:vAlign w:val="bottom"/>
          </w:tcPr>
          <w:p>
            <w:pPr>
              <w:jc w:val="center"/>
              <w:ind w:right="210"/>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gridSpan w:val="2"/>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74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rPr>
              <w:t>CONSOLIDATED STATEMENTS OF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For the Six Months Ended June 30, 2015 and 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420" w:type="dxa"/>
            <w:vAlign w:val="bottom"/>
            <w:gridSpan w:val="2"/>
          </w:tcPr>
          <w:p>
            <w:pPr>
              <w:jc w:val="center"/>
              <w:ind w:right="59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8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3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48,752</w:t>
            </w:r>
          </w:p>
        </w:tc>
        <w:tc>
          <w:tcPr>
            <w:tcW w:w="4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30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57,173</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3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3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Junior subordinated debt owed to unconsolidated trusts</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expense</w:t>
            </w:r>
          </w:p>
        </w:tc>
        <w:tc>
          <w:tcPr>
            <w:tcW w:w="30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interest income</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Net interest income after provision for loan losses</w:t>
            </w:r>
          </w:p>
        </w:tc>
        <w:tc>
          <w:tcPr>
            <w:tcW w:w="3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53,521</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b w:val="1"/>
                <w:bCs w:val="1"/>
                <w:color w:val="auto"/>
              </w:rPr>
              <w:t>Other income:</w:t>
            </w:r>
          </w:p>
        </w:tc>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fees</w:t>
            </w:r>
          </w:p>
        </w:tc>
        <w:tc>
          <w:tcPr>
            <w:tcW w:w="3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10,843</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Commissions and brokers’ fees, net</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3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30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-4102100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-4102100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service charges and fees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Gain on sales of loans</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(losses) gains, net</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w:t>
            </w: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24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27,816</w:t>
            </w:r>
          </w:p>
        </w:tc>
        <w:tc>
          <w:tcPr>
            <w:tcW w:w="8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occupancy expense of premises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Furniture and equipment expense</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Data processing</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expense</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dividends</w:t>
            </w:r>
          </w:p>
        </w:tc>
        <w:tc>
          <w:tcPr>
            <w:tcW w:w="17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 available to common stockholders</w:t>
            </w:r>
          </w:p>
        </w:tc>
        <w:tc>
          <w:tcPr>
            <w:tcW w:w="174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17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74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tcBorders>
              <w:bottom w:val="single" w:sz="8" w:color="CCEEFF"/>
            </w:tcBorders>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17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940" w:type="dxa"/>
            <w:vAlign w:val="bottom"/>
            <w:tcBorders>
              <w:top w:val="single" w:sz="8" w:color="auto"/>
            </w:tcBorders>
            <w:gridSpan w:val="6"/>
          </w:tcPr>
          <w:p>
            <w:pPr>
              <w:jc w:val="right"/>
              <w:ind w:right="391"/>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Interest and fees on loans</w:t>
            </w:r>
          </w:p>
        </w:tc>
        <w:tc>
          <w:tcPr>
            <w:tcW w:w="280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24,586</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22,437</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dividends on investment securities:</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380"/>
              <w:spacing w:after="0"/>
              <w:rPr>
                <w:sz w:val="20"/>
                <w:szCs w:val="20"/>
                <w:color w:val="auto"/>
              </w:rPr>
            </w:pPr>
            <w:r>
              <w:rPr>
                <w:rFonts w:ascii="Arial" w:cs="Arial" w:eastAsia="Arial" w:hAnsi="Arial"/>
                <w:sz w:val="18"/>
                <w:szCs w:val="18"/>
                <w:color w:val="auto"/>
              </w:rPr>
              <w:t>Taxable interest income</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3,395</w:t>
            </w:r>
          </w:p>
        </w:tc>
      </w:tr>
      <w:tr>
        <w:trPr>
          <w:trHeight w:val="216"/>
        </w:trPr>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Non-taxable interest income</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r>
      <w:tr>
        <w:trPr>
          <w:trHeight w:val="210"/>
        </w:trPr>
        <w:tc>
          <w:tcPr>
            <w:tcW w:w="5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interest income</w:t>
            </w:r>
          </w:p>
        </w:tc>
        <w:tc>
          <w:tcPr>
            <w:tcW w:w="16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26,656</w:t>
            </w:r>
          </w:p>
        </w:tc>
        <w:tc>
          <w:tcPr>
            <w:tcW w:w="100" w:type="dxa"/>
            <w:vAlign w:val="bottom"/>
            <w:tcBorders>
              <w:bottom w:val="single" w:sz="8" w:color="CCEEFF"/>
            </w:tcBorders>
          </w:tcPr>
          <w:p>
            <w:pPr>
              <w:spacing w:after="0"/>
              <w:rPr>
                <w:sz w:val="18"/>
                <w:szCs w:val="18"/>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16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80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8"/>
                <w:szCs w:val="18"/>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r>
      <w:tr>
        <w:trPr>
          <w:trHeight w:val="210"/>
        </w:trPr>
        <w:tc>
          <w:tcPr>
            <w:tcW w:w="5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interest expense</w:t>
            </w:r>
          </w:p>
        </w:tc>
        <w:tc>
          <w:tcPr>
            <w:tcW w:w="16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interest income</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0"/>
        </w:trPr>
        <w:tc>
          <w:tcPr>
            <w:tcW w:w="5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income after provision for loan losses</w:t>
            </w:r>
          </w:p>
        </w:tc>
        <w:tc>
          <w:tcPr>
            <w:tcW w:w="1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b w:val="1"/>
                <w:bCs w:val="1"/>
                <w:color w:val="auto"/>
              </w:rPr>
              <w:t>Other income:</w:t>
            </w: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fees</w:t>
            </w:r>
          </w:p>
        </w:tc>
        <w:tc>
          <w:tcPr>
            <w:tcW w:w="280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Commissions and brokers’ fees, net</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Remittance processing</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3,111</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service charges and fees</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Gain on sales of loans</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(losses) gains, net</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r>
      <w:tr>
        <w:trPr>
          <w:trHeight w:val="210"/>
        </w:trPr>
        <w:tc>
          <w:tcPr>
            <w:tcW w:w="5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1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w:t>
            </w: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280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13,310</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12,578</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occupancy expense of premises</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Furniture and equipment expense</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Data processing</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r>
      <w:tr>
        <w:trPr>
          <w:trHeight w:val="216"/>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expense</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4,730</w:t>
            </w:r>
          </w:p>
        </w:tc>
      </w:tr>
      <w:tr>
        <w:trPr>
          <w:trHeight w:val="210"/>
        </w:trPr>
        <w:tc>
          <w:tcPr>
            <w:tcW w:w="57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16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8"/>
                <w:szCs w:val="18"/>
                <w:color w:val="auto"/>
              </w:rPr>
            </w:pPr>
          </w:p>
        </w:tc>
        <w:tc>
          <w:tcPr>
            <w:tcW w:w="1200" w:type="dxa"/>
            <w:vAlign w:val="bottom"/>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15,529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w:t>
            </w:r>
          </w:p>
        </w:tc>
      </w:tr>
      <w:tr>
        <w:trPr>
          <w:trHeight w:val="210"/>
        </w:trPr>
        <w:tc>
          <w:tcPr>
            <w:tcW w:w="5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6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bottom w:val="single" w:sz="8" w:color="CCEEFF"/>
            </w:tcBorders>
          </w:tcPr>
          <w:p>
            <w:pPr>
              <w:spacing w:after="0"/>
              <w:rPr>
                <w:sz w:val="18"/>
                <w:szCs w:val="18"/>
                <w:color w:val="auto"/>
              </w:rPr>
            </w:pPr>
          </w:p>
        </w:tc>
      </w:tr>
      <w:tr>
        <w:trPr>
          <w:trHeight w:val="37"/>
        </w:trPr>
        <w:tc>
          <w:tcPr>
            <w:tcW w:w="57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dividends</w:t>
            </w:r>
          </w:p>
        </w:tc>
        <w:tc>
          <w:tcPr>
            <w:tcW w:w="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 available to common stockholders</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76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3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76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and Six Months Ended June 30, 2015 and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7"/>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45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5"/>
              <w:spacing w:after="0" w:line="142" w:lineRule="exact"/>
              <w:rPr>
                <w:sz w:val="20"/>
                <w:szCs w:val="20"/>
                <w:color w:val="auto"/>
              </w:rPr>
            </w:pPr>
            <w:r>
              <w:rPr>
                <w:rFonts w:ascii="Arial" w:cs="Arial" w:eastAsia="Arial" w:hAnsi="Arial"/>
                <w:sz w:val="14"/>
                <w:szCs w:val="14"/>
                <w:b w:val="1"/>
                <w:bCs w:val="1"/>
                <w:color w:val="auto"/>
                <w:w w:val="89"/>
              </w:rPr>
              <w:t>2015</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7"/>
          </w:tcPr>
          <w:p>
            <w:pPr>
              <w:jc w:val="right"/>
              <w:ind w:right="265"/>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9,936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8,185</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17,697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4"/>
          </w:tcPr>
          <w:p>
            <w:pPr>
              <w:spacing w:after="0" w:line="196" w:lineRule="exact"/>
              <w:rPr>
                <w:sz w:val="20"/>
                <w:szCs w:val="20"/>
                <w:color w:val="auto"/>
              </w:rPr>
            </w:pPr>
            <w:r>
              <w:rPr>
                <w:rFonts w:ascii="Arial" w:cs="Arial" w:eastAsia="Arial" w:hAnsi="Arial"/>
                <w:sz w:val="18"/>
                <w:szCs w:val="18"/>
                <w:color w:val="auto"/>
              </w:rPr>
              <w:t>Other comprehensive income, before tax:</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tcPr>
          <w:p>
            <w:pPr>
              <w:ind w:left="360"/>
              <w:spacing w:after="0"/>
              <w:rPr>
                <w:sz w:val="20"/>
                <w:szCs w:val="20"/>
                <w:color w:val="auto"/>
              </w:rPr>
            </w:pPr>
            <w:r>
              <w:rPr>
                <w:rFonts w:ascii="Arial" w:cs="Arial" w:eastAsia="Arial" w:hAnsi="Arial"/>
                <w:sz w:val="18"/>
                <w:szCs w:val="18"/>
                <w:color w:val="auto"/>
                <w:w w:val="97"/>
              </w:rPr>
              <w:t>Unrealized net (losses) gains on securities: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7"/>
            <w:shd w:val="clear" w:color="auto" w:fill="CCEEFF"/>
          </w:tcPr>
          <w:p>
            <w:pPr>
              <w:ind w:left="540"/>
              <w:spacing w:after="0" w:line="201" w:lineRule="exact"/>
              <w:rPr>
                <w:sz w:val="20"/>
                <w:szCs w:val="20"/>
                <w:color w:val="auto"/>
              </w:rPr>
            </w:pPr>
            <w:r>
              <w:rPr>
                <w:rFonts w:ascii="Arial" w:cs="Arial" w:eastAsia="Arial" w:hAnsi="Arial"/>
                <w:sz w:val="18"/>
                <w:szCs w:val="18"/>
                <w:color w:val="auto"/>
              </w:rPr>
              <w:t>Unrealized net holding (losses) gains arising during</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period</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(4,882)</w:t>
            </w:r>
          </w:p>
        </w:tc>
        <w:tc>
          <w:tcPr>
            <w:tcW w:w="7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7"/>
          </w:tcPr>
          <w:p>
            <w:pPr>
              <w:ind w:left="540"/>
              <w:spacing w:after="0" w:line="201" w:lineRule="exact"/>
              <w:rPr>
                <w:sz w:val="20"/>
                <w:szCs w:val="20"/>
                <w:color w:val="auto"/>
              </w:rPr>
            </w:pPr>
            <w:r>
              <w:rPr>
                <w:rFonts w:ascii="Arial" w:cs="Arial" w:eastAsia="Arial" w:hAnsi="Arial"/>
                <w:sz w:val="18"/>
                <w:szCs w:val="18"/>
                <w:color w:val="auto"/>
                <w:w w:val="94"/>
              </w:rPr>
              <w:t>Reclassification adjustment for losses (gains) included 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9"/>
              </w:rPr>
              <w:t>Other comprehensive (loss) income, before tax</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(4,860)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7"/>
          </w:tcPr>
          <w:p>
            <w:pPr>
              <w:ind w:left="360"/>
              <w:spacing w:after="0" w:line="201" w:lineRule="exact"/>
              <w:rPr>
                <w:sz w:val="20"/>
                <w:szCs w:val="20"/>
                <w:color w:val="auto"/>
              </w:rPr>
            </w:pPr>
            <w:r>
              <w:rPr>
                <w:rFonts w:ascii="Arial" w:cs="Arial" w:eastAsia="Arial" w:hAnsi="Arial"/>
                <w:sz w:val="18"/>
                <w:szCs w:val="18"/>
                <w:color w:val="auto"/>
              </w:rPr>
              <w:t>Income tax (benefit) expense related to items of other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54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(1,946)</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w w:val="90"/>
              </w:rPr>
              <w:t>Other comprehensive (loss) income , net of tax</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(2,914)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7,022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17,199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gridSpan w:val="11"/>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1320" w:type="dxa"/>
            <w:vAlign w:val="bottom"/>
            <w:tcBorders>
              <w:bottom w:val="single" w:sz="8" w:color="808080"/>
            </w:tcBorders>
            <w:gridSpan w:val="4"/>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gridSpan w:val="4"/>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gridSpan w:val="14"/>
          </w:tcPr>
          <w:p>
            <w:pPr>
              <w:jc w:val="center"/>
              <w:ind w:right="52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gridSpan w:val="19"/>
          </w:tcPr>
          <w:p>
            <w:pPr>
              <w:jc w:val="center"/>
              <w:ind w:right="6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gridSpan w:val="14"/>
          </w:tcPr>
          <w:p>
            <w:pPr>
              <w:jc w:val="center"/>
              <w:ind w:right="520"/>
              <w:spacing w:after="0"/>
              <w:rPr>
                <w:sz w:val="20"/>
                <w:szCs w:val="20"/>
                <w:color w:val="auto"/>
              </w:rPr>
            </w:pPr>
            <w:r>
              <w:rPr>
                <w:rFonts w:ascii="Arial" w:cs="Arial" w:eastAsia="Arial" w:hAnsi="Arial"/>
                <w:sz w:val="18"/>
                <w:szCs w:val="18"/>
                <w:b w:val="1"/>
                <w:bCs w:val="1"/>
                <w:color w:val="auto"/>
                <w:w w:val="90"/>
              </w:rPr>
              <w:t>For the Six Months Ended June 30, 2015 and 2014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11"/>
          </w:tcPr>
          <w:p>
            <w:pPr>
              <w:jc w:val="center"/>
              <w:ind w:left="13"/>
              <w:spacing w:after="0"/>
              <w:rPr>
                <w:sz w:val="20"/>
                <w:szCs w:val="20"/>
                <w:color w:val="auto"/>
              </w:rPr>
            </w:pPr>
            <w:r>
              <w:rPr>
                <w:rFonts w:ascii="Arial" w:cs="Arial" w:eastAsia="Arial" w:hAnsi="Arial"/>
                <w:sz w:val="18"/>
                <w:szCs w:val="18"/>
                <w:i w:val="1"/>
                <w:iCs w:val="1"/>
                <w:color w:val="auto"/>
                <w:w w:val="90"/>
              </w:rPr>
              <w:t>(dollars in thousands, except per share amounts)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9"/>
              </w:rPr>
              <w:t>Preferred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Deficit</w:t>
            </w:r>
          </w:p>
        </w:tc>
        <w:tc>
          <w:tcPr>
            <w:tcW w:w="13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593,144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(225,722)</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(29,266)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16,072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2,964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 for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280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for restricted stock unit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vesting and related tax</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208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common stock</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$0.09 per share</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(7,813)</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Stock dividend equivalents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restricted stock units at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$0.09 per share</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employee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(363)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Balance, June 30, 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72,664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593,279</w:t>
            </w:r>
          </w:p>
        </w:tc>
        <w:tc>
          <w:tcPr>
            <w:tcW w:w="4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(217,906)</w:t>
            </w:r>
          </w:p>
        </w:tc>
        <w:tc>
          <w:tcPr>
            <w:tcW w:w="560" w:type="dxa"/>
            <w:vAlign w:val="bottom"/>
          </w:tcPr>
          <w:p>
            <w:pPr>
              <w:jc w:val="right"/>
              <w:ind w:right="39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7,420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(28,778)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426,767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72,664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593,687</w:t>
            </w:r>
          </w:p>
        </w:tc>
        <w:tc>
          <w:tcPr>
            <w:tcW w:w="4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(210,384)</w:t>
            </w:r>
          </w:p>
        </w:tc>
        <w:tc>
          <w:tcPr>
            <w:tcW w:w="560" w:type="dxa"/>
            <w:vAlign w:val="bottom"/>
          </w:tcPr>
          <w:p>
            <w:pPr>
              <w:jc w:val="right"/>
              <w:ind w:right="399"/>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5,817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(28,233)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433,639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-5060950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0"/>
                <w:szCs w:val="20"/>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17,697</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17,697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Issuance of treasury stock for</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employee stock purchase</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plan</w:t>
            </w:r>
          </w:p>
        </w:tc>
        <w:tc>
          <w:tcPr>
            <w:tcW w:w="420" w:type="dxa"/>
            <w:vAlign w:val="bottom"/>
          </w:tcPr>
          <w:p>
            <w:pPr>
              <w:spacing w:after="0"/>
              <w:rPr>
                <w:sz w:val="20"/>
                <w:szCs w:val="20"/>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20"/>
                <w:szCs w:val="20"/>
                <w:color w:val="auto"/>
              </w:rPr>
            </w:pPr>
          </w:p>
        </w:tc>
        <w:tc>
          <w:tcPr>
            <w:tcW w:w="16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w w:val="86"/>
              </w:rPr>
              <w:t>559</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treasury stock</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restricted stock unit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and related tax</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86"/>
              </w:rPr>
              <w:t>219</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Issuance of treasury stock</w:t>
            </w:r>
          </w:p>
        </w:tc>
        <w:tc>
          <w:tcPr>
            <w:tcW w:w="42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common stock</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$0.10 per share</w:t>
            </w: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(8,687)</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Stock dividend equivalents</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restricted stock units at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160"/>
              <w:spacing w:after="0"/>
              <w:rPr>
                <w:sz w:val="20"/>
                <w:szCs w:val="20"/>
                <w:color w:val="auto"/>
              </w:rPr>
            </w:pPr>
            <w:r>
              <w:rPr>
                <w:rFonts w:ascii="Arial" w:cs="Arial" w:eastAsia="Arial" w:hAnsi="Arial"/>
                <w:sz w:val="18"/>
                <w:szCs w:val="18"/>
                <w:color w:val="auto"/>
              </w:rPr>
              <w:t>$0.10 per share</w:t>
            </w:r>
          </w:p>
        </w:tc>
        <w:tc>
          <w:tcPr>
            <w:tcW w:w="420" w:type="dxa"/>
            <w:vAlign w:val="bottom"/>
          </w:tcPr>
          <w:p>
            <w:pPr>
              <w:spacing w:after="0"/>
              <w:rPr>
                <w:sz w:val="20"/>
                <w:szCs w:val="20"/>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employee</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4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42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Balance, June 30, 2015</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w w:val="87"/>
              </w:rPr>
              <w:t>72,664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88</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593,789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(201,851)   $</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5,319</w:t>
            </w:r>
          </w:p>
        </w:tc>
        <w:tc>
          <w:tcPr>
            <w:tcW w:w="1520" w:type="dxa"/>
            <w:vAlign w:val="bottom"/>
            <w:gridSpan w:val="6"/>
          </w:tcPr>
          <w:p>
            <w:pPr>
              <w:jc w:val="right"/>
              <w:ind w:right="100"/>
              <w:spacing w:after="0"/>
              <w:rPr>
                <w:sz w:val="20"/>
                <w:szCs w:val="20"/>
                <w:color w:val="auto"/>
              </w:rPr>
            </w:pPr>
            <w:r>
              <w:rPr>
                <w:rFonts w:ascii="Arial" w:cs="Arial" w:eastAsia="Arial" w:hAnsi="Arial"/>
                <w:sz w:val="18"/>
                <w:szCs w:val="18"/>
                <w:color w:val="auto"/>
              </w:rPr>
              <w:t>$   (27,421)   $</w:t>
            </w:r>
          </w:p>
        </w:tc>
        <w:tc>
          <w:tcPr>
            <w:tcW w:w="860" w:type="dxa"/>
            <w:vAlign w:val="bottom"/>
          </w:tcPr>
          <w:p>
            <w:pPr>
              <w:jc w:val="right"/>
              <w:spacing w:after="0"/>
              <w:rPr>
                <w:sz w:val="20"/>
                <w:szCs w:val="20"/>
                <w:color w:val="auto"/>
              </w:rPr>
            </w:pPr>
            <w:r>
              <w:rPr>
                <w:rFonts w:ascii="Arial" w:cs="Arial" w:eastAsia="Arial" w:hAnsi="Arial"/>
                <w:sz w:val="18"/>
                <w:szCs w:val="18"/>
                <w:color w:val="auto"/>
              </w:rPr>
              <w:t>442,588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9"/>
          </w:tcPr>
          <w:p>
            <w:pPr>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center"/>
              <w:ind w:left="210"/>
              <w:spacing w:after="0"/>
              <w:rPr>
                <w:sz w:val="20"/>
                <w:szCs w:val="20"/>
                <w:color w:val="auto"/>
              </w:rPr>
            </w:pPr>
            <w:r>
              <w:rPr>
                <w:rFonts w:ascii="Arial" w:cs="Arial" w:eastAsia="Arial" w:hAnsi="Arial"/>
                <w:sz w:val="18"/>
                <w:szCs w:val="18"/>
                <w:color w:val="auto"/>
                <w:w w:val="99"/>
              </w:rPr>
              <w:t>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300" w:type="dxa"/>
            <w:vAlign w:val="bottom"/>
            <w:tcBorders>
              <w:bottom w:val="single" w:sz="8" w:color="808080"/>
            </w:tcBorders>
            <w:gridSpan w:val="10"/>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gridSpan w:val="11"/>
          </w:tcPr>
          <w:p>
            <w:pPr>
              <w:jc w:val="center"/>
              <w:ind w:right="10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90"/>
              </w:rPr>
              <w:t>For the Six Months Ended June 30, 2015 and 2014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5"/>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470"/>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Cash Flows from Operating Activities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17,697</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tcPr>
          <w:p>
            <w:pPr>
              <w:ind w:left="340"/>
              <w:spacing w:after="0"/>
              <w:rPr>
                <w:sz w:val="20"/>
                <w:szCs w:val="20"/>
                <w:color w:val="auto"/>
              </w:rPr>
            </w:pPr>
            <w:r>
              <w:rPr>
                <w:rFonts w:ascii="Arial" w:cs="Arial" w:eastAsia="Arial" w:hAnsi="Arial"/>
                <w:sz w:val="18"/>
                <w:szCs w:val="18"/>
                <w:color w:val="auto"/>
              </w:rPr>
              <w:t>Stock-based and non-cash compensation</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w w:val="98"/>
              </w:rPr>
              <w:t>Amortization of intangible assets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w w:val="90"/>
              </w:rPr>
              <w:t>Provision for deferred income taxes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2"/>
              </w:rPr>
              <w:t>Amortization of security premiums and discounts, net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5"/>
          </w:tcPr>
          <w:p>
            <w:pPr>
              <w:ind w:left="360"/>
              <w:spacing w:after="0"/>
              <w:rPr>
                <w:sz w:val="20"/>
                <w:szCs w:val="20"/>
                <w:color w:val="auto"/>
              </w:rPr>
            </w:pPr>
            <w:r>
              <w:rPr>
                <w:rFonts w:ascii="Arial" w:cs="Arial" w:eastAsia="Arial" w:hAnsi="Arial"/>
                <w:sz w:val="18"/>
                <w:szCs w:val="18"/>
                <w:color w:val="auto"/>
                <w:w w:val="97"/>
              </w:rPr>
              <w:t>Accretion of premiums and discounts on loans, net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security losses (gains)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360"/>
              <w:spacing w:after="0"/>
              <w:rPr>
                <w:sz w:val="20"/>
                <w:szCs w:val="20"/>
                <w:color w:val="auto"/>
              </w:rPr>
            </w:pPr>
            <w:r>
              <w:rPr>
                <w:rFonts w:ascii="Arial" w:cs="Arial" w:eastAsia="Arial" w:hAnsi="Arial"/>
                <w:sz w:val="18"/>
                <w:szCs w:val="18"/>
                <w:color w:val="auto"/>
              </w:rPr>
              <w:t>Gain on sales of loans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(3,294)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4"/>
              </w:rPr>
              <w:t>Net (gain) on disposition of premises and equipment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tcPr>
          <w:p>
            <w:pPr>
              <w:ind w:left="360"/>
              <w:spacing w:after="0"/>
              <w:rPr>
                <w:sz w:val="20"/>
                <w:szCs w:val="20"/>
                <w:color w:val="auto"/>
              </w:rPr>
            </w:pPr>
            <w:r>
              <w:rPr>
                <w:rFonts w:ascii="Arial" w:cs="Arial" w:eastAsia="Arial" w:hAnsi="Arial"/>
                <w:sz w:val="18"/>
                <w:szCs w:val="18"/>
                <w:color w:val="auto"/>
              </w:rPr>
              <w:t>Premises and equipment impairment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w w:val="90"/>
              </w:rPr>
              <w:t>Increase in cash surrender value of bank owned life insurance</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Change in assets and liabilities: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Decrease (increase) in other assets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540"/>
              <w:spacing w:after="0"/>
              <w:rPr>
                <w:sz w:val="20"/>
                <w:szCs w:val="20"/>
                <w:color w:val="auto"/>
              </w:rPr>
            </w:pPr>
            <w:r>
              <w:rPr>
                <w:rFonts w:ascii="Arial" w:cs="Arial" w:eastAsia="Arial" w:hAnsi="Arial"/>
                <w:sz w:val="18"/>
                <w:szCs w:val="18"/>
                <w:color w:val="auto"/>
                <w:w w:val="91"/>
              </w:rPr>
              <w:t>Decrease in other liabilities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Decrease in interest payable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5"/>
          </w:tcPr>
          <w:p>
            <w:pPr>
              <w:ind w:left="540"/>
              <w:spacing w:after="0"/>
              <w:rPr>
                <w:sz w:val="20"/>
                <w:szCs w:val="20"/>
                <w:color w:val="auto"/>
              </w:rPr>
            </w:pPr>
            <w:r>
              <w:rPr>
                <w:rFonts w:ascii="Arial" w:cs="Arial" w:eastAsia="Arial" w:hAnsi="Arial"/>
                <w:sz w:val="18"/>
                <w:szCs w:val="18"/>
                <w:color w:val="auto"/>
                <w:w w:val="98"/>
              </w:rPr>
              <w:t>Decrease (increase) in income taxes receivable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3,412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14"/>
            <w:shd w:val="clear" w:color="auto" w:fill="CCEEFF"/>
          </w:tcPr>
          <w:p>
            <w:pPr>
              <w:ind w:left="720"/>
              <w:spacing w:after="0"/>
              <w:rPr>
                <w:sz w:val="20"/>
                <w:szCs w:val="20"/>
                <w:color w:val="auto"/>
              </w:rPr>
            </w:pPr>
            <w:r>
              <w:rPr>
                <w:rFonts w:ascii="Arial" w:cs="Arial" w:eastAsia="Arial" w:hAnsi="Arial"/>
                <w:sz w:val="18"/>
                <w:szCs w:val="18"/>
                <w:b w:val="1"/>
                <w:bCs w:val="1"/>
                <w:color w:val="auto"/>
                <w:w w:val="99"/>
              </w:rPr>
              <w:t>Net cash provided by operating activities before activities for loans originated for sale</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24,680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left w:val="single" w:sz="8" w:color="CCEEFF"/>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26,051</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originated for sale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(160,203)</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Arial" w:cs="Arial" w:eastAsia="Arial" w:hAnsi="Arial"/>
                <w:sz w:val="18"/>
                <w:szCs w:val="18"/>
                <w:color w:val="auto"/>
                <w:w w:val="99"/>
              </w:rPr>
              <w:t>Proceeds from sales of loans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151,829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5"/>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left w:val="single" w:sz="8" w:color="CCEEFF"/>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Cash Flows from Investing Activities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7"/>
          </w:tcPr>
          <w:p>
            <w:pPr>
              <w:ind w:left="180"/>
              <w:spacing w:after="0"/>
              <w:rPr>
                <w:sz w:val="20"/>
                <w:szCs w:val="20"/>
                <w:color w:val="auto"/>
              </w:rPr>
            </w:pPr>
            <w:r>
              <w:rPr>
                <w:rFonts w:ascii="Arial" w:cs="Arial" w:eastAsia="Arial" w:hAnsi="Arial"/>
                <w:sz w:val="18"/>
                <w:szCs w:val="18"/>
                <w:color w:val="auto"/>
                <w:w w:val="95"/>
              </w:rPr>
              <w:t>Proceeds from sales of securities classified available for sale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11,781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w w:val="96"/>
              </w:rPr>
              <w:t>Proceeds from maturities of securities classified available for sale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114,842</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7"/>
          </w:tcPr>
          <w:p>
            <w:pPr>
              <w:ind w:left="180"/>
              <w:spacing w:after="0"/>
              <w:rPr>
                <w:sz w:val="20"/>
                <w:szCs w:val="20"/>
                <w:color w:val="auto"/>
              </w:rPr>
            </w:pPr>
            <w:r>
              <w:rPr>
                <w:rFonts w:ascii="Arial" w:cs="Arial" w:eastAsia="Arial" w:hAnsi="Arial"/>
                <w:sz w:val="18"/>
                <w:szCs w:val="18"/>
                <w:color w:val="auto"/>
                <w:w w:val="91"/>
              </w:rPr>
              <w:t>Proceeds from maturities of securities classified held to maturity</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89"/>
              </w:rPr>
              <w:t>Purchase of securities classified available for sale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(181,084)</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tcPr>
          <w:p>
            <w:pPr>
              <w:ind w:left="180"/>
              <w:spacing w:after="0"/>
              <w:rPr>
                <w:sz w:val="20"/>
                <w:szCs w:val="20"/>
                <w:color w:val="auto"/>
              </w:rPr>
            </w:pPr>
            <w:r>
              <w:rPr>
                <w:rFonts w:ascii="Arial" w:cs="Arial" w:eastAsia="Arial" w:hAnsi="Arial"/>
                <w:sz w:val="18"/>
                <w:szCs w:val="18"/>
                <w:color w:val="auto"/>
                <w:w w:val="92"/>
              </w:rPr>
              <w:t>Purchase of securities classified held to maturity</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Net decrease (increase) in loans</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5"/>
          </w:tcPr>
          <w:p>
            <w:pPr>
              <w:ind w:left="180"/>
              <w:spacing w:after="0"/>
              <w:rPr>
                <w:sz w:val="20"/>
                <w:szCs w:val="20"/>
                <w:color w:val="auto"/>
              </w:rPr>
            </w:pPr>
            <w:r>
              <w:rPr>
                <w:rFonts w:ascii="Arial" w:cs="Arial" w:eastAsia="Arial" w:hAnsi="Arial"/>
                <w:sz w:val="18"/>
                <w:szCs w:val="18"/>
                <w:color w:val="auto"/>
                <w:w w:val="95"/>
              </w:rPr>
              <w:t>Proceeds from disposition of premises and equipment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w w:val="93"/>
              </w:rPr>
              <w:t>Proceeds from sale of other real estate owned (“OREO”) properties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w w:val="89"/>
              </w:rPr>
              <w:t>Purchases of premises and equipment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received in acquisitions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2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4"/>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(25,732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(23,795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-6536055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-6536055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(continued on next page)</w:t>
      </w:r>
    </w:p>
    <w:p>
      <w:pPr>
        <w:sectPr>
          <w:pgSz w:w="11900" w:h="16838" w:orient="portrait"/>
          <w:cols w:equalWidth="0" w:num="1">
            <w:col w:w="11460"/>
          </w:cols>
          <w:pgMar w:left="240" w:top="125" w:right="199" w:bottom="0" w:gutter="0" w:footer="0" w:header="0"/>
        </w:sect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60"/>
          </w:cols>
          <w:pgMar w:left="240" w:top="125" w:right="19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(44,301)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demand, money market and savings deposits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37,292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(9,050)</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shares surrendered upon vesting of restricted stock units to cover tax obligations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(24,541)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(40,627)</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Pr>
          <w:p>
            <w:pPr>
              <w:ind w:left="360"/>
              <w:spacing w:after="0"/>
              <w:rPr>
                <w:sz w:val="20"/>
                <w:szCs w:val="20"/>
                <w:color w:val="auto"/>
              </w:rPr>
            </w:pPr>
            <w:r>
              <w:rPr>
                <w:rFonts w:ascii="Arial" w:cs="Arial" w:eastAsia="Arial" w:hAnsi="Arial"/>
                <w:sz w:val="18"/>
                <w:szCs w:val="18"/>
                <w:b w:val="1"/>
                <w:bCs w:val="1"/>
                <w:color w:val="auto"/>
              </w:rPr>
              <w:t>Net decrease in cash and due from banks</w:t>
            </w:r>
          </w:p>
        </w:tc>
        <w:tc>
          <w:tcPr>
            <w:tcW w:w="8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(50,053)</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due from banks, beginning</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339,438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due from banks, ending</w:t>
            </w:r>
          </w:p>
        </w:tc>
        <w:tc>
          <w:tcPr>
            <w:tcW w:w="8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289,385</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payments for:</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5,770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Other real estate acquired in settlement of loans</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unaudited consolidated interim financial statements of First Busey Corporation (“First Busey” or the “Company”), a Nevada corporation, have been prepared pursuant to the rules and regulations of the Securities and Exchange Commission (the “SEC”) for Quarterly Reports on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2014.</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Balance Sheet as of December 31, 2014, which has been derived from audited financial statements, and the unaudited consolidated interim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and six months ended June 30, 2015 are not necessarily indicative of the results that may be expected for the year ending December 31, 2015.</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 Certain prior-year amounts have been reclassified to conform to the current presentation with no effect on net income or stockholders’ equity.</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preparing the accompanying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 term relate to the fair value of investment securities, the determination of the allowance for loan losses, and the valuation allowance on the deferred tax asset.</w:t>
      </w:r>
    </w:p>
    <w:p>
      <w:pPr>
        <w:spacing w:after="0" w:line="15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consolidated financial statements included in this Quarterly Report on Form 10-Q were issued. There were no significant subsequent events for the quarter ended June 30, 2015 through the issuance date of these consolidated financial statements that warranted adjustment to or disclosure in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2015, First Busey acquired Herget Financial Corp. (“Herget Financial”), headquartered in Pekin, Illinois and its wholly-owned bank subsidiary, Herget Bank, National Association (“Herget Bank”). First Busey operated Herget Bank as a separate banking subsidiary from January 9, 2015 until</w:t>
      </w:r>
    </w:p>
    <w:p>
      <w:pPr>
        <w:ind w:right="160"/>
        <w:spacing w:after="0" w:line="261" w:lineRule="auto"/>
        <w:rPr>
          <w:sz w:val="20"/>
          <w:szCs w:val="20"/>
          <w:color w:val="auto"/>
        </w:rPr>
      </w:pPr>
      <w:r>
        <w:rPr>
          <w:rFonts w:ascii="Arial" w:cs="Arial" w:eastAsia="Arial" w:hAnsi="Arial"/>
          <w:sz w:val="18"/>
          <w:szCs w:val="18"/>
          <w:color w:val="auto"/>
        </w:rPr>
        <w:t>March 13, 2015, when it was merged with Busey Bank. At that time, Herget Bank’s three branches in Pekin, Illinois became branches of Busey Bank. The operating results of Herget Financial are included with the Company’s results of operations since the date of acquisition.</w:t>
      </w:r>
    </w:p>
    <w:p>
      <w:pPr>
        <w:spacing w:after="0" w:line="184"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acquisition of Herget Financial allowed First Busey to further increase its presence in the Pekin and greater Peoria market. Additionally, Herget Financial held a dominant deposit market position in its community and offered trust, estate and asset management services, as well as competitive commercial loan and mortgage offerings, all of which complement First Busey’s offerings. First Busey acquired 100% of Herget Financial’s outstanding</w:t>
      </w:r>
    </w:p>
    <w:p>
      <w:pPr>
        <w:sectPr>
          <w:pgSz w:w="11900" w:h="16838" w:orient="portrait"/>
          <w:cols w:equalWidth="0" w:num="1">
            <w:col w:w="11420"/>
          </w:cols>
          <w:pgMar w:left="240" w:top="729" w:right="239" w:bottom="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common stock for aggregate cash consideration of $34.1 million which was funded through internal sources. Each shareholder of Herget Financial common stock received $588.00 per share in cash.</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and six months ended June 30, 2015, expenses related to the acquisition of Herget Financial totaled $0.1 million and $1.0 million, respectively. Additionally, during 2014, First Busey incurred $0.4 million of acquisition expenses related to this transaction. The expenses were comprised primarily of system conversion, restructuring, legal, consulting, regulatory and marketing costs, all of which are reported as a component of other expense in the accompanying unaudited consolidated interim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estimated fair values on the date of acquisition. Fair values are subject to refinement for up to one year after the closing date of January 8, 2015 as additional information regarding the closing date fair values becomes available; however, the Company does not expect any adjustments will be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assessment of the assets purchased and liabilities assumed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46,214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Securities</w:t>
            </w:r>
          </w:p>
        </w:tc>
        <w:tc>
          <w:tcPr>
            <w:tcW w:w="2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111,760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Loans</w:t>
            </w:r>
          </w:p>
        </w:tc>
        <w:tc>
          <w:tcPr>
            <w:tcW w:w="2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105,207</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4,824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assets</w:t>
            </w:r>
          </w:p>
        </w:tc>
        <w:tc>
          <w:tcPr>
            <w:tcW w:w="2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2,931</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241,901</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Other liabilities</w:t>
            </w:r>
          </w:p>
        </w:tc>
        <w:tc>
          <w:tcPr>
            <w:tcW w:w="23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2,839</w:t>
            </w:r>
          </w:p>
        </w:tc>
      </w:tr>
    </w:tbl>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 impaired at acquisition were accounted for under Financial Accounting Standards Board (“FASB”) ASC 310-20, </w:t>
      </w:r>
      <w:r>
        <w:rPr>
          <w:rFonts w:ascii="Arial" w:cs="Arial" w:eastAsia="Arial" w:hAnsi="Arial"/>
          <w:sz w:val="16"/>
          <w:szCs w:val="16"/>
          <w:i w:val="1"/>
          <w:iCs w:val="1"/>
          <w:color w:val="auto"/>
        </w:rPr>
        <w:t>Receivables-Nonrefundable Fees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Costs </w:t>
      </w:r>
      <w:r>
        <w:rPr>
          <w:rFonts w:ascii="Arial" w:cs="Arial" w:eastAsia="Arial" w:hAnsi="Arial"/>
          <w:sz w:val="16"/>
          <w:szCs w:val="16"/>
          <w:color w:val="auto"/>
        </w:rPr>
        <w:t>and were subsequently considered as part of the Company’s determination for the adequacy of the allowance for loan losses.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credit-impaired (“PCI”) loans, loans with evidence of credit quality deterioration, were accounted for under FASB ASC 310-30, </w:t>
      </w:r>
      <w:r>
        <w:rPr>
          <w:rFonts w:ascii="Arial" w:cs="Arial" w:eastAsia="Arial" w:hAnsi="Arial"/>
          <w:sz w:val="16"/>
          <w:szCs w:val="16"/>
          <w:i w:val="1"/>
          <w:iCs w:val="1"/>
          <w:color w:val="auto"/>
        </w:rPr>
        <w:t>Receivables — Loans and</w:t>
      </w:r>
      <w:r>
        <w:rPr>
          <w:rFonts w:ascii="Arial" w:cs="Arial" w:eastAsia="Arial" w:hAnsi="Arial"/>
          <w:sz w:val="16"/>
          <w:szCs w:val="16"/>
          <w:color w:val="auto"/>
        </w:rPr>
        <w:t xml:space="preserve"> </w:t>
      </w:r>
      <w:r>
        <w:rPr>
          <w:rFonts w:ascii="Arial" w:cs="Arial" w:eastAsia="Arial" w:hAnsi="Arial"/>
          <w:sz w:val="16"/>
          <w:szCs w:val="16"/>
          <w:i w:val="1"/>
          <w:iCs w:val="1"/>
          <w:color w:val="auto"/>
        </w:rPr>
        <w:t>Debt Securities Acquired with Deteriorated Credit Quality</w:t>
      </w:r>
      <w:r>
        <w:rPr>
          <w:rFonts w:ascii="Arial" w:cs="Arial" w:eastAsia="Arial" w:hAnsi="Arial"/>
          <w:sz w:val="16"/>
          <w:szCs w:val="16"/>
          <w:color w:val="auto"/>
        </w:rPr>
        <w:t>. The fair value of the acquired performing loans totaled $103.7 million and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PCI loans totaled $1.5 million. The other intangible assets acquired in this transaction will be amortized using an accelerated method over 10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Accounting Standards Update (“ASU”) 2014-09, “Revenue from Contracts with Customers (Topic 606).” </w:t>
      </w:r>
      <w:r>
        <w:rPr>
          <w:rFonts w:ascii="Arial" w:cs="Arial" w:eastAsia="Arial" w:hAnsi="Arial"/>
          <w:sz w:val="18"/>
          <w:szCs w:val="18"/>
          <w:color w:val="auto"/>
        </w:rPr>
        <w:t>ASU 2014-09 outlines a single model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July 2015, the FASB voted to delay the effective date of the ASU by one year. The Company is evaluating the impact this guidance will have on its consolidated financial statements and related disclosures.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positive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unrealized gains and losses and fair values of securities classified as available for sale and held to maturity are summarized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65,122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9"/>
              </w:rPr>
              <w:t>Obligations of U.S. government corporations and agencies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193,994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137,277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874,194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Mutual funds and other equity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879,344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34,986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35,992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36,005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50,280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9"/>
              </w:rPr>
              <w:t>Obligations of U.S. government corporations and agencies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218,250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79,087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Mutual funds and other equity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1,359</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amortized cost and fair value of debt securities available for sale and held to maturity as of June 30, 2015, by contractual maturity, are shown below. Mutual funds and other equity securities do not have stated maturity dates and therefore are not included in the following maturity summary. Mortgages underlying the residential mortgage-backed securities may be called or prepaid without penalties; therefore, actual maturities could differ from the contractual maturities. All residential mortgage- backed securities were issued by U.S. government agencies and corporations.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7"/>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5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5"/>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117,201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117,611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1,065</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396,718</w:t>
            </w: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398,585</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8,211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8,242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131,024</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134,248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19,563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Due after ten years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229,251</w:t>
            </w: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231,355</w:t>
            </w: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7,153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7,109</w:t>
            </w: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available for sale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380" w:type="dxa"/>
            <w:vAlign w:val="bottom"/>
            <w:gridSpan w:val="2"/>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Gross security (losses)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(losses) gains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for the net realized gains and losses was insignificant for the three and six months ended June 30, 2015 and 2014.</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Investment securities with carrying amounts of $609.9 million and $536.2 million on June 30, 2015 and December 31, 2014,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2015 and December 31, 2014 aggregated by investment category and length of time that individual securities have been in a continuous loss position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3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20" w:type="dxa"/>
            <w:vAlign w:val="bottom"/>
          </w:tcPr>
          <w:p>
            <w:pPr>
              <w:spacing w:after="0"/>
              <w:rPr>
                <w:sz w:val="12"/>
                <w:szCs w:val="12"/>
                <w:color w:val="auto"/>
              </w:rPr>
            </w:pPr>
          </w:p>
        </w:tc>
        <w:tc>
          <w:tcPr>
            <w:tcW w:w="238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20" w:type="dxa"/>
            <w:vAlign w:val="bottom"/>
          </w:tcPr>
          <w:p>
            <w:pPr>
              <w:spacing w:after="0"/>
              <w:rPr>
                <w:sz w:val="12"/>
                <w:szCs w:val="12"/>
                <w:color w:val="auto"/>
              </w:rPr>
            </w:pPr>
          </w:p>
        </w:tc>
        <w:tc>
          <w:tcPr>
            <w:tcW w:w="2200" w:type="dxa"/>
            <w:vAlign w:val="bottom"/>
            <w:gridSpan w:val="7"/>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12 months, gross</w:t>
            </w:r>
          </w:p>
        </w:tc>
        <w:tc>
          <w:tcPr>
            <w:tcW w:w="220" w:type="dxa"/>
            <w:vAlign w:val="bottom"/>
          </w:tcPr>
          <w:p>
            <w:pPr>
              <w:spacing w:after="0"/>
              <w:rPr>
                <w:sz w:val="14"/>
                <w:szCs w:val="14"/>
                <w:color w:val="auto"/>
              </w:rPr>
            </w:pPr>
          </w:p>
        </w:tc>
        <w:tc>
          <w:tcPr>
            <w:tcW w:w="23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9"/>
              </w:rPr>
              <w:t>than 12 months, gross</w:t>
            </w:r>
          </w:p>
        </w:tc>
        <w:tc>
          <w:tcPr>
            <w:tcW w:w="220" w:type="dxa"/>
            <w:vAlign w:val="bottom"/>
          </w:tcPr>
          <w:p>
            <w:pPr>
              <w:spacing w:after="0"/>
              <w:rPr>
                <w:sz w:val="14"/>
                <w:szCs w:val="14"/>
                <w:color w:val="auto"/>
              </w:rPr>
            </w:pPr>
          </w:p>
        </w:tc>
        <w:tc>
          <w:tcPr>
            <w:tcW w:w="22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5"/>
              </w:rPr>
              <w:t>Obligations of U.S. government corporations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and agencies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35,114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10,151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45,265</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2"/>
              </w:rPr>
              <w:t>Obligations of states and political subdivisions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39,303</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39,303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temporarily impaired securities</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177,476</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205,968</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2"/>
              </w:rPr>
              <w:t>Obligations of states and political subdivisions</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16,322</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16,322</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8" w:name="page9"/>
    <w:bookmarkEnd w:id="8"/>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3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20" w:type="dxa"/>
            <w:vAlign w:val="bottom"/>
          </w:tcPr>
          <w:p>
            <w:pPr>
              <w:spacing w:after="0"/>
              <w:rPr>
                <w:sz w:val="12"/>
                <w:szCs w:val="12"/>
                <w:color w:val="auto"/>
              </w:rPr>
            </w:pPr>
          </w:p>
        </w:tc>
        <w:tc>
          <w:tcPr>
            <w:tcW w:w="238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20" w:type="dxa"/>
            <w:vAlign w:val="bottom"/>
          </w:tcPr>
          <w:p>
            <w:pPr>
              <w:spacing w:after="0"/>
              <w:rPr>
                <w:sz w:val="12"/>
                <w:szCs w:val="12"/>
                <w:color w:val="auto"/>
              </w:rPr>
            </w:pPr>
          </w:p>
        </w:tc>
        <w:tc>
          <w:tcPr>
            <w:tcW w:w="220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12 months, gross</w:t>
            </w:r>
          </w:p>
        </w:tc>
        <w:tc>
          <w:tcPr>
            <w:tcW w:w="220" w:type="dxa"/>
            <w:vAlign w:val="bottom"/>
          </w:tcPr>
          <w:p>
            <w:pPr>
              <w:spacing w:after="0"/>
              <w:rPr>
                <w:sz w:val="14"/>
                <w:szCs w:val="14"/>
                <w:color w:val="auto"/>
              </w:rPr>
            </w:pPr>
          </w:p>
        </w:tc>
        <w:tc>
          <w:tcPr>
            <w:tcW w:w="23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9"/>
              </w:rPr>
              <w:t>than 12 months, gross</w:t>
            </w:r>
          </w:p>
        </w:tc>
        <w:tc>
          <w:tcPr>
            <w:tcW w:w="220" w:type="dxa"/>
            <w:vAlign w:val="bottom"/>
          </w:tcPr>
          <w:p>
            <w:pPr>
              <w:spacing w:after="0"/>
              <w:rPr>
                <w:sz w:val="14"/>
                <w:szCs w:val="14"/>
                <w:color w:val="auto"/>
              </w:rPr>
            </w:pPr>
          </w:p>
        </w:tc>
        <w:tc>
          <w:tcPr>
            <w:tcW w:w="22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Obligations of U.S. government corporations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agencies</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40,385</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40,201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80,586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16,400</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16,613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Obligations of states and political subdivisions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extent to which the fair value has been less than cost, the financial condition and near-term prospects of the issuer, and whether the Company has the intent to sell the security and it is more-likely-than-not it will have to sell the security before recovery of its cost basis.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total number of securities in the investment portfolio in an unrealized loss position as of June 30, 2015 was 188, and represented a loss of 0.6% of the aggregate carrying value. Based upon a review of unrealized loss circumstances, the unrealized losses resulted from changes in market interest rates and liquidity, not from changes in the probability of receiving the contractual cash flows. The Company does not intend to sell the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other-than-temporarily impaired at June 30, 2015.</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$196.0 million and $220.2 million as of June 30, 2015 and December 31, 2014, respectively. In addition, the Company had held to maturity obligations of state and political subdivisions with a fair value of $35.0 million and $1.4 million at June 30, 2015 and December 31, 2014, respectively.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2015, the fair value of the Company’s obligations of state and political subdivisions portfolio was comprised of $194.3 million of general obligation bonds and $36.7 million of revenue bonds issued by 289 issuers, primarily consisting of states, counties, cities, towns, villages and school districts. The Company held investments in general obligation bonds in 30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2014, the Company’s obligations of state and political subdivisions portfolio was comprised of $183.7 million of general obligation bonds and $37.9 million of revenue bonds issued by 220 issuers, primarily consisting of states, counties, cities, towns, villages and school districts. The Company held investments in general obligation bonds in 23 states (including the District of Columbia), including seven states in which the aggregate fair value exceeded $5.0 million. The Company held investments in revenue bonds in 15 states, including two states where the aggregate fair value exceeded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June 30, 2015: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5"/>
            <w:vMerge w:val="continue"/>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6"/>
          </w:tcPr>
          <w:p>
            <w:pPr>
              <w:ind w:lef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Illinois</w:t>
            </w: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64,355</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Wisconsin</w:t>
            </w:r>
          </w:p>
        </w:tc>
        <w:tc>
          <w:tcPr>
            <w:tcW w:w="10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30,123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30,389</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844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Michigan</w:t>
            </w: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29,592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11,357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1,141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Ohio</w:t>
            </w: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Texas</w:t>
            </w:r>
          </w:p>
        </w:tc>
        <w:tc>
          <w:tcPr>
            <w:tcW w:w="10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12,239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12,224</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679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Iowa</w:t>
            </w: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28,258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28,718</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574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20" w:type="dxa"/>
            <w:vAlign w:val="bottom"/>
            <w:tcBorders>
              <w:bottom w:val="single" w:sz="8" w:color="808080"/>
            </w:tcBorders>
            <w:gridSpan w:val="2"/>
          </w:tcPr>
          <w:p>
            <w:pPr>
              <w:spacing w:after="0"/>
              <w:rPr>
                <w:sz w:val="11"/>
                <w:szCs w:val="11"/>
                <w:color w:val="auto"/>
              </w:rPr>
            </w:pPr>
          </w:p>
        </w:tc>
        <w:tc>
          <w:tcPr>
            <w:tcW w:w="168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4080" w:type="dxa"/>
            <w:vAlign w:val="bottom"/>
            <w:gridSpan w:val="5"/>
          </w:tcPr>
          <w:p>
            <w:pPr>
              <w:ind w:left="660"/>
              <w:spacing w:after="0"/>
              <w:rPr>
                <w:sz w:val="20"/>
                <w:szCs w:val="20"/>
                <w:color w:val="auto"/>
              </w:rPr>
            </w:pPr>
            <w:r>
              <w:rPr>
                <w:rFonts w:ascii="Arial" w:cs="Arial" w:eastAsia="Arial" w:hAnsi="Arial"/>
                <w:sz w:val="18"/>
                <w:szCs w:val="18"/>
                <w:color w:val="auto"/>
              </w:rPr>
              <w:t>December 31, 2014:</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8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5"/>
            <w:vMerge w:val="continue"/>
          </w:tcPr>
          <w:p>
            <w:pPr>
              <w:spacing w:after="0"/>
              <w:rPr>
                <w:sz w:val="14"/>
                <w:szCs w:val="14"/>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Issuers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-1028700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-1028700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49" w:orient="portrait"/>
          <w:cols w:equalWidth="0" w:num="1">
            <w:col w:w="11460"/>
          </w:cols>
          <w:pgMar w:left="240" w:top="320" w:right="199" w:bottom="0" w:gutter="0" w:footer="0" w:header="0"/>
        </w:sectPr>
      </w:pPr>
    </w:p>
    <w:bookmarkStart w:id="9" w:name="page10"/>
    <w:bookmarkEnd w:id="9"/>
    <w:tbl>
      <w:tblPr>
        <w:tblLayout w:type="fixed"/>
        <w:tblInd w:w="66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59,979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61,058</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36,165</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36,365</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30,400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30,739</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Pennsylvania</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12,756</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12,761</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1,276</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9,954</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Texas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7,364</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6,116</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18,862</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19,370</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807</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181,596</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June 30, 2015 and December 31, 2014. Accordingly, as of June 30, 2015 and December 31, 2014, the Company did not hold general obligation bonds of any single issuer, the aggregate book or market value of which exceeded 10% of the Company’s stockholders’ equity. Of the general obligation bonds in the Company’s portfolio, 98.0% had been rated by at least one nationally recognized statistical rating organization and 2.0% were unrated, based on the fair value as of June 30, 2015. Of the general obligation bonds in the Company’s portfolio, 97.1% had been rated by at least one nationally recognized statistical rating organization and 2.9% were unrated, based on the fair value as of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June 30, 2015:</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 Issuer</w:t>
            </w:r>
          </w:p>
        </w:tc>
        <w:tc>
          <w:tcPr>
            <w:tcW w:w="0" w:type="dxa"/>
            <w:vAlign w:val="bottom"/>
          </w:tcPr>
          <w:p>
            <w:pPr>
              <w:spacing w:after="0"/>
              <w:rPr>
                <w:sz w:val="1"/>
                <w:szCs w:val="1"/>
                <w:color w:val="auto"/>
              </w:rPr>
            </w:pPr>
          </w:p>
        </w:tc>
      </w:tr>
      <w:tr>
        <w:trPr>
          <w:trHeight w:val="171"/>
        </w:trPr>
        <w:tc>
          <w:tcPr>
            <w:tcW w:w="342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7,203</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Indiana</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12,601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16,996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16,997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36,749</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3"/>
            <w:vMerge w:val="restart"/>
          </w:tcPr>
          <w:p>
            <w:pPr>
              <w:spacing w:after="0"/>
              <w:rPr>
                <w:sz w:val="20"/>
                <w:szCs w:val="20"/>
                <w:color w:val="auto"/>
              </w:rPr>
            </w:pPr>
            <w:r>
              <w:rPr>
                <w:rFonts w:ascii="Arial" w:cs="Arial" w:eastAsia="Arial" w:hAnsi="Arial"/>
                <w:sz w:val="18"/>
                <w:szCs w:val="18"/>
                <w:color w:val="auto"/>
              </w:rPr>
              <w:t>December 31, 2014:</w:t>
            </w: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2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46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Per Issuer</w:t>
            </w:r>
          </w:p>
        </w:tc>
        <w:tc>
          <w:tcPr>
            <w:tcW w:w="0" w:type="dxa"/>
            <w:vAlign w:val="bottom"/>
          </w:tcPr>
          <w:p>
            <w:pPr>
              <w:spacing w:after="0"/>
              <w:rPr>
                <w:sz w:val="1"/>
                <w:szCs w:val="1"/>
                <w:color w:val="auto"/>
              </w:rPr>
            </w:pPr>
          </w:p>
        </w:tc>
      </w:tr>
      <w:tr>
        <w:trPr>
          <w:trHeight w:val="171"/>
        </w:trPr>
        <w:tc>
          <w:tcPr>
            <w:tcW w:w="3420" w:type="dxa"/>
            <w:vAlign w:val="bottom"/>
            <w:gridSpan w:val="3"/>
            <w:vMerge w:val="continue"/>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Issuers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6,772</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Indiana</w:t>
            </w:r>
          </w:p>
        </w:tc>
        <w:tc>
          <w:tcPr>
            <w:tcW w:w="1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12,520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12,469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18,685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revenue bonds are diversified across many issuers and revenue sources with $3.0 million being the largest exposure to a single issuer at each of June 30, 2015 and December 31, 2014. Accordingly, as of June 30, 2015 and December 31, 2014, the Company did not hold revenue bonds of any single issuer, the aggregate book or market value of which exceeded 10% of the Company’s stockholders’ equity. All of the revenue bonds in the Company’s portfolio had been rated by at least one nationally recognized statistical rating organization as of June 30, 2015 and December 31, 2014. Some of the primary types of revenue bonds owned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Busey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whose investment policy requires that state and political subdivision securities purchased be investment grade. Busey Bank’s investment policy also limits the amount of rated state and political subdivision securities to an aggregate 100% of the Bank’s Total Risk Based Capital at the time of purchase and an aggregate 15% of Total Risk Based Capital for unrated state and political subdivision securities issued by municipalities having taxing authority or located in counties/micropolitan statistical areas/metropolitan statistical areas in which an office of the Bank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 All securities in the Bank’s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73"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As of June 30, 2015, the Company’s regular monitoring of its obligations of state and political subdivisions portfolio had not uncovered any facts or circumstances resulting in significantly different credit ratings than those assigned by a nationally recognized statistical rating 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2015</w:t>
            </w: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Illinois</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Florida</w:t>
            </w: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Indiana</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3"/>
          </w:tcPr>
          <w:p>
            <w:pPr>
              <w:jc w:val="right"/>
              <w:ind w:right="6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551,706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14,308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31,498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597,512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858,960</w:t>
            </w:r>
          </w:p>
        </w:tc>
        <w:tc>
          <w:tcPr>
            <w:tcW w:w="3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168,215</w:t>
            </w:r>
          </w:p>
        </w:tc>
        <w:tc>
          <w:tcPr>
            <w:tcW w:w="44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125,387</w:t>
            </w: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1,152,562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50,939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13,487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33,021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97,447</w:t>
            </w:r>
          </w:p>
        </w:tc>
      </w:tr>
    </w:tbl>
    <w:p>
      <w:pPr>
        <w:sectPr>
          <w:pgSz w:w="11900" w:h="16838" w:orient="portrait"/>
          <w:cols w:equalWidth="0" w:num="1">
            <w:col w:w="11420"/>
          </w:cols>
          <w:pgMar w:left="240" w:top="140" w:right="239" w:bottom="0" w:gutter="0" w:footer="0" w:header="0"/>
        </w:sectPr>
      </w:pPr>
    </w:p>
    <w:bookmarkStart w:id="10" w:name="page11"/>
    <w:bookmarkEnd w:id="10"/>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Retail real estate</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533,357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105,086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11,816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650,259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16,175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2,011,137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301,717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201,722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2,514,576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23,816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2,490,760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47,720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2,443,040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60" w:type="dxa"/>
            <w:vAlign w:val="bottom"/>
            <w:gridSpan w:val="3"/>
          </w:tcPr>
          <w:p>
            <w:pPr>
              <w:spacing w:after="0"/>
              <w:rPr>
                <w:sz w:val="20"/>
                <w:szCs w:val="20"/>
                <w:color w:val="auto"/>
              </w:rPr>
            </w:pPr>
            <w:r>
              <w:rPr>
                <w:rFonts w:ascii="Arial" w:cs="Arial" w:eastAsia="Arial" w:hAnsi="Arial"/>
                <w:sz w:val="18"/>
                <w:szCs w:val="18"/>
                <w:color w:val="auto"/>
              </w:rPr>
              <w:t>(1)Loans held for sale are included in retail real estate.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420" w:type="dxa"/>
            <w:vAlign w:val="bottom"/>
            <w:tcBorders>
              <w:bottom w:val="single" w:sz="8" w:color="808080"/>
            </w:tcBorders>
            <w:gridSpan w:val="2"/>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left="133"/>
              <w:spacing w:after="0"/>
              <w:rPr>
                <w:sz w:val="20"/>
                <w:szCs w:val="20"/>
                <w:color w:val="auto"/>
              </w:rPr>
            </w:pPr>
            <w:r>
              <w:rPr>
                <w:rFonts w:ascii="Arial" w:cs="Arial" w:eastAsia="Arial" w:hAnsi="Arial"/>
                <w:sz w:val="14"/>
                <w:szCs w:val="14"/>
                <w:b w:val="1"/>
                <w:bCs w:val="1"/>
                <w:color w:val="auto"/>
                <w:w w:val="91"/>
              </w:rPr>
              <w:t>December 31, 2014</w:t>
            </w: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Florida</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8"/>
          </w:tcPr>
          <w:p>
            <w:pPr>
              <w:jc w:val="center"/>
              <w:ind w:right="1020"/>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44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554,779</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30,242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811,034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171,243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121,874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1,104,151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60,994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28,110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473,171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106,658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12,644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592,473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1,909,668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2,415,690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2,405,290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47,453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2,357,837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-2385695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-2385695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deferred loan origination costs included in the tables above were $0.7 million as of June 30, 2015 and $0.6 million as of December 31, 2014. Gross loans increased to $2.51 billion at June 30, 2015 from $2.41 billion at December 31, 2014 as a result of organic growth and the addition of loans obtained as part of the Herget Financial acquisition.</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geographies within 125 miles of its lending offices.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6"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Management reviews and approves the Company’s lending policies and procedures on a routine basis. Management routinely (at least quarterly) reviews the Company’s allowance for loan losses and reports related to loan production, loan quality, concentrations of credit, loan delinquencies and non-performing and potential problem loans. The Company’s underwriting standards are designed to encourage relationship banking rather than transactional banking.</w:t>
      </w:r>
    </w:p>
    <w:p>
      <w:pPr>
        <w:ind w:right="60"/>
        <w:spacing w:after="0" w:line="271" w:lineRule="auto"/>
        <w:rPr>
          <w:sz w:val="20"/>
          <w:szCs w:val="20"/>
          <w:color w:val="auto"/>
        </w:rPr>
      </w:pPr>
      <w:r>
        <w:rPr>
          <w:rFonts w:ascii="Arial" w:cs="Arial" w:eastAsia="Arial" w:hAnsi="Arial"/>
          <w:sz w:val="17"/>
          <w:szCs w:val="17"/>
          <w:color w:val="auto"/>
        </w:rPr>
        <w:t>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As a part of underwriting, tangible positive or negative evidence of the borrower’s integrity and character are sought out. Additional significant underwriting factors beyond location, duration, a sound and profitable cash flow basis and the borrower’s character are the quality of the borrower’s financial history, the liquidity of the underlying collateral and the reliability of the valuation of the underlying collateral.</w:t>
      </w:r>
    </w:p>
    <w:p>
      <w:pPr>
        <w:spacing w:after="0" w:line="17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Total borrowing relationships, including direct and indirect debt, are generally limited to $20 million, which is significantly less than the Company’s regulatory lending limit. Borrowing relationships exceeding $20 million are reviewed by the Company’s board of directors at least annually and more frequently by management. At no time is a borrower’s total borrowing relationship permitted to exceed the Company’s regulatory lending limit. Loans to related parties, including executive officers and the Company’s various directorates, are reviewed for compliance with regulatory guidelines by the Company’s board of directors at least annually.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to compliance with this policy, the loan review process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other retail loans. A description of each of the lending areas can be found in the Company’s Annual Report on Form 10-K for the year ended December 31, 2014. The significant majority of the lending activity occurs in the Company’s Illinois and Indiana markets, with the remainder in the Florida market. Due to the small scale of the Indiana loan portfolio and its geographical proximity to the Illinois portfolio, the Company believes that quantitative or qualitative segregation between Illinois and Indiana is not material or warranted.</w:t>
      </w:r>
    </w:p>
    <w:p>
      <w:pPr>
        <w:sectPr>
          <w:pgSz w:w="11900" w:h="16924" w:orient="portrait"/>
          <w:cols w:equalWidth="0" w:num="1">
            <w:col w:w="11460"/>
          </w:cols>
          <w:pgMar w:left="240" w:top="125" w:right="199" w:bottom="0"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Loans are graded on a scale of 1 through 10 with grades 2, 4 &amp; 5 unused.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general characteristics of the grades is as follows:</w:t>
      </w:r>
    </w:p>
    <w:p>
      <w:pPr>
        <w:spacing w:after="0" w:line="211" w:lineRule="exact"/>
        <w:rPr>
          <w:sz w:val="20"/>
          <w:szCs w:val="20"/>
          <w:color w:val="auto"/>
        </w:rPr>
      </w:pPr>
    </w:p>
    <w:p>
      <w:pPr>
        <w:ind w:left="680" w:right="2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Grades 1, 3, 6- </w:t>
      </w:r>
      <w:r>
        <w:rPr>
          <w:rFonts w:ascii="Arial" w:cs="Arial" w:eastAsia="Arial" w:hAnsi="Arial"/>
          <w:sz w:val="18"/>
          <w:szCs w:val="18"/>
          <w:color w:val="auto"/>
        </w:rPr>
        <w:t>These grades include loans which are all considered strong credits, with grade 1 being investment or near investment grade. A grade</w:t>
      </w:r>
      <w:r>
        <w:rPr>
          <w:rFonts w:ascii="Arial" w:cs="Arial" w:eastAsia="Arial" w:hAnsi="Arial"/>
          <w:sz w:val="18"/>
          <w:szCs w:val="18"/>
          <w:i w:val="1"/>
          <w:iCs w:val="1"/>
          <w:color w:val="auto"/>
        </w:rPr>
        <w:t xml:space="preserve"> </w:t>
      </w:r>
      <w:r>
        <w:rPr>
          <w:rFonts w:ascii="Arial" w:cs="Arial" w:eastAsia="Arial" w:hAnsi="Arial"/>
          <w:sz w:val="18"/>
          <w:szCs w:val="18"/>
          <w:color w:val="auto"/>
        </w:rPr>
        <w:t>3 loan is comprised of borrowers that exhibit credit fundamentals that exceed industry standards and loan policy guidelines. A grade 6 loan is comprised of borrowers that exhibit acceptable credit fundamentals.</w:t>
      </w:r>
    </w:p>
    <w:p>
      <w:pPr>
        <w:spacing w:after="0" w:line="181" w:lineRule="exact"/>
        <w:rPr>
          <w:rFonts w:ascii="Arial" w:cs="Arial" w:eastAsia="Arial" w:hAnsi="Arial"/>
          <w:sz w:val="18"/>
          <w:szCs w:val="18"/>
          <w:color w:val="auto"/>
        </w:rPr>
      </w:pPr>
    </w:p>
    <w:p>
      <w:pPr>
        <w:ind w:left="680" w:right="400" w:hanging="318"/>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7- </w:t>
      </w:r>
      <w:r>
        <w:rPr>
          <w:rFonts w:ascii="Arial" w:cs="Arial" w:eastAsia="Arial" w:hAnsi="Arial"/>
          <w:sz w:val="18"/>
          <w:szCs w:val="18"/>
          <w:color w:val="auto"/>
        </w:rPr>
        <w:t>This grade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40" w:hanging="318"/>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8- </w:t>
      </w:r>
      <w:r>
        <w:rPr>
          <w:rFonts w:ascii="Arial" w:cs="Arial" w:eastAsia="Arial" w:hAnsi="Arial"/>
          <w:sz w:val="18"/>
          <w:szCs w:val="18"/>
          <w:color w:val="auto"/>
        </w:rPr>
        <w:t>This grade is for “Other Assets Specially Mentioned” loans that have potential weaknesses which may, if not checked or corrected, weaken</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14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9- </w:t>
      </w:r>
      <w:r>
        <w:rPr>
          <w:rFonts w:ascii="Arial" w:cs="Arial" w:eastAsia="Arial" w:hAnsi="Arial"/>
          <w:sz w:val="18"/>
          <w:szCs w:val="18"/>
          <w:color w:val="auto"/>
        </w:rPr>
        <w:t>This grade includes “Substandard” loans, in accordance with regulatory guidelines, for which the accrual of interest has not been stopped.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1" w:lineRule="exact"/>
        <w:rPr>
          <w:rFonts w:ascii="Arial" w:cs="Arial" w:eastAsia="Arial" w:hAnsi="Arial"/>
          <w:sz w:val="18"/>
          <w:szCs w:val="18"/>
          <w:color w:val="auto"/>
        </w:rPr>
      </w:pPr>
    </w:p>
    <w:p>
      <w:pPr>
        <w:ind w:left="680" w:right="10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10- </w:t>
      </w:r>
      <w:r>
        <w:rPr>
          <w:rFonts w:ascii="Arial" w:cs="Arial" w:eastAsia="Arial" w:hAnsi="Arial"/>
          <w:sz w:val="18"/>
          <w:szCs w:val="18"/>
          <w:color w:val="auto"/>
        </w:rPr>
        <w:t>This grade includes “Doubtful” loans that have all the characteristics of a substandard loan with additional factors that make collection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full highly questionable and improbable. Such loans are placed on non-accrual status and may be dependent on collateral having a value that is difficult to determine.</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All loans are graded at the inception of the loan.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quarterly basis for the first year, semiannually in the second year and annually thereafter. Homogenous pool credits which are subsequently downgraded to a grading of 7 or worse are subject to the same portfolio review as loans over $1.0 million. All commercial loans greater than $1.0 million receive a portfolio review at least annually. Commercial loans greater than $1.0 million that have a grading of 8 or worse receive a portfolio review on a quarterly basis. Interim grade reviews may take place if circumstances of the borrower warrant a more timely review.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Loans in the highest grades, represented by grades 1, 3, 6 and 7, totaled $2.32 billion at June 30, 2015 compared to $2.28 billion at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Loans in the lowest grades, represented by grades 8, 9 and 10, totaled $162.0 million at June 30, 2015, compared to $124.0 million at December 31, 2014.</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June 30, 2015 totals reflect the post-combination results of acquiring Herget Financial.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weighted average risk grades segregated by category of loans (excluding held for sale, loan accretion, non-posted and clearings)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2015</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126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7"/>
              </w:rPr>
              <w:t>Weighted Avg.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Grade</w:t>
            </w:r>
          </w:p>
        </w:tc>
        <w:tc>
          <w:tcPr>
            <w:tcW w:w="24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9" w:lineRule="exact"/>
              <w:rPr>
                <w:sz w:val="20"/>
                <w:szCs w:val="20"/>
                <w:color w:val="auto"/>
              </w:rPr>
            </w:pPr>
            <w:r>
              <w:rPr>
                <w:rFonts w:ascii="Arial" w:cs="Arial" w:eastAsia="Arial" w:hAnsi="Arial"/>
                <w:sz w:val="13"/>
                <w:szCs w:val="13"/>
                <w:b w:val="1"/>
                <w:bCs w:val="1"/>
                <w:color w:val="auto"/>
              </w:rPr>
              <w:t>Grade</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Risk Grade</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1,3,6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10</w:t>
            </w: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516,352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40,160</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19,399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873,759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41,957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55,705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10,658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493,476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14,815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0"/>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Illinois/Indiana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1,954,107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3340" w:type="dxa"/>
            <w:vAlign w:val="bottom"/>
          </w:tcPr>
          <w:p>
            <w:pPr>
              <w:spacing w:after="0" w:line="196" w:lineRule="exact"/>
              <w:rPr>
                <w:sz w:val="20"/>
                <w:szCs w:val="20"/>
                <w:color w:val="auto"/>
              </w:rPr>
            </w:pPr>
            <w:r>
              <w:rPr>
                <w:rFonts w:ascii="Arial" w:cs="Arial" w:eastAsia="Arial" w:hAnsi="Arial"/>
                <w:sz w:val="18"/>
                <w:szCs w:val="18"/>
                <w:color w:val="auto"/>
              </w:rPr>
              <w:t>Florida</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120,495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18,799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13,209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construction</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Retail real estate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8,889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other</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Florida</w:t>
            </w: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22,748</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8"/>
                <w:szCs w:val="18"/>
                <w:color w:val="auto"/>
              </w:rPr>
            </w:pPr>
          </w:p>
        </w:tc>
      </w:tr>
      <w:tr>
        <w:trPr>
          <w:trHeight w:val="21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2,183,245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3340" w:type="dxa"/>
            <w:vAlign w:val="bottom"/>
          </w:tcPr>
          <w:p>
            <w:pPr>
              <w:spacing w:after="0"/>
              <w:rPr>
                <w:sz w:val="10"/>
                <w:szCs w:val="10"/>
                <w:color w:val="auto"/>
              </w:rPr>
            </w:pPr>
          </w:p>
        </w:tc>
        <w:tc>
          <w:tcPr>
            <w:tcW w:w="126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7"/>
              </w:rPr>
              <w:t>Weighted Avg.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Grade</w:t>
            </w:r>
          </w:p>
        </w:tc>
        <w:tc>
          <w:tcPr>
            <w:tcW w:w="24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9" w:lineRule="exact"/>
              <w:rPr>
                <w:sz w:val="20"/>
                <w:szCs w:val="20"/>
                <w:color w:val="auto"/>
              </w:rPr>
            </w:pPr>
            <w:r>
              <w:rPr>
                <w:rFonts w:ascii="Arial" w:cs="Arial" w:eastAsia="Arial" w:hAnsi="Arial"/>
                <w:sz w:val="13"/>
                <w:szCs w:val="13"/>
                <w:b w:val="1"/>
                <w:bCs w:val="1"/>
                <w:color w:val="auto"/>
              </w:rPr>
              <w:t>Grade</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Risk Grade</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1, 3, 6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10</w:t>
            </w: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4.80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542,796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27,032</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8,549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819,708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453,560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0"/>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Illinois/Indiana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1,896,770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3340" w:type="dxa"/>
            <w:vAlign w:val="bottom"/>
          </w:tcPr>
          <w:p>
            <w:pPr>
              <w:spacing w:after="0" w:line="196" w:lineRule="exact"/>
              <w:rPr>
                <w:sz w:val="20"/>
                <w:szCs w:val="20"/>
                <w:color w:val="auto"/>
              </w:rPr>
            </w:pPr>
            <w:r>
              <w:rPr>
                <w:rFonts w:ascii="Arial" w:cs="Arial" w:eastAsia="Arial" w:hAnsi="Arial"/>
                <w:sz w:val="18"/>
                <w:szCs w:val="18"/>
                <w:color w:val="auto"/>
              </w:rPr>
              <w:t>Florida</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123,807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construction</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Retail real estate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82,185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9,601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other</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Florida</w:t>
            </w: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16,296</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20"/>
          </w:cols>
          <w:pgMar w:left="240" w:top="341" w:right="239" w:bottom="0" w:gutter="0" w:footer="0" w:header="0"/>
        </w:sectPr>
      </w:pPr>
    </w:p>
    <w:bookmarkStart w:id="12" w:name="page13"/>
    <w:bookmarkEnd w:id="12"/>
    <w:p>
      <w:pPr>
        <w:spacing w:after="0" w:line="123" w:lineRule="exact"/>
        <w:rPr>
          <w:sz w:val="20"/>
          <w:szCs w:val="20"/>
          <w:color w:val="auto"/>
        </w:rPr>
      </w:pPr>
    </w:p>
    <w:p>
      <w:pPr>
        <w:spacing w:after="0"/>
        <w:tabs>
          <w:tab w:leader="none" w:pos="4680" w:val="left"/>
          <w:tab w:leader="none" w:pos="5120" w:val="left"/>
          <w:tab w:leader="none" w:pos="6080" w:val="left"/>
          <w:tab w:leader="none" w:pos="6660" w:val="left"/>
          <w:tab w:leader="none" w:pos="7460" w:val="left"/>
          <w:tab w:leader="none" w:pos="8100" w:val="left"/>
          <w:tab w:leader="none" w:pos="8800" w:val="left"/>
          <w:tab w:leader="none" w:pos="9440" w:val="left"/>
          <w:tab w:leader="none" w:pos="10160" w:val="left"/>
          <w:tab w:leader="none" w:pos="108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2,133,254</w:t>
        <w:tab/>
        <w:t>$</w:t>
      </w:r>
      <w:r>
        <w:rPr>
          <w:sz w:val="20"/>
          <w:szCs w:val="20"/>
          <w:color w:val="auto"/>
        </w:rPr>
        <w:tab/>
      </w:r>
      <w:r>
        <w:rPr>
          <w:rFonts w:ascii="Arial" w:cs="Arial" w:eastAsia="Arial" w:hAnsi="Arial"/>
          <w:sz w:val="18"/>
          <w:szCs w:val="18"/>
          <w:color w:val="auto"/>
        </w:rPr>
        <w:t>145,154</w:t>
        <w:tab/>
        <w:t>$</w:t>
      </w:r>
      <w:r>
        <w:rPr>
          <w:sz w:val="20"/>
          <w:szCs w:val="20"/>
          <w:color w:val="auto"/>
        </w:rPr>
        <w:tab/>
      </w:r>
      <w:r>
        <w:rPr>
          <w:rFonts w:ascii="Arial" w:cs="Arial" w:eastAsia="Arial" w:hAnsi="Arial"/>
          <w:sz w:val="18"/>
          <w:szCs w:val="18"/>
          <w:color w:val="auto"/>
        </w:rPr>
        <w:t>66,605</w:t>
        <w:tab/>
        <w:t>$</w:t>
      </w:r>
      <w:r>
        <w:rPr>
          <w:sz w:val="20"/>
          <w:szCs w:val="20"/>
          <w:color w:val="auto"/>
        </w:rPr>
        <w:tab/>
      </w:r>
      <w:r>
        <w:rPr>
          <w:rFonts w:ascii="Arial" w:cs="Arial" w:eastAsia="Arial" w:hAnsi="Arial"/>
          <w:sz w:val="18"/>
          <w:szCs w:val="18"/>
          <w:color w:val="auto"/>
        </w:rPr>
        <w:t>48,438</w:t>
        <w:tab/>
        <w:t>$</w:t>
      </w:r>
      <w:r>
        <w:rPr>
          <w:sz w:val="20"/>
          <w:szCs w:val="20"/>
          <w:color w:val="auto"/>
        </w:rPr>
        <w:tab/>
      </w:r>
      <w:r>
        <w:rPr>
          <w:rFonts w:ascii="Arial" w:cs="Arial" w:eastAsia="Arial" w:hAnsi="Arial"/>
          <w:sz w:val="16"/>
          <w:szCs w:val="16"/>
          <w:color w:val="auto"/>
        </w:rPr>
        <w:t>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are returned to accrual status when all the principal and interest amounts contractually due are brought current and future payments are reasonably assured.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 age analysis of past due loans still accruing and non-accrual loans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3"/>
              </w:rPr>
              <w:t>Non-</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30-59 Days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60-89 Days</w:t>
            </w: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accrual Loans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04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64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64</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3"/>
              </w:rPr>
              <w:t>Non-</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30-59 Days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60-89 Days</w:t>
            </w: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accrual Loans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10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40" w:type="dxa"/>
            <w:vAlign w:val="bottom"/>
            <w:gridSpan w:val="2"/>
          </w:tcPr>
          <w:p>
            <w:pPr>
              <w:jc w:val="right"/>
              <w:ind w:right="25"/>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loan is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The following loans are assessed for impairment by the Company: loans 60 days or more past due and over $0.25 million, loans graded 8 over $0.35 million and loans graded 9 or 10.</w:t>
      </w:r>
    </w:p>
    <w:p>
      <w:pPr>
        <w:spacing w:after="0" w:line="16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Impairment is measured on a loan-by-loan basis for commercial and construction loans by either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disclosures unless such loans are the subject of a restructuring agreement.</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gross interest income that would have been recorded in the three and six months ended June 30, 2015 if impaired loans had been current in accordance with their original terms was $0.1 million and $0.2 million, respectively. The amount of interest collected on those loans and recognized on a cash basis that</w:t>
      </w:r>
    </w:p>
    <w:p>
      <w:pPr>
        <w:sectPr>
          <w:pgSz w:w="11900" w:h="16962" w:orient="portrait"/>
          <w:cols w:equalWidth="0" w:num="1">
            <w:col w:w="11460"/>
          </w:cols>
          <w:pgMar w:left="240" w:top="125" w:right="199" w:bottom="0" w:gutter="0" w:footer="0" w:header="0"/>
        </w:sectPr>
      </w:pPr>
    </w:p>
    <w:bookmarkStart w:id="13" w:name="page14"/>
    <w:bookmarkEnd w:id="13"/>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was included in interest income was insignificant for the three and six months ended June 30, 2015.</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Company’s loan portfolio includes certain loans that have been modified in a troubled debt restructuring (“TDR”), where concessions have been granted to borrowers who have experienced financial difficulties. The Company will restructure loans for its customers who appear to be able to meet the terms of their loan over the long term, but who may be unable to meet the terms of the loan in the near term due to individual circumstances.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has gone 90+ days past due or is placed on non-accrual status, it is included in the non-performing loan totals. A summary of restructured loans as of June 30, 2015 and December 31, 2014 is as follows:</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3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5"/>
          </w:tcPr>
          <w:p>
            <w:pPr>
              <w:jc w:val="right"/>
              <w:ind w:right="7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9,323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11,866</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0"/>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Performing loans classified as TDRs during the three months ended June 30, 2015 included one retail real estate modification in Illinois/Indiana for short-term interest rate relief, with a recorded investment of $0.1 million. Performing loans classified as TDRs during the six months ended June 30, 2015 included one retail real estate modification in Illinois/Indiana for short-term interest rate relief, with a recorded investment of $0.1 million, two retail real estate modifications in Illinois/Indiana for short-term principal payment relief, with a recorded investment of $0.1 million and two retail real estate modifications in Florida for short-term principal payment relief, with a recorded investment of $0.3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Performing loans classified as TDRs during the three and six months ended June 30, 2014 were insignificant.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2015 and 2014 if performing TDRs had been in accordance with their original terms instead of modified terms was insignificant.</w:t>
      </w:r>
    </w:p>
    <w:p>
      <w:pPr>
        <w:spacing w:after="0" w:line="1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TDRs that were entered into during the last twelve months that subsequently were classified as non-performing and had payment defaults (a default occurs when a loan is 90 days or more past due or transferred to non-accrual) during the three months ended June 30, 2015 consisted of one Illinois/Indiana commercial real estate modification totaling $1.0 million. TDRs that were entered into during the last twelve months that subsequently were classified as non-performing and had payment defaults during the six months ended June 30, 2015 consisted of one Illinois/Indiana commercial real estate modification totaling $1.0 million and one Florida commercial modification totaling $1.0 million.</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TDRs that were entered into during the last twelve months that subsequently were classified as non-performing and had payment defaults during the three and six months ended June 30, 2014.</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and geography.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2"/>
              </w:rPr>
              <w:t>June 30, 2015</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4"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64" w:orient="portrait"/>
          <w:cols w:equalWidth="0" w:num="1">
            <w:col w:w="11420"/>
          </w:cols>
          <w:pgMar w:left="240" w:top="125" w:right="2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60"/>
        <w:spacing w:after="0" w:line="342" w:lineRule="auto"/>
        <w:rPr>
          <w:sz w:val="20"/>
          <w:szCs w:val="20"/>
          <w:color w:val="auto"/>
        </w:rPr>
      </w:pPr>
      <w:r>
        <w:rPr>
          <w:rFonts w:ascii="Arial" w:cs="Arial" w:eastAsia="Arial" w:hAnsi="Arial"/>
          <w:sz w:val="16"/>
          <w:szCs w:val="16"/>
          <w:color w:val="auto"/>
        </w:rPr>
        <w:t>Management’s opinion as to the ultimate collectability of loans is subject to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allowance for loan losses represents an estimate of the amount of losses believed inherent in the Company’s loan portfolio at the balance sheet date. The allowance for loan losses is evaluated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June 30, 2015 and December 31, 2014.</w:t>
      </w:r>
    </w:p>
    <w:p>
      <w:pPr>
        <w:spacing w:after="0" w:line="1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grade 8 and grade 9 portfolios. The grade 9 portfolio has an additional allocation placed on those loans determined by a one-year charge-off percentage for the respective loan type/geography. The minimum additional reserve on a grade 9 loan was 3.00% as of June 30, 2015 and December 31, 2014, which is an estimate of the additional loss inherent in these loan grades based upon a review of overall historical charge-offs. As of June 30, 2015, the Company believed this minimum reserve remained adequate.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Grade 8 loans have an additional allocation placed on them determined by the trend difference of the respective loan type/geography’s rolling 12- and 20-quarter historical loss trends. If the rolling 12-quarter average is higher (more current information) than the rolling 20-quarter average, the Company adds the additional amount to the allocation. The minimum additional amount for grade 8 loans was 1.00% as of June 30, 2015 and December 31, 2014, based upon a review of the differences between the rolling 12- and 20-quarter historical loss averages by region. As of June 30, 2015, the Company believed this minimum additional amount remained adequate.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specific portion of the Company’s allowance relates to loans that are impaired, which includes non-performing loans, TDRs and other loans determined to be impaired. The impaired loans are subtracted from the general loans and are allocated specific reserves as discussed above.</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general quantitative allocation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 (vi) Impact of Competition, Legal &amp; Regulatory Issues; (vii) Nature and Volume of Loan Portfolio;</w:t>
      </w:r>
    </w:p>
    <w:p>
      <w:pPr>
        <w:spacing w:after="0" w:line="2" w:lineRule="exact"/>
        <w:rPr>
          <w:sz w:val="20"/>
          <w:szCs w:val="20"/>
          <w:color w:val="auto"/>
        </w:rPr>
      </w:pPr>
    </w:p>
    <w:p>
      <w:pPr>
        <w:ind w:right="280" w:firstLine="8"/>
        <w:spacing w:after="0" w:line="255"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Concentrations of Credit; (ix) Net Charge-Off Trend; and (x) Non-Accrual, Past Due and Classified Trend. Management evaluates the degree of risk that each one of these components has on the quality of the loan portfolio on a quarterly basis. Based on each component’s risk factor, a qualitative adjustment to the reserve may be applied to the appropriate loan categories.</w:t>
      </w:r>
    </w:p>
    <w:p>
      <w:pPr>
        <w:spacing w:after="0" w:line="19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During the second quarter of 2015, the Company adjusted Illinois/Indiana qualitative factors relating to Macro and Local Economic Factor and Nature and Volume of Loan Portfolio. The adjustment of these factors increased our allowance requirements by $1.8 million at June 30, 2015 compared to the method used for March 31, 2015. Adjustments to increase these qualitative factors were made to recognize perceived changing degrees of risk, offset decreasing quantitative factors and reflect management’s evaluation of risk. The Company will continue to monitor its qualitative factors on a quarterly basis.</w:t>
      </w:r>
    </w:p>
    <w:p>
      <w:pPr>
        <w:sectPr>
          <w:pgSz w:w="11900" w:h="16838" w:orient="portrait"/>
          <w:cols w:equalWidth="0" w:num="1">
            <w:col w:w="11420"/>
          </w:cols>
          <w:pgMar w:left="240" w:top="725" w:right="239" w:bottom="0" w:gutter="0" w:footer="0" w:header="0"/>
        </w:sectPr>
      </w:pPr>
    </w:p>
    <w:bookmarkStart w:id="15" w:name="page16"/>
    <w:bookmarkEnd w:id="15"/>
    <w:p>
      <w:pPr>
        <w:ind w:right="880"/>
        <w:spacing w:after="0" w:line="277" w:lineRule="auto"/>
        <w:rPr>
          <w:sz w:val="20"/>
          <w:szCs w:val="20"/>
          <w:color w:val="auto"/>
        </w:rPr>
      </w:pPr>
      <w:r>
        <w:rPr>
          <w:rFonts w:ascii="Arial" w:cs="Arial" w:eastAsia="Arial" w:hAnsi="Arial"/>
          <w:sz w:val="18"/>
          <w:szCs w:val="18"/>
          <w:color w:val="auto"/>
        </w:rPr>
        <w:t>The following table details activity on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6"/>
          </w:tcPr>
          <w:p>
            <w:pPr>
              <w:jc w:val="right"/>
              <w:ind w:right="340"/>
              <w:spacing w:after="0"/>
              <w:rPr>
                <w:sz w:val="20"/>
                <w:szCs w:val="20"/>
                <w:color w:val="auto"/>
              </w:rPr>
            </w:pPr>
            <w:r>
              <w:rPr>
                <w:rFonts w:ascii="Arial" w:cs="Arial" w:eastAsia="Arial" w:hAnsi="Arial"/>
                <w:sz w:val="14"/>
                <w:szCs w:val="14"/>
                <w:b w:val="1"/>
                <w:bCs w:val="1"/>
                <w:color w:val="auto"/>
              </w:rPr>
              <w:t>As of and for the Three Months Ended June 30, 2015</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0"/>
                <w:szCs w:val="10"/>
                <w:color w:val="auto"/>
              </w:rPr>
            </w:pPr>
          </w:p>
        </w:tc>
        <w:tc>
          <w:tcPr>
            <w:tcW w:w="1160" w:type="dxa"/>
            <w:vAlign w:val="bottom"/>
            <w:gridSpan w:val="4"/>
          </w:tcPr>
          <w:p>
            <w:pPr>
              <w:jc w:val="right"/>
              <w:ind w:right="116"/>
              <w:spacing w:after="0" w:line="119" w:lineRule="exact"/>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0"/>
                <w:szCs w:val="10"/>
                <w:color w:val="auto"/>
              </w:rPr>
            </w:pPr>
          </w:p>
        </w:tc>
        <w:tc>
          <w:tcPr>
            <w:tcW w:w="1160" w:type="dxa"/>
            <w:vAlign w:val="bottom"/>
            <w:gridSpan w:val="4"/>
          </w:tcPr>
          <w:p>
            <w:pPr>
              <w:jc w:val="right"/>
              <w:ind w:right="145"/>
              <w:spacing w:after="0" w:line="119" w:lineRule="exact"/>
              <w:rPr>
                <w:sz w:val="20"/>
                <w:szCs w:val="20"/>
                <w:color w:val="auto"/>
              </w:rPr>
            </w:pPr>
            <w:r>
              <w:rPr>
                <w:rFonts w:ascii="Arial" w:cs="Arial" w:eastAsia="Arial" w:hAnsi="Arial"/>
                <w:sz w:val="13"/>
                <w:szCs w:val="13"/>
                <w:b w:val="1"/>
                <w:bCs w:val="1"/>
                <w:color w:val="auto"/>
              </w:rPr>
              <w:t>Real Estate</w:t>
            </w:r>
          </w:p>
        </w:tc>
        <w:tc>
          <w:tcPr>
            <w:tcW w:w="220" w:type="dxa"/>
            <w:vAlign w:val="bottom"/>
          </w:tcPr>
          <w:p>
            <w:pPr>
              <w:spacing w:after="0"/>
              <w:rPr>
                <w:sz w:val="10"/>
                <w:szCs w:val="10"/>
                <w:color w:val="auto"/>
              </w:rPr>
            </w:pPr>
          </w:p>
        </w:tc>
        <w:tc>
          <w:tcPr>
            <w:tcW w:w="1180" w:type="dxa"/>
            <w:vAlign w:val="bottom"/>
            <w:gridSpan w:val="6"/>
          </w:tcPr>
          <w:p>
            <w:pPr>
              <w:ind w:left="240"/>
              <w:spacing w:after="0" w:line="119" w:lineRule="exact"/>
              <w:rPr>
                <w:sz w:val="20"/>
                <w:szCs w:val="20"/>
                <w:color w:val="auto"/>
              </w:rPr>
            </w:pPr>
            <w:r>
              <w:rPr>
                <w:rFonts w:ascii="Arial" w:cs="Arial" w:eastAsia="Arial" w:hAnsi="Arial"/>
                <w:sz w:val="13"/>
                <w:szCs w:val="13"/>
                <w:b w:val="1"/>
                <w:bCs w:val="1"/>
                <w:color w:val="auto"/>
              </w:rPr>
              <w:t>Retail Real</w:t>
            </w:r>
          </w:p>
        </w:tc>
        <w:tc>
          <w:tcPr>
            <w:tcW w:w="180" w:type="dxa"/>
            <w:vAlign w:val="bottom"/>
          </w:tcPr>
          <w:p>
            <w:pPr>
              <w:spacing w:after="0"/>
              <w:rPr>
                <w:sz w:val="10"/>
                <w:szCs w:val="10"/>
                <w:color w:val="auto"/>
              </w:rPr>
            </w:pPr>
          </w:p>
        </w:tc>
        <w:tc>
          <w:tcPr>
            <w:tcW w:w="124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1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Estate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6"/>
          </w:tcPr>
          <w:p>
            <w:pPr>
              <w:jc w:val="right"/>
              <w:ind w:right="208"/>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8,717</w:t>
            </w:r>
          </w:p>
        </w:tc>
        <w:tc>
          <w:tcPr>
            <w:tcW w:w="4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16,325</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480" w:type="dxa"/>
            <w:vAlign w:val="bottom"/>
            <w:gridSpan w:val="2"/>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12,324</w:t>
            </w:r>
          </w:p>
        </w:tc>
        <w:tc>
          <w:tcPr>
            <w:tcW w:w="44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39,578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5"/>
              </w:rPr>
              <w:t>(372)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Charged-off</w:t>
            </w: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w w:val="95"/>
              </w:rPr>
              <w:t>(253)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9,231</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16,938</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2,054</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11,728</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40,259</w:t>
            </w:r>
          </w:p>
        </w:tc>
        <w:tc>
          <w:tcPr>
            <w:tcW w:w="80" w:type="dxa"/>
            <w:vAlign w:val="bottom"/>
            <w:tcBorders>
              <w:bottom w:val="single" w:sz="8" w:color="CCEEFF"/>
            </w:tcBorders>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Florida</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4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8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2,883</w:t>
            </w:r>
          </w:p>
        </w:tc>
        <w:tc>
          <w:tcPr>
            <w:tcW w:w="44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7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3"/>
          </w:tcPr>
          <w:p>
            <w:pPr>
              <w:jc w:val="right"/>
              <w:ind w:right="50"/>
              <w:spacing w:after="0"/>
              <w:rPr>
                <w:sz w:val="20"/>
                <w:szCs w:val="20"/>
                <w:color w:val="auto"/>
              </w:rPr>
            </w:pPr>
            <w:r>
              <w:rPr>
                <w:rFonts w:ascii="Arial" w:cs="Arial" w:eastAsia="Arial" w:hAnsi="Arial"/>
                <w:sz w:val="18"/>
                <w:szCs w:val="18"/>
                <w:color w:val="auto"/>
                <w:w w:val="95"/>
              </w:rPr>
              <w:t>(452)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gridSpan w:val="3"/>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gridSpan w:val="5"/>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5"/>
          </w:tcPr>
          <w:p>
            <w:pPr>
              <w:jc w:val="center"/>
              <w:spacing w:after="0"/>
              <w:rPr>
                <w:sz w:val="20"/>
                <w:szCs w:val="20"/>
                <w:color w:val="auto"/>
              </w:rPr>
            </w:pPr>
            <w:r>
              <w:rPr>
                <w:rFonts w:ascii="Arial" w:cs="Arial" w:eastAsia="Arial" w:hAnsi="Arial"/>
                <w:sz w:val="14"/>
                <w:szCs w:val="14"/>
                <w:b w:val="1"/>
                <w:bCs w:val="1"/>
                <w:color w:val="auto"/>
                <w:w w:val="92"/>
              </w:rPr>
              <w:t>As of and for the Six Months Ended June 30, 2015</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6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240" w:type="dxa"/>
            <w:vAlign w:val="bottom"/>
            <w:gridSpan w:val="4"/>
          </w:tcPr>
          <w:p>
            <w:pPr>
              <w:jc w:val="right"/>
              <w:ind w:right="320"/>
              <w:spacing w:after="0" w:line="119" w:lineRule="exact"/>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0"/>
                <w:szCs w:val="10"/>
                <w:color w:val="auto"/>
              </w:rPr>
            </w:pPr>
          </w:p>
        </w:tc>
        <w:tc>
          <w:tcPr>
            <w:tcW w:w="1340" w:type="dxa"/>
            <w:vAlign w:val="bottom"/>
            <w:gridSpan w:val="6"/>
          </w:tcPr>
          <w:p>
            <w:pPr>
              <w:jc w:val="center"/>
              <w:ind w:right="220"/>
              <w:spacing w:after="0" w:line="119" w:lineRule="exact"/>
              <w:rPr>
                <w:sz w:val="20"/>
                <w:szCs w:val="20"/>
                <w:color w:val="auto"/>
              </w:rPr>
            </w:pPr>
            <w:r>
              <w:rPr>
                <w:rFonts w:ascii="Arial" w:cs="Arial" w:eastAsia="Arial" w:hAnsi="Arial"/>
                <w:sz w:val="13"/>
                <w:szCs w:val="13"/>
                <w:b w:val="1"/>
                <w:bCs w:val="1"/>
                <w:color w:val="auto"/>
              </w:rPr>
              <w:t>Retail Real</w:t>
            </w:r>
          </w:p>
        </w:tc>
        <w:tc>
          <w:tcPr>
            <w:tcW w:w="160" w:type="dxa"/>
            <w:vAlign w:val="bottom"/>
          </w:tcPr>
          <w:p>
            <w:pPr>
              <w:spacing w:after="0"/>
              <w:rPr>
                <w:sz w:val="10"/>
                <w:szCs w:val="10"/>
                <w:color w:val="auto"/>
              </w:rPr>
            </w:pPr>
          </w:p>
        </w:tc>
        <w:tc>
          <w:tcPr>
            <w:tcW w:w="110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8"/>
              </w:rPr>
              <w:t>Retail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Construction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8"/>
          </w:tcPr>
          <w:p>
            <w:pPr>
              <w:jc w:val="center"/>
              <w:ind w:left="265"/>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18"/>
                <w:szCs w:val="18"/>
                <w:color w:val="auto"/>
              </w:rPr>
            </w:pPr>
          </w:p>
        </w:tc>
        <w:tc>
          <w:tcPr>
            <w:tcW w:w="10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8,869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16,434</w:t>
            </w:r>
          </w:p>
        </w:tc>
        <w:tc>
          <w:tcPr>
            <w:tcW w:w="76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2,590</w:t>
            </w: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rPr>
              <w:t>10,745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38,942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1,276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9,231</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16,938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11,728</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40,259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1,172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2,917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2,550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5"/>
          </w:tcPr>
          <w:p>
            <w:pPr>
              <w:jc w:val="center"/>
              <w:spacing w:after="0"/>
              <w:rPr>
                <w:sz w:val="20"/>
                <w:szCs w:val="20"/>
                <w:color w:val="auto"/>
              </w:rPr>
            </w:pPr>
            <w:r>
              <w:rPr>
                <w:rFonts w:ascii="Arial" w:cs="Arial" w:eastAsia="Arial" w:hAnsi="Arial"/>
                <w:sz w:val="14"/>
                <w:szCs w:val="14"/>
                <w:b w:val="1"/>
                <w:bCs w:val="1"/>
                <w:color w:val="auto"/>
                <w:w w:val="92"/>
              </w:rPr>
              <w:t>As of and for the Three Months Ended June 30, 2014</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6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240" w:type="dxa"/>
            <w:vAlign w:val="bottom"/>
            <w:gridSpan w:val="4"/>
          </w:tcPr>
          <w:p>
            <w:pPr>
              <w:jc w:val="right"/>
              <w:ind w:right="320"/>
              <w:spacing w:after="0" w:line="119" w:lineRule="exact"/>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0"/>
                <w:szCs w:val="10"/>
                <w:color w:val="auto"/>
              </w:rPr>
            </w:pPr>
          </w:p>
        </w:tc>
        <w:tc>
          <w:tcPr>
            <w:tcW w:w="1340" w:type="dxa"/>
            <w:vAlign w:val="bottom"/>
            <w:gridSpan w:val="6"/>
          </w:tcPr>
          <w:p>
            <w:pPr>
              <w:jc w:val="center"/>
              <w:ind w:right="220"/>
              <w:spacing w:after="0" w:line="119" w:lineRule="exact"/>
              <w:rPr>
                <w:sz w:val="20"/>
                <w:szCs w:val="20"/>
                <w:color w:val="auto"/>
              </w:rPr>
            </w:pPr>
            <w:r>
              <w:rPr>
                <w:rFonts w:ascii="Arial" w:cs="Arial" w:eastAsia="Arial" w:hAnsi="Arial"/>
                <w:sz w:val="13"/>
                <w:szCs w:val="13"/>
                <w:b w:val="1"/>
                <w:bCs w:val="1"/>
                <w:color w:val="auto"/>
              </w:rPr>
              <w:t>Retail Real</w:t>
            </w:r>
          </w:p>
        </w:tc>
        <w:tc>
          <w:tcPr>
            <w:tcW w:w="160" w:type="dxa"/>
            <w:vAlign w:val="bottom"/>
          </w:tcPr>
          <w:p>
            <w:pPr>
              <w:spacing w:after="0"/>
              <w:rPr>
                <w:sz w:val="10"/>
                <w:szCs w:val="10"/>
                <w:color w:val="auto"/>
              </w:rPr>
            </w:pPr>
          </w:p>
        </w:tc>
        <w:tc>
          <w:tcPr>
            <w:tcW w:w="110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8"/>
              </w:rPr>
              <w:t>Retail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Construction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8"/>
          </w:tcPr>
          <w:p>
            <w:pPr>
              <w:jc w:val="center"/>
              <w:ind w:left="265"/>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18"/>
                <w:szCs w:val="18"/>
                <w:color w:val="auto"/>
              </w:rPr>
            </w:pPr>
          </w:p>
        </w:tc>
        <w:tc>
          <w:tcPr>
            <w:tcW w:w="10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7,917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15,498</w:t>
            </w:r>
          </w:p>
        </w:tc>
        <w:tc>
          <w:tcPr>
            <w:tcW w:w="76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2,461</w:t>
            </w: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9,192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213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35,281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1,981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7,695</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15,426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10,802</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36,937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2,291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3,888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(524)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(1,036)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1,782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3,554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5"/>
          </w:tcPr>
          <w:p>
            <w:pPr>
              <w:jc w:val="center"/>
              <w:spacing w:after="0"/>
              <w:rPr>
                <w:sz w:val="20"/>
                <w:szCs w:val="20"/>
                <w:color w:val="auto"/>
              </w:rPr>
            </w:pPr>
            <w:r>
              <w:rPr>
                <w:rFonts w:ascii="Arial" w:cs="Arial" w:eastAsia="Arial" w:hAnsi="Arial"/>
                <w:sz w:val="14"/>
                <w:szCs w:val="14"/>
                <w:b w:val="1"/>
                <w:bCs w:val="1"/>
                <w:color w:val="auto"/>
                <w:w w:val="92"/>
              </w:rPr>
              <w:t>As of and for the Six Months Ended June 30, 2014</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6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240" w:type="dxa"/>
            <w:vAlign w:val="bottom"/>
            <w:gridSpan w:val="4"/>
          </w:tcPr>
          <w:p>
            <w:pPr>
              <w:jc w:val="right"/>
              <w:ind w:right="320"/>
              <w:spacing w:after="0" w:line="119" w:lineRule="exact"/>
              <w:rPr>
                <w:sz w:val="20"/>
                <w:szCs w:val="20"/>
                <w:color w:val="auto"/>
              </w:rPr>
            </w:pPr>
            <w:r>
              <w:rPr>
                <w:rFonts w:ascii="Arial" w:cs="Arial" w:eastAsia="Arial" w:hAnsi="Arial"/>
                <w:sz w:val="13"/>
                <w:szCs w:val="13"/>
                <w:b w:val="1"/>
                <w:bCs w:val="1"/>
                <w:color w:val="auto"/>
              </w:rPr>
              <w:t>Real Estate</w:t>
            </w:r>
          </w:p>
        </w:tc>
        <w:tc>
          <w:tcPr>
            <w:tcW w:w="120" w:type="dxa"/>
            <w:vAlign w:val="bottom"/>
          </w:tcPr>
          <w:p>
            <w:pPr>
              <w:spacing w:after="0"/>
              <w:rPr>
                <w:sz w:val="10"/>
                <w:szCs w:val="10"/>
                <w:color w:val="auto"/>
              </w:rPr>
            </w:pPr>
          </w:p>
        </w:tc>
        <w:tc>
          <w:tcPr>
            <w:tcW w:w="1340" w:type="dxa"/>
            <w:vAlign w:val="bottom"/>
            <w:gridSpan w:val="6"/>
          </w:tcPr>
          <w:p>
            <w:pPr>
              <w:jc w:val="center"/>
              <w:ind w:right="220"/>
              <w:spacing w:after="0" w:line="119" w:lineRule="exact"/>
              <w:rPr>
                <w:sz w:val="20"/>
                <w:szCs w:val="20"/>
                <w:color w:val="auto"/>
              </w:rPr>
            </w:pPr>
            <w:r>
              <w:rPr>
                <w:rFonts w:ascii="Arial" w:cs="Arial" w:eastAsia="Arial" w:hAnsi="Arial"/>
                <w:sz w:val="13"/>
                <w:szCs w:val="13"/>
                <w:b w:val="1"/>
                <w:bCs w:val="1"/>
                <w:color w:val="auto"/>
              </w:rPr>
              <w:t>Retail Real</w:t>
            </w:r>
          </w:p>
        </w:tc>
        <w:tc>
          <w:tcPr>
            <w:tcW w:w="160" w:type="dxa"/>
            <w:vAlign w:val="bottom"/>
          </w:tcPr>
          <w:p>
            <w:pPr>
              <w:spacing w:after="0"/>
              <w:rPr>
                <w:sz w:val="10"/>
                <w:szCs w:val="10"/>
                <w:color w:val="auto"/>
              </w:rPr>
            </w:pPr>
          </w:p>
        </w:tc>
        <w:tc>
          <w:tcPr>
            <w:tcW w:w="110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8"/>
              </w:rPr>
              <w:t>Retail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Construction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Estate</w:t>
            </w:r>
          </w:p>
        </w:tc>
        <w:tc>
          <w:tcPr>
            <w:tcW w:w="1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8"/>
          </w:tcPr>
          <w:p>
            <w:pPr>
              <w:jc w:val="center"/>
              <w:ind w:left="265"/>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18"/>
                <w:szCs w:val="18"/>
                <w:color w:val="auto"/>
              </w:rPr>
            </w:pPr>
          </w:p>
        </w:tc>
        <w:tc>
          <w:tcPr>
            <w:tcW w:w="10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8,452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16,379</w:t>
            </w:r>
          </w:p>
        </w:tc>
        <w:tc>
          <w:tcPr>
            <w:tcW w:w="76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2,540</w:t>
            </w: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6,862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216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34,449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5,526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(1,173)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(1,691)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7,695</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15,426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10,802</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36,937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1,926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4,287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(1,028)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(1,988)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1,782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3,554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-7402195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-7402195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loans by category and geography: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2"/>
              </w:rPr>
              <w:t>As of June 30, 2015</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Retail Real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Estate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9"/>
          </w:tcPr>
          <w:p>
            <w:pPr>
              <w:jc w:val="center"/>
              <w:ind w:right="40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Amount allocated 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11,703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38,416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1,164</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3,058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268</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7,974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582,040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83,576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518,650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15,736</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2,180,520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PCI loans evaluated for impairment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522,134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2,189,820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Amount allocated 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2,550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7,110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8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525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8,222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15,039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13,622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96,087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285,901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13,487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104,309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gridSpan w:val="3"/>
          </w:tcPr>
          <w:p>
            <w:pPr>
              <w:spacing w:after="0"/>
              <w:rPr>
                <w:sz w:val="11"/>
                <w:szCs w:val="11"/>
                <w:color w:val="auto"/>
              </w:rPr>
            </w:pPr>
          </w:p>
        </w:tc>
        <w:tc>
          <w:tcPr>
            <w:tcW w:w="1140" w:type="dxa"/>
            <w:vAlign w:val="bottom"/>
            <w:tcBorders>
              <w:bottom w:val="single" w:sz="8" w:color="808080"/>
            </w:tcBorders>
            <w:gridSpan w:val="3"/>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As of December 31, 2014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8"/>
              </w:rPr>
              <w:t>Retail Other</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Estate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9"/>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Amount allocated 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8,274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2,117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2,428</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8,593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582,904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89,058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473,611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2,084,169</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585,021</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932,908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476,039</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2,092,762</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Florida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allocated to:</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1,172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7,984</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Ending Balance</w:t>
            </w: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1,172</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8,511</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10,105</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-4451985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-4451985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7" w:name="page18"/>
    <w:bookmarkEnd w:id="17"/>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Loans collectively evaluated for</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15,097</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165,555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17,399</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95,929</w:t>
            </w:r>
          </w:p>
        </w:tc>
        <w:tc>
          <w:tcPr>
            <w:tcW w:w="48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555</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294,535</w:t>
            </w:r>
          </w:p>
        </w:tc>
        <w:tc>
          <w:tcPr>
            <w:tcW w:w="100" w:type="dxa"/>
            <w:vAlign w:val="bottom"/>
          </w:tcPr>
          <w:p>
            <w:pPr>
              <w:spacing w:after="0"/>
              <w:rPr>
                <w:sz w:val="18"/>
                <w:szCs w:val="18"/>
                <w:color w:val="auto"/>
              </w:rPr>
            </w:pPr>
          </w:p>
        </w:tc>
      </w:tr>
      <w:tr>
        <w:trPr>
          <w:trHeight w:val="230"/>
        </w:trPr>
        <w:tc>
          <w:tcPr>
            <w:tcW w:w="3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impairment</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171,243</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106,034</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562</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 At June 30, 2015, the Company held $0.1 million in commercial OREO, $0.2 million in residential OREO and an insignificant amount of other repossessed assets. At December 31, 2014, the Company held $0.2 million of other repossessed assets. At June 30, 2015 the Company had $1.3 million of residential real estate in the process of foreclosure. The following table summarizes activity related to OREO: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Six Months Ended</w:t>
            </w:r>
          </w:p>
        </w:tc>
        <w:tc>
          <w:tcPr>
            <w:tcW w:w="18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2014</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4"/>
          </w:tcPr>
          <w:p>
            <w:pPr>
              <w:jc w:val="right"/>
              <w:ind w:right="10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w w:val="99"/>
              </w:rPr>
              <w:t>Additions, fair value from Herget Financial acquisition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OREO</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Gain on sales of OREO</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OREO</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vMerge w:val="restart"/>
          </w:tcPr>
          <w:p>
            <w:pPr>
              <w:jc w:val="right"/>
              <w:ind w:right="57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Securities Sold Under Agreements to Repurchase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the fair value of the underlying securities. The following table sets forth the distribution of securities sold under agreements to repurchase and weighted average interest rates: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557"/>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w:t>
            </w:r>
          </w:p>
        </w:tc>
      </w:tr>
      <w:tr>
        <w:trPr>
          <w:trHeight w:val="17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31, 2014</w:t>
            </w:r>
          </w:p>
        </w:tc>
        <w:tc>
          <w:tcPr>
            <w:tcW w:w="16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3"/>
          </w:tcPr>
          <w:p>
            <w:pPr>
              <w:jc w:val="right"/>
              <w:ind w:right="75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174,352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191,531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179,759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148,452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 (1)</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(1)The weighted average interest rate is computed by dividing total annualized interest for the year-to-date period by the average daily balance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have been computed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3"/>
                <w:szCs w:val="13"/>
                <w:color w:val="auto"/>
              </w:rPr>
            </w:pPr>
          </w:p>
        </w:tc>
        <w:tc>
          <w:tcPr>
            <w:tcW w:w="220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6"/>
          </w:tcPr>
          <w:p>
            <w:pPr>
              <w:spacing w:after="0"/>
              <w:rPr>
                <w:sz w:val="20"/>
                <w:szCs w:val="20"/>
                <w:color w:val="auto"/>
              </w:rPr>
            </w:pPr>
            <w:r>
              <w:rPr>
                <w:rFonts w:ascii="Arial" w:cs="Arial" w:eastAsia="Arial" w:hAnsi="Arial"/>
                <w:sz w:val="14"/>
                <w:szCs w:val="14"/>
                <w:b w:val="1"/>
                <w:bCs w:val="1"/>
                <w:color w:val="auto"/>
                <w:w w:val="98"/>
              </w:rPr>
              <w:t>(in thousands, except per share data)</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17,334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87,006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86,895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outstanding options, warrants and restricted stock units as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determined by the application of the treasury stock method</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common shares outstanding, as adjusted for diluted earnings per</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87,563</w:t>
            </w:r>
          </w:p>
        </w:tc>
        <w:tc>
          <w:tcPr>
            <w:tcW w:w="2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87,263</w:t>
            </w: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87,528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87,245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calculation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w:t>
      </w:r>
    </w:p>
    <w:p>
      <w:pPr>
        <w:sectPr>
          <w:pgSz w:w="11900" w:h="16975" w:orient="portrait"/>
          <w:cols w:equalWidth="0" w:num="1">
            <w:col w:w="11460"/>
          </w:cols>
          <w:pgMar w:left="240" w:top="125" w:right="199" w:bottom="0" w:gutter="0" w:footer="0" w:header="0"/>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t>price exceeds the average market price over the period have an anti-dilutive effect and are excluded from the calculation. At June 30, 2015, 259,756 outstanding options, 573,833 warrants, and 380,531 restricted stock units were anti-dilutive and excluded from the calculation of common stock equivalents. At June 30, 2014, 476,230 outstanding options, 573,833 warrants, and 353,976 restricted stock units were anti-dilutive and excluded from the calculation of common stock equivalents.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shareholder’s meeting,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June 30, 2015, the Company held 1,381,951 shares in treasury. On February 3, 2015, First Busey announced that its board of directors approved a repurchase plan under which the Company is authorized to repurchase, from time to time as the Company deems appropriate, up to an aggregate of two million shares of its common stock. The repurchase plan has no expiration date and replaced the prior repurchase plan that was originally approved in 2008.</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 description of the 2010 Equity Incentive Plan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six months ended June 30, 2015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jc w:val="center"/>
              <w:ind w:lef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960" w:type="dxa"/>
            <w:vAlign w:val="bottom"/>
          </w:tcPr>
          <w:p>
            <w:pPr>
              <w:jc w:val="center"/>
              <w:ind w:left="320"/>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510,130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16.33</w:t>
            </w:r>
          </w:p>
        </w:tc>
        <w:tc>
          <w:tcPr>
            <w:tcW w:w="2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1,550</w:t>
            </w: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19.41</w:t>
            </w: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143,824</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19.09</w:t>
            </w:r>
          </w:p>
        </w:tc>
        <w:tc>
          <w:tcPr>
            <w:tcW w:w="2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364,756</w:t>
            </w:r>
          </w:p>
        </w:tc>
        <w:tc>
          <w:tcPr>
            <w:tcW w:w="280" w:type="dxa"/>
            <w:vAlign w:val="bottom"/>
          </w:tcPr>
          <w:p>
            <w:pPr>
              <w:spacing w:after="0"/>
              <w:rPr>
                <w:sz w:val="21"/>
                <w:szCs w:val="21"/>
                <w:color w:val="auto"/>
              </w:rPr>
            </w:pPr>
          </w:p>
        </w:tc>
        <w:tc>
          <w:tcPr>
            <w:tcW w:w="960" w:type="dxa"/>
            <w:vAlign w:val="bottom"/>
            <w:tcBorders>
              <w:top w:val="single" w:sz="8" w:color="auto"/>
            </w:tcBorders>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15.23</w:t>
            </w:r>
          </w:p>
        </w:tc>
        <w:tc>
          <w:tcPr>
            <w:tcW w:w="280" w:type="dxa"/>
            <w:vAlign w:val="bottom"/>
          </w:tcPr>
          <w:p>
            <w:pPr>
              <w:spacing w:after="0"/>
              <w:rPr>
                <w:sz w:val="21"/>
                <w:szCs w:val="21"/>
                <w:color w:val="auto"/>
              </w:rPr>
            </w:pP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7"/>
        </w:trPr>
        <w:tc>
          <w:tcPr>
            <w:tcW w:w="372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end of period</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364,756</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15.23</w:t>
            </w:r>
          </w:p>
        </w:tc>
        <w:tc>
          <w:tcPr>
            <w:tcW w:w="28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record any stock option compensation expense for the three and six months ended June 30, 2015 or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six months ended June 30, 2015,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Deferred</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1,183,870</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55,745</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326,836</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53,695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380,531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19,005</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(16,268)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(38,695)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(54,963)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(39,158)</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1,474,285</w:t>
            </w:r>
          </w:p>
        </w:tc>
        <w:tc>
          <w:tcPr>
            <w:tcW w:w="28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73,114</w:t>
            </w:r>
          </w:p>
        </w:tc>
        <w:tc>
          <w:tcPr>
            <w:tcW w:w="28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1,547,399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1,474,285</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202,121</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1,676,406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25, 2015, under the terms of the 2010 Equity Incentive Plan, the Company granted 326,836 RSUs to members of management. As the stock price on the grant date of June 25, 2015 was $6.69, total compensation cost to be recognized is $2.2 million. This cost will be recognized over a period of five years. Subsequent to the requisite service period, the awards will vest 100%.</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on June 25, 2015, under the terms of the 2010 Equity Incentive Plan, the Company granted 38,000 DSUs to directors. As the stock price on the grant date of June 25, 2015 was $6.69, total compensation cost to be recognized is $0.3 million. This cost will be recognized over the requisite service period of one year from the date of grant or the next annual shareholders’ meeting; whichever is earlier. The Company also granted 15,695 DSUs to the Chairman of</w:t>
      </w:r>
    </w:p>
    <w:p>
      <w:pPr>
        <w:sectPr>
          <w:pgSz w:w="11900" w:h="16838" w:orient="portrait"/>
          <w:cols w:equalWidth="0" w:num="1">
            <w:col w:w="11400"/>
          </w:cols>
          <w:pgMar w:left="240" w:top="125" w:right="259" w:bottom="0" w:gutter="0" w:footer="0" w:header="0"/>
        </w:sectPr>
      </w:pPr>
    </w:p>
    <w:bookmarkStart w:id="19" w:name="page20"/>
    <w:bookmarkEnd w:id="19"/>
    <w:p>
      <w:pPr>
        <w:ind w:right="600"/>
        <w:spacing w:after="0" w:line="277" w:lineRule="auto"/>
        <w:rPr>
          <w:sz w:val="20"/>
          <w:szCs w:val="20"/>
          <w:color w:val="auto"/>
        </w:rPr>
      </w:pPr>
      <w:r>
        <w:rPr>
          <w:rFonts w:ascii="Arial" w:cs="Arial" w:eastAsia="Arial" w:hAnsi="Arial"/>
          <w:sz w:val="18"/>
          <w:szCs w:val="18"/>
          <w:color w:val="auto"/>
        </w:rPr>
        <w:t>the board. As the stock price on the grant date of June 25, 2015 was $6.69, total compensation cost to be recognized is $0.1 million. This cost will be recognized over a period of five years. Subsequent to the requisite service period, the awards will vest 100%.</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recognized $0.3 million of compensation expense related to non-vested stock units for the three months ended June 30, 2015 and 2014. The Company recognized $0.6 million and $0.5 million of compensation expense related to non-vested stock units for the six months ended June 30, 2015 and 2014, respectively. As of June 30, 2015, there was $5.3 million of total unrecognized compensation cost related to these non-vested stock units. This cost is expected to be recognized over a period of 3.9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June 30, 2015, the Company was under examination by the Illinois Department of Revenue for the Company’s 2011 and 2012 Illinois income tax filings. This examination is expected to be finalized in the third quarter of 2015 and result in an insignificant additional payment. The Company was notified by the Florida Department of Revenue that an examination of the 2011, 2012 and 2013 Florida income tax filings will begin in the third quarter of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ind w:right="499"/>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6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3"/>
          </w:tcPr>
          <w:p>
            <w:pPr>
              <w:jc w:val="right"/>
              <w:ind w:right="11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9"/>
              <w:spacing w:after="0"/>
              <w:rPr>
                <w:sz w:val="20"/>
                <w:szCs w:val="20"/>
                <w:color w:val="auto"/>
              </w:rPr>
            </w:pPr>
            <w:r>
              <w:rPr>
                <w:rFonts w:ascii="Arial" w:cs="Arial" w:eastAsia="Arial" w:hAnsi="Arial"/>
                <w:sz w:val="18"/>
                <w:szCs w:val="18"/>
                <w:color w:val="auto"/>
              </w:rPr>
              <w:t>600,180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561,439</w:t>
            </w:r>
          </w:p>
        </w:tc>
      </w:tr>
      <w:tr>
        <w:trPr>
          <w:trHeight w:val="216"/>
        </w:trPr>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22,500</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20,466</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June 30, 2015 and December 31, 2014, no amounts were recorded as liabilities for the Company’s potential obligations under these guarantees.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ability of the Company to pay cash dividends to its stockholders and to service its debt historically was dependent on the receipt of cash dividends from its subsidiaries. However, Busey Bank sustained significant losses during 2008 and 2009 resulting in pressure on its capital, which was relieved through injections of capital from the Company. State chartered banks have certain statutory and regulatory restrictions on the amount of cash dividends they may pay. Due to the significant losses in the past and the Company’s desire to maintain a strong capital position at Busey Bank, no dividends have been paid from Busey Bank since 2009. Until such time as retained earnings have been restored, Busey Bank will not be permitted to pay dividends, and we will need to request permission from Busey Bank’s primary regulator to distribute any capital out of Busey Bank. On January 22, 2013, with the approval of its primary regulator, Busey Bank transferred $50.0 million to the Company, representing a return of capital and associated surplus as a result of an amendment to Busey Bank’s charter. Further, on October 22, 2014, with the approval of its primary regulator, Busey Bank transferred $60.0 million to the Company, representing a return of capital and associated surplus as a result of a further amendment to Busey Bank’s charter.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Company and Busey Bank are subject to regulatory capital requirements administered by federal and state banking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amounts and ratios (set forth in the table below) of</w:t>
      </w:r>
    </w:p>
    <w:p>
      <w:pPr>
        <w:sectPr>
          <w:pgSz w:w="11900" w:h="16838" w:orient="portrait"/>
          <w:cols w:equalWidth="0" w:num="1">
            <w:col w:w="11420"/>
          </w:cols>
          <w:pgMar w:left="240" w:top="125" w:right="239" w:bottom="0" w:gutter="0" w:footer="0" w:header="0"/>
        </w:sectPr>
      </w:pPr>
    </w:p>
    <w:bookmarkStart w:id="20" w:name="page21"/>
    <w:bookmarkEnd w:id="20"/>
    <w:p>
      <w:pPr>
        <w:spacing w:after="0" w:line="297" w:lineRule="auto"/>
        <w:rPr>
          <w:sz w:val="20"/>
          <w:szCs w:val="20"/>
          <w:color w:val="auto"/>
        </w:rPr>
      </w:pPr>
      <w:r>
        <w:rPr>
          <w:rFonts w:ascii="Arial" w:cs="Arial" w:eastAsia="Arial" w:hAnsi="Arial"/>
          <w:sz w:val="16"/>
          <w:szCs w:val="16"/>
          <w:color w:val="auto"/>
        </w:rPr>
        <w:t>total, Tier 1 capital and Common Equity Tier 1 capital (as defined in the regulations) to risk-weighted assets (as defined in the regulations), and, for the Bank, Tier 1 capital (as defined in the regulations) to average assets (as defined in the regulations). Failure to meet minimum capital requirements may cause regulatory bodies to initiate certain discretionary and/or mandatory actions that, if undertaken, may have a direct material effect on our financial statements. The Company, as a financial holding company, is required to be “well capitalized” in the capital categories shown in the table below. As of June 30, 2015, the Company and Busey Bank met all capital adequacy requirements to which they were subject, including the guidelines to be considered “well capitalized.”</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left="376"/>
              <w:spacing w:after="0"/>
              <w:rPr>
                <w:sz w:val="20"/>
                <w:szCs w:val="20"/>
                <w:color w:val="auto"/>
              </w:rPr>
            </w:pPr>
            <w:r>
              <w:rPr>
                <w:rFonts w:ascii="Arial" w:cs="Arial" w:eastAsia="Arial" w:hAnsi="Arial"/>
                <w:sz w:val="14"/>
                <w:szCs w:val="14"/>
                <w:b w:val="1"/>
                <w:bCs w:val="1"/>
                <w:color w:val="auto"/>
              </w:rPr>
              <w:t>Minimum</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w w:val="93"/>
              </w:rPr>
              <w:t>Minimum To Be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Capital Requirement</w:t>
            </w:r>
          </w:p>
        </w:tc>
        <w:tc>
          <w:tcPr>
            <w:tcW w:w="200" w:type="dxa"/>
            <w:vAlign w:val="bottom"/>
          </w:tcPr>
          <w:p>
            <w:pPr>
              <w:spacing w:after="0"/>
              <w:rPr>
                <w:sz w:val="14"/>
                <w:szCs w:val="14"/>
                <w:color w:val="auto"/>
              </w:rPr>
            </w:pPr>
          </w:p>
        </w:tc>
        <w:tc>
          <w:tcPr>
            <w:tcW w:w="2080" w:type="dxa"/>
            <w:vAlign w:val="bottom"/>
            <w:gridSpan w:val="3"/>
          </w:tcPr>
          <w:p>
            <w:pPr>
              <w:ind w:left="34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Ratio</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As of June 30, 2015: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90"/>
              </w:rPr>
              <w:t>Total Capital (to Risk Weighted Assets)</w:t>
            </w:r>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Consolidated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498,024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228,192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Pr>
          <w:p>
            <w:pPr>
              <w:ind w:left="320"/>
              <w:spacing w:after="0"/>
              <w:rPr>
                <w:sz w:val="20"/>
                <w:szCs w:val="20"/>
                <w:color w:val="auto"/>
              </w:rPr>
            </w:pPr>
            <w:r>
              <w:rPr>
                <w:rFonts w:ascii="Arial" w:cs="Arial" w:eastAsia="Arial" w:hAnsi="Arial"/>
                <w:sz w:val="18"/>
                <w:szCs w:val="18"/>
                <w:color w:val="auto"/>
              </w:rPr>
              <w:t>285,240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436,489</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15.43% $</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226,308</w:t>
            </w:r>
          </w:p>
        </w:tc>
        <w:tc>
          <w:tcPr>
            <w:tcW w:w="10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8.00% $</w:t>
            </w:r>
          </w:p>
        </w:tc>
        <w:tc>
          <w:tcPr>
            <w:tcW w:w="1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282,885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w w:val="90"/>
              </w:rPr>
              <w:t>Tier 1 Capital (to Risk Weighted Assets)</w:t>
            </w:r>
          </w:p>
        </w:tc>
        <w:tc>
          <w:tcPr>
            <w:tcW w:w="4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Consolidated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461,651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16"/>
              <w:spacing w:after="0"/>
              <w:rPr>
                <w:sz w:val="20"/>
                <w:szCs w:val="20"/>
                <w:color w:val="auto"/>
              </w:rPr>
            </w:pPr>
            <w:r>
              <w:rPr>
                <w:rFonts w:ascii="Arial" w:cs="Arial" w:eastAsia="Arial" w:hAnsi="Arial"/>
                <w:sz w:val="18"/>
                <w:szCs w:val="18"/>
                <w:color w:val="auto"/>
              </w:rPr>
              <w:t>171,144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Pr>
          <w:p>
            <w:pPr>
              <w:ind w:left="320"/>
              <w:spacing w:after="0"/>
              <w:rPr>
                <w:sz w:val="20"/>
                <w:szCs w:val="20"/>
                <w:color w:val="auto"/>
              </w:rPr>
            </w:pPr>
            <w:r>
              <w:rPr>
                <w:rFonts w:ascii="Arial" w:cs="Arial" w:eastAsia="Arial" w:hAnsi="Arial"/>
                <w:sz w:val="18"/>
                <w:szCs w:val="18"/>
                <w:color w:val="auto"/>
              </w:rPr>
              <w:t>228,192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400,407</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14.15% $</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169,731</w:t>
            </w:r>
          </w:p>
        </w:tc>
        <w:tc>
          <w:tcPr>
            <w:tcW w:w="10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6.00% $</w:t>
            </w:r>
          </w:p>
        </w:tc>
        <w:tc>
          <w:tcPr>
            <w:tcW w:w="1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226,308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Common Equity Tier 1 Capital (to Risk</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840" w:type="dxa"/>
            <w:vAlign w:val="bottom"/>
            <w:tcBorders>
              <w:top w:val="single" w:sz="8" w:color="auto"/>
            </w:tcBorders>
            <w:gridSpan w:val="4"/>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480" w:type="dxa"/>
            <w:vAlign w:val="bottom"/>
            <w:tcBorders>
              <w:top w:val="single" w:sz="8" w:color="CCEEFF"/>
            </w:tcBorders>
            <w:gridSpan w:val="3"/>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Consolidated</w:t>
            </w:r>
          </w:p>
        </w:tc>
        <w:tc>
          <w:tcPr>
            <w:tcW w:w="1880" w:type="dxa"/>
            <w:vAlign w:val="bottom"/>
            <w:tcBorders>
              <w:top w:val="single" w:sz="8" w:color="CCEEFF"/>
            </w:tcBorders>
            <w:gridSpan w:val="5"/>
          </w:tcPr>
          <w:p>
            <w:pPr>
              <w:spacing w:after="0"/>
              <w:rPr>
                <w:sz w:val="18"/>
                <w:szCs w:val="18"/>
                <w:color w:val="auto"/>
              </w:rPr>
            </w:pPr>
          </w:p>
        </w:tc>
        <w:tc>
          <w:tcPr>
            <w:tcW w:w="6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194"/>
              <w:spacing w:after="0"/>
              <w:rPr>
                <w:sz w:val="20"/>
                <w:szCs w:val="20"/>
                <w:color w:val="auto"/>
              </w:rPr>
            </w:pPr>
            <w:r>
              <w:rPr>
                <w:rFonts w:ascii="Arial" w:cs="Arial" w:eastAsia="Arial" w:hAnsi="Arial"/>
                <w:sz w:val="18"/>
                <w:szCs w:val="18"/>
                <w:color w:val="auto"/>
              </w:rPr>
              <w:t>333,987</w:t>
            </w:r>
          </w:p>
        </w:tc>
        <w:tc>
          <w:tcPr>
            <w:tcW w:w="8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11.71%</w:t>
            </w:r>
          </w:p>
        </w:tc>
        <w:tc>
          <w:tcPr>
            <w:tcW w:w="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216"/>
              <w:spacing w:after="0"/>
              <w:rPr>
                <w:sz w:val="20"/>
                <w:szCs w:val="20"/>
                <w:color w:val="auto"/>
              </w:rPr>
            </w:pPr>
            <w:r>
              <w:rPr>
                <w:rFonts w:ascii="Arial" w:cs="Arial" w:eastAsia="Arial" w:hAnsi="Arial"/>
                <w:sz w:val="18"/>
                <w:szCs w:val="18"/>
                <w:color w:val="auto"/>
              </w:rPr>
              <w:t>128,358</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4.50%</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185,406</w:t>
            </w:r>
          </w:p>
        </w:tc>
        <w:tc>
          <w:tcPr>
            <w:tcW w:w="7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400,407</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14.15% $</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127,298</w:t>
            </w:r>
          </w:p>
        </w:tc>
        <w:tc>
          <w:tcPr>
            <w:tcW w:w="10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4.50% $</w:t>
            </w:r>
          </w:p>
        </w:tc>
        <w:tc>
          <w:tcPr>
            <w:tcW w:w="1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183,875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880" w:type="dxa"/>
            <w:vAlign w:val="bottom"/>
            <w:tcBorders>
              <w:top w:val="single" w:sz="8" w:color="CCEEFF"/>
            </w:tcBorders>
            <w:gridSpan w:val="4"/>
          </w:tcPr>
          <w:p>
            <w:pPr>
              <w:spacing w:after="0"/>
              <w:rPr>
                <w:sz w:val="18"/>
                <w:szCs w:val="18"/>
                <w:color w:val="auto"/>
              </w:rPr>
            </w:pPr>
          </w:p>
        </w:tc>
        <w:tc>
          <w:tcPr>
            <w:tcW w:w="6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194"/>
              <w:spacing w:after="0"/>
              <w:rPr>
                <w:sz w:val="20"/>
                <w:szCs w:val="20"/>
                <w:color w:val="auto"/>
              </w:rPr>
            </w:pPr>
            <w:r>
              <w:rPr>
                <w:rFonts w:ascii="Arial" w:cs="Arial" w:eastAsia="Arial" w:hAnsi="Arial"/>
                <w:sz w:val="18"/>
                <w:szCs w:val="18"/>
                <w:color w:val="auto"/>
              </w:rPr>
              <w:t>461,651</w:t>
            </w:r>
          </w:p>
        </w:tc>
        <w:tc>
          <w:tcPr>
            <w:tcW w:w="8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216"/>
              <w:spacing w:after="0"/>
              <w:rPr>
                <w:sz w:val="20"/>
                <w:szCs w:val="20"/>
                <w:color w:val="auto"/>
              </w:rPr>
            </w:pPr>
            <w:r>
              <w:rPr>
                <w:rFonts w:ascii="Arial" w:cs="Arial" w:eastAsia="Arial" w:hAnsi="Arial"/>
                <w:sz w:val="18"/>
                <w:szCs w:val="18"/>
                <w:color w:val="auto"/>
              </w:rPr>
              <w:t>155,099</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ind w:left="600"/>
              <w:spacing w:after="0"/>
              <w:rPr>
                <w:sz w:val="20"/>
                <w:szCs w:val="20"/>
                <w:color w:val="auto"/>
              </w:rPr>
            </w:pPr>
            <w:r>
              <w:rPr>
                <w:rFonts w:ascii="Arial" w:cs="Arial" w:eastAsia="Arial" w:hAnsi="Arial"/>
                <w:sz w:val="18"/>
                <w:szCs w:val="18"/>
                <w:color w:val="auto"/>
              </w:rPr>
              <w:t>N/A</w:t>
            </w:r>
          </w:p>
        </w:tc>
        <w:tc>
          <w:tcPr>
            <w:tcW w:w="7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400,407</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10.45% $</w:t>
            </w:r>
          </w:p>
        </w:tc>
        <w:tc>
          <w:tcPr>
            <w:tcW w:w="12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153,273</w:t>
            </w:r>
          </w:p>
        </w:tc>
        <w:tc>
          <w:tcPr>
            <w:tcW w:w="10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4.00% $</w:t>
            </w:r>
          </w:p>
        </w:tc>
        <w:tc>
          <w:tcPr>
            <w:tcW w:w="1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191,592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21, 2010, President Obama signed the Dodd-Frank Wall Street Reform and Consumer Protection Act (the “Dodd-Frank Act”) into law, which required the Board of Governors of the Federal Reserve System to establish minimum capital levels for bank holding companies on a consolidated basis that are as stringent as those required for insured depository institutions. The components of Tier 1 capital were restricted to capital instruments that at the time of signing were considered to be Tier 1 capital for insured depository institutions. As a result, the proceeds of trust preferred securities are excluded from Tier 1 capital unless such securities were issued prior to May 19, 2010 by bank holding companies with less than $15.0 billion of assets. As the Company has assets of less than $15.0 billion, it is able to maintain its trust preferred proceeds as Tier 1 capital but it will have to comply with new capital mandates in other respects, and it will not be able to raise Tier 1 capital through the issuance of trust preferred securities in the future.</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non-public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no longer qualify, or their qualifications changed, as the Basel III Rules are fully implemented.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Basel III Rules also permitted banking organizations with less than $15.0 billion in assets to retain, through a one-time election, the past treatment for accumulated other comprehensive income, which did not affect regulatory capital. First Busey and the Bank made this election in the first quarter of 2015 to avoid variations in the level of their capital depending on fluctuations in the fair value of their securities portfolio. The Basel III Rules maintained the general structure of the prompt corrective action framework, while incorporating increased requirements. The prompt corrective action guidelines were also revised to add the Common Equity Tier 1 Capital ratio. In order to be a “well-capitalized” depository institution under the new Basel III Rules, a bank and holding company must maintain a Common Equity Tier 1 Capital ratio of 6.5% or more; a Tier 1 Capital ratio of 8% or more; a Total Capital ratio of 10% or more; and a leverage ratio of 5% or more. Financial institutions became subject to the new Basel III Rules on January 1, 2015, with phase-in periods for many of the changes. As of June 30, 2015, the Company and the Bank were in compliance with the current phase Basel III Rules and management believes that the Company and the Bank would meet all capital adequacy requirements under the Basel III Rules on a fully phased-in basis as if such requirements had been in effect.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Reportable Segments and Related Information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three reportable segments, Busey Bank, FirsTech and Busey Wealth Management. Busey Bank provides a full range of banking services to individual and corporate customers through its branch network in downstate Illinois, through its branch in Indianapolis, Indiana, and through its branch network in southwest Florida. FirsTech provides remittance processing for online bill payments, lockbox and walk-in payments. Busey Wealth Management is the parent company of Busey Trust Company, which provides a full range of asset management, investment and fiduciary services to individuals, businesses and foundations, tax preparation and philanthropic advisory services.</w:t>
      </w:r>
    </w:p>
    <w:p>
      <w:pPr>
        <w:spacing w:after="0" w:line="17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Company’s three reportable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2014.</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Following is a summary of selected financial information for the Company’s business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12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bottom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color w:val="auto"/>
                <w:w w:val="93"/>
              </w:rPr>
              <w:t>Goodwill &amp; Total Assets:</w:t>
            </w:r>
          </w:p>
        </w:tc>
        <w:tc>
          <w:tcPr>
            <w:tcW w:w="204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Bank</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3,806,655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3,589,419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29,519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32,164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8"/>
          </w:tcPr>
          <w:p>
            <w:pPr>
              <w:ind w:left="3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25,510</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3,885,274</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88"/>
              </w:rPr>
              <w:t>Interest income:</w:t>
            </w:r>
          </w:p>
        </w:tc>
        <w:tc>
          <w:tcPr>
            <w:tcW w:w="2720" w:type="dxa"/>
            <w:vAlign w:val="bottom"/>
            <w:tcBorders>
              <w:bottom w:val="single" w:sz="8" w:color="CCEEFF"/>
            </w:tcBorders>
            <w:gridSpan w:val="4"/>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Bank</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28,839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26,573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57,028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Total interest income</w:t>
            </w:r>
          </w:p>
        </w:tc>
        <w:tc>
          <w:tcPr>
            <w:tcW w:w="1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57,173</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tcPr>
          <w:p>
            <w:pPr>
              <w:spacing w:after="0" w:line="176"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8"/>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Bank</w:t>
            </w:r>
          </w:p>
        </w:tc>
        <w:tc>
          <w:tcPr>
            <w:tcW w:w="1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8,383</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7,926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17,352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10,267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Total other income</w:t>
            </w:r>
          </w:p>
        </w:tc>
        <w:tc>
          <w:tcPr>
            <w:tcW w:w="1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16,623</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tcPr>
          <w:p>
            <w:pPr>
              <w:spacing w:after="0" w:line="176" w:lineRule="exact"/>
              <w:rPr>
                <w:sz w:val="20"/>
                <w:szCs w:val="20"/>
                <w:color w:val="auto"/>
              </w:rPr>
            </w:pPr>
            <w:r>
              <w:rPr>
                <w:rFonts w:ascii="Arial" w:cs="Arial" w:eastAsia="Arial" w:hAnsi="Arial"/>
                <w:sz w:val="18"/>
                <w:szCs w:val="18"/>
                <w:color w:val="auto"/>
              </w:rPr>
              <w:t>Other expense:</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21,007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4,151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8"/>
            <w:shd w:val="clear" w:color="auto" w:fill="CCEEFF"/>
          </w:tcPr>
          <w:p>
            <w:pPr>
              <w:ind w:left="340"/>
              <w:spacing w:after="0"/>
              <w:rPr>
                <w:sz w:val="20"/>
                <w:szCs w:val="20"/>
                <w:color w:val="auto"/>
              </w:rPr>
            </w:pPr>
            <w:r>
              <w:rPr>
                <w:rFonts w:ascii="Arial" w:cs="Arial" w:eastAsia="Arial" w:hAnsi="Arial"/>
                <w:sz w:val="18"/>
                <w:szCs w:val="18"/>
                <w:color w:val="auto"/>
              </w:rPr>
              <w:t>Total other expense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gridSpan w:val="7"/>
          </w:tcPr>
          <w:p>
            <w:pPr>
              <w:ind w:left="160"/>
              <w:spacing w:after="0"/>
              <w:rPr>
                <w:sz w:val="20"/>
                <w:szCs w:val="20"/>
                <w:color w:val="auto"/>
              </w:rPr>
            </w:pPr>
            <w:r>
              <w:rPr>
                <w:rFonts w:ascii="Arial" w:cs="Arial" w:eastAsia="Arial" w:hAnsi="Arial"/>
                <w:sz w:val="18"/>
                <w:szCs w:val="18"/>
                <w:color w:val="auto"/>
              </w:rPr>
              <w:t>Busey Bank</w:t>
            </w:r>
          </w:p>
        </w:tc>
        <w:tc>
          <w:tcPr>
            <w:tcW w:w="18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13,617</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11,141</w:t>
            </w: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24,665</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22,095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3,998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15,529</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tcPr>
          <w:p>
            <w:pPr>
              <w:spacing w:after="0" w:line="176" w:lineRule="exact"/>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(1,634)</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8"/>
            <w:shd w:val="clear" w:color="auto" w:fill="CCEEFF"/>
          </w:tcPr>
          <w:p>
            <w:pPr>
              <w:ind w:left="340"/>
              <w:spacing w:after="0"/>
              <w:rPr>
                <w:sz w:val="20"/>
                <w:szCs w:val="20"/>
                <w:color w:val="auto"/>
              </w:rPr>
            </w:pPr>
            <w:r>
              <w:rPr>
                <w:rFonts w:ascii="Arial" w:cs="Arial" w:eastAsia="Arial" w:hAnsi="Arial"/>
                <w:sz w:val="18"/>
                <w:szCs w:val="18"/>
                <w:color w:val="auto"/>
              </w:rPr>
              <w:t>Total net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ectPr>
          <w:pgSz w:w="11900" w:h="16838" w:orient="portrait"/>
          <w:cols w:equalWidth="0" w:num="1">
            <w:col w:w="11460"/>
          </w:cols>
          <w:pgMar w:left="240" w:top="733" w:right="199" w:bottom="18" w:gutter="0" w:footer="0" w:header="0"/>
        </w:sectPr>
      </w:pPr>
    </w:p>
    <w:bookmarkStart w:id="22" w:name="page23"/>
    <w:bookmarkEnd w:id="22"/>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and due from banks were transferred to level 1 as of June 30, 2015 as carrying amount approximates fair value. There were no additional transfers between levels during the quarter ended June 30, 2015.</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Securities Available for Sale</w:t>
      </w:r>
      <w:r>
        <w:rPr>
          <w:rFonts w:ascii="Arial" w:cs="Arial" w:eastAsia="Arial" w:hAnsi="Arial"/>
          <w:sz w:val="17"/>
          <w:szCs w:val="17"/>
          <w:color w:val="auto"/>
        </w:rPr>
        <w:t>. Securities classified as available for sale are reported at fair value utilizing level 1 and level 2 measurements. For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evaluated pricing applications apply available information as applicable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 For each asset class, a team of evaluators gathers information from market sources and integrates relevant credit information, perceived market movements and sector news into the evaluated pricing applications and models.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an asset and derivative instruments with negative fair value are reported as liabilities. The fair value of derivative assets and liabilities is determined based on prices obtained from a third party. Values of derivative assets and liabilities are primarily based on observable inputs and are classified as level 2 in the ASC 820 fair value hierarchy.</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financial assets and financial liabilities measured at fair value on a recurring basis as of June 30, 2015 and December 31, 2014, segregated by the level of the valuation inputs within the fair value hierarchy utilized to measure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Level 1</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center"/>
              <w:ind w:right="336"/>
              <w:spacing w:after="0"/>
              <w:rPr>
                <w:sz w:val="20"/>
                <w:szCs w:val="20"/>
                <w:color w:val="auto"/>
              </w:rPr>
            </w:pPr>
            <w:r>
              <w:rPr>
                <w:rFonts w:ascii="Arial" w:cs="Arial" w:eastAsia="Arial" w:hAnsi="Arial"/>
                <w:sz w:val="14"/>
                <w:szCs w:val="14"/>
                <w:b w:val="1"/>
                <w:bCs w:val="1"/>
                <w:color w:val="auto"/>
                <w:w w:val="92"/>
              </w:rPr>
              <w:t>Level 2</w:t>
            </w:r>
          </w:p>
        </w:tc>
        <w:tc>
          <w:tcPr>
            <w:tcW w:w="1200" w:type="dxa"/>
            <w:vAlign w:val="bottom"/>
          </w:tcPr>
          <w:p>
            <w:pPr>
              <w:jc w:val="center"/>
              <w:ind w:left="382"/>
              <w:spacing w:after="0"/>
              <w:rPr>
                <w:sz w:val="20"/>
                <w:szCs w:val="20"/>
                <w:color w:val="auto"/>
              </w:rPr>
            </w:pPr>
            <w:r>
              <w:rPr>
                <w:rFonts w:ascii="Arial" w:cs="Arial" w:eastAsia="Arial" w:hAnsi="Arial"/>
                <w:sz w:val="14"/>
                <w:szCs w:val="14"/>
                <w:b w:val="1"/>
                <w:bCs w:val="1"/>
                <w:color w:val="auto"/>
                <w:w w:val="96"/>
              </w:rPr>
              <w:t>Level 3</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center"/>
              <w:ind w:right="336"/>
              <w:spacing w:after="0"/>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5"/>
              </w:rPr>
              <w:t>June 30, 2015</w:t>
            </w:r>
          </w:p>
        </w:tc>
        <w:tc>
          <w:tcPr>
            <w:tcW w:w="398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65,727</w:t>
            </w:r>
          </w:p>
        </w:tc>
        <w:tc>
          <w:tcPr>
            <w:tcW w:w="120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160,850</w:t>
            </w:r>
          </w:p>
        </w:tc>
        <w:tc>
          <w:tcPr>
            <w:tcW w:w="12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196,003</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322,055</w:t>
            </w:r>
          </w:p>
        </w:tc>
        <w:tc>
          <w:tcPr>
            <w:tcW w:w="12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137,164</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9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6,416</w:t>
            </w:r>
          </w:p>
        </w:tc>
        <w:tc>
          <w:tcPr>
            <w:tcW w:w="42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9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16</w:t>
            </w:r>
          </w:p>
        </w:tc>
        <w:tc>
          <w:tcPr>
            <w:tcW w:w="120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Level 1</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center"/>
              <w:ind w:right="336"/>
              <w:spacing w:after="0"/>
              <w:rPr>
                <w:sz w:val="20"/>
                <w:szCs w:val="20"/>
                <w:color w:val="auto"/>
              </w:rPr>
            </w:pPr>
            <w:r>
              <w:rPr>
                <w:rFonts w:ascii="Arial" w:cs="Arial" w:eastAsia="Arial" w:hAnsi="Arial"/>
                <w:sz w:val="14"/>
                <w:szCs w:val="14"/>
                <w:b w:val="1"/>
                <w:bCs w:val="1"/>
                <w:color w:val="auto"/>
                <w:w w:val="92"/>
              </w:rPr>
              <w:t>Level 2</w:t>
            </w:r>
          </w:p>
        </w:tc>
        <w:tc>
          <w:tcPr>
            <w:tcW w:w="1200" w:type="dxa"/>
            <w:vAlign w:val="bottom"/>
          </w:tcPr>
          <w:p>
            <w:pPr>
              <w:jc w:val="center"/>
              <w:ind w:left="382"/>
              <w:spacing w:after="0"/>
              <w:rPr>
                <w:sz w:val="20"/>
                <w:szCs w:val="20"/>
                <w:color w:val="auto"/>
              </w:rPr>
            </w:pPr>
            <w:r>
              <w:rPr>
                <w:rFonts w:ascii="Arial" w:cs="Arial" w:eastAsia="Arial" w:hAnsi="Arial"/>
                <w:sz w:val="14"/>
                <w:szCs w:val="14"/>
                <w:b w:val="1"/>
                <w:bCs w:val="1"/>
                <w:color w:val="auto"/>
                <w:w w:val="96"/>
              </w:rPr>
              <w:t>Level 3</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2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center"/>
              <w:ind w:right="336"/>
              <w:spacing w:after="0"/>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2014</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50,606</w:t>
            </w:r>
          </w:p>
        </w:tc>
        <w:tc>
          <w:tcPr>
            <w:tcW w:w="120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167,010</w:t>
            </w:r>
          </w:p>
        </w:tc>
        <w:tc>
          <w:tcPr>
            <w:tcW w:w="12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220,161</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220,161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color w:val="auto"/>
              </w:rPr>
              <w:t>235,636</w:t>
            </w:r>
          </w:p>
        </w:tc>
        <w:tc>
          <w:tcPr>
            <w:tcW w:w="1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235,636</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79,307</w:t>
            </w:r>
          </w:p>
        </w:tc>
        <w:tc>
          <w:tcPr>
            <w:tcW w:w="1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Mutual funds and other equity securities</w:t>
            </w:r>
          </w:p>
        </w:tc>
        <w:tc>
          <w:tcPr>
            <w:tcW w:w="2680" w:type="dxa"/>
            <w:vAlign w:val="bottom"/>
          </w:tcPr>
          <w:p>
            <w:pPr>
              <w:jc w:val="right"/>
              <w:ind w:right="490"/>
              <w:spacing w:after="0"/>
              <w:rPr>
                <w:sz w:val="20"/>
                <w:szCs w:val="20"/>
                <w:color w:val="auto"/>
              </w:rPr>
            </w:pPr>
            <w:r>
              <w:rPr>
                <w:rFonts w:ascii="Arial" w:cs="Arial" w:eastAsia="Arial" w:hAnsi="Arial"/>
                <w:sz w:val="18"/>
                <w:szCs w:val="18"/>
                <w:color w:val="auto"/>
              </w:rPr>
              <w:t>6,345</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500" w:type="dxa"/>
            <w:vAlign w:val="bottom"/>
          </w:tcPr>
          <w:p>
            <w:pPr>
              <w:ind w:left="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26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15</w:t>
            </w:r>
          </w:p>
        </w:tc>
        <w:tc>
          <w:tcPr>
            <w:tcW w:w="1500" w:type="dxa"/>
            <w:vAlign w:val="bottom"/>
          </w:tcPr>
          <w:p>
            <w:pPr>
              <w:ind w:left="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r>
      <w:tr>
        <w:trPr>
          <w:trHeight w:val="418"/>
        </w:trPr>
        <w:tc>
          <w:tcPr>
            <w:tcW w:w="4260" w:type="dxa"/>
            <w:vAlign w:val="bottom"/>
          </w:tcPr>
          <w:p>
            <w:pPr>
              <w:spacing w:after="0"/>
              <w:rPr>
                <w:sz w:val="24"/>
                <w:szCs w:val="24"/>
                <w:color w:val="auto"/>
              </w:rPr>
            </w:pPr>
          </w:p>
        </w:tc>
        <w:tc>
          <w:tcPr>
            <w:tcW w:w="2680" w:type="dxa"/>
            <w:vAlign w:val="bottom"/>
          </w:tcPr>
          <w:p>
            <w:pPr>
              <w:jc w:val="right"/>
              <w:ind w:right="1050"/>
              <w:spacing w:after="0"/>
              <w:rPr>
                <w:sz w:val="20"/>
                <w:szCs w:val="20"/>
                <w:color w:val="auto"/>
              </w:rPr>
            </w:pPr>
            <w:r>
              <w:rPr>
                <w:rFonts w:ascii="Arial" w:cs="Arial" w:eastAsia="Arial" w:hAnsi="Arial"/>
                <w:sz w:val="18"/>
                <w:szCs w:val="18"/>
                <w:color w:val="auto"/>
              </w:rPr>
              <w:t>37</w:t>
            </w: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non-recurring basis as of June 30, 2015 and December 31, 2014, segregated by the level of the valuation inputs within the fair value hierarchy utilized to measure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480" w:type="dxa"/>
            <w:vAlign w:val="bottom"/>
          </w:tcPr>
          <w:p>
            <w:pPr>
              <w:spacing w:after="0"/>
              <w:rPr>
                <w:sz w:val="14"/>
                <w:szCs w:val="14"/>
                <w:color w:val="auto"/>
              </w:rPr>
            </w:pPr>
          </w:p>
        </w:tc>
        <w:tc>
          <w:tcPr>
            <w:tcW w:w="1200" w:type="dxa"/>
            <w:vAlign w:val="bottom"/>
          </w:tcPr>
          <w:p>
            <w:pPr>
              <w:jc w:val="right"/>
              <w:ind w:right="81"/>
              <w:spacing w:after="0"/>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June 30, 2015</w:t>
            </w:r>
          </w:p>
        </w:tc>
        <w:tc>
          <w:tcPr>
            <w:tcW w:w="40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45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1,736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2014</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3"/>
              </w:rPr>
              <w:t>2,129</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additional quantitative information about assets measured at fair value on a non-recurring basis for which the Company has utilized level 3 inputs to determine fair value:</w:t>
      </w:r>
    </w:p>
    <w:p>
      <w:pPr>
        <w:spacing w:after="0" w:line="162"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Quantitative Information about Level 3 Fair Value Measurements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 Value</w:t>
            </w:r>
          </w:p>
        </w:tc>
        <w:tc>
          <w:tcPr>
            <w:tcW w:w="19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Valuation</w:t>
            </w:r>
          </w:p>
        </w:tc>
        <w:tc>
          <w:tcPr>
            <w:tcW w:w="23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2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Estimate</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Techniques</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June 30, 2015</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-6.0% to -100.0%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w:t>
            </w: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(-51.6)%</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spacing w:after="0" w:line="201" w:lineRule="exact"/>
              <w:rPr>
                <w:sz w:val="20"/>
                <w:szCs w:val="20"/>
                <w:color w:val="auto"/>
              </w:rPr>
            </w:pPr>
            <w:r>
              <w:rPr>
                <w:rFonts w:ascii="Arial" w:cs="Arial" w:eastAsia="Arial" w:hAnsi="Arial"/>
                <w:sz w:val="18"/>
                <w:szCs w:val="18"/>
                <w:color w:val="auto"/>
              </w:rPr>
              <w:t>OREO</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-52.9% to -100.0%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(-90.9)%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2014</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-7.7% to -100.0%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2,129</w:t>
            </w:r>
          </w:p>
        </w:tc>
        <w:tc>
          <w:tcPr>
            <w:tcW w:w="1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Appraisal of collateral</w:t>
            </w:r>
          </w:p>
        </w:tc>
        <w:tc>
          <w:tcPr>
            <w:tcW w:w="23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Appraisal adjustments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(-54.3)%</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ind w:right="757"/>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estimated fair values of financial instruments that are reported at amortized cost in the Company’s Consolidated Balance Sheets, segregated by the level of the valuation inputs within the fair value hierarchy utilized to measure fair value,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 2015</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ind w:right="455"/>
              <w:spacing w:after="0" w:line="119" w:lineRule="exact"/>
              <w:rPr>
                <w:sz w:val="20"/>
                <w:szCs w:val="20"/>
                <w:color w:val="auto"/>
              </w:rPr>
            </w:pPr>
            <w:r>
              <w:rPr>
                <w:rFonts w:ascii="Arial" w:cs="Arial" w:eastAsia="Arial" w:hAnsi="Arial"/>
                <w:sz w:val="13"/>
                <w:szCs w:val="13"/>
                <w:b w:val="1"/>
                <w:bCs w:val="1"/>
                <w:color w:val="auto"/>
              </w:rPr>
              <w:t>Carrying</w:t>
            </w:r>
          </w:p>
        </w:tc>
        <w:tc>
          <w:tcPr>
            <w:tcW w:w="540" w:type="dxa"/>
            <w:vAlign w:val="bottom"/>
          </w:tcPr>
          <w:p>
            <w:pPr>
              <w:spacing w:after="0"/>
              <w:rPr>
                <w:sz w:val="10"/>
                <w:szCs w:val="10"/>
                <w:color w:val="auto"/>
              </w:rPr>
            </w:pPr>
          </w:p>
        </w:tc>
        <w:tc>
          <w:tcPr>
            <w:tcW w:w="980" w:type="dxa"/>
            <w:vAlign w:val="bottom"/>
          </w:tcPr>
          <w:p>
            <w:pPr>
              <w:jc w:val="center"/>
              <w:ind w:right="315"/>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35"/>
              <w:spacing w:after="0" w:line="119" w:lineRule="exact"/>
              <w:rPr>
                <w:sz w:val="20"/>
                <w:szCs w:val="20"/>
                <w:color w:val="auto"/>
              </w:rPr>
            </w:pPr>
            <w:r>
              <w:rPr>
                <w:rFonts w:ascii="Arial" w:cs="Arial" w:eastAsia="Arial" w:hAnsi="Arial"/>
                <w:sz w:val="13"/>
                <w:szCs w:val="13"/>
                <w:b w:val="1"/>
                <w:bCs w:val="1"/>
                <w:color w:val="auto"/>
              </w:rPr>
              <w:t>Carrying</w:t>
            </w:r>
          </w:p>
        </w:tc>
        <w:tc>
          <w:tcPr>
            <w:tcW w:w="620" w:type="dxa"/>
            <w:vAlign w:val="bottom"/>
          </w:tcPr>
          <w:p>
            <w:pPr>
              <w:spacing w:after="0"/>
              <w:rPr>
                <w:sz w:val="10"/>
                <w:szCs w:val="10"/>
                <w:color w:val="auto"/>
              </w:rPr>
            </w:pPr>
          </w:p>
        </w:tc>
        <w:tc>
          <w:tcPr>
            <w:tcW w:w="880" w:type="dxa"/>
            <w:vAlign w:val="bottom"/>
          </w:tcPr>
          <w:p>
            <w:pPr>
              <w:jc w:val="center"/>
              <w:ind w:right="41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495"/>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4"/>
                <w:szCs w:val="14"/>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240" w:type="dxa"/>
            <w:vAlign w:val="bottom"/>
          </w:tcPr>
          <w:p>
            <w:pPr>
              <w:jc w:val="right"/>
              <w:ind w:right="475"/>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jc w:val="right"/>
              <w:ind w:right="895"/>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Level 1 inputs: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289,385</w:t>
            </w:r>
          </w:p>
        </w:tc>
        <w:tc>
          <w:tcPr>
            <w:tcW w:w="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289,385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Level 2 inputs: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339,438</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2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35,992</w:t>
            </w:r>
          </w:p>
        </w:tc>
        <w:tc>
          <w:tcPr>
            <w:tcW w:w="5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36,005</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2,373</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23,816</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24,274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10,400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11,949</w:t>
            </w:r>
          </w:p>
        </w:tc>
        <w:tc>
          <w:tcPr>
            <w:tcW w:w="5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11,949</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11,187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18"/>
                <w:szCs w:val="18"/>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2,443,040</w:t>
            </w:r>
          </w:p>
        </w:tc>
        <w:tc>
          <w:tcPr>
            <w:tcW w:w="5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2,446,119</w:t>
            </w:r>
          </w:p>
        </w:tc>
        <w:tc>
          <w:tcPr>
            <w:tcW w:w="24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2,357,837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3,135,740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3,135,168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2,900,848</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174,352</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174,352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198,893</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198,893</w:t>
            </w:r>
          </w:p>
        </w:tc>
        <w:tc>
          <w:tcPr>
            <w:tcW w:w="0" w:type="dxa"/>
            <w:vAlign w:val="bottom"/>
          </w:tcPr>
          <w:p>
            <w:pPr>
              <w:spacing w:after="0"/>
              <w:rPr>
                <w:sz w:val="1"/>
                <w:szCs w:val="1"/>
                <w:color w:val="auto"/>
              </w:rPr>
            </w:pPr>
          </w:p>
        </w:tc>
      </w:tr>
    </w:tbl>
    <w:p>
      <w:pPr>
        <w:sectPr>
          <w:pgSz w:w="11900" w:h="16870" w:orient="portrait"/>
          <w:cols w:equalWidth="0" w:num="1">
            <w:col w:w="11460"/>
          </w:cols>
          <w:pgMar w:left="240" w:top="140" w:right="1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50,000</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50,000</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50,000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1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55,000</w:t>
            </w:r>
          </w:p>
        </w:tc>
        <w:tc>
          <w:tcPr>
            <w:tcW w:w="16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55,000</w:t>
            </w:r>
          </w:p>
        </w:tc>
        <w:tc>
          <w:tcPr>
            <w:tcW w:w="16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55,000</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Accrued interest payable</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462</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462</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507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loans, net reflects general changes in the interest rate curve used to calculate fair values based on cash flows.</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FASB 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is management’s discussion and analysis of the financial condition of First Busey Corporation and its subsidiaries (referred to herein as “First Busey,” “Company,” “we,” or “our”) at June 30, 2015 (unaudited), as compared with March 31, 2015 (unaudited), December 31, 2014 and June 30, 2014 (unaudited), and the results of operations for the three and six months ended June 30, 2015 and 2014 (unaudited), and the three months ended March 31, 2015 (unaudited) when applicable. Management’s discussion and analysis should be read in conjunction with the Company’s consolidated financial statements and notes thereto appearing elsewhere in this Quarterly Report, as well as the Company’s Annual Report on Form 10-K for the year ended December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First Busey’s net income for the second quarter of 2015 was $9.9 million and net income available to common stockholders was $9.8 million, or $0.11 per fully diluted common share. The Company reported net income of $7.8 million and net income available to common stockholders of $7.6 million, or $0.09 per fully-diluted common share, for the first quarter of 2015 and net income of $8.2 million and net income available to common stockholders of $8.0 million, or $0.09 per fully-diluted common share for the second quarter of 2014.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Company’s year-to-date net income through June 30, 2015 was $17.7 million and net income available to common stockholders was $17.3 million, or</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$0.20 per fully-diluted common share, compared to net income of $16.1 million and net income available to common stockholders of $15.7 million, or $0.18 per fully-diluted common share, for the comparable period of 2014. On January 8, 2015, First Busey completed its acquisition of Herget Financial, headquartered in Pekin, Illinois. The Company’s year-to-date net income was impacted by $1.0 million of one-time expenses, which occurred primarily in the first quarter of 2015, related to its acquisition of Herget Financial. In addition, during the first quarter of 2015, the Company undertook initiatives to refine its branch network and restructure various internal teams to improve efficiency going forward, which, as previously announced, resulted in three branch closings on July 30, 2015. These initiatives resulted in $0.7 million of fixed asset impairments and $0.3 million in other corporate restructuring costs, all of which were one-time, non-recurring items in the first quarter of 2015.</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from trust fees, commissions and brokers’ fees, and remittance processing activities which are primarily generated through Busey Wealth Management and FirsTech represented 53.9% of the Company’s non-interest income for the quarter ended June 30, 2015, providing a balance to revenue from traditional banking activities. Trust fees and commissions and brokers’ fees decreased to $6.0 million for the second quarter of 2015 compared to $6.5 million for the first quarter of 2015 due to seasonal farm management fees, but increased from $5.8 million for the second quarter of 2014. Trust fees and commission and brokers’ fees increased to $12.4 million for the six months ended June 30, 2015 compared to $12.0 million for the six months ended June 30, 2014.</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FirsTech’s remittance processing revenue increased to $3.0 million for the second quarter of 2015, compared to $2.5 million for the first quarter of 2015, and $2.4 million for the second quarter of 2014. Remittance processing revenue increased to $5.5 million for the six months ended June 30, 2015 compared to $4.7 million, up 15.8%, for the six months ended June 30,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While much internal focus has been directed toward growth, the Company’s commitment to credit quality continues to be evident by strong performance across a range of credit indicators. The June 30, 2015 asset metrics reflect the post combination results of acquiring Herget Financial. As of June 30, 2015, the Company reported non-performing loans of $8.4 million compared to $10.4 million as of March 31, 2015, $9.0 million at December 31, 2014 and $11.5 million as of June 30, 2014.</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recorded net recoveries of $0.1 million for the second quarter of 2015 compared to net charge-offs of $0.3 million for first quarter of 2015 and net charge-offs of $1.0 million for the second quarter of 2014. Net charge-offs for the first six months of 2015 were $0.2 million compared to $2.1 million for the same period of 2014. Due to favorable net charge-off activity, the Company did not record a provision for loan loss in the second quarter of 2015, compared to a provision of $0.5 million in the first quarter of 2015 and $1.0 million in the second quarter of 2014. For the first six months of 2015, the provision for loan loss was $0.5 million, compared to $2.0 million for the same period of 2014, as the Company’s dedication to improving asset quality and building balance sheet strength continues to yield positive results.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allowance for loan losses as a percentage of loans was 1.9% at June 30, 2015 and March 31, 2015 compared to 2.0% at December 31, 2014 and June 30, 2014. During the current year, the Company acquired loans with uncollected principal balances from the Herget Financial acquisition. These loans are carried net of a fair value adjustment for credit and interest rate and are only included in the allowance calculation to the extent that the reserve requirement exceeds their credit fair value adjustment.</w:t>
      </w:r>
    </w:p>
    <w:p>
      <w:pPr>
        <w:sectPr>
          <w:pgSz w:w="11900" w:h="16838" w:orient="portrait"/>
          <w:cols w:equalWidth="0" w:num="1">
            <w:col w:w="11420"/>
          </w:cols>
          <w:pgMar w:left="240" w:top="125" w:right="239" w:bottom="0" w:gutter="0" w:footer="0" w:header="0"/>
        </w:sectPr>
      </w:pPr>
    </w:p>
    <w:bookmarkStart w:id="25" w:name="page26"/>
    <w:bookmarkEnd w:id="25"/>
    <w:p>
      <w:pPr>
        <w:ind w:right="280"/>
        <w:spacing w:after="0" w:line="264" w:lineRule="auto"/>
        <w:rPr>
          <w:sz w:val="20"/>
          <w:szCs w:val="20"/>
          <w:color w:val="auto"/>
        </w:rPr>
      </w:pPr>
      <w:r>
        <w:rPr>
          <w:rFonts w:ascii="Arial" w:cs="Arial" w:eastAsia="Arial" w:hAnsi="Arial"/>
          <w:sz w:val="18"/>
          <w:szCs w:val="18"/>
          <w:color w:val="auto"/>
        </w:rPr>
        <w:t>With a continued commitment to the quality of assets and the strength of our balance sheet, near-term loan losses are expected to remain generally low. While these results are encouraging, asset quality metrics can be generally influenced by market-specific economic conditions, and specific measures may fluctuate from quarter to quarter. The key metrics are as follows: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w w:val="96"/>
              </w:rPr>
              <w:t>As of and for the Three Months Ended</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jc w:val="right"/>
              <w:ind w:right="553"/>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380" w:type="dxa"/>
            <w:vAlign w:val="bottom"/>
          </w:tcPr>
          <w:p>
            <w:pPr>
              <w:jc w:val="right"/>
              <w:ind w:right="495"/>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40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10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3"/>
          </w:tcPr>
          <w:p>
            <w:pPr>
              <w:jc w:val="right"/>
              <w:ind w:right="933"/>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loans(1)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2,514,576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2,484,851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2,415,690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loans(2)</w:t>
            </w:r>
          </w:p>
        </w:tc>
        <w:tc>
          <w:tcPr>
            <w:tcW w:w="26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rPr>
              <w:t>1,847,521</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1,815,183</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1,812,965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1,737,751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47,720</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47,652</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47,453</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47,428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Non-performing loans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8,377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10,202</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6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rPr>
              <w:t>64</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segregated by geography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Illinois/ Indiana</w:t>
            </w:r>
          </w:p>
        </w:tc>
        <w:tc>
          <w:tcPr>
            <w:tcW w:w="26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rPr>
              <w:t>7,105</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7,688</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5,309</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1,336</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2,703</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3,701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Loans 30-89 days past due</w:t>
            </w:r>
          </w:p>
        </w:tc>
        <w:tc>
          <w:tcPr>
            <w:tcW w:w="26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b w:val="1"/>
                <w:bCs w:val="1"/>
                <w:color w:val="auto"/>
              </w:rPr>
              <w:t>4,112</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1,819</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310</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Non-performing assets to total loans and non-performing</w:t>
            </w:r>
          </w:p>
        </w:tc>
        <w:tc>
          <w:tcPr>
            <w:tcW w:w="2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non-performing loans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loans categorized as commercial, commercial real estate and real estate construction.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primary markets, which are in micro-urban communities in downstate Illinois, are distinct from the smaller rural populations of Illinois and have strong industrial, academic or healthcare employment bases. Our primary downstate Illinois markets of Champaign, Macon, McLean and Peoria counties are anchored by several strong, familiar and stable organizations.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a Fortune 100 company, and Bradley University, in addition to a large healthcare presence serving much of the western portion of downstate Illinois. The institutions noted above, coupled with a large agricultural sector, anchor the communities in which they are located, and have provided a comparatively stable foundation for housing, employment and small business.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State of Illinois, where the largest portion of the Company’s customer base is located, continues to be one of the most troubled of any state in the United States with pension under-funding, a current budget impasse, continued budget deficits and a declining credit outlook. Additionally, the Company is located in markets with significant universities and healthcare companies, which rely heavily on state funding and contracts. A temporary income tax increase passed in 2011 began phasing out in 2015, which may affect the State’s revenue. Payment lapses by the State of Illinois to its vendors and government sponsored entities may have negative effects on our primary market areas.</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has seven banking centers in southwest Florida. Southwest Florida has shown continuing signs of improvement in areas such as job growth and home sales over the last few years. In addition, median sales prices of homes in Florida continue to be on the rise. Although we have seen recent improvement in certain economic indicators, we don’t believe that southwest Florida has yet returned to its peak economic strength.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w:t>
      </w:r>
    </w:p>
    <w:p>
      <w:pPr>
        <w:sectPr>
          <w:pgSz w:w="11900" w:h="16838" w:orient="portrait"/>
          <w:cols w:equalWidth="0" w:num="1">
            <w:col w:w="11400"/>
          </w:cols>
          <w:pgMar w:left="240" w:top="125" w:right="259" w:bottom="0" w:gutter="0" w:footer="0" w:header="0"/>
        </w:sectPr>
      </w:pPr>
    </w:p>
    <w:bookmarkStart w:id="26" w:name="page27"/>
    <w:bookmarkEnd w:id="26"/>
    <w:p>
      <w:pPr>
        <w:spacing w:after="0" w:line="4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following tables show the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2015 AND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center"/>
              <w:ind w:left="488"/>
              <w:spacing w:after="0"/>
              <w:rPr>
                <w:sz w:val="20"/>
                <w:szCs w:val="20"/>
                <w:color w:val="auto"/>
              </w:rPr>
            </w:pPr>
            <w:r>
              <w:rPr>
                <w:rFonts w:ascii="Arial" w:cs="Arial" w:eastAsia="Arial" w:hAnsi="Arial"/>
                <w:sz w:val="14"/>
                <w:szCs w:val="14"/>
                <w:b w:val="1"/>
                <w:bCs w:val="1"/>
                <w:color w:val="auto"/>
                <w:w w:val="91"/>
              </w:rPr>
              <w:t>Change in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expense due to(1)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82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80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Yield/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Pr>
          <w:p>
            <w:pPr>
              <w:spacing w:after="0"/>
              <w:rPr>
                <w:sz w:val="10"/>
                <w:szCs w:val="10"/>
                <w:color w:val="auto"/>
              </w:rPr>
            </w:pPr>
          </w:p>
        </w:tc>
        <w:tc>
          <w:tcPr>
            <w:tcW w:w="68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Rate(3)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Rate(3)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8"/>
              </w:rPr>
              <w:t>Volume</w:t>
            </w:r>
          </w:p>
        </w:tc>
        <w:tc>
          <w:tcPr>
            <w:tcW w:w="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Yield/Rate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ind w:left="48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bank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287,622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0.25%</w:t>
            </w: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149,731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6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230,238</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276,938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subdivisions(1)</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233,329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248,202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1,646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60"/>
              <w:spacing w:after="0" w:line="149" w:lineRule="exact"/>
              <w:rPr>
                <w:sz w:val="20"/>
                <w:szCs w:val="20"/>
                <w:color w:val="auto"/>
              </w:rPr>
            </w:pPr>
            <w:r>
              <w:rPr>
                <w:rFonts w:ascii="Arial" w:cs="Arial" w:eastAsia="Arial" w:hAnsi="Arial"/>
                <w:sz w:val="14"/>
                <w:szCs w:val="14"/>
                <w:color w:val="auto"/>
              </w:rPr>
              <w:t>Other securities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425,468</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2,280</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345,678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Loans(1) (2)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2,494,200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24,685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2,249,786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2,421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interest-earning assets(1)</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3,670,857</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29,439</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3.22%</w:t>
            </w:r>
          </w:p>
        </w:tc>
        <w:tc>
          <w:tcPr>
            <w:tcW w:w="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3,270,335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27,164</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right"/>
              <w:ind w:right="20"/>
              <w:spacing w:after="0" w:line="142" w:lineRule="exact"/>
              <w:rPr>
                <w:sz w:val="20"/>
                <w:szCs w:val="20"/>
                <w:color w:val="auto"/>
              </w:rPr>
            </w:pPr>
            <w:r>
              <w:rPr>
                <w:rFonts w:ascii="Arial" w:cs="Arial" w:eastAsia="Arial" w:hAnsi="Arial"/>
                <w:sz w:val="14"/>
                <w:szCs w:val="14"/>
                <w:color w:val="auto"/>
              </w:rPr>
              <w:t>3.33%</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2,696</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(421)</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2,275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90,800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89,641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65,289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(47,845)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(47,891)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140,280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146,268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3,919,381</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3,523,428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transaction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78,958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0.14%</w:t>
            </w: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50,550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0.06%</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Savings deposits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241,905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216,061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Money market deposits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1,616,260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1,479,808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Time deposits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512,017</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548,777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Repurchase agreements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172,930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134,237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Junior subordinated debt owed to</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unconsolidated trusts</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55,000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interest-bearing liabilities</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2,727,070</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1,559</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0.23%</w:t>
            </w:r>
          </w:p>
        </w:tc>
        <w:tc>
          <w:tcPr>
            <w:tcW w:w="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2,484,433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1,635</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right"/>
              <w:ind w:right="20"/>
              <w:spacing w:after="0" w:line="142" w:lineRule="exact"/>
              <w:rPr>
                <w:sz w:val="20"/>
                <w:szCs w:val="20"/>
                <w:color w:val="auto"/>
              </w:rPr>
            </w:pPr>
            <w:r>
              <w:rPr>
                <w:rFonts w:ascii="Arial" w:cs="Arial" w:eastAsia="Arial" w:hAnsi="Arial"/>
                <w:sz w:val="14"/>
                <w:szCs w:val="14"/>
                <w:color w:val="auto"/>
              </w:rPr>
              <w:t>0.26%</w:t>
            </w: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(89)</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725,261</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592,066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27,185</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439,865</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422,074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3,919,381</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3,523,428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line="154" w:lineRule="exact"/>
              <w:rPr>
                <w:sz w:val="20"/>
                <w:szCs w:val="20"/>
                <w:color w:val="auto"/>
              </w:rPr>
            </w:pPr>
            <w:r>
              <w:rPr>
                <w:rFonts w:ascii="Arial" w:cs="Arial" w:eastAsia="Arial" w:hAnsi="Arial"/>
                <w:sz w:val="14"/>
                <w:szCs w:val="14"/>
                <w:color w:val="auto"/>
              </w:rPr>
              <w:t>Equity</w:t>
            </w: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Interest income / earning assets(1)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3,670,857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29,439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3.22%</w:t>
            </w:r>
          </w:p>
        </w:tc>
        <w:tc>
          <w:tcPr>
            <w:tcW w:w="1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3,270,335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27,164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3,670,857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1,559</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0.17%</w:t>
            </w:r>
          </w:p>
        </w:tc>
        <w:tc>
          <w:tcPr>
            <w:tcW w:w="1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3,270,335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1,635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27,880</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25,529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2,683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00" w:hanging="273"/>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a tax-equivalent basis assuming a federal income tax rate of 35%.</w:t>
      </w:r>
    </w:p>
    <w:p>
      <w:pPr>
        <w:ind w:left="800" w:hanging="273"/>
        <w:spacing w:after="0" w:line="221"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Non-accrual loans have been included in average loans.</w:t>
      </w:r>
    </w:p>
    <w:p>
      <w:pPr>
        <w:ind w:left="800" w:hanging="273"/>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2015 AND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center"/>
              <w:ind w:left="489"/>
              <w:spacing w:after="0"/>
              <w:rPr>
                <w:sz w:val="20"/>
                <w:szCs w:val="20"/>
                <w:color w:val="auto"/>
              </w:rPr>
            </w:pPr>
            <w:r>
              <w:rPr>
                <w:rFonts w:ascii="Arial" w:cs="Arial" w:eastAsia="Arial" w:hAnsi="Arial"/>
                <w:sz w:val="14"/>
                <w:szCs w:val="14"/>
                <w:b w:val="1"/>
                <w:bCs w:val="1"/>
                <w:color w:val="auto"/>
                <w:w w:val="91"/>
              </w:rPr>
              <w:t>Change in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expense due to(1)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Income/</w:t>
            </w:r>
          </w:p>
        </w:tc>
        <w:tc>
          <w:tcPr>
            <w:tcW w:w="82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Yield/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Income/</w:t>
            </w:r>
          </w:p>
        </w:tc>
        <w:tc>
          <w:tcPr>
            <w:tcW w:w="76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Average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Pr>
          <w:p>
            <w:pPr>
              <w:spacing w:after="0"/>
              <w:rPr>
                <w:sz w:val="10"/>
                <w:szCs w:val="10"/>
                <w:color w:val="auto"/>
              </w:rPr>
            </w:pPr>
          </w:p>
        </w:tc>
        <w:tc>
          <w:tcPr>
            <w:tcW w:w="68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Rate(3)</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02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rPr>
              <w:t>Rate(3)</w:t>
            </w:r>
          </w:p>
        </w:tc>
        <w:tc>
          <w:tcPr>
            <w:tcW w:w="7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8"/>
              </w:rPr>
              <w:t>Volume</w:t>
            </w:r>
          </w:p>
        </w:tc>
        <w:tc>
          <w:tcPr>
            <w:tcW w:w="6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Yield/Rate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ind w:left="48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bank deposits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293,198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168,390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215</w:t>
            </w: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0.26% $</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40"/>
              <w:spacing w:after="0" w:line="149" w:lineRule="exact"/>
              <w:rPr>
                <w:sz w:val="20"/>
                <w:szCs w:val="20"/>
                <w:color w:val="auto"/>
              </w:rPr>
            </w:pPr>
            <w:r>
              <w:rPr>
                <w:rFonts w:ascii="Arial" w:cs="Arial" w:eastAsia="Arial" w:hAnsi="Arial"/>
                <w:sz w:val="14"/>
                <w:szCs w:val="14"/>
                <w:color w:val="auto"/>
              </w:rPr>
              <w:t>U.S. Government obligations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228,769</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1,344</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305,172</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1,983</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Obligations of states and political</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subdivisions(1)</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240,118</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254,878</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3,361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40"/>
              <w:spacing w:after="0" w:line="149" w:lineRule="exact"/>
              <w:rPr>
                <w:sz w:val="20"/>
                <w:szCs w:val="20"/>
                <w:color w:val="auto"/>
              </w:rPr>
            </w:pPr>
            <w:r>
              <w:rPr>
                <w:rFonts w:ascii="Arial" w:cs="Arial" w:eastAsia="Arial" w:hAnsi="Arial"/>
                <w:sz w:val="14"/>
                <w:szCs w:val="14"/>
                <w:color w:val="auto"/>
              </w:rPr>
              <w:t>Other securities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406,673</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4,313</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2.14%</w:t>
            </w: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286,598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3,273</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2.30%</w:t>
            </w:r>
          </w:p>
        </w:tc>
        <w:tc>
          <w:tcPr>
            <w:tcW w:w="10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Loans(1) (2)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2,490,405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48,945</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2,242,590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45,097</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4,890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interest-earning assets(1)</w:t>
            </w:r>
          </w:p>
        </w:tc>
        <w:tc>
          <w:tcPr>
            <w:tcW w:w="140" w:type="dxa"/>
            <w:vAlign w:val="bottom"/>
            <w:tcBorders>
              <w:top w:val="single" w:sz="8" w:color="auto"/>
              <w:bottom w:val="single" w:sz="8" w:color="CCEEFF"/>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3,659,163</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58,240</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3.21%</w:t>
            </w:r>
          </w:p>
        </w:tc>
        <w:tc>
          <w:tcPr>
            <w:tcW w:w="14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3,257,628</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53,929</w:t>
            </w: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gridSpan w:val="2"/>
          </w:tcPr>
          <w:p>
            <w:pPr>
              <w:jc w:val="right"/>
              <w:ind w:right="40"/>
              <w:spacing w:after="0" w:line="142" w:lineRule="exact"/>
              <w:rPr>
                <w:sz w:val="20"/>
                <w:szCs w:val="20"/>
                <w:color w:val="auto"/>
              </w:rPr>
            </w:pPr>
            <w:r>
              <w:rPr>
                <w:rFonts w:ascii="Arial" w:cs="Arial" w:eastAsia="Arial" w:hAnsi="Arial"/>
                <w:sz w:val="14"/>
                <w:szCs w:val="14"/>
                <w:color w:val="auto"/>
              </w:rPr>
              <w:t>3.34%</w:t>
            </w: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5,676</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(1,365)</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4,311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Cash and due from banks</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92,139</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92,854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Premises and equipment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65,570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65,412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(47,996)</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(47,948)</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141,464</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147,667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3,910,340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3,515,613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25"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transaction deposits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90,061</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49,249</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0.05%</w:t>
            </w:r>
          </w:p>
        </w:tc>
        <w:tc>
          <w:tcPr>
            <w:tcW w:w="28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3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3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Savings deposits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240,180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214,883</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Money market deposits</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1,592,568</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968</w:t>
            </w: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0.12%</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1,478,424</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522,583</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1,399</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0.54%</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559,075</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(278)</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179,759</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132,948</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50,182</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Junior subordinated debt owed to</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unconsolidated trusts</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55,000</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55,000</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2.15%</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Total interest-bearing liabilities</w:t>
            </w:r>
          </w:p>
        </w:tc>
        <w:tc>
          <w:tcPr>
            <w:tcW w:w="200" w:type="dxa"/>
            <w:vAlign w:val="bottom"/>
            <w:tcBorders>
              <w:top w:val="single" w:sz="8" w:color="auto"/>
              <w:bottom w:val="single" w:sz="8" w:color="CCEEFF"/>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2,730,333</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3,152</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gridSpan w:val="2"/>
          </w:tcPr>
          <w:p>
            <w:pPr>
              <w:jc w:val="right"/>
              <w:ind w:right="80"/>
              <w:spacing w:after="0" w:line="142" w:lineRule="exact"/>
              <w:rPr>
                <w:sz w:val="20"/>
                <w:szCs w:val="20"/>
                <w:color w:val="auto"/>
              </w:rPr>
            </w:pPr>
            <w:r>
              <w:rPr>
                <w:rFonts w:ascii="Arial" w:cs="Arial" w:eastAsia="Arial" w:hAnsi="Arial"/>
                <w:sz w:val="14"/>
                <w:szCs w:val="14"/>
                <w:color w:val="auto"/>
              </w:rPr>
              <w:t>0.23%</w:t>
            </w:r>
          </w:p>
        </w:tc>
        <w:tc>
          <w:tcPr>
            <w:tcW w:w="200" w:type="dxa"/>
            <w:vAlign w:val="bottom"/>
            <w:tcBorders>
              <w:top w:val="single" w:sz="8" w:color="auto"/>
              <w:bottom w:val="single" w:sz="8" w:color="CCEEFF"/>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2,489,579</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3,329</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gridSpan w:val="2"/>
          </w:tcPr>
          <w:p>
            <w:pPr>
              <w:jc w:val="right"/>
              <w:ind w:right="20"/>
              <w:spacing w:after="0" w:line="142" w:lineRule="exact"/>
              <w:rPr>
                <w:sz w:val="20"/>
                <w:szCs w:val="20"/>
                <w:color w:val="auto"/>
              </w:rPr>
            </w:pPr>
            <w:r>
              <w:rPr>
                <w:rFonts w:ascii="Arial" w:cs="Arial" w:eastAsia="Arial" w:hAnsi="Arial"/>
                <w:sz w:val="14"/>
                <w:szCs w:val="14"/>
                <w:color w:val="auto"/>
              </w:rPr>
              <w:t>0.27%</w:t>
            </w:r>
          </w:p>
        </w:tc>
        <w:tc>
          <w:tcPr>
            <w:tcW w:w="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jc w:val="right"/>
              <w:ind w:right="1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CCEEFF"/>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Net interest spread(1)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714,443</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580,171</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27,604</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25,937</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80"/>
              <w:spacing w:after="0" w:line="149" w:lineRule="exact"/>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437,960</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419,926</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Total Liabilities and Stockholders’</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3,910,340</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3,515,613</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60"/>
              <w:spacing w:after="0" w:line="154" w:lineRule="exact"/>
              <w:rPr>
                <w:sz w:val="20"/>
                <w:szCs w:val="20"/>
                <w:color w:val="auto"/>
              </w:rPr>
            </w:pPr>
            <w:r>
              <w:rPr>
                <w:rFonts w:ascii="Arial" w:cs="Arial" w:eastAsia="Arial" w:hAnsi="Arial"/>
                <w:sz w:val="14"/>
                <w:szCs w:val="14"/>
                <w:color w:val="auto"/>
              </w:rPr>
              <w:t>Equity</w:t>
            </w: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Interest income / earning assets(1)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3,659,163</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58,240</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3,257,628</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53,929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3,659,163</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3,152</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0.17%</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3,257,628</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Net interest margin(1)</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55,088</w:t>
            </w:r>
          </w:p>
        </w:tc>
        <w:tc>
          <w:tcPr>
            <w:tcW w:w="10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color w:val="auto"/>
              </w:rPr>
              <w:t>3.04</w:t>
            </w:r>
            <w:r>
              <w:rPr>
                <w:rFonts w:ascii="Arial" w:cs="Arial" w:eastAsia="Arial" w:hAnsi="Arial"/>
                <w:sz w:val="20"/>
                <w:szCs w:val="20"/>
                <w:color w:val="auto"/>
                <w:vertAlign w:val="superscript"/>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50,600</w:t>
            </w:r>
          </w:p>
        </w:tc>
        <w:tc>
          <w:tcPr>
            <w:tcW w:w="1220" w:type="dxa"/>
            <w:vAlign w:val="bottom"/>
            <w:gridSpan w:val="4"/>
            <w:shd w:val="clear" w:color="auto" w:fill="CCEEFF"/>
          </w:tcPr>
          <w:p>
            <w:pPr>
              <w:jc w:val="right"/>
              <w:ind w:right="149"/>
              <w:spacing w:after="0" w:line="176" w:lineRule="exact"/>
              <w:rPr>
                <w:sz w:val="20"/>
                <w:szCs w:val="20"/>
                <w:color w:val="auto"/>
              </w:rPr>
            </w:pPr>
            <w:r>
              <w:rPr>
                <w:rFonts w:ascii="Arial" w:cs="Arial" w:eastAsia="Arial" w:hAnsi="Arial"/>
                <w:sz w:val="12"/>
                <w:szCs w:val="12"/>
                <w:color w:val="auto"/>
              </w:rPr>
              <w:t>3.13</w:t>
            </w: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5,656</w:t>
            </w:r>
          </w:p>
        </w:tc>
        <w:tc>
          <w:tcPr>
            <w:tcW w:w="3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(1,168</w:t>
            </w:r>
            <w:r>
              <w:rPr>
                <w:rFonts w:ascii="Arial" w:cs="Arial" w:eastAsia="Arial" w:hAnsi="Arial"/>
                <w:sz w:val="20"/>
                <w:szCs w:val="20"/>
                <w:color w:val="auto"/>
                <w:vertAlign w:val="superscript"/>
              </w:rPr>
              <w:t>)</w:t>
            </w:r>
          </w:p>
        </w:tc>
        <w:tc>
          <w:tcPr>
            <w:tcW w:w="3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00" w:hanging="273"/>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a tax-equivalent basis assuming a federal income tax rate of 35%.</w:t>
      </w:r>
    </w:p>
    <w:p>
      <w:pPr>
        <w:ind w:left="800" w:hanging="273"/>
        <w:spacing w:after="0" w:line="221"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Non-accrual loans have been included in average loans.</w:t>
      </w:r>
    </w:p>
    <w:p>
      <w:pPr>
        <w:ind w:left="800" w:hanging="273"/>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Total average interest-earning assets increased $400.5 million, or 12.2%, to $3.67 billion for the three month period ended June 30, 2015 as compared to</w:t>
      </w:r>
    </w:p>
    <w:p>
      <w:pPr>
        <w:spacing w:after="0" w:line="4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$3.27 billion for the same period in 2014. Total average interest-earning assets increased $401.5 million, or 12.3%, to $3.66 billion for the six month period ended June 30, 2015 as compared to $3.26 billion for the same period in 2014. Average loans increased for the three and six month periods ended June 30, 2015 as compared to the same periods in 2014 primarily due to our continued emphasis on organic commercial loan growth and the Herget Financial acquisition; however, loans were added at lower yields due to the competitive lending environment.</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average interest-bearing liability balances increased $242.6 million, or 9.8%, to $2.73 billion for the three month period ended June 30, 2015 as compared to $2.48 billion for the same period in 2014. Total average interest-bearing liability balances increased $240.8 million, or 9.7%, to $2.73 billion for the six month period ended June 30, 2015 as compared to $2.49 billion for the same period in 2014. Average noninterest-bearing deposits increased $133.2 million, or 22.5%, to $725.3 million for the three month period ended June 30, 2015 as compared to $592.1 million for the same period in 2014. Average noninterest-bearing deposits increased $134.3 million, or 23.1%, to $714.4 million for the six month period ended June 30, 2015 as compared to $580.2 million for the same period in 2014. As of June 30, 2015, core deposits were 76.5% of total assets and are an important low cost source of funding. In addition, in late 2014 the Company took on a modest level of long-term debt, taking advantage of low interest rates and attractive funding as a supplement to core deposits to fund loan growth.</w:t>
      </w:r>
    </w:p>
    <w:p>
      <w:pPr>
        <w:spacing w:after="0" w:line="1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Interest income, on a tax-equivalent basis, increased $2.3 million and $4.3 million for the three and six month periods ended June 30, 2015 as compared to the same periods of 2014, respectively. The interest income increase related primarily to the increase in loan volumes, as discussed above. Interest expense decreased $0.1 million and $0.2 million for the three and six month periods ended June 30, 2015 as compared to the same periods of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margin</w:t>
      </w:r>
    </w:p>
    <w:p>
      <w:pPr>
        <w:spacing w:after="0" w:line="225"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Net interest margin, our net interest income expressed as a percentage of average earning assets stated on a tax-equivalent basis, decreased to 3.05% for the three month period ended June 30, 2015 compared to 3.13% for the same period in 2014 and decreased to 3.04% for the six month period ended June 30,</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2015 from 3.13% for the same period in 2014. Net interest margin was influenced by growth in average interest-bearing bank deposits and cash and due from bank balances of $385.3 million for the six months ended June 30, 2015 compared to $261.2 million for the six months ended June 30, 2014. By the end of the second quarter of 2015, these balances declined, primarily as a result of positive changes in asset mix and fluctuations in funding.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2015 and 2014 are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bl>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also on a tax-equivalent basis, was 2.99% for the three month period ended June 30, 2015, compared to 3.07% for the same period in 2014 and was 2.98% for the six month period ended June 30, 2015 compared to 3.07% for the same period in 2014.</w:t>
      </w:r>
    </w:p>
    <w:p>
      <w:pPr>
        <w:spacing w:after="0" w:line="1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continued to experience downward pressure on our yield in interest-earning assets resulting from a protracted period of historically low rates and heightened competition for assets throughout the banking industry. The development of a stronger asset mix from increased loan balances, while actively bringing down interest expense and optimizing funding costs, remains a focus. We believe improvements in margin will be achieved through continued deployment of our liquid funds at higher yields as we redeploy cash into investment securities and loans.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 Please refer to the Notes to Consolidated Financial Statements in the Company’s Annual Report on Form 10-K for the year ended December 31, 2014 for accounting policies underlying the recognition of interest income and expense.</w:t>
      </w:r>
    </w:p>
    <w:p>
      <w:pPr>
        <w:sectPr>
          <w:pgSz w:w="11900" w:h="16838" w:orient="portrait"/>
          <w:cols w:equalWidth="0" w:num="1">
            <w:col w:w="11420"/>
          </w:cols>
          <w:pgMar w:left="240" w:top="276" w:right="239" w:bottom="0" w:gutter="0" w:footer="0" w:header="0"/>
        </w:sectPr>
      </w:pPr>
    </w:p>
    <w:bookmarkStart w:id="28" w:name="page29"/>
    <w:bookmarkEnd w:id="28"/>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4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Commissions and brokers’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fees, net</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Service charges on deposit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accounts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3,111</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5,980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service charges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Gain on sales of loans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1,234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3,294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Security (losses) gains, net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not meaningful</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other income of $16.6 million for the three month period ended June 30, 2015 increased by $1.6 million as compared to $15.0 million for the same period in 2014. Total other income of $32.6 million for the six month period ended June 30, 2015 increased by $2.6 million as compared to $30.0 million for the same period in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Combined wealth management revenue, consisting of trust fees and commissions and brokers’ fees, net, of $6.0 million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rose $0.2 million from $5.8 million for the same period in 2014 and rose $0.4 million for the six months ended June 30, 2015 to $12.4 million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 million for the same period in 2014. Growth in new assets under care (“AUC”) driven by our wealth management teams in 2015 and 2014 impacts fee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as wealth management revenues are typically correlated to levels of AUC. Furthermore, the Company believes the boutique services offered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Trevett Capital Partners within its suite of wealth services broadens its business base and enhances its ability to further develop revenue sources.</w:t>
      </w: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Remittance processing revenue relates to our payment processing company, FirsTech. FirsTech’s revenue of $3.0 million for the three months ended June 30, 2015 increased $0.6 million compared to $2.4 million for the same period of 2014 and revenue of $5.5 million for the six months ended June 30, 2015 increased $0.7 million compared to $4.7 million for the same period of 2014. The increases were primarily due to growth in electronic processing revenues, including online and mobile services. FirsTech adds important diversity to our revenue stream while widening our array of service offerings to larger commercial clients within our footprint and nationally.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$4.8 million for the three month period ended June 30, 2015 as compared to $4.7 million for the same period of 2014 and increased to $9.2 million for the six months ended June 30, 2015 as compared to $8.9 million for the same period of 2014. Evolving regulation, product changes and changing behaviors by our client base may impact the revenue derived from charges on deposit accounts.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Gain on sales of loans increased to $1.9 million for the three month period ended June 30, 2015 based on strong mortgage loan production which generated $1.7 million of gain, with an additional $0.2 million generated from sales of commercial loans as compared to $1.2 million for the same period of 2014, predominantly based on mortgage activity. For the six month period ended June 30, 2015, gain on sales of loans increased to $3.3 million from $2.2 million in the comparable period of 2014. Mortgage production in the second quarter of 2015 reached the highest level since the third quarter of 2013, primarily driven by strong loan activity related to the purchase of new homes.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income of $1.0 million for the three month period ended June 30, 2015 increased $0.1 million compared to the same period in 2014 and increased $0.1 million to $2.1 million for the six month period ended June 30, 2015 compared to the same period in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2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0" w:type="dxa"/>
            <w:vAlign w:val="bottom"/>
          </w:tcPr>
          <w:p>
            <w:pPr>
              <w:jc w:val="right"/>
              <w:ind w:right="235"/>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Change</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Salaries and wages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13,310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12,578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27,816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2,989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180"/>
              <w:spacing w:after="0"/>
              <w:rPr>
                <w:sz w:val="20"/>
                <w:szCs w:val="20"/>
                <w:color w:val="auto"/>
              </w:rPr>
            </w:pPr>
            <w:r>
              <w:rPr>
                <w:rFonts w:ascii="Arial" w:cs="Arial" w:eastAsia="Arial" w:hAnsi="Arial"/>
                <w:sz w:val="18"/>
                <w:szCs w:val="18"/>
                <w:color w:val="auto"/>
                <w:w w:val="98"/>
              </w:rPr>
              <w:t>Total compensation expense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15,830</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14,964</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vMerge w:val="continue"/>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30,106</w:t>
            </w:r>
          </w:p>
        </w:tc>
        <w:tc>
          <w:tcPr>
            <w:tcW w:w="2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2,573</w:t>
            </w:r>
          </w:p>
        </w:tc>
        <w:tc>
          <w:tcPr>
            <w:tcW w:w="220" w:type="dxa"/>
            <w:vAlign w:val="bottom"/>
            <w:vMerge w:val="continue"/>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2"/>
        </w:trPr>
        <w:tc>
          <w:tcPr>
            <w:tcW w:w="2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occupancy expense of</w:t>
            </w: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4,406</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Furniture and equipment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2,357</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Amortization of intangible</w:t>
            </w: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ectPr>
          <w:pgSz w:w="11900" w:h="16925" w:orient="portrait"/>
          <w:cols w:equalWidth="0" w:num="1">
            <w:col w:w="11420"/>
          </w:cols>
          <w:pgMar w:left="240" w:top="341" w:right="23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Regulatory expense</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9,892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8,645</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other expense</w:t>
            </w: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58,992</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2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Effective rate on income taxes</w:t>
            </w: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Efficiency ratio</w:t>
            </w: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Full-time equivalent</w:t>
            </w:r>
          </w:p>
        </w:tc>
        <w:tc>
          <w:tcPr>
            <w:tcW w:w="2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employees as of period-end</w:t>
            </w:r>
          </w:p>
        </w:tc>
        <w:tc>
          <w:tcPr>
            <w:tcW w:w="26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28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other expense of $28.4 million for the three month period ended June 30, 2015 increased by $1.6 million as compared to $26.8 million for the same period in 2014. Total other expense of $59.0 million for the six month period ended June 30, 2015 increased by $5.6 million as compared to $53.4 million for the same period in 2014. Total other expense was influenced by the Herget Financial acquisition and other non-recurring expenses during the first quarter of 2015.</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compensation expense of $15.8 million increased $0.9 million for the three month period ended June 30, 2015 as compared to the same period in 2014 and increased $2.6 million to $32.7 million for the six month period ended June 30, 2015 as compared to the same period in 2014. The increase was due to higher commissions related to mortgage production, first quarter restructuring expenses, and an initial increase in the number of employees in connection with the Herget Financial acquisition.</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Combined net occupancy expense of premises and furniture and equipment expenses of $3.4 million and $6.9 million for the three and six month periods ended June 30, 2015, respectively, increased compared to the same periods in 2014. We continue to evaluate our operations for appropriate cost control measures while seeking improvements in service delivery to our customers.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Data processing expense for the three month period ended June 30, 2015 of $3.2 million increased from $2.7 million for the same period of 2014. Data processing expense totaled $6.8 million for the six month period ended June 30, 2015, compared to $5.5 million for the same period of 2014. The increase was primarily due to non-recurring software conversion expenses related to the acquisition of Herget Financial. A portion of the increase was also related to supporting new sources of revenue growth at FirsTech.</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of intangible assets increased for the three and six month periods ended June 30, 2015 as compared to the same period in 2014 as a result of the January 8, 2015 Herget Financial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Regulatory expense increased 11.8% and 13.9% for the three and six month periods ended June 30, 2015, respectively, as compared to the same periods in 2014 as a result of a non-recurring expense related to the Herget Financial acquisition. On June 16, 2015, the FDIC issued a Notice of Proposed Rulemaking on proposed refinements to the deposit insurance assessment system for small insured depository institutions (generally, those institutions with less than $10 billion in total assets). The refinements would become operative the quarter after the reserve ratio of the Deposit Insurance Fund reaches 1.15%. The Company’s initial analysis projects that the proposal would be favorable and decrease our annual cost of FDIC insurance.</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expense of $4.6 million for the three month period ended June 30, 2015 decreased $0.1 million as compared to $4.7 million for the same period in 2014. Other expense of $9.9 million for the six month period ended June 30, 2015 increased compared to $8.6 million for the same period in 2014. The six month increase consisted primarily of costs related to restructuring initiatives which included a $0.7 million cost for premises impairment and other acquisition related expenses.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effective rate on income taxes, or income taxes divided by income before taxes, of 36.0% and 34.7% for the three and six months ended June 30, 2015, respectively,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Under current law, Illinois net operating loss carryover limitations expired in 2014 and the corporate income tax rate decreased as of January 1, 2015. The Company continues to monitor evolving state tax legislation and its potential impact on operations on an ongoing basis.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efficiency ratio represents total other expense, less amortization charges, as a percentage of tax-equivalent net interest income plus other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62.1% for the three month period ended June 30, 2015 improved from 64.4% in the comparable period in 2014. The efficiency ratio for the first six months of 2015 was 65.5% compared to</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64.5% for the same period of 2014. We will continue to examine appropriate avenues to improve efficiency, as a focus in future periods, with an emphasis on revenue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including available for sale and held to maturity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924,207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761,438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162,769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Loans, net, including loans held for sale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2,466,856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2,368,237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98,619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3,885,274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3,665,607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219,667</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705,231</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666,607</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38,624</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2,430,509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2,234,241</w:t>
            </w:r>
          </w:p>
        </w:tc>
        <w:tc>
          <w:tcPr>
            <w:tcW w:w="4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196,268</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3,135,740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2,900,848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234,892</w:t>
            </w:r>
          </w:p>
        </w:tc>
        <w:tc>
          <w:tcPr>
            <w:tcW w:w="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174,352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198,893</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(24,541)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3,442,686</w:t>
            </w:r>
          </w:p>
        </w:tc>
        <w:tc>
          <w:tcPr>
            <w:tcW w:w="30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3,231,968</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210,718</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442,588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433,639</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8,949</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Total assets increased by $219.7 million, or 6.0%, to $3.89 billion at June 30, 2015 as compared to $3.67 billion at December 31, 2014. Securities increased by $162.8 million, or 21.4%, at June 30, 2015 compared to December 31, 2014 as a result of the Herget Financial acquisition and deployment of cash into the securities portfolio. Total liabilities increased by $210.7 million, or 6.5%, to $3.44 billion at June 30, 2015 compared to $3.23 billion at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 increased to $442.6 million at June 30, 2015 as compared to $433.6 million at December 31, 2014. This increase was primarily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result of first and second quarter earnings, partially offset by dividends paid on preferred and common stock. Dividends paid on the preferred stock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six months ended June 30, 2015 and 2014. The Company anticipates that the preferred stock will be redeemed in full in early 2016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scheduled increase in the dividend rate at that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by category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536"/>
              <w:spacing w:after="0"/>
              <w:rPr>
                <w:sz w:val="20"/>
                <w:szCs w:val="20"/>
                <w:color w:val="auto"/>
              </w:rPr>
            </w:pPr>
            <w:r>
              <w:rPr>
                <w:rFonts w:ascii="Arial" w:cs="Arial" w:eastAsia="Arial" w:hAnsi="Arial"/>
                <w:sz w:val="14"/>
                <w:szCs w:val="14"/>
                <w:b w:val="1"/>
                <w:bCs w:val="1"/>
                <w:color w:val="auto"/>
                <w:w w:val="90"/>
              </w:rPr>
              <w:t>June 30, 2015</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14,308</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858,960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168,215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125,387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50,939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33,021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533,357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105,086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11,816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16,175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2,011,137</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201,722</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2,443,040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80" w:type="dxa"/>
            <w:vAlign w:val="bottom"/>
            <w:gridSpan w:val="3"/>
          </w:tcPr>
          <w:p>
            <w:pPr>
              <w:spacing w:after="0"/>
              <w:rPr>
                <w:sz w:val="20"/>
                <w:szCs w:val="20"/>
                <w:color w:val="auto"/>
              </w:rPr>
            </w:pPr>
            <w:r>
              <w:rPr>
                <w:rFonts w:ascii="Arial" w:cs="Arial" w:eastAsia="Arial" w:hAnsi="Arial"/>
                <w:sz w:val="18"/>
                <w:szCs w:val="18"/>
                <w:color w:val="auto"/>
              </w:rPr>
              <w:t>(1) Loans held for sale are included in retail real estate.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556"/>
              <w:spacing w:after="0"/>
              <w:rPr>
                <w:sz w:val="20"/>
                <w:szCs w:val="20"/>
                <w:color w:val="auto"/>
              </w:rPr>
            </w:pPr>
            <w:r>
              <w:rPr>
                <w:rFonts w:ascii="Arial" w:cs="Arial" w:eastAsia="Arial" w:hAnsi="Arial"/>
                <w:sz w:val="14"/>
                <w:szCs w:val="14"/>
                <w:b w:val="1"/>
                <w:bCs w:val="1"/>
                <w:color w:val="auto"/>
                <w:w w:val="91"/>
              </w:rPr>
              <w:t>December 31, 2014</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4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554,779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16,739</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811,034</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171,243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121,874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60,994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473,171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106,658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12,644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1,909,668</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192,870</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2,357,837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total loan portfolio, gross, as of June 30, 2015 increased $98.9 million from December 31, 2014; gross commercial balances (consisting of commercial, commercial real estate and real estate construction loans) increased $34.6 million from December 31, 2014. Loans held for sale increased by $13.4 million as of June 30, 2015 from December 31, 2014. Retail real estate and retail other, less loans held for sale, increased $50.9 million as of June 30, 2015 from December 31, 2014. Achieving growth through organic means remains a focus for us, and was supplemented during the first quarter of 2015 by the Herget Financial acquisition. Further, our commitment to credit quality remains strong.</w:t>
      </w:r>
    </w:p>
    <w:p>
      <w:pPr>
        <w:sectPr>
          <w:pgSz w:w="11900" w:h="16838" w:orient="portrait"/>
          <w:cols w:equalWidth="0" w:num="1">
            <w:col w:w="11460"/>
          </w:cols>
          <w:pgMar w:left="240" w:top="140" w:right="199" w:bottom="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allowance for loan losses was $47.7 million, or 1.9% of loans, at June 30, 2015, compared to $47.5 million, or 2.0% of loans, at December 31, 2014.</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As of June 30, 2015,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w:t>
      </w:r>
    </w:p>
    <w:p>
      <w:pPr>
        <w:spacing w:after="0" w:line="15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net charge-offs and non-performing loans trended lower, the provision for loan loss decreased to $0.5 million in the first six months of 2015 compared to $2.0 million in the same period of 2014.</w:t>
      </w:r>
    </w:p>
    <w:p>
      <w:pPr>
        <w:spacing w:after="0" w:line="1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as of each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47,720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47,652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Non-performing loans to loans, before allowance for loan losses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Non-performing loans and OREO to loans, before allowance for</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losses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non-performing assets were $8.8 million at June 30, 2015, compared to $10.7 million at March 31, 2015. The 2015 totals reflect the post-combination results of acquiring Herget Financial. Asset quality metrics remain dependent upon market-specific economic conditions, and specific measures may fluctuate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$33.3 million at June 30, 2015 compared to $30.9 million at December 31, 2014. We do not believe the potential losses associated with these potential problem loans will be as great as seen in the past. Management continues to monitor these credits and anticipates that restructurings, guarantees, additional collateral or other planned actions will result in full repayment of the debts. As of June 30, 2015, management identified no other loans that represent or result from trends or uncertainties which management reasonably expected to materially impact future operating results, liquidity or capital resources. As of June 30, 2015, management was not aware of any information about any other credits which caused management to have serious doubts as to the ability of such borrower(s) to comply with the loan repayment terms.</w:t>
      </w:r>
    </w:p>
    <w:p>
      <w:pPr>
        <w:sectPr>
          <w:pgSz w:w="11900" w:h="16838" w:orient="portrait"/>
          <w:cols w:equalWidth="0" w:num="1">
            <w:col w:w="11420"/>
          </w:cols>
          <w:pgMar w:left="240" w:top="341" w:right="239" w:bottom="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if needed,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First Busey’s primary sources of funds consist of deposits, investment cash flows and sales, loan principal repayments, and capital funds. Additional liquidity is provided by repurchase agreements, the ability to borrow from the Federal Reserve and the Federal Home Loan Bank (“FHLB”), and brokered deposits. Management intends to satisfy long-term liquidity needs primarily through retention of capital funds.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2014, as part of our ongoing balance sheet strategy, the Company took on a modest level of long-term debt taking advantage of low interest rates and attractive funding options by executing $50.0 million in FHLB discount note indexed advances. The variable rate notes range in maturity from five to ten years with options to prepay at par prior to maturity.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2015,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At June 30, 2015, the Company had outstanding standby letters of credit of $22.5 million and commitments to extend credit of $600.2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June 30, 2015, no amounts were recorded as liabilities for the Company’s potential obligations under these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at both the consolidated level and at the Bank. The Federal Reserve Board uses capital adequacy guidelines in its examination and regulation of bank holding companies and their subsidiary banks. Risk-based capital ratios are established by allocating assets and certain off-balance-sheet commitments into risk-weighted categories.</w:t>
      </w:r>
    </w:p>
    <w:p>
      <w:pPr>
        <w:ind w:right="60"/>
        <w:spacing w:after="0" w:line="252" w:lineRule="auto"/>
        <w:rPr>
          <w:sz w:val="20"/>
          <w:szCs w:val="20"/>
          <w:color w:val="auto"/>
        </w:rPr>
      </w:pPr>
      <w:r>
        <w:rPr>
          <w:rFonts w:ascii="Arial" w:cs="Arial" w:eastAsia="Arial" w:hAnsi="Arial"/>
          <w:sz w:val="18"/>
          <w:szCs w:val="18"/>
          <w:color w:val="auto"/>
        </w:rPr>
        <w:t>These balances are then multiplied by the factor appropriate for that risk-weighted category. The guidelines require bank holding companies and their subsidiary banks to maintain a total capital to total risk-weighted asset ratio of not less than 8.00%, Tier 1 capital to total risk-weighted asset ratio of not less than 6.00%, Common Equity Tier 1 capital to total risk-weighted asset ratio of not less than 4.50% and a Tier 1 leverage ratio of not less than 4.00%. As of June 30, 2015, we had a total capital to total risk-weighted asset ratio of 17.46%, a Tier 1 capital to risk-weighted asset ratio of 16.18%, Common Equity Tier 1 capital to risk-weighted asset ratio of 11.71% and a Tier 1 leverage ratio of 11.90%; the Bank had ratios of 15.43%, 14.15%, 14.15% and 10.45%,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and national economy; (ii) the economic impact of any future terrorist threats or attacks; (iii) changes in state and federal laws, regulations and governmental policies concerning First Busey’s general business (including the impact of the Dodd-Frank Act and the extensive regulations to be promulgated thereunder, as well as the Basel III Rules);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acquisitions, including the acquisition of Herget Financial; (x) 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ectPr>
          <w:pgSz w:w="11900" w:h="16838" w:orient="portrait"/>
          <w:cols w:equalWidth="0" w:num="1">
            <w:col w:w="11420"/>
          </w:cols>
          <w:pgMar w:left="240" w:top="337" w:right="239" w:bottom="0" w:gutter="0" w:footer="0" w:header="0"/>
        </w:sectPr>
      </w:pPr>
    </w:p>
    <w:bookmarkStart w:id="33" w:name="page34"/>
    <w:bookmarkEnd w:id="33"/>
    <w:p>
      <w:pPr>
        <w:jc w:val="both"/>
        <w:ind w:right="38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2014.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of Investment Securities. </w:t>
      </w:r>
      <w:r>
        <w:rPr>
          <w:rFonts w:ascii="Arial" w:cs="Arial" w:eastAsia="Arial" w:hAnsi="Arial"/>
          <w:sz w:val="16"/>
          <w:szCs w:val="16"/>
          <w:color w:val="auto"/>
        </w:rPr>
        <w:t>Securities are classified as held to maturity when First Busey has the ability and management has the positive intent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 those securities to maturity. Accordingly, they are stated at cost, adjusted for amortization of premiums and accretion of discounts. First Busey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$36.0 million of securities classified as held to maturity at June 30, 2015. First Busey had no securities classified as trading at June 30, 2015. Securities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available for sale when First Busey may decide to sell those securities due to changes in market interest rates, liquidity needs, changes in yields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alternative investments, and for other reasons. They are carried at fair value with unrealized gains and losses, net of taxes, reported in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As of June 30, 2015, First Busey had $888.2 million of securities classified as available for sale. For equity securities, unadjusted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are utilized to determine fair value at the measurement date. For all other securities, we obtain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measurements from an independent pricing service. The fair value measurements consider observable data that may include dealer quotes, market spreads,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the U.S. Treasury yield curve, live trading levels, trade execution data, market consensus prepayment speeds, credit information and the security’s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among other things. Due to the limited nature of the market for certain securities, the fair value and potential sale proceeds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different in the event of a sale.</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Realized securities gains or losses are reported in security gains (losses), net in the Consolidated Statements of Income. The cost of securities sold is based on the specific identification method. Declines in the fair value of available for sale securities below their amortized cost are evaluated to determine whether the loss is temporary or other-than-temporary. If the Company (a) has the intent to sell a debt security or (b) will more-likely-than-not be required to sell the debt security before its anticipated recovery, then the Company recognizes the entire unrealized loss in earnings as an other-than-temporary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other-than-temporary impairment related to the credit loss is recognized in earnings, and the amount related to all other factors is recognized in other comprehensive income.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evaluates whether the decline in fair value of an equity security is temporary or other-than-temporary. In determining whether an unrealized loss on an equity security is temporary or other-than-temporary,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Allowance for Loan Losses. </w:t>
      </w:r>
      <w:r>
        <w:rPr>
          <w:rFonts w:ascii="Arial" w:cs="Arial" w:eastAsia="Arial" w:hAnsi="Arial"/>
          <w:sz w:val="18"/>
          <w:szCs w:val="18"/>
          <w:color w:val="auto"/>
        </w:rPr>
        <w:t>First Busey has established an allowance for loan losses which represents its estimate of the probable losses inherent in the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senior management of Busey Bank and the Company.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Deferred Taxes</w:t>
      </w:r>
      <w:r>
        <w:rPr>
          <w:rFonts w:ascii="Arial" w:cs="Arial" w:eastAsia="Arial" w:hAnsi="Arial"/>
          <w:sz w:val="16"/>
          <w:szCs w:val="16"/>
          <w:color w:val="auto"/>
        </w:rPr>
        <w:t>. We have maintained significant net deferred tax assets for deductible temporary differences, the largest of which relates to the State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Illinois net operating loss carryforward and the allowance for loan losses. For income tax return purposes, only actual charge-offs are deductible, not the provision for loan losses. Under generally accepted accounting principles, a valuation allowance is required to be recognized if it is more-likely-than-not that the deferred tax asset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We consider both positive and negative evidence regarding the ultimate recoverability of our deferred tax assets. Positive evidence includes available tax planning strategies and the probability that taxable income will continue to be generated in future periods, as it was in periods since March 31, 2010, while negative evidence includes a cumulative loss in 2009 and 2008 and certain business and economic trends. We evaluated the recoverability of our net deferred tax assets and established a valuation allowance for certain state net operating loss and credit carryforwards that are not expected to be fully realized. Management believes that it is more-likely-than-not that the other deferred tax assets included in the accompanying consolidated financial statements will be fully realized. We determined that no valuation allowance was required for any other deferred tax assets as of June 30, 2015, although there is no guarantee that those assets will be recognizable in future periods.</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assess the likelihood that any deferred tax assets will be realized through the reduction of taxes in future periods and establish a valuation allowance for those assets for which recovery is not more-likely-than-not. In making this assessment, we must make judgments and estimates regarding the ability to realize the asset through the future reversal of existing taxable temporary differences, future taxable income, and the possible application of future tax planning strategies. The Company’s evaluation gave consideration to the fact that all net operating loss carrybacks have been utilized. Therefore, utilization of net operating loss carryforwards are dependent on implementation of tax strategies and continued profitability.</w:t>
      </w:r>
    </w:p>
    <w:p>
      <w:pPr>
        <w:sectPr>
          <w:pgSz w:w="11900" w:h="16838" w:orient="portrait"/>
          <w:cols w:equalWidth="0" w:num="1">
            <w:col w:w="11400"/>
          </w:cols>
          <w:pgMar w:left="240" w:top="125" w:right="259" w:bottom="0" w:gutter="0" w:footer="0" w:header="0"/>
        </w:sectPr>
      </w:pPr>
    </w:p>
    <w:bookmarkStart w:id="34" w:name="page35"/>
    <w:bookmarkEnd w:id="34"/>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has an asset-liability committee which meets at least quarterly to review current market conditions and attempts to structure the Bank’s balance sheet to ensure stable net interest income despite potential changes in interest rates with all other variables constant.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 As of June 30, 2015 and December 31, 2014, due to the current low interest rate environment, a downward adjustment in federal fund rates was not meaningful.</w:t>
      </w:r>
    </w:p>
    <w:p>
      <w:pPr>
        <w:spacing w:after="0" w:line="16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Year-One: Basis Point Changes</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-400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Year-Two: Basis Point Changes</w:t>
            </w: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-400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June 30, 2015, under the supervision and with the participation of our Chief Executive Officer, Chief Financial Officer and several other members of our senior management. Based on this evaluation, our Chief Executive Officer and Chief Financial Officer concluded that, as of June 30, 2015,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the quarter ended June 30, 2015,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ectPr>
          <w:pgSz w:w="11900" w:h="16934" w:orient="portrait"/>
          <w:cols w:equalWidth="0" w:num="1">
            <w:col w:w="11420"/>
          </w:cols>
          <w:pgMar w:left="240" w:top="121" w:right="239" w:bottom="0" w:gutter="0" w:footer="0" w:header="0"/>
        </w:sectPr>
      </w:pPr>
    </w:p>
    <w:bookmarkStart w:id="35" w:name="page36"/>
    <w:bookmarkEnd w:id="35"/>
    <w:p>
      <w:pPr>
        <w:jc w:val="center"/>
        <w:ind w:right="-13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Item 1A of Part I of the Company’s 2014 Annual Report on Form 10-K.</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made by or on behalf of First Busey of shares of its common stock during the quarter ended June 30, 2015.</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3, 2015, First Busey announced that its board of directors approved a repurchase plan under which the Company is authorized to repurchase up to an aggregate of two million shares of its common stock. The repurchase plan has no expiration date and replaced the prior repurchase plan that was originally approved in 2008.</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and Rule 15d-14(a).</w:t>
      </w:r>
    </w:p>
    <w:p>
      <w:pPr>
        <w:spacing w:after="0" w:line="225"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and Rule 15d-14(a).</w:t>
      </w:r>
    </w:p>
    <w:p>
      <w:pPr>
        <w:spacing w:after="0" w:line="225" w:lineRule="exact"/>
        <w:rPr>
          <w:sz w:val="20"/>
          <w:szCs w:val="20"/>
          <w:color w:val="auto"/>
        </w:rPr>
      </w:pPr>
    </w:p>
    <w:p>
      <w:pPr>
        <w:ind w:left="1500" w:right="420" w:hanging="755"/>
        <w:spacing w:after="0" w:line="277"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Executive Officer.</w:t>
      </w:r>
    </w:p>
    <w:p>
      <w:pPr>
        <w:spacing w:after="0" w:line="170" w:lineRule="exact"/>
        <w:rPr>
          <w:sz w:val="20"/>
          <w:szCs w:val="20"/>
          <w:color w:val="auto"/>
        </w:rPr>
      </w:pPr>
    </w:p>
    <w:p>
      <w:pPr>
        <w:ind w:left="1500" w:right="420" w:hanging="755"/>
        <w:spacing w:after="0" w:line="277" w:lineRule="auto"/>
        <w:tabs>
          <w:tab w:leader="none" w:pos="1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Financial Officer.</w:t>
      </w:r>
    </w:p>
    <w:p>
      <w:pPr>
        <w:spacing w:after="0" w:line="170"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Interactive data files pursuant to Rule 405 of Regulation S-T: (i) Consolidated Balance Sheets at June 30, 2015 and December 31, 2014;</w:t>
      </w:r>
    </w:p>
    <w:p>
      <w:pPr>
        <w:spacing w:after="0" w:line="23" w:lineRule="exact"/>
        <w:rPr>
          <w:sz w:val="20"/>
          <w:szCs w:val="20"/>
          <w:color w:val="auto"/>
        </w:rPr>
      </w:pPr>
    </w:p>
    <w:p>
      <w:pPr>
        <w:ind w:left="1500" w:right="40" w:hanging="6"/>
        <w:spacing w:after="0" w:line="273" w:lineRule="auto"/>
        <w:tabs>
          <w:tab w:leader="none" w:pos="176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Consolidated Statements of Income for the three and six months ended June 30, 2015 and 2014; (iii) Consolidated Statements of Comprehensive Income for the three and six months ended June 30, 2015 and 2014; (iv) Consolidated Statements of Stockholders’ Equity for the six months ended June 30, 2015 and 2014; (v) Consolidated Statements of Cash Flows for the six months ended June 30, 2015 and 2014;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jc w:val="center"/>
        <w:ind w:left="5580"/>
        <w:spacing w:after="0"/>
        <w:tabs>
          <w:tab w:leader="none" w:pos="20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280"/>
          </w:cols>
          <w:pgMar w:left="240" w:top="337" w:right="379" w:bottom="0" w:gutter="0" w:footer="0" w:header="0"/>
        </w:sectPr>
      </w:pPr>
    </w:p>
    <w:bookmarkStart w:id="36" w:name="page37"/>
    <w:bookmarkEnd w:id="36"/>
    <w:p>
      <w:pPr>
        <w:ind w:left="620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(Principal financial and 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8"/>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2020-01-24T04:13:39Z</dcterms:created>
  <dcterms:modified xsi:type="dcterms:W3CDTF">2020-01-24T04:13:39Z</dcterms:modified>
</cp:coreProperties>
</file>